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5" w:lineRule="exact"/>
        <w:rPr>
          <w:sz w:val="24"/>
          <w:szCs w:val="24"/>
          <w:color w:val="auto"/>
        </w:rPr>
      </w:pPr>
    </w:p>
    <w:p>
      <w:pPr>
        <w:ind w:left="360"/>
        <w:spacing w:after="0"/>
        <w:tabs>
          <w:tab w:leader="none" w:pos="34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7"/>
          <w:szCs w:val="17"/>
          <w:color w:val="auto"/>
        </w:rPr>
        <w:t>September 30, 2020</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19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00" w:lineRule="exact"/>
        <w:rPr>
          <w:sz w:val="24"/>
          <w:szCs w:val="24"/>
          <w:color w:val="auto"/>
        </w:rPr>
      </w:pPr>
    </w:p>
    <w:p>
      <w:pPr>
        <w:spacing w:after="0" w:line="3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1-10026</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ALBANY INTERNATIONAL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939165</wp:posOffset>
            </wp:positionH>
            <wp:positionV relativeFrom="paragraph">
              <wp:posOffset>27305</wp:posOffset>
            </wp:positionV>
            <wp:extent cx="5271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81280</wp:posOffset>
            </wp:positionV>
            <wp:extent cx="3531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358"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216 Airport Drive, Rochester, New Hampshire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73025</wp:posOffset>
            </wp:positionV>
            <wp:extent cx="353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13"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(Address of principal executive offices)</w:t>
      </w:r>
    </w:p>
    <w:p>
      <w:pPr>
        <w:spacing w:after="0" w:line="3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14-0462060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81280</wp:posOffset>
            </wp:positionV>
            <wp:extent cx="3531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(IRS Employer Identification No.)</w:t>
      </w: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03867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81280</wp:posOffset>
            </wp:positionV>
            <wp:extent cx="3531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2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(Zip Code)</w:t>
      </w:r>
    </w:p>
    <w:p>
      <w:pPr>
        <w:spacing w:after="0" w:line="3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73025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3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 $0.001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200" w:lineRule="exact"/>
        <w:rPr>
          <w:sz w:val="24"/>
          <w:szCs w:val="24"/>
          <w:color w:val="auto"/>
        </w:rPr>
      </w:pPr>
    </w:p>
    <w:p>
      <w:pPr>
        <w:spacing w:after="0" w:line="236" w:lineRule="exact"/>
        <w:rPr>
          <w:sz w:val="24"/>
          <w:szCs w:val="24"/>
          <w:color w:val="auto"/>
        </w:rPr>
      </w:pPr>
    </w:p>
    <w:p>
      <w:pPr>
        <w:jc w:val="both"/>
        <w:ind w:right="20"/>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5" w:lineRule="exact"/>
        <w:rPr>
          <w:sz w:val="24"/>
          <w:szCs w:val="24"/>
          <w:color w:val="auto"/>
        </w:rPr>
      </w:pPr>
    </w:p>
    <w:p>
      <w:pPr>
        <w:jc w:val="both"/>
        <w:ind w:right="20"/>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5" w:lineRule="exact"/>
        <w:rPr>
          <w:sz w:val="24"/>
          <w:szCs w:val="24"/>
          <w:color w:val="auto"/>
        </w:rPr>
      </w:pPr>
    </w:p>
    <w:p>
      <w:pPr>
        <w:jc w:val="both"/>
        <w:ind w:right="2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5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8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40" w:type="dxa"/>
            <w:vAlign w:val="bottom"/>
          </w:tcPr>
          <w:p>
            <w:pPr>
              <w:ind w:left="242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60"/>
          </w:cols>
          <w:pgMar w:left="320" w:top="1334" w:right="319" w:bottom="0" w:gutter="0" w:footer="0" w:header="0"/>
        </w:sectPr>
      </w:pPr>
    </w:p>
    <w:bookmarkStart w:id="1" w:name="page2"/>
    <w:bookmarkEnd w:id="1"/>
    <w:p>
      <w:pPr>
        <w:spacing w:after="0" w:line="293" w:lineRule="auto"/>
        <w:rPr>
          <w:sz w:val="20"/>
          <w:szCs w:val="20"/>
          <w:color w:val="auto"/>
        </w:rPr>
      </w:pPr>
      <w:r>
        <w:rPr>
          <w:rFonts w:ascii="Arial" w:cs="Arial" w:eastAsia="Arial" w:hAnsi="Arial"/>
          <w:sz w:val="18"/>
          <w:szCs w:val="18"/>
          <w:color w:val="auto"/>
        </w:rPr>
        <w:t>The registrant had 30.7 million shares of Class A Common Stock and 1.6 million shares of Class B Common Stock outstanding as of October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b w:val="1"/>
                <w:bCs w:val="1"/>
                <w:color w:val="auto"/>
              </w:rPr>
              <w:t>Page</w:t>
            </w:r>
          </w:p>
        </w:tc>
      </w:tr>
      <w:tr>
        <w:trPr>
          <w:trHeight w:val="232"/>
        </w:trPr>
        <w:tc>
          <w:tcPr>
            <w:tcW w:w="76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256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680" w:type="dxa"/>
            <w:vAlign w:val="bottom"/>
            <w:tcBorders>
              <w:bottom w:val="single" w:sz="8" w:color="B2B2B2"/>
            </w:tcBorders>
          </w:tcPr>
          <w:p>
            <w:pPr>
              <w:spacing w:after="0"/>
              <w:rPr>
                <w:sz w:val="20"/>
                <w:szCs w:val="20"/>
                <w:color w:val="auto"/>
              </w:rPr>
            </w:pPr>
          </w:p>
        </w:tc>
        <w:tc>
          <w:tcPr>
            <w:tcW w:w="180" w:type="dxa"/>
            <w:vAlign w:val="bottom"/>
            <w:tcBorders>
              <w:bottom w:val="single" w:sz="8" w:color="B2B2B2"/>
            </w:tcBorders>
          </w:tcPr>
          <w:p>
            <w:pPr>
              <w:spacing w:after="0"/>
              <w:rPr>
                <w:sz w:val="20"/>
                <w:szCs w:val="20"/>
                <w:color w:val="auto"/>
              </w:rPr>
            </w:pPr>
          </w:p>
        </w:tc>
        <w:tc>
          <w:tcPr>
            <w:tcW w:w="120" w:type="dxa"/>
            <w:vAlign w:val="bottom"/>
            <w:tcBorders>
              <w:bottom w:val="single" w:sz="8" w:color="B2B2B2"/>
            </w:tcBorders>
          </w:tcPr>
          <w:p>
            <w:pPr>
              <w:spacing w:after="0"/>
              <w:rPr>
                <w:sz w:val="20"/>
                <w:szCs w:val="20"/>
                <w:color w:val="auto"/>
              </w:rPr>
            </w:pPr>
          </w:p>
        </w:tc>
        <w:tc>
          <w:tcPr>
            <w:tcW w:w="60" w:type="dxa"/>
            <w:vAlign w:val="bottom"/>
            <w:tcBorders>
              <w:bottom w:val="single" w:sz="8" w:color="B2B2B2"/>
            </w:tcBorders>
          </w:tcPr>
          <w:p>
            <w:pPr>
              <w:spacing w:after="0"/>
              <w:rPr>
                <w:sz w:val="20"/>
                <w:szCs w:val="20"/>
                <w:color w:val="auto"/>
              </w:rPr>
            </w:pPr>
          </w:p>
        </w:tc>
        <w:tc>
          <w:tcPr>
            <w:tcW w:w="760" w:type="dxa"/>
            <w:vAlign w:val="bottom"/>
            <w:tcBorders>
              <w:bottom w:val="single" w:sz="8" w:color="B2B2B2"/>
            </w:tcBorders>
          </w:tcPr>
          <w:p>
            <w:pPr>
              <w:spacing w:after="0"/>
              <w:rPr>
                <w:sz w:val="20"/>
                <w:szCs w:val="20"/>
                <w:color w:val="auto"/>
              </w:rPr>
            </w:pPr>
          </w:p>
        </w:tc>
        <w:tc>
          <w:tcPr>
            <w:tcW w:w="100" w:type="dxa"/>
            <w:vAlign w:val="bottom"/>
            <w:tcBorders>
              <w:bottom w:val="single" w:sz="8" w:color="B2B2B2"/>
            </w:tcBorders>
          </w:tcPr>
          <w:p>
            <w:pPr>
              <w:spacing w:after="0"/>
              <w:rPr>
                <w:sz w:val="20"/>
                <w:szCs w:val="20"/>
                <w:color w:val="auto"/>
              </w:rPr>
            </w:pPr>
          </w:p>
        </w:tc>
        <w:tc>
          <w:tcPr>
            <w:tcW w:w="260" w:type="dxa"/>
            <w:vAlign w:val="bottom"/>
            <w:tcBorders>
              <w:bottom w:val="single" w:sz="8" w:color="B2B2B2"/>
            </w:tcBorders>
          </w:tcPr>
          <w:p>
            <w:pPr>
              <w:spacing w:after="0"/>
              <w:rPr>
                <w:sz w:val="20"/>
                <w:szCs w:val="20"/>
                <w:color w:val="auto"/>
              </w:rPr>
            </w:pPr>
          </w:p>
        </w:tc>
        <w:tc>
          <w:tcPr>
            <w:tcW w:w="860" w:type="dxa"/>
            <w:vAlign w:val="bottom"/>
            <w:tcBorders>
              <w:bottom w:val="single" w:sz="8" w:color="B2B2B2"/>
            </w:tcBorders>
          </w:tcPr>
          <w:p>
            <w:pPr>
              <w:spacing w:after="0"/>
              <w:rPr>
                <w:sz w:val="20"/>
                <w:szCs w:val="20"/>
                <w:color w:val="auto"/>
              </w:rPr>
            </w:pPr>
          </w:p>
        </w:tc>
        <w:tc>
          <w:tcPr>
            <w:tcW w:w="24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20" w:type="dxa"/>
            <w:vAlign w:val="bottom"/>
            <w:tcBorders>
              <w:bottom w:val="single" w:sz="8" w:color="B2B2B2"/>
            </w:tcBorders>
          </w:tcPr>
          <w:p>
            <w:pPr>
              <w:spacing w:after="0"/>
              <w:rPr>
                <w:sz w:val="20"/>
                <w:szCs w:val="20"/>
                <w:color w:val="auto"/>
              </w:rPr>
            </w:pPr>
          </w:p>
        </w:tc>
        <w:tc>
          <w:tcPr>
            <w:tcW w:w="340" w:type="dxa"/>
            <w:vAlign w:val="bottom"/>
            <w:tcBorders>
              <w:bottom w:val="single" w:sz="8" w:color="B2B2B2"/>
            </w:tcBorders>
          </w:tcPr>
          <w:p>
            <w:pPr>
              <w:spacing w:after="0"/>
              <w:rPr>
                <w:sz w:val="20"/>
                <w:szCs w:val="20"/>
                <w:color w:val="auto"/>
              </w:rPr>
            </w:pPr>
          </w:p>
        </w:tc>
        <w:tc>
          <w:tcPr>
            <w:tcW w:w="14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360" w:type="dxa"/>
            <w:vAlign w:val="bottom"/>
            <w:tcBorders>
              <w:bottom w:val="single" w:sz="8" w:color="B2B2B2"/>
            </w:tcBorders>
          </w:tcPr>
          <w:p>
            <w:pPr>
              <w:spacing w:after="0"/>
              <w:rPr>
                <w:sz w:val="20"/>
                <w:szCs w:val="20"/>
                <w:color w:val="auto"/>
              </w:rPr>
            </w:pPr>
          </w:p>
        </w:tc>
        <w:tc>
          <w:tcPr>
            <w:tcW w:w="1460" w:type="dxa"/>
            <w:vAlign w:val="bottom"/>
            <w:tcBorders>
              <w:bottom w:val="single" w:sz="8" w:color="B2B2B2"/>
            </w:tcBorders>
          </w:tcPr>
          <w:p>
            <w:pPr>
              <w:spacing w:after="0"/>
              <w:rPr>
                <w:sz w:val="20"/>
                <w:szCs w:val="20"/>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No.</w:t>
            </w:r>
          </w:p>
        </w:tc>
      </w:tr>
      <w:tr>
        <w:trPr>
          <w:trHeight w:val="227"/>
        </w:trPr>
        <w:tc>
          <w:tcPr>
            <w:tcW w:w="10600" w:type="dxa"/>
            <w:vAlign w:val="bottom"/>
            <w:gridSpan w:val="22"/>
            <w:shd w:val="clear" w:color="auto" w:fill="B2B2B2"/>
          </w:tcPr>
          <w:p>
            <w:pPr>
              <w:ind w:left="20"/>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640" w:type="dxa"/>
            <w:vAlign w:val="bottom"/>
            <w:shd w:val="clear" w:color="auto" w:fill="B2B2B2"/>
          </w:tcPr>
          <w:p>
            <w:pPr>
              <w:spacing w:after="0"/>
              <w:rPr>
                <w:sz w:val="19"/>
                <w:szCs w:val="19"/>
                <w:color w:val="auto"/>
              </w:rPr>
            </w:pPr>
          </w:p>
        </w:tc>
      </w:tr>
      <w:tr>
        <w:trPr>
          <w:trHeight w:val="235"/>
        </w:trPr>
        <w:tc>
          <w:tcPr>
            <w:tcW w:w="760" w:type="dxa"/>
            <w:vAlign w:val="bottom"/>
          </w:tcPr>
          <w:p>
            <w:pPr>
              <w:ind w:left="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Item 1.</w:t>
              </w:r>
            </w:hyperlink>
          </w:p>
        </w:tc>
        <w:tc>
          <w:tcPr>
            <w:tcW w:w="9840" w:type="dxa"/>
            <w:vAlign w:val="bottom"/>
            <w:gridSpan w:val="21"/>
          </w:tcPr>
          <w:p>
            <w:pPr>
              <w:ind w:left="1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Financial Statements</w:t>
              </w:r>
            </w:hyperlink>
          </w:p>
        </w:tc>
        <w:tc>
          <w:tcPr>
            <w:tcW w:w="640" w:type="dxa"/>
            <w:vAlign w:val="bottom"/>
          </w:tcPr>
          <w:p>
            <w:pPr>
              <w:spacing w:after="0"/>
              <w:rPr>
                <w:sz w:val="20"/>
                <w:szCs w:val="20"/>
                <w:color w:val="auto"/>
              </w:rPr>
            </w:pPr>
          </w:p>
        </w:tc>
      </w:tr>
      <w:tr>
        <w:trPr>
          <w:trHeight w:val="197"/>
        </w:trPr>
        <w:tc>
          <w:tcPr>
            <w:tcW w:w="760" w:type="dxa"/>
            <w:vAlign w:val="bottom"/>
            <w:shd w:val="clear" w:color="auto" w:fill="B2B2B2"/>
          </w:tcPr>
          <w:p>
            <w:pPr>
              <w:spacing w:after="0"/>
              <w:rPr>
                <w:sz w:val="17"/>
                <w:szCs w:val="17"/>
                <w:color w:val="auto"/>
              </w:rPr>
            </w:pPr>
          </w:p>
        </w:tc>
        <w:tc>
          <w:tcPr>
            <w:tcW w:w="9840" w:type="dxa"/>
            <w:vAlign w:val="bottom"/>
            <w:gridSpan w:val="21"/>
            <w:shd w:val="clear" w:color="auto" w:fill="B2B2B2"/>
          </w:tcPr>
          <w:p>
            <w:pPr>
              <w:ind w:left="120"/>
              <w:spacing w:after="0"/>
              <w:rPr>
                <w:rFonts w:ascii="Arial" w:cs="Arial" w:eastAsia="Arial" w:hAnsi="Arial"/>
                <w:sz w:val="16"/>
                <w:szCs w:val="16"/>
                <w:color w:val="0000FF"/>
              </w:rPr>
            </w:pPr>
            <w:hyperlink w:anchor="page4">
              <w:r>
                <w:rPr>
                  <w:rFonts w:ascii="Arial" w:cs="Arial" w:eastAsia="Arial" w:hAnsi="Arial"/>
                  <w:sz w:val="16"/>
                  <w:szCs w:val="16"/>
                  <w:u w:val="single" w:color="auto"/>
                  <w:color w:val="0000FF"/>
                </w:rPr>
                <w:t>Consolidated Statements of Income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nine</w:t>
            </w:r>
            <w:r>
              <w:rPr>
                <w:rFonts w:ascii="Arial" w:cs="Arial" w:eastAsia="Arial" w:hAnsi="Arial"/>
                <w:sz w:val="16"/>
                <w:szCs w:val="16"/>
                <w:color w:val="0000FF"/>
              </w:rPr>
              <w:t xml:space="preserve"> </w:t>
            </w:r>
            <w:hyperlink w:anchor="page4">
              <w:r>
                <w:rPr>
                  <w:rFonts w:ascii="Arial" w:cs="Arial" w:eastAsia="Arial" w:hAnsi="Arial"/>
                  <w:sz w:val="16"/>
                  <w:szCs w:val="16"/>
                  <w:u w:val="single" w:color="auto"/>
                  <w:color w:val="0000FF"/>
                </w:rPr>
                <w:t xml:space="preserve">months ended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30, 2020</w:t>
            </w:r>
            <w:r>
              <w:rPr>
                <w:rFonts w:ascii="Arial" w:cs="Arial" w:eastAsia="Arial" w:hAnsi="Arial"/>
                <w:sz w:val="16"/>
                <w:szCs w:val="16"/>
                <w:color w:val="0000FF"/>
              </w:rPr>
              <w:t xml:space="preserve"> </w:t>
            </w:r>
            <w:hyperlink w:anchor="page4">
              <w:r>
                <w:rPr>
                  <w:rFonts w:ascii="Arial" w:cs="Arial" w:eastAsia="Arial" w:hAnsi="Arial"/>
                  <w:sz w:val="16"/>
                  <w:szCs w:val="16"/>
                  <w:u w:val="single" w:color="auto"/>
                  <w:color w:val="0000FF"/>
                </w:rPr>
                <w:t xml:space="preserve">and </w:t>
              </w:r>
            </w:hyperlink>
            <w:r>
              <w:rPr>
                <w:rFonts w:ascii="Arial" w:cs="Arial" w:eastAsia="Arial" w:hAnsi="Arial"/>
                <w:sz w:val="16"/>
                <w:szCs w:val="16"/>
                <w:color w:val="000000"/>
              </w:rPr>
              <w:t>2019</w:t>
            </w:r>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tc>
      </w:tr>
      <w:tr>
        <w:trPr>
          <w:trHeight w:val="34"/>
        </w:trPr>
        <w:tc>
          <w:tcPr>
            <w:tcW w:w="7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5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auto"/>
            </w:tcBorders>
            <w:shd w:val="clear" w:color="auto" w:fill="B2B2B2"/>
          </w:tcPr>
          <w:p>
            <w:pPr>
              <w:spacing w:after="0"/>
              <w:rPr>
                <w:sz w:val="2"/>
                <w:szCs w:val="2"/>
                <w:color w:val="auto"/>
              </w:rPr>
            </w:pPr>
          </w:p>
        </w:tc>
        <w:tc>
          <w:tcPr>
            <w:tcW w:w="680" w:type="dxa"/>
            <w:vAlign w:val="bottom"/>
            <w:tcBorders>
              <w:top w:val="single" w:sz="8" w:color="auto"/>
            </w:tcBorders>
            <w:shd w:val="clear" w:color="auto" w:fill="B2B2B2"/>
          </w:tcPr>
          <w:p>
            <w:pPr>
              <w:spacing w:after="0"/>
              <w:rPr>
                <w:sz w:val="2"/>
                <w:szCs w:val="2"/>
                <w:color w:val="auto"/>
              </w:rPr>
            </w:pPr>
          </w:p>
        </w:tc>
        <w:tc>
          <w:tcPr>
            <w:tcW w:w="18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76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auto"/>
            </w:tcBorders>
            <w:shd w:val="clear" w:color="auto" w:fill="B2B2B2"/>
          </w:tcPr>
          <w:p>
            <w:pPr>
              <w:spacing w:after="0"/>
              <w:rPr>
                <w:sz w:val="2"/>
                <w:szCs w:val="2"/>
                <w:color w:val="auto"/>
              </w:rPr>
            </w:pPr>
          </w:p>
        </w:tc>
        <w:tc>
          <w:tcPr>
            <w:tcW w:w="260" w:type="dxa"/>
            <w:vAlign w:val="bottom"/>
            <w:tcBorders>
              <w:top w:val="single" w:sz="8" w:color="auto"/>
            </w:tcBorders>
            <w:shd w:val="clear" w:color="auto" w:fill="B2B2B2"/>
          </w:tcPr>
          <w:p>
            <w:pPr>
              <w:spacing w:after="0"/>
              <w:rPr>
                <w:sz w:val="2"/>
                <w:szCs w:val="2"/>
                <w:color w:val="auto"/>
              </w:rPr>
            </w:pPr>
          </w:p>
        </w:tc>
        <w:tc>
          <w:tcPr>
            <w:tcW w:w="860" w:type="dxa"/>
            <w:vAlign w:val="bottom"/>
            <w:tcBorders>
              <w:top w:val="single" w:sz="8" w:color="auto"/>
            </w:tcBorders>
            <w:shd w:val="clear" w:color="auto" w:fill="B2B2B2"/>
          </w:tcPr>
          <w:p>
            <w:pPr>
              <w:spacing w:after="0"/>
              <w:rPr>
                <w:sz w:val="2"/>
                <w:szCs w:val="2"/>
                <w:color w:val="auto"/>
              </w:rPr>
            </w:pPr>
          </w:p>
        </w:tc>
        <w:tc>
          <w:tcPr>
            <w:tcW w:w="240" w:type="dxa"/>
            <w:vAlign w:val="bottom"/>
            <w:tcBorders>
              <w:top w:val="single" w:sz="8" w:color="auto"/>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auto"/>
            </w:tcBorders>
            <w:shd w:val="clear" w:color="auto" w:fill="B2B2B2"/>
          </w:tcPr>
          <w:p>
            <w:pPr>
              <w:spacing w:after="0"/>
              <w:rPr>
                <w:sz w:val="2"/>
                <w:szCs w:val="2"/>
                <w:color w:val="auto"/>
              </w:rPr>
            </w:pPr>
          </w:p>
        </w:tc>
        <w:tc>
          <w:tcPr>
            <w:tcW w:w="20" w:type="dxa"/>
            <w:vAlign w:val="bottom"/>
            <w:tcBorders>
              <w:top w:val="single" w:sz="8" w:color="auto"/>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60" w:type="dxa"/>
            <w:vAlign w:val="bottom"/>
            <w:tcBorders>
              <w:top w:val="single" w:sz="8" w:color="B2B2B2"/>
            </w:tcBorders>
            <w:shd w:val="clear" w:color="auto" w:fill="B2B2B2"/>
          </w:tcPr>
          <w:p>
            <w:pPr>
              <w:spacing w:after="0"/>
              <w:rPr>
                <w:sz w:val="2"/>
                <w:szCs w:val="2"/>
                <w:color w:val="auto"/>
              </w:rPr>
            </w:pPr>
          </w:p>
        </w:tc>
        <w:tc>
          <w:tcPr>
            <w:tcW w:w="640" w:type="dxa"/>
            <w:vAlign w:val="bottom"/>
            <w:tcBorders>
              <w:top w:val="single" w:sz="8" w:color="B2B2B2"/>
            </w:tcBorders>
            <w:shd w:val="clear" w:color="auto" w:fill="B2B2B2"/>
          </w:tcPr>
          <w:p>
            <w:pPr>
              <w:spacing w:after="0"/>
              <w:rPr>
                <w:sz w:val="2"/>
                <w:szCs w:val="2"/>
                <w:color w:val="auto"/>
              </w:rPr>
            </w:pPr>
          </w:p>
        </w:tc>
      </w:tr>
      <w:tr>
        <w:trPr>
          <w:trHeight w:val="189"/>
        </w:trPr>
        <w:tc>
          <w:tcPr>
            <w:tcW w:w="760" w:type="dxa"/>
            <w:vAlign w:val="bottom"/>
          </w:tcPr>
          <w:p>
            <w:pPr>
              <w:spacing w:after="0"/>
              <w:rPr>
                <w:sz w:val="16"/>
                <w:szCs w:val="16"/>
                <w:color w:val="auto"/>
              </w:rPr>
            </w:pPr>
          </w:p>
        </w:tc>
        <w:tc>
          <w:tcPr>
            <w:tcW w:w="9840" w:type="dxa"/>
            <w:vAlign w:val="bottom"/>
            <w:gridSpan w:val="21"/>
          </w:tcPr>
          <w:p>
            <w:pPr>
              <w:ind w:left="120"/>
              <w:spacing w:after="0"/>
              <w:rPr>
                <w:rFonts w:ascii="Arial" w:cs="Arial" w:eastAsia="Arial" w:hAnsi="Arial"/>
                <w:sz w:val="16"/>
                <w:szCs w:val="16"/>
                <w:color w:val="0000FF"/>
              </w:rPr>
            </w:pPr>
            <w:hyperlink w:anchor="page4">
              <w:r>
                <w:rPr>
                  <w:rFonts w:ascii="Arial" w:cs="Arial" w:eastAsia="Arial" w:hAnsi="Arial"/>
                  <w:sz w:val="16"/>
                  <w:szCs w:val="16"/>
                  <w:u w:val="single" w:color="auto"/>
                  <w:color w:val="0000FF"/>
                </w:rPr>
                <w:t>Consolidated Statements of Comprehensive Income –</w:t>
              </w:r>
              <w:r>
                <w:rPr>
                  <w:rFonts w:ascii="Arial" w:cs="Arial" w:eastAsia="Arial" w:hAnsi="Arial"/>
                  <w:sz w:val="16"/>
                  <w:szCs w:val="16"/>
                  <w:color w:val="0000FF"/>
                </w:rPr>
                <w:t xml:space="preserve">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nine</w:t>
            </w:r>
            <w:r>
              <w:rPr>
                <w:rFonts w:ascii="Arial" w:cs="Arial" w:eastAsia="Arial" w:hAnsi="Arial"/>
                <w:sz w:val="16"/>
                <w:szCs w:val="16"/>
                <w:color w:val="0000FF"/>
              </w:rPr>
              <w:t xml:space="preserve"> </w:t>
            </w:r>
            <w:hyperlink w:anchor="page4">
              <w:r>
                <w:rPr>
                  <w:rFonts w:ascii="Arial" w:cs="Arial" w:eastAsia="Arial" w:hAnsi="Arial"/>
                  <w:sz w:val="16"/>
                  <w:szCs w:val="16"/>
                  <w:u w:val="single" w:color="auto"/>
                  <w:color w:val="0000FF"/>
                </w:rPr>
                <w:t xml:space="preserve">months ended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30, 2020</w:t>
            </w:r>
            <w:r>
              <w:rPr>
                <w:rFonts w:ascii="Arial" w:cs="Arial" w:eastAsia="Arial" w:hAnsi="Arial"/>
                <w:sz w:val="16"/>
                <w:szCs w:val="16"/>
                <w:color w:val="0000FF"/>
              </w:rPr>
              <w:t xml:space="preserve"> </w:t>
            </w:r>
            <w:hyperlink w:anchor="page4">
              <w:r>
                <w:rPr>
                  <w:rFonts w:ascii="Arial" w:cs="Arial" w:eastAsia="Arial" w:hAnsi="Arial"/>
                  <w:sz w:val="16"/>
                  <w:szCs w:val="16"/>
                  <w:u w:val="single" w:color="auto"/>
                  <w:color w:val="0000FF"/>
                </w:rPr>
                <w:t xml:space="preserve">and </w:t>
              </w:r>
            </w:hyperlink>
            <w:r>
              <w:rPr>
                <w:rFonts w:ascii="Arial" w:cs="Arial" w:eastAsia="Arial" w:hAnsi="Arial"/>
                <w:sz w:val="16"/>
                <w:szCs w:val="16"/>
                <w:color w:val="000000"/>
              </w:rPr>
              <w:t>2019</w:t>
            </w:r>
          </w:p>
        </w:tc>
        <w:tc>
          <w:tcPr>
            <w:tcW w:w="640" w:type="dxa"/>
            <w:vAlign w:val="bottom"/>
          </w:tcPr>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4</w:t>
              </w:r>
            </w:hyperlink>
          </w:p>
        </w:tc>
      </w:tr>
      <w:tr>
        <w:trPr>
          <w:trHeight w:val="34"/>
        </w:trPr>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9"/>
        </w:trPr>
        <w:tc>
          <w:tcPr>
            <w:tcW w:w="760" w:type="dxa"/>
            <w:vAlign w:val="bottom"/>
            <w:shd w:val="clear" w:color="auto" w:fill="B2B2B2"/>
          </w:tcPr>
          <w:p>
            <w:pPr>
              <w:spacing w:after="0"/>
              <w:rPr>
                <w:sz w:val="16"/>
                <w:szCs w:val="16"/>
                <w:color w:val="auto"/>
              </w:rPr>
            </w:pPr>
          </w:p>
        </w:tc>
        <w:tc>
          <w:tcPr>
            <w:tcW w:w="9840" w:type="dxa"/>
            <w:vAlign w:val="bottom"/>
            <w:gridSpan w:val="21"/>
            <w:shd w:val="clear" w:color="auto" w:fill="B2B2B2"/>
          </w:tcPr>
          <w:p>
            <w:pPr>
              <w:ind w:left="120"/>
              <w:spacing w:after="0"/>
              <w:rPr>
                <w:rFonts w:ascii="Arial" w:cs="Arial" w:eastAsia="Arial" w:hAnsi="Arial"/>
                <w:sz w:val="16"/>
                <w:szCs w:val="16"/>
                <w:color w:val="0000FF"/>
              </w:rPr>
            </w:pPr>
            <w:hyperlink w:anchor="page5">
              <w:r>
                <w:rPr>
                  <w:rFonts w:ascii="Arial" w:cs="Arial" w:eastAsia="Arial" w:hAnsi="Arial"/>
                  <w:sz w:val="16"/>
                  <w:szCs w:val="16"/>
                  <w:u w:val="single" w:color="auto"/>
                  <w:color w:val="0000FF"/>
                </w:rPr>
                <w:t>Consolidated Balance Sheets as of</w:t>
              </w:r>
              <w:r>
                <w:rPr>
                  <w:rFonts w:ascii="Arial" w:cs="Arial" w:eastAsia="Arial" w:hAnsi="Arial"/>
                  <w:sz w:val="16"/>
                  <w:szCs w:val="16"/>
                  <w:color w:val="0000FF"/>
                </w:rPr>
                <w:t xml:space="preserve">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30, 2020</w:t>
            </w:r>
            <w:r>
              <w:rPr>
                <w:rFonts w:ascii="Arial" w:cs="Arial" w:eastAsia="Arial" w:hAnsi="Arial"/>
                <w:sz w:val="16"/>
                <w:szCs w:val="16"/>
                <w:color w:val="0000FF"/>
              </w:rPr>
              <w:t xml:space="preserve"> </w:t>
            </w:r>
            <w:hyperlink w:anchor="page5">
              <w:r>
                <w:rPr>
                  <w:rFonts w:ascii="Arial" w:cs="Arial" w:eastAsia="Arial" w:hAnsi="Arial"/>
                  <w:sz w:val="16"/>
                  <w:szCs w:val="16"/>
                  <w:u w:val="single" w:color="auto"/>
                  <w:color w:val="0000FF"/>
                </w:rPr>
                <w:t>and December 31, 2019</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5</w:t>
              </w:r>
            </w:hyperlink>
          </w:p>
        </w:tc>
      </w:tr>
      <w:tr>
        <w:trPr>
          <w:trHeight w:val="34"/>
        </w:trPr>
        <w:tc>
          <w:tcPr>
            <w:tcW w:w="760" w:type="dxa"/>
            <w:vAlign w:val="bottom"/>
            <w:tcBorders>
              <w:top w:val="single" w:sz="8" w:color="B2B2B2"/>
            </w:tcBorders>
            <w:shd w:val="clear" w:color="auto" w:fill="B2B2B2"/>
          </w:tcPr>
          <w:p>
            <w:pPr>
              <w:spacing w:after="0"/>
              <w:rPr>
                <w:sz w:val="2"/>
                <w:szCs w:val="2"/>
                <w:color w:val="auto"/>
              </w:rPr>
            </w:pPr>
          </w:p>
        </w:tc>
        <w:tc>
          <w:tcPr>
            <w:tcW w:w="120" w:type="dxa"/>
            <w:vAlign w:val="bottom"/>
            <w:tcBorders>
              <w:top w:val="single" w:sz="8" w:color="B2B2B2"/>
            </w:tcBorders>
            <w:shd w:val="clear" w:color="auto" w:fill="B2B2B2"/>
          </w:tcPr>
          <w:p>
            <w:pPr>
              <w:spacing w:after="0"/>
              <w:rPr>
                <w:sz w:val="2"/>
                <w:szCs w:val="2"/>
                <w:color w:val="auto"/>
              </w:rPr>
            </w:pPr>
          </w:p>
        </w:tc>
        <w:tc>
          <w:tcPr>
            <w:tcW w:w="256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auto"/>
            </w:tcBorders>
            <w:shd w:val="clear" w:color="auto" w:fill="B2B2B2"/>
          </w:tcPr>
          <w:p>
            <w:pPr>
              <w:spacing w:after="0"/>
              <w:rPr>
                <w:sz w:val="2"/>
                <w:szCs w:val="2"/>
                <w:color w:val="auto"/>
              </w:rPr>
            </w:pPr>
          </w:p>
        </w:tc>
        <w:tc>
          <w:tcPr>
            <w:tcW w:w="360" w:type="dxa"/>
            <w:vAlign w:val="bottom"/>
            <w:tcBorders>
              <w:top w:val="single" w:sz="8" w:color="auto"/>
            </w:tcBorders>
            <w:shd w:val="clear" w:color="auto" w:fill="B2B2B2"/>
          </w:tcPr>
          <w:p>
            <w:pPr>
              <w:spacing w:after="0"/>
              <w:rPr>
                <w:sz w:val="2"/>
                <w:szCs w:val="2"/>
                <w:color w:val="auto"/>
              </w:rPr>
            </w:pPr>
          </w:p>
        </w:tc>
        <w:tc>
          <w:tcPr>
            <w:tcW w:w="680" w:type="dxa"/>
            <w:vAlign w:val="bottom"/>
            <w:tcBorders>
              <w:top w:val="single" w:sz="8" w:color="auto"/>
            </w:tcBorders>
            <w:shd w:val="clear" w:color="auto" w:fill="B2B2B2"/>
          </w:tcPr>
          <w:p>
            <w:pPr>
              <w:spacing w:after="0"/>
              <w:rPr>
                <w:sz w:val="2"/>
                <w:szCs w:val="2"/>
                <w:color w:val="auto"/>
              </w:rPr>
            </w:pPr>
          </w:p>
        </w:tc>
        <w:tc>
          <w:tcPr>
            <w:tcW w:w="180" w:type="dxa"/>
            <w:vAlign w:val="bottom"/>
            <w:tcBorders>
              <w:top w:val="single" w:sz="8" w:color="auto"/>
            </w:tcBorders>
            <w:shd w:val="clear" w:color="auto" w:fill="B2B2B2"/>
          </w:tcPr>
          <w:p>
            <w:pPr>
              <w:spacing w:after="0"/>
              <w:rPr>
                <w:sz w:val="2"/>
                <w:szCs w:val="2"/>
                <w:color w:val="auto"/>
              </w:rPr>
            </w:pPr>
          </w:p>
        </w:tc>
        <w:tc>
          <w:tcPr>
            <w:tcW w:w="120" w:type="dxa"/>
            <w:vAlign w:val="bottom"/>
            <w:tcBorders>
              <w:top w:val="single" w:sz="8" w:color="auto"/>
            </w:tcBorders>
            <w:shd w:val="clear" w:color="auto" w:fill="B2B2B2"/>
          </w:tcPr>
          <w:p>
            <w:pPr>
              <w:spacing w:after="0"/>
              <w:rPr>
                <w:sz w:val="2"/>
                <w:szCs w:val="2"/>
                <w:color w:val="auto"/>
              </w:rPr>
            </w:pPr>
          </w:p>
        </w:tc>
        <w:tc>
          <w:tcPr>
            <w:tcW w:w="60" w:type="dxa"/>
            <w:vAlign w:val="bottom"/>
            <w:tcBorders>
              <w:top w:val="single" w:sz="8" w:color="B2B2B2"/>
            </w:tcBorders>
            <w:shd w:val="clear" w:color="auto" w:fill="B2B2B2"/>
          </w:tcPr>
          <w:p>
            <w:pPr>
              <w:spacing w:after="0"/>
              <w:rPr>
                <w:sz w:val="2"/>
                <w:szCs w:val="2"/>
                <w:color w:val="auto"/>
              </w:rPr>
            </w:pPr>
          </w:p>
        </w:tc>
        <w:tc>
          <w:tcPr>
            <w:tcW w:w="760" w:type="dxa"/>
            <w:vAlign w:val="bottom"/>
            <w:tcBorders>
              <w:top w:val="single" w:sz="8" w:color="B2B2B2"/>
            </w:tcBorders>
            <w:shd w:val="clear" w:color="auto" w:fill="B2B2B2"/>
          </w:tcPr>
          <w:p>
            <w:pPr>
              <w:spacing w:after="0"/>
              <w:rPr>
                <w:sz w:val="2"/>
                <w:szCs w:val="2"/>
                <w:color w:val="auto"/>
              </w:rPr>
            </w:pPr>
          </w:p>
        </w:tc>
        <w:tc>
          <w:tcPr>
            <w:tcW w:w="100" w:type="dxa"/>
            <w:vAlign w:val="bottom"/>
            <w:tcBorders>
              <w:top w:val="single" w:sz="8" w:color="B2B2B2"/>
            </w:tcBorders>
            <w:shd w:val="clear" w:color="auto" w:fill="B2B2B2"/>
          </w:tcPr>
          <w:p>
            <w:pPr>
              <w:spacing w:after="0"/>
              <w:rPr>
                <w:sz w:val="2"/>
                <w:szCs w:val="2"/>
                <w:color w:val="auto"/>
              </w:rPr>
            </w:pPr>
          </w:p>
        </w:tc>
        <w:tc>
          <w:tcPr>
            <w:tcW w:w="260" w:type="dxa"/>
            <w:vAlign w:val="bottom"/>
            <w:tcBorders>
              <w:top w:val="single" w:sz="8" w:color="B2B2B2"/>
            </w:tcBorders>
            <w:shd w:val="clear" w:color="auto" w:fill="B2B2B2"/>
          </w:tcPr>
          <w:p>
            <w:pPr>
              <w:spacing w:after="0"/>
              <w:rPr>
                <w:sz w:val="2"/>
                <w:szCs w:val="2"/>
                <w:color w:val="auto"/>
              </w:rPr>
            </w:pPr>
          </w:p>
        </w:tc>
        <w:tc>
          <w:tcPr>
            <w:tcW w:w="860" w:type="dxa"/>
            <w:vAlign w:val="bottom"/>
            <w:tcBorders>
              <w:top w:val="single" w:sz="8" w:color="B2B2B2"/>
            </w:tcBorders>
            <w:shd w:val="clear" w:color="auto" w:fill="B2B2B2"/>
          </w:tcPr>
          <w:p>
            <w:pPr>
              <w:spacing w:after="0"/>
              <w:rPr>
                <w:sz w:val="2"/>
                <w:szCs w:val="2"/>
                <w:color w:val="auto"/>
              </w:rPr>
            </w:pPr>
          </w:p>
        </w:tc>
        <w:tc>
          <w:tcPr>
            <w:tcW w:w="2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20" w:type="dxa"/>
            <w:vAlign w:val="bottom"/>
            <w:tcBorders>
              <w:top w:val="single" w:sz="8" w:color="B2B2B2"/>
            </w:tcBorders>
            <w:shd w:val="clear" w:color="auto" w:fill="B2B2B2"/>
          </w:tcPr>
          <w:p>
            <w:pPr>
              <w:spacing w:after="0"/>
              <w:rPr>
                <w:sz w:val="2"/>
                <w:szCs w:val="2"/>
                <w:color w:val="auto"/>
              </w:rPr>
            </w:pPr>
          </w:p>
        </w:tc>
        <w:tc>
          <w:tcPr>
            <w:tcW w:w="340" w:type="dxa"/>
            <w:vAlign w:val="bottom"/>
            <w:tcBorders>
              <w:top w:val="single" w:sz="8" w:color="B2B2B2"/>
            </w:tcBorders>
            <w:shd w:val="clear" w:color="auto" w:fill="B2B2B2"/>
          </w:tcPr>
          <w:p>
            <w:pPr>
              <w:spacing w:after="0"/>
              <w:rPr>
                <w:sz w:val="2"/>
                <w:szCs w:val="2"/>
                <w:color w:val="auto"/>
              </w:rPr>
            </w:pPr>
          </w:p>
        </w:tc>
        <w:tc>
          <w:tcPr>
            <w:tcW w:w="14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360" w:type="dxa"/>
            <w:vAlign w:val="bottom"/>
            <w:tcBorders>
              <w:top w:val="single" w:sz="8" w:color="B2B2B2"/>
            </w:tcBorders>
            <w:shd w:val="clear" w:color="auto" w:fill="B2B2B2"/>
          </w:tcPr>
          <w:p>
            <w:pPr>
              <w:spacing w:after="0"/>
              <w:rPr>
                <w:sz w:val="2"/>
                <w:szCs w:val="2"/>
                <w:color w:val="auto"/>
              </w:rPr>
            </w:pPr>
          </w:p>
        </w:tc>
        <w:tc>
          <w:tcPr>
            <w:tcW w:w="1460" w:type="dxa"/>
            <w:vAlign w:val="bottom"/>
            <w:tcBorders>
              <w:top w:val="single" w:sz="8" w:color="B2B2B2"/>
            </w:tcBorders>
            <w:shd w:val="clear" w:color="auto" w:fill="B2B2B2"/>
          </w:tcPr>
          <w:p>
            <w:pPr>
              <w:spacing w:after="0"/>
              <w:rPr>
                <w:sz w:val="2"/>
                <w:szCs w:val="2"/>
                <w:color w:val="auto"/>
              </w:rPr>
            </w:pPr>
          </w:p>
        </w:tc>
        <w:tc>
          <w:tcPr>
            <w:tcW w:w="640" w:type="dxa"/>
            <w:vAlign w:val="bottom"/>
            <w:tcBorders>
              <w:top w:val="single" w:sz="8" w:color="B2B2B2"/>
            </w:tcBorders>
            <w:shd w:val="clear" w:color="auto" w:fill="B2B2B2"/>
          </w:tcPr>
          <w:p>
            <w:pPr>
              <w:spacing w:after="0"/>
              <w:rPr>
                <w:sz w:val="2"/>
                <w:szCs w:val="2"/>
                <w:color w:val="auto"/>
              </w:rPr>
            </w:pPr>
          </w:p>
        </w:tc>
      </w:tr>
      <w:tr>
        <w:trPr>
          <w:trHeight w:val="189"/>
        </w:trPr>
        <w:tc>
          <w:tcPr>
            <w:tcW w:w="760" w:type="dxa"/>
            <w:vAlign w:val="bottom"/>
          </w:tcPr>
          <w:p>
            <w:pPr>
              <w:spacing w:after="0"/>
              <w:rPr>
                <w:sz w:val="16"/>
                <w:szCs w:val="16"/>
                <w:color w:val="auto"/>
              </w:rPr>
            </w:pPr>
          </w:p>
        </w:tc>
        <w:tc>
          <w:tcPr>
            <w:tcW w:w="9840" w:type="dxa"/>
            <w:vAlign w:val="bottom"/>
            <w:gridSpan w:val="21"/>
          </w:tcPr>
          <w:p>
            <w:pPr>
              <w:ind w:left="120"/>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Consolidated Statements of Cash Flows – </w:t>
              </w:r>
            </w:hyperlink>
            <w:r>
              <w:rPr>
                <w:rFonts w:ascii="Arial" w:cs="Arial" w:eastAsia="Arial" w:hAnsi="Arial"/>
                <w:sz w:val="16"/>
                <w:szCs w:val="16"/>
                <w:color w:val="000000"/>
              </w:rPr>
              <w:t>three</w:t>
            </w:r>
            <w:r>
              <w:rPr>
                <w:rFonts w:ascii="Arial" w:cs="Arial" w:eastAsia="Arial" w:hAnsi="Arial"/>
                <w:sz w:val="16"/>
                <w:szCs w:val="16"/>
                <w:color w:val="0000FF"/>
              </w:rPr>
              <w:t xml:space="preserve"> </w:t>
            </w:r>
            <w:r>
              <w:rPr>
                <w:rFonts w:ascii="Arial" w:cs="Arial" w:eastAsia="Arial" w:hAnsi="Arial"/>
                <w:sz w:val="16"/>
                <w:szCs w:val="16"/>
                <w:color w:val="000000"/>
              </w:rPr>
              <w:t>and nine</w:t>
            </w:r>
            <w:r>
              <w:rPr>
                <w:rFonts w:ascii="Arial" w:cs="Arial" w:eastAsia="Arial" w:hAnsi="Arial"/>
                <w:sz w:val="16"/>
                <w:szCs w:val="16"/>
                <w:color w:val="0000FF"/>
              </w:rPr>
              <w:t xml:space="preserve"> </w:t>
            </w:r>
            <w:hyperlink w:anchor="page6">
              <w:r>
                <w:rPr>
                  <w:rFonts w:ascii="Arial" w:cs="Arial" w:eastAsia="Arial" w:hAnsi="Arial"/>
                  <w:sz w:val="16"/>
                  <w:szCs w:val="16"/>
                  <w:u w:val="single" w:color="auto"/>
                  <w:color w:val="0000FF"/>
                </w:rPr>
                <w:t xml:space="preserve">months ended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30, 2020</w:t>
            </w:r>
            <w:r>
              <w:rPr>
                <w:rFonts w:ascii="Arial" w:cs="Arial" w:eastAsia="Arial" w:hAnsi="Arial"/>
                <w:sz w:val="16"/>
                <w:szCs w:val="16"/>
                <w:color w:val="0000FF"/>
              </w:rPr>
              <w:t xml:space="preserve"> </w:t>
            </w:r>
            <w:hyperlink w:anchor="page6">
              <w:r>
                <w:rPr>
                  <w:rFonts w:ascii="Arial" w:cs="Arial" w:eastAsia="Arial" w:hAnsi="Arial"/>
                  <w:sz w:val="16"/>
                  <w:szCs w:val="16"/>
                  <w:u w:val="single" w:color="auto"/>
                  <w:color w:val="0000FF"/>
                </w:rPr>
                <w:t xml:space="preserve">and </w:t>
              </w:r>
            </w:hyperlink>
            <w:r>
              <w:rPr>
                <w:rFonts w:ascii="Arial" w:cs="Arial" w:eastAsia="Arial" w:hAnsi="Arial"/>
                <w:sz w:val="16"/>
                <w:szCs w:val="16"/>
                <w:color w:val="000000"/>
              </w:rPr>
              <w:t>2019</w:t>
            </w:r>
          </w:p>
        </w:tc>
        <w:tc>
          <w:tcPr>
            <w:tcW w:w="640" w:type="dxa"/>
            <w:vAlign w:val="bottom"/>
          </w:tcPr>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6</w:t>
              </w:r>
            </w:hyperlink>
          </w:p>
        </w:tc>
      </w:tr>
      <w:tr>
        <w:trPr>
          <w:trHeight w:val="34"/>
        </w:trPr>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760" w:type="dxa"/>
            <w:vAlign w:val="bottom"/>
            <w:shd w:val="clear" w:color="auto" w:fill="B2B2B2"/>
          </w:tcPr>
          <w:p>
            <w:pPr>
              <w:spacing w:after="0"/>
              <w:rPr>
                <w:sz w:val="21"/>
                <w:szCs w:val="21"/>
                <w:color w:val="auto"/>
              </w:rPr>
            </w:pPr>
          </w:p>
        </w:tc>
        <w:tc>
          <w:tcPr>
            <w:tcW w:w="9840" w:type="dxa"/>
            <w:vAlign w:val="bottom"/>
            <w:gridSpan w:val="21"/>
            <w:shd w:val="clear" w:color="auto" w:fill="B2B2B2"/>
          </w:tcPr>
          <w:p>
            <w:pPr>
              <w:ind w:left="120"/>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Notes to Consolidated Financial Statements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7</w:t>
              </w:r>
            </w:hyperlink>
          </w:p>
        </w:tc>
      </w:tr>
      <w:tr>
        <w:trPr>
          <w:trHeight w:val="235"/>
        </w:trPr>
        <w:tc>
          <w:tcPr>
            <w:tcW w:w="760" w:type="dxa"/>
            <w:vAlign w:val="bottom"/>
          </w:tcPr>
          <w:p>
            <w:pPr>
              <w:ind w:left="2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Item 2.</w:t>
              </w:r>
            </w:hyperlink>
          </w:p>
        </w:tc>
        <w:tc>
          <w:tcPr>
            <w:tcW w:w="9840" w:type="dxa"/>
            <w:vAlign w:val="bottom"/>
            <w:gridSpan w:val="21"/>
          </w:tcPr>
          <w:p>
            <w:pPr>
              <w:ind w:left="12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Management’s Discussion and Analysis of Financial Condition and Results of Operations</w:t>
              </w:r>
            </w:hyperlink>
          </w:p>
        </w:tc>
        <w:tc>
          <w:tcPr>
            <w:tcW w:w="640" w:type="dxa"/>
            <w:vAlign w:val="bottom"/>
          </w:tcPr>
          <w:p>
            <w:pPr>
              <w:jc w:val="right"/>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29</w:t>
              </w:r>
            </w:hyperlink>
          </w:p>
        </w:tc>
      </w:tr>
      <w:tr>
        <w:trPr>
          <w:trHeight w:val="251"/>
        </w:trPr>
        <w:tc>
          <w:tcPr>
            <w:tcW w:w="760" w:type="dxa"/>
            <w:vAlign w:val="bottom"/>
            <w:shd w:val="clear" w:color="auto" w:fill="B2B2B2"/>
          </w:tcPr>
          <w:p>
            <w:pPr>
              <w:spacing w:after="0"/>
              <w:rPr>
                <w:sz w:val="21"/>
                <w:szCs w:val="21"/>
                <w:color w:val="auto"/>
              </w:rPr>
            </w:pPr>
          </w:p>
        </w:tc>
        <w:tc>
          <w:tcPr>
            <w:tcW w:w="9840" w:type="dxa"/>
            <w:vAlign w:val="bottom"/>
            <w:gridSpan w:val="21"/>
            <w:shd w:val="clear" w:color="auto" w:fill="B2B2B2"/>
          </w:tcPr>
          <w:p>
            <w:pPr>
              <w:ind w:left="120"/>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Forward-looking statements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29</w:t>
              </w:r>
            </w:hyperlink>
          </w:p>
        </w:tc>
      </w:tr>
      <w:tr>
        <w:trPr>
          <w:trHeight w:val="235"/>
        </w:trPr>
        <w:tc>
          <w:tcPr>
            <w:tcW w:w="760" w:type="dxa"/>
            <w:vAlign w:val="bottom"/>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3.</w:t>
              </w:r>
            </w:hyperlink>
          </w:p>
        </w:tc>
        <w:tc>
          <w:tcPr>
            <w:tcW w:w="9840" w:type="dxa"/>
            <w:vAlign w:val="bottom"/>
            <w:gridSpan w:val="21"/>
          </w:tcPr>
          <w:p>
            <w:pPr>
              <w:ind w:left="1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Quantitative and Qualitative Disclosures about Market Risk</w:t>
              </w:r>
            </w:hyperlink>
          </w:p>
        </w:tc>
        <w:tc>
          <w:tcPr>
            <w:tcW w:w="64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51"/>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4.</w:t>
              </w:r>
            </w:hyperlink>
          </w:p>
        </w:tc>
        <w:tc>
          <w:tcPr>
            <w:tcW w:w="9840" w:type="dxa"/>
            <w:vAlign w:val="bottom"/>
            <w:gridSpan w:val="21"/>
            <w:shd w:val="clear" w:color="auto" w:fill="B2B2B2"/>
          </w:tcPr>
          <w:p>
            <w:pPr>
              <w:ind w:left="1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Controls and Procedures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39"/>
        </w:trPr>
        <w:tc>
          <w:tcPr>
            <w:tcW w:w="10600" w:type="dxa"/>
            <w:vAlign w:val="bottom"/>
            <w:gridSpan w:val="22"/>
          </w:tcPr>
          <w:p>
            <w:pPr>
              <w:ind w:left="20"/>
              <w:spacing w:after="0"/>
              <w:rPr>
                <w:rFonts w:ascii="Arial" w:cs="Arial" w:eastAsia="Arial" w:hAnsi="Arial"/>
                <w:sz w:val="16"/>
                <w:szCs w:val="16"/>
                <w:b w:val="1"/>
                <w:bCs w:val="1"/>
                <w:u w:val="single" w:color="auto"/>
                <w:color w:val="0000FF"/>
              </w:rPr>
            </w:pPr>
            <w:hyperlink w:anchor="page45">
              <w:r>
                <w:rPr>
                  <w:rFonts w:ascii="Arial" w:cs="Arial" w:eastAsia="Arial" w:hAnsi="Arial"/>
                  <w:sz w:val="16"/>
                  <w:szCs w:val="16"/>
                  <w:b w:val="1"/>
                  <w:bCs w:val="1"/>
                  <w:u w:val="single" w:color="auto"/>
                  <w:color w:val="0000FF"/>
                </w:rPr>
                <w:t>Part II Other Information</w:t>
              </w:r>
            </w:hyperlink>
          </w:p>
        </w:tc>
        <w:tc>
          <w:tcPr>
            <w:tcW w:w="640" w:type="dxa"/>
            <w:vAlign w:val="bottom"/>
          </w:tcPr>
          <w:p>
            <w:pPr>
              <w:spacing w:after="0"/>
              <w:rPr>
                <w:sz w:val="20"/>
                <w:szCs w:val="20"/>
                <w:color w:val="auto"/>
              </w:rPr>
            </w:pPr>
          </w:p>
        </w:tc>
      </w:tr>
      <w:tr>
        <w:trPr>
          <w:trHeight w:val="247"/>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1.</w:t>
              </w:r>
            </w:hyperlink>
          </w:p>
        </w:tc>
        <w:tc>
          <w:tcPr>
            <w:tcW w:w="9840" w:type="dxa"/>
            <w:vAlign w:val="bottom"/>
            <w:gridSpan w:val="21"/>
            <w:shd w:val="clear" w:color="auto" w:fill="B2B2B2"/>
          </w:tcPr>
          <w:p>
            <w:pPr>
              <w:ind w:left="1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Legal Proceedings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35"/>
        </w:trPr>
        <w:tc>
          <w:tcPr>
            <w:tcW w:w="760" w:type="dxa"/>
            <w:vAlign w:val="bottom"/>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Item 1A.</w:t>
              </w:r>
            </w:hyperlink>
          </w:p>
        </w:tc>
        <w:tc>
          <w:tcPr>
            <w:tcW w:w="9840" w:type="dxa"/>
            <w:vAlign w:val="bottom"/>
            <w:gridSpan w:val="21"/>
          </w:tcPr>
          <w:p>
            <w:pPr>
              <w:ind w:left="1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Risk Factors</w:t>
              </w:r>
            </w:hyperlink>
          </w:p>
        </w:tc>
        <w:tc>
          <w:tcPr>
            <w:tcW w:w="640" w:type="dxa"/>
            <w:vAlign w:val="bottom"/>
          </w:tcPr>
          <w:p>
            <w:pPr>
              <w:jc w:val="right"/>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44</w:t>
              </w:r>
            </w:hyperlink>
          </w:p>
        </w:tc>
      </w:tr>
      <w:tr>
        <w:trPr>
          <w:trHeight w:val="251"/>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2.</w:t>
              </w:r>
            </w:hyperlink>
          </w:p>
        </w:tc>
        <w:tc>
          <w:tcPr>
            <w:tcW w:w="9840" w:type="dxa"/>
            <w:vAlign w:val="bottom"/>
            <w:gridSpan w:val="21"/>
            <w:shd w:val="clear" w:color="auto" w:fill="B2B2B2"/>
          </w:tcPr>
          <w:p>
            <w:pPr>
              <w:ind w:left="1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Unregistered Sales of Equity Securities and Use of Proceeds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tc>
      </w:tr>
      <w:tr>
        <w:trPr>
          <w:trHeight w:val="235"/>
        </w:trPr>
        <w:tc>
          <w:tcPr>
            <w:tcW w:w="760" w:type="dxa"/>
            <w:vAlign w:val="bottom"/>
          </w:tcPr>
          <w:p>
            <w:pPr>
              <w:ind w:left="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3.</w:t>
              </w:r>
            </w:hyperlink>
          </w:p>
        </w:tc>
        <w:tc>
          <w:tcPr>
            <w:tcW w:w="9840" w:type="dxa"/>
            <w:vAlign w:val="bottom"/>
            <w:gridSpan w:val="21"/>
          </w:tcPr>
          <w:p>
            <w:pPr>
              <w:ind w:left="1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Defaults upon Senior Securities</w:t>
              </w:r>
            </w:hyperlink>
          </w:p>
        </w:tc>
        <w:tc>
          <w:tcPr>
            <w:tcW w:w="64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tc>
      </w:tr>
      <w:tr>
        <w:trPr>
          <w:trHeight w:val="251"/>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4.</w:t>
              </w:r>
            </w:hyperlink>
          </w:p>
        </w:tc>
        <w:tc>
          <w:tcPr>
            <w:tcW w:w="9840" w:type="dxa"/>
            <w:vAlign w:val="bottom"/>
            <w:gridSpan w:val="21"/>
            <w:shd w:val="clear" w:color="auto" w:fill="B2B2B2"/>
          </w:tcPr>
          <w:p>
            <w:pPr>
              <w:ind w:left="1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Mine Safety Disclosures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tc>
      </w:tr>
      <w:tr>
        <w:trPr>
          <w:trHeight w:val="235"/>
        </w:trPr>
        <w:tc>
          <w:tcPr>
            <w:tcW w:w="760" w:type="dxa"/>
            <w:vAlign w:val="bottom"/>
          </w:tcPr>
          <w:p>
            <w:pPr>
              <w:ind w:left="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5.</w:t>
              </w:r>
            </w:hyperlink>
          </w:p>
        </w:tc>
        <w:tc>
          <w:tcPr>
            <w:tcW w:w="9840" w:type="dxa"/>
            <w:vAlign w:val="bottom"/>
            <w:gridSpan w:val="21"/>
          </w:tcPr>
          <w:p>
            <w:pPr>
              <w:ind w:left="1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Other Information</w:t>
              </w:r>
            </w:hyperlink>
          </w:p>
        </w:tc>
        <w:tc>
          <w:tcPr>
            <w:tcW w:w="640" w:type="dxa"/>
            <w:vAlign w:val="bottom"/>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tc>
      </w:tr>
      <w:tr>
        <w:trPr>
          <w:trHeight w:val="251"/>
        </w:trPr>
        <w:tc>
          <w:tcPr>
            <w:tcW w:w="760" w:type="dxa"/>
            <w:vAlign w:val="bottom"/>
            <w:shd w:val="clear" w:color="auto" w:fill="B2B2B2"/>
          </w:tcPr>
          <w:p>
            <w:pPr>
              <w:ind w:left="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Item 6.</w:t>
              </w:r>
            </w:hyperlink>
          </w:p>
        </w:tc>
        <w:tc>
          <w:tcPr>
            <w:tcW w:w="9840" w:type="dxa"/>
            <w:vAlign w:val="bottom"/>
            <w:gridSpan w:val="21"/>
            <w:shd w:val="clear" w:color="auto" w:fill="B2B2B2"/>
          </w:tcPr>
          <w:p>
            <w:pPr>
              <w:ind w:left="1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Exhibits</w:t>
              </w:r>
            </w:hyperlink>
          </w:p>
        </w:tc>
        <w:tc>
          <w:tcPr>
            <w:tcW w:w="640" w:type="dxa"/>
            <w:vAlign w:val="bottom"/>
            <w:shd w:val="clear" w:color="auto" w:fill="B2B2B2"/>
          </w:tcPr>
          <w:p>
            <w:pPr>
              <w:jc w:val="right"/>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45</w:t>
              </w:r>
            </w:hyperlink>
          </w:p>
        </w:tc>
      </w:tr>
      <w:tr>
        <w:trPr>
          <w:trHeight w:val="1006"/>
        </w:trPr>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183"/>
        </w:trPr>
        <w:tc>
          <w:tcPr>
            <w:tcW w:w="5700" w:type="dxa"/>
            <w:vAlign w:val="bottom"/>
            <w:tcBorders>
              <w:bottom w:val="single" w:sz="8" w:color="B2B2B2"/>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2B2B2"/>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B2B2B2"/>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10"/>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B2B2B2"/>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B2B2B2"/>
          </w:tcPr>
          <w:p>
            <w:pPr>
              <w:jc w:val="right"/>
              <w:spacing w:after="0"/>
              <w:rPr>
                <w:sz w:val="20"/>
                <w:szCs w:val="20"/>
                <w:color w:val="auto"/>
              </w:rPr>
            </w:pPr>
            <w:r>
              <w:rPr>
                <w:rFonts w:ascii="Arial" w:cs="Arial" w:eastAsia="Arial" w:hAnsi="Arial"/>
                <w:sz w:val="16"/>
                <w:szCs w:val="16"/>
                <w:color w:val="auto"/>
              </w:rPr>
              <w:t>211,999</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271,133</w:t>
            </w:r>
          </w:p>
        </w:tc>
        <w:tc>
          <w:tcPr>
            <w:tcW w:w="180" w:type="dxa"/>
            <w:vAlign w:val="bottom"/>
            <w:shd w:val="clear" w:color="auto" w:fill="B2B2B2"/>
          </w:tcPr>
          <w:p>
            <w:pPr>
              <w:spacing w:after="0"/>
              <w:rPr>
                <w:sz w:val="18"/>
                <w:szCs w:val="18"/>
                <w:color w:val="auto"/>
              </w:rPr>
            </w:pPr>
          </w:p>
        </w:tc>
        <w:tc>
          <w:tcPr>
            <w:tcW w:w="300" w:type="dxa"/>
            <w:vAlign w:val="bottom"/>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673,753</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796,454</w:t>
            </w:r>
          </w:p>
        </w:tc>
      </w:tr>
      <w:tr>
        <w:trPr>
          <w:trHeight w:val="216"/>
        </w:trPr>
        <w:tc>
          <w:tcPr>
            <w:tcW w:w="57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124,697</w:t>
            </w:r>
          </w:p>
        </w:tc>
        <w:tc>
          <w:tcPr>
            <w:tcW w:w="100" w:type="dxa"/>
            <w:vAlign w:val="bottom"/>
            <w:tcBorders>
              <w:bottom w:val="single" w:sz="8" w:color="B2B2B2"/>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167,026</w:t>
            </w:r>
          </w:p>
        </w:tc>
        <w:tc>
          <w:tcPr>
            <w:tcW w:w="18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393,999</w:t>
            </w:r>
          </w:p>
        </w:tc>
        <w:tc>
          <w:tcPr>
            <w:tcW w:w="100" w:type="dxa"/>
            <w:vAlign w:val="bottom"/>
            <w:tcBorders>
              <w:bottom w:val="single" w:sz="8" w:color="B2B2B2"/>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495,394</w:t>
            </w:r>
          </w:p>
        </w:tc>
      </w:tr>
      <w:tr>
        <w:trPr>
          <w:trHeight w:val="237"/>
        </w:trPr>
        <w:tc>
          <w:tcPr>
            <w:tcW w:w="5700" w:type="dxa"/>
            <w:vAlign w:val="bottom"/>
            <w:shd w:val="clear" w:color="auto" w:fill="B2B2B2"/>
          </w:tcPr>
          <w:p>
            <w:pPr>
              <w:spacing w:after="0"/>
              <w:rPr>
                <w:sz w:val="20"/>
                <w:szCs w:val="20"/>
                <w:color w:val="auto"/>
              </w:rPr>
            </w:pPr>
          </w:p>
        </w:tc>
        <w:tc>
          <w:tcPr>
            <w:tcW w:w="300" w:type="dxa"/>
            <w:vAlign w:val="bottom"/>
            <w:shd w:val="clear" w:color="auto" w:fill="B2B2B2"/>
          </w:tcPr>
          <w:p>
            <w:pPr>
              <w:spacing w:after="0"/>
              <w:rPr>
                <w:sz w:val="20"/>
                <w:szCs w:val="20"/>
                <w:color w:val="auto"/>
              </w:rPr>
            </w:pPr>
          </w:p>
        </w:tc>
        <w:tc>
          <w:tcPr>
            <w:tcW w:w="100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48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180" w:type="dxa"/>
            <w:vAlign w:val="bottom"/>
            <w:shd w:val="clear" w:color="auto" w:fill="B2B2B2"/>
          </w:tcPr>
          <w:p>
            <w:pPr>
              <w:spacing w:after="0"/>
              <w:rPr>
                <w:sz w:val="20"/>
                <w:szCs w:val="20"/>
                <w:color w:val="auto"/>
              </w:rPr>
            </w:pPr>
          </w:p>
        </w:tc>
        <w:tc>
          <w:tcPr>
            <w:tcW w:w="300" w:type="dxa"/>
            <w:vAlign w:val="bottom"/>
            <w:shd w:val="clear" w:color="auto" w:fill="B2B2B2"/>
          </w:tcPr>
          <w:p>
            <w:pPr>
              <w:spacing w:after="0"/>
              <w:rPr>
                <w:sz w:val="20"/>
                <w:szCs w:val="20"/>
                <w:color w:val="auto"/>
              </w:rPr>
            </w:pPr>
          </w:p>
        </w:tc>
        <w:tc>
          <w:tcPr>
            <w:tcW w:w="98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46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87,302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104,107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279,754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301,060</w:t>
            </w:r>
          </w:p>
        </w:tc>
      </w:tr>
      <w:tr>
        <w:trPr>
          <w:trHeight w:val="216"/>
        </w:trPr>
        <w:tc>
          <w:tcPr>
            <w:tcW w:w="57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39,518</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39,841</w:t>
            </w:r>
          </w:p>
        </w:tc>
        <w:tc>
          <w:tcPr>
            <w:tcW w:w="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118,167</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121,602</w:t>
            </w:r>
          </w:p>
        </w:tc>
      </w:tr>
      <w:tr>
        <w:trPr>
          <w:trHeight w:val="216"/>
        </w:trPr>
        <w:tc>
          <w:tcPr>
            <w:tcW w:w="5700" w:type="dxa"/>
            <w:vAlign w:val="bottom"/>
          </w:tcPr>
          <w:p>
            <w:pPr>
              <w:ind w:left="120"/>
              <w:spacing w:after="0"/>
              <w:rPr>
                <w:sz w:val="20"/>
                <w:szCs w:val="20"/>
                <w:color w:val="auto"/>
              </w:rPr>
            </w:pPr>
            <w:r>
              <w:rPr>
                <w:rFonts w:ascii="Arial" w:cs="Arial" w:eastAsia="Arial" w:hAnsi="Arial"/>
                <w:sz w:val="16"/>
                <w:szCs w:val="16"/>
                <w:color w:val="auto"/>
              </w:rPr>
              <w:t>Technical and research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8,832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28,323</w:t>
            </w:r>
          </w:p>
        </w:tc>
      </w:tr>
      <w:tr>
        <w:trPr>
          <w:trHeight w:val="216"/>
        </w:trPr>
        <w:tc>
          <w:tcPr>
            <w:tcW w:w="57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Restructuring expenses, net</w:t>
            </w:r>
          </w:p>
        </w:tc>
        <w:tc>
          <w:tcPr>
            <w:tcW w:w="3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(244)</w:t>
            </w:r>
          </w:p>
        </w:tc>
        <w:tc>
          <w:tcPr>
            <w:tcW w:w="18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4,189</w:t>
            </w:r>
          </w:p>
        </w:tc>
        <w:tc>
          <w:tcPr>
            <w:tcW w:w="100" w:type="dxa"/>
            <w:vAlign w:val="bottom"/>
            <w:shd w:val="clear" w:color="auto" w:fill="B2B2B2"/>
          </w:tcPr>
          <w:p>
            <w:pPr>
              <w:spacing w:after="0"/>
              <w:rPr>
                <w:sz w:val="18"/>
                <w:szCs w:val="18"/>
                <w:color w:val="auto"/>
              </w:rPr>
            </w:pPr>
          </w:p>
        </w:tc>
        <w:tc>
          <w:tcPr>
            <w:tcW w:w="46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1,139</w:t>
            </w:r>
          </w:p>
        </w:tc>
      </w:tr>
      <w:tr>
        <w:trPr>
          <w:trHeight w:val="237"/>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38,773</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55,678</w:t>
            </w:r>
          </w:p>
        </w:tc>
        <w:tc>
          <w:tcPr>
            <w:tcW w:w="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131,094</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149,996</w:t>
            </w:r>
          </w:p>
        </w:tc>
      </w:tr>
      <w:tr>
        <w:trPr>
          <w:trHeight w:val="216"/>
        </w:trPr>
        <w:tc>
          <w:tcPr>
            <w:tcW w:w="570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13,035</w:t>
            </w:r>
          </w:p>
        </w:tc>
      </w:tr>
      <w:tr>
        <w:trPr>
          <w:trHeight w:val="216"/>
        </w:trPr>
        <w:tc>
          <w:tcPr>
            <w:tcW w:w="5700" w:type="dxa"/>
            <w:vAlign w:val="bottom"/>
            <w:shd w:val="clear" w:color="auto" w:fill="B3B3B3"/>
          </w:tcPr>
          <w:p>
            <w:pPr>
              <w:ind w:left="120"/>
              <w:spacing w:after="0"/>
              <w:rPr>
                <w:sz w:val="20"/>
                <w:szCs w:val="20"/>
                <w:color w:val="auto"/>
              </w:rPr>
            </w:pPr>
            <w:r>
              <w:rPr>
                <w:rFonts w:ascii="Arial" w:cs="Arial" w:eastAsia="Arial" w:hAnsi="Arial"/>
                <w:sz w:val="16"/>
                <w:szCs w:val="16"/>
                <w:color w:val="auto"/>
              </w:rPr>
              <w:t>Other expense/(income), net</w:t>
            </w:r>
          </w:p>
        </w:tc>
        <w:tc>
          <w:tcPr>
            <w:tcW w:w="3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(2,745)</w:t>
            </w:r>
          </w:p>
        </w:tc>
        <w:tc>
          <w:tcPr>
            <w:tcW w:w="100" w:type="dxa"/>
            <w:vAlign w:val="bottom"/>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(1,628)</w:t>
            </w:r>
          </w:p>
        </w:tc>
        <w:tc>
          <w:tcPr>
            <w:tcW w:w="18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13,915</w:t>
            </w:r>
          </w:p>
        </w:tc>
        <w:tc>
          <w:tcPr>
            <w:tcW w:w="100" w:type="dxa"/>
            <w:vAlign w:val="bottom"/>
            <w:shd w:val="clear" w:color="auto" w:fill="B2B2B2"/>
          </w:tcPr>
          <w:p>
            <w:pPr>
              <w:spacing w:after="0"/>
              <w:rPr>
                <w:sz w:val="18"/>
                <w:szCs w:val="18"/>
                <w:color w:val="auto"/>
              </w:rPr>
            </w:pPr>
          </w:p>
        </w:tc>
        <w:tc>
          <w:tcPr>
            <w:tcW w:w="46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(1,906)</w:t>
            </w:r>
          </w:p>
        </w:tc>
      </w:tr>
      <w:tr>
        <w:trPr>
          <w:trHeight w:val="236"/>
        </w:trPr>
        <w:tc>
          <w:tcPr>
            <w:tcW w:w="5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39,276</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53,319</w:t>
            </w:r>
          </w:p>
        </w:tc>
        <w:tc>
          <w:tcPr>
            <w:tcW w:w="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107,137</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138,867</w:t>
            </w:r>
          </w:p>
        </w:tc>
      </w:tr>
      <w:tr>
        <w:trPr>
          <w:trHeight w:val="216"/>
        </w:trPr>
        <w:tc>
          <w:tcPr>
            <w:tcW w:w="570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9,686</w:t>
            </w:r>
          </w:p>
        </w:tc>
        <w:tc>
          <w:tcPr>
            <w:tcW w:w="100" w:type="dxa"/>
            <w:vAlign w:val="bottom"/>
            <w:tcBorders>
              <w:bottom w:val="single" w:sz="8" w:color="B2B2B2"/>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13,194</w:t>
            </w:r>
          </w:p>
        </w:tc>
        <w:tc>
          <w:tcPr>
            <w:tcW w:w="180" w:type="dxa"/>
            <w:vAlign w:val="bottom"/>
            <w:tcBorders>
              <w:bottom w:val="single" w:sz="8" w:color="B2B2B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37,504</w:t>
            </w:r>
          </w:p>
        </w:tc>
        <w:tc>
          <w:tcPr>
            <w:tcW w:w="100" w:type="dxa"/>
            <w:vAlign w:val="bottom"/>
            <w:tcBorders>
              <w:bottom w:val="single" w:sz="8" w:color="B2B2B2"/>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35,075</w:t>
            </w:r>
          </w:p>
        </w:tc>
      </w:tr>
      <w:tr>
        <w:trPr>
          <w:trHeight w:val="236"/>
        </w:trPr>
        <w:tc>
          <w:tcPr>
            <w:tcW w:w="5700" w:type="dxa"/>
            <w:vAlign w:val="bottom"/>
            <w:shd w:val="clear" w:color="auto" w:fill="B2B2B2"/>
          </w:tcPr>
          <w:p>
            <w:pPr>
              <w:spacing w:after="0"/>
              <w:rPr>
                <w:sz w:val="20"/>
                <w:szCs w:val="20"/>
                <w:color w:val="auto"/>
              </w:rPr>
            </w:pPr>
          </w:p>
        </w:tc>
        <w:tc>
          <w:tcPr>
            <w:tcW w:w="300" w:type="dxa"/>
            <w:vAlign w:val="bottom"/>
            <w:shd w:val="clear" w:color="auto" w:fill="B2B2B2"/>
          </w:tcPr>
          <w:p>
            <w:pPr>
              <w:spacing w:after="0"/>
              <w:rPr>
                <w:sz w:val="20"/>
                <w:szCs w:val="20"/>
                <w:color w:val="auto"/>
              </w:rPr>
            </w:pPr>
          </w:p>
        </w:tc>
        <w:tc>
          <w:tcPr>
            <w:tcW w:w="100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48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c>
          <w:tcPr>
            <w:tcW w:w="180" w:type="dxa"/>
            <w:vAlign w:val="bottom"/>
            <w:shd w:val="clear" w:color="auto" w:fill="B2B2B2"/>
          </w:tcPr>
          <w:p>
            <w:pPr>
              <w:spacing w:after="0"/>
              <w:rPr>
                <w:sz w:val="20"/>
                <w:szCs w:val="20"/>
                <w:color w:val="auto"/>
              </w:rPr>
            </w:pPr>
          </w:p>
        </w:tc>
        <w:tc>
          <w:tcPr>
            <w:tcW w:w="300" w:type="dxa"/>
            <w:vAlign w:val="bottom"/>
            <w:shd w:val="clear" w:color="auto" w:fill="B2B2B2"/>
          </w:tcPr>
          <w:p>
            <w:pPr>
              <w:spacing w:after="0"/>
              <w:rPr>
                <w:sz w:val="20"/>
                <w:szCs w:val="20"/>
                <w:color w:val="auto"/>
              </w:rPr>
            </w:pPr>
          </w:p>
        </w:tc>
        <w:tc>
          <w:tcPr>
            <w:tcW w:w="980" w:type="dxa"/>
            <w:vAlign w:val="bottom"/>
            <w:shd w:val="clear" w:color="auto" w:fill="B2B2B2"/>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460" w:type="dxa"/>
            <w:vAlign w:val="bottom"/>
            <w:shd w:val="clear" w:color="auto" w:fill="B2B2B2"/>
          </w:tcPr>
          <w:p>
            <w:pPr>
              <w:spacing w:after="0"/>
              <w:rPr>
                <w:sz w:val="20"/>
                <w:szCs w:val="20"/>
                <w:color w:val="auto"/>
              </w:rPr>
            </w:pPr>
          </w:p>
        </w:tc>
        <w:tc>
          <w:tcPr>
            <w:tcW w:w="820" w:type="dxa"/>
            <w:vAlign w:val="bottom"/>
            <w:shd w:val="clear" w:color="auto" w:fill="B2B2B2"/>
          </w:tcPr>
          <w:p>
            <w:pPr>
              <w:spacing w:after="0"/>
              <w:rPr>
                <w:sz w:val="20"/>
                <w:szCs w:val="20"/>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40,125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69,633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103,792</w:t>
            </w:r>
          </w:p>
        </w:tc>
      </w:tr>
      <w:tr>
        <w:trPr>
          <w:trHeight w:val="216"/>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300" w:type="dxa"/>
            <w:vAlign w:val="bottom"/>
            <w:tcBorders>
              <w:bottom w:val="single" w:sz="8" w:color="auto"/>
            </w:tcBorders>
            <w:shd w:val="clear" w:color="auto" w:fill="B2B2B2"/>
          </w:tcPr>
          <w:p>
            <w:pPr>
              <w:spacing w:after="0"/>
              <w:rPr>
                <w:sz w:val="18"/>
                <w:szCs w:val="18"/>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B2B2B2"/>
          </w:tcPr>
          <w:p>
            <w:pPr>
              <w:spacing w:after="0"/>
              <w:rPr>
                <w:sz w:val="18"/>
                <w:szCs w:val="18"/>
                <w:color w:val="auto"/>
              </w:rPr>
            </w:pPr>
          </w:p>
        </w:tc>
        <w:tc>
          <w:tcPr>
            <w:tcW w:w="48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116</w:t>
            </w:r>
          </w:p>
        </w:tc>
        <w:tc>
          <w:tcPr>
            <w:tcW w:w="180" w:type="dxa"/>
            <w:vAlign w:val="bottom"/>
            <w:shd w:val="clear" w:color="auto" w:fill="B2B2B2"/>
          </w:tcPr>
          <w:p>
            <w:pPr>
              <w:spacing w:after="0"/>
              <w:rPr>
                <w:sz w:val="18"/>
                <w:szCs w:val="18"/>
                <w:color w:val="auto"/>
              </w:rPr>
            </w:pPr>
          </w:p>
        </w:tc>
        <w:tc>
          <w:tcPr>
            <w:tcW w:w="300" w:type="dxa"/>
            <w:vAlign w:val="bottom"/>
            <w:tcBorders>
              <w:bottom w:val="single" w:sz="8" w:color="auto"/>
            </w:tcBorders>
            <w:shd w:val="clear" w:color="auto" w:fill="B2B2B2"/>
          </w:tcPr>
          <w:p>
            <w:pPr>
              <w:spacing w:after="0"/>
              <w:rPr>
                <w:sz w:val="18"/>
                <w:szCs w:val="18"/>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(1,419)</w:t>
            </w:r>
          </w:p>
        </w:tc>
        <w:tc>
          <w:tcPr>
            <w:tcW w:w="100" w:type="dxa"/>
            <w:vAlign w:val="bottom"/>
            <w:shd w:val="clear" w:color="auto" w:fill="B2B2B2"/>
          </w:tcPr>
          <w:p>
            <w:pPr>
              <w:spacing w:after="0"/>
              <w:rPr>
                <w:sz w:val="18"/>
                <w:szCs w:val="18"/>
                <w:color w:val="auto"/>
              </w:rPr>
            </w:pPr>
          </w:p>
        </w:tc>
        <w:tc>
          <w:tcPr>
            <w:tcW w:w="460" w:type="dxa"/>
            <w:vAlign w:val="bottom"/>
            <w:tcBorders>
              <w:bottom w:val="single" w:sz="8" w:color="auto"/>
            </w:tcBorders>
            <w:shd w:val="clear" w:color="auto" w:fill="B2B2B2"/>
          </w:tcPr>
          <w:p>
            <w:pPr>
              <w:spacing w:after="0"/>
              <w:rPr>
                <w:sz w:val="18"/>
                <w:szCs w:val="18"/>
                <w:color w:val="auto"/>
              </w:rPr>
            </w:pP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539</w:t>
            </w:r>
          </w:p>
        </w:tc>
      </w:tr>
      <w:tr>
        <w:trPr>
          <w:trHeight w:val="210"/>
        </w:trPr>
        <w:tc>
          <w:tcPr>
            <w:tcW w:w="5700" w:type="dxa"/>
            <w:vAlign w:val="bottom"/>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29,589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40,009</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71,052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103,253</w:t>
            </w:r>
          </w:p>
        </w:tc>
      </w:tr>
      <w:tr>
        <w:trPr>
          <w:trHeight w:val="20"/>
        </w:trPr>
        <w:tc>
          <w:tcPr>
            <w:tcW w:w="5700" w:type="dxa"/>
            <w:vAlign w:val="bottom"/>
            <w:tcBorders>
              <w:bottom w:val="single" w:sz="8" w:color="B2B2B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B2B2B2"/>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2B2B2"/>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shd w:val="clear" w:color="auto" w:fill="B2B2B2"/>
          </w:tcPr>
          <w:p>
            <w:pPr>
              <w:spacing w:after="0"/>
              <w:rPr>
                <w:sz w:val="19"/>
                <w:szCs w:val="19"/>
                <w:color w:val="auto"/>
              </w:rPr>
            </w:pPr>
          </w:p>
        </w:tc>
        <w:tc>
          <w:tcPr>
            <w:tcW w:w="300" w:type="dxa"/>
            <w:vAlign w:val="bottom"/>
            <w:shd w:val="clear" w:color="auto" w:fill="B2B2B2"/>
          </w:tcPr>
          <w:p>
            <w:pPr>
              <w:spacing w:after="0"/>
              <w:rPr>
                <w:sz w:val="19"/>
                <w:szCs w:val="19"/>
                <w:color w:val="auto"/>
              </w:rPr>
            </w:pPr>
          </w:p>
        </w:tc>
        <w:tc>
          <w:tcPr>
            <w:tcW w:w="100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480" w:type="dxa"/>
            <w:vAlign w:val="bottom"/>
            <w:shd w:val="clear" w:color="auto" w:fill="B2B2B2"/>
          </w:tcPr>
          <w:p>
            <w:pPr>
              <w:spacing w:after="0"/>
              <w:rPr>
                <w:sz w:val="19"/>
                <w:szCs w:val="19"/>
                <w:color w:val="auto"/>
              </w:rPr>
            </w:pPr>
          </w:p>
        </w:tc>
        <w:tc>
          <w:tcPr>
            <w:tcW w:w="820" w:type="dxa"/>
            <w:vAlign w:val="bottom"/>
            <w:shd w:val="clear" w:color="auto" w:fill="B2B2B2"/>
          </w:tcPr>
          <w:p>
            <w:pPr>
              <w:spacing w:after="0"/>
              <w:rPr>
                <w:sz w:val="19"/>
                <w:szCs w:val="19"/>
                <w:color w:val="auto"/>
              </w:rPr>
            </w:pPr>
          </w:p>
        </w:tc>
        <w:tc>
          <w:tcPr>
            <w:tcW w:w="180" w:type="dxa"/>
            <w:vAlign w:val="bottom"/>
            <w:shd w:val="clear" w:color="auto" w:fill="B2B2B2"/>
          </w:tcPr>
          <w:p>
            <w:pPr>
              <w:spacing w:after="0"/>
              <w:rPr>
                <w:sz w:val="19"/>
                <w:szCs w:val="19"/>
                <w:color w:val="auto"/>
              </w:rPr>
            </w:pPr>
          </w:p>
        </w:tc>
        <w:tc>
          <w:tcPr>
            <w:tcW w:w="300" w:type="dxa"/>
            <w:vAlign w:val="bottom"/>
            <w:shd w:val="clear" w:color="auto" w:fill="B2B2B2"/>
          </w:tcPr>
          <w:p>
            <w:pPr>
              <w:spacing w:after="0"/>
              <w:rPr>
                <w:sz w:val="19"/>
                <w:szCs w:val="19"/>
                <w:color w:val="auto"/>
              </w:rPr>
            </w:pPr>
          </w:p>
        </w:tc>
        <w:tc>
          <w:tcPr>
            <w:tcW w:w="980" w:type="dxa"/>
            <w:vAlign w:val="bottom"/>
            <w:shd w:val="clear" w:color="auto" w:fill="B2B2B2"/>
          </w:tcPr>
          <w:p>
            <w:pPr>
              <w:spacing w:after="0"/>
              <w:rPr>
                <w:sz w:val="19"/>
                <w:szCs w:val="19"/>
                <w:color w:val="auto"/>
              </w:rPr>
            </w:pPr>
          </w:p>
        </w:tc>
        <w:tc>
          <w:tcPr>
            <w:tcW w:w="100" w:type="dxa"/>
            <w:vAlign w:val="bottom"/>
            <w:shd w:val="clear" w:color="auto" w:fill="B2B2B2"/>
          </w:tcPr>
          <w:p>
            <w:pPr>
              <w:spacing w:after="0"/>
              <w:rPr>
                <w:sz w:val="19"/>
                <w:szCs w:val="19"/>
                <w:color w:val="auto"/>
              </w:rPr>
            </w:pPr>
          </w:p>
        </w:tc>
        <w:tc>
          <w:tcPr>
            <w:tcW w:w="460" w:type="dxa"/>
            <w:vAlign w:val="bottom"/>
            <w:shd w:val="clear" w:color="auto" w:fill="B2B2B2"/>
          </w:tcPr>
          <w:p>
            <w:pPr>
              <w:spacing w:after="0"/>
              <w:rPr>
                <w:sz w:val="19"/>
                <w:szCs w:val="19"/>
                <w:color w:val="auto"/>
              </w:rPr>
            </w:pPr>
          </w:p>
        </w:tc>
        <w:tc>
          <w:tcPr>
            <w:tcW w:w="820" w:type="dxa"/>
            <w:vAlign w:val="bottom"/>
            <w:shd w:val="clear" w:color="auto" w:fill="B2B2B2"/>
          </w:tcPr>
          <w:p>
            <w:pPr>
              <w:spacing w:after="0"/>
              <w:rPr>
                <w:sz w:val="19"/>
                <w:szCs w:val="19"/>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0.92</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57"/>
        </w:trPr>
        <w:tc>
          <w:tcPr>
            <w:tcW w:w="570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48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46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0.91</w:t>
            </w:r>
          </w:p>
        </w:tc>
        <w:tc>
          <w:tcPr>
            <w:tcW w:w="10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57"/>
        </w:trPr>
        <w:tc>
          <w:tcPr>
            <w:tcW w:w="570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100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48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c>
          <w:tcPr>
            <w:tcW w:w="18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46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7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32,337</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32,306</w:t>
            </w:r>
          </w:p>
        </w:tc>
        <w:tc>
          <w:tcPr>
            <w:tcW w:w="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32,326</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32,293</w:t>
            </w:r>
          </w:p>
        </w:tc>
      </w:tr>
      <w:tr>
        <w:trPr>
          <w:trHeight w:val="257"/>
        </w:trPr>
        <w:tc>
          <w:tcPr>
            <w:tcW w:w="5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57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B2B2B2"/>
          </w:tcPr>
          <w:p>
            <w:pPr>
              <w:spacing w:after="0"/>
              <w:rPr>
                <w:sz w:val="18"/>
                <w:szCs w:val="18"/>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32,344</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32,317</w:t>
            </w:r>
          </w:p>
        </w:tc>
        <w:tc>
          <w:tcPr>
            <w:tcW w:w="1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32,333</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32,305</w:t>
            </w:r>
          </w:p>
        </w:tc>
      </w:tr>
      <w:tr>
        <w:trPr>
          <w:trHeight w:val="257"/>
        </w:trPr>
        <w:tc>
          <w:tcPr>
            <w:tcW w:w="5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5700" w:type="dxa"/>
            <w:vAlign w:val="bottom"/>
            <w:shd w:val="clear" w:color="auto" w:fill="B2B2B2"/>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300" w:type="dxa"/>
            <w:vAlign w:val="bottom"/>
            <w:shd w:val="clear" w:color="auto" w:fill="B2B2B2"/>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B2B2B2"/>
          </w:tcPr>
          <w:p>
            <w:pPr>
              <w:jc w:val="right"/>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B2B2B2"/>
          </w:tcPr>
          <w:p>
            <w:pPr>
              <w:spacing w:after="0"/>
              <w:rPr>
                <w:sz w:val="18"/>
                <w:szCs w:val="18"/>
                <w:color w:val="auto"/>
              </w:rPr>
            </w:pPr>
          </w:p>
        </w:tc>
        <w:tc>
          <w:tcPr>
            <w:tcW w:w="300" w:type="dxa"/>
            <w:vAlign w:val="bottom"/>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0.54</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58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5"/>
                <w:szCs w:val="15"/>
                <w:color w:val="auto"/>
              </w:rPr>
            </w:pPr>
          </w:p>
        </w:tc>
      </w:tr>
      <w:tr>
        <w:trPr>
          <w:trHeight w:val="183"/>
        </w:trPr>
        <w:tc>
          <w:tcPr>
            <w:tcW w:w="5800" w:type="dxa"/>
            <w:vAlign w:val="bottom"/>
            <w:tcBorders>
              <w:bottom w:val="single" w:sz="8" w:color="B2B2B2"/>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2B2B2"/>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B2B2B2"/>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B2B2B2"/>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r>
      <w:tr>
        <w:trPr>
          <w:trHeight w:val="209"/>
        </w:trPr>
        <w:tc>
          <w:tcPr>
            <w:tcW w:w="5800" w:type="dxa"/>
            <w:vAlign w:val="bottom"/>
            <w:shd w:val="clear" w:color="auto" w:fill="B2B2B2"/>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29,590</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shd w:val="clear" w:color="auto" w:fill="B2B2B2"/>
          </w:tcPr>
          <w:p>
            <w:pPr>
              <w:jc w:val="right"/>
              <w:spacing w:after="0"/>
              <w:rPr>
                <w:sz w:val="20"/>
                <w:szCs w:val="20"/>
                <w:color w:val="auto"/>
              </w:rPr>
            </w:pPr>
            <w:r>
              <w:rPr>
                <w:rFonts w:ascii="Arial" w:cs="Arial" w:eastAsia="Arial" w:hAnsi="Arial"/>
                <w:sz w:val="16"/>
                <w:szCs w:val="16"/>
                <w:color w:val="auto"/>
              </w:rPr>
              <w:t>40,125</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69,633</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103,792</w:t>
            </w:r>
          </w:p>
        </w:tc>
      </w:tr>
      <w:tr>
        <w:trPr>
          <w:trHeight w:val="257"/>
        </w:trPr>
        <w:tc>
          <w:tcPr>
            <w:tcW w:w="5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16"/>
        </w:trPr>
        <w:tc>
          <w:tcPr>
            <w:tcW w:w="5800" w:type="dxa"/>
            <w:vAlign w:val="bottom"/>
            <w:shd w:val="clear" w:color="auto" w:fill="B2B2B2"/>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40" w:type="dxa"/>
            <w:vAlign w:val="bottom"/>
            <w:shd w:val="clear" w:color="auto" w:fill="B2B2B2"/>
          </w:tcPr>
          <w:p>
            <w:pPr>
              <w:spacing w:after="0"/>
              <w:rPr>
                <w:sz w:val="18"/>
                <w:szCs w:val="18"/>
                <w:color w:val="auto"/>
              </w:rPr>
            </w:pP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spacing w:after="0"/>
              <w:rPr>
                <w:sz w:val="18"/>
                <w:szCs w:val="18"/>
                <w:color w:val="auto"/>
              </w:rPr>
            </w:pP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spacing w:after="0"/>
              <w:rPr>
                <w:sz w:val="18"/>
                <w:szCs w:val="18"/>
                <w:color w:val="auto"/>
              </w:rPr>
            </w:pPr>
          </w:p>
        </w:tc>
      </w:tr>
      <w:tr>
        <w:trPr>
          <w:trHeight w:val="216"/>
        </w:trPr>
        <w:tc>
          <w:tcPr>
            <w:tcW w:w="5800" w:type="dxa"/>
            <w:vAlign w:val="bottom"/>
          </w:tcPr>
          <w:p>
            <w:pPr>
              <w:ind w:left="120"/>
              <w:spacing w:after="0"/>
              <w:rPr>
                <w:sz w:val="20"/>
                <w:szCs w:val="20"/>
                <w:color w:val="auto"/>
              </w:rPr>
            </w:pPr>
            <w:r>
              <w:rPr>
                <w:rFonts w:ascii="Arial" w:cs="Arial" w:eastAsia="Arial" w:hAnsi="Arial"/>
                <w:sz w:val="16"/>
                <w:szCs w:val="16"/>
                <w:color w:val="auto"/>
              </w:rPr>
              <w:t>Foreign currency translation and other adjustments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(24,243)</w:t>
            </w:r>
          </w:p>
        </w:tc>
      </w:tr>
      <w:tr>
        <w:trPr>
          <w:trHeight w:val="216"/>
        </w:trPr>
        <w:tc>
          <w:tcPr>
            <w:tcW w:w="58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Pension/postretirement settlements and curtailments</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00" w:type="dxa"/>
            <w:vAlign w:val="bottom"/>
          </w:tcPr>
          <w:p>
            <w:pPr>
              <w:ind w:left="220"/>
              <w:spacing w:after="0"/>
              <w:rPr>
                <w:sz w:val="20"/>
                <w:szCs w:val="20"/>
                <w:color w:val="auto"/>
              </w:rPr>
            </w:pPr>
            <w:r>
              <w:rPr>
                <w:rFonts w:ascii="Arial" w:cs="Arial" w:eastAsia="Arial" w:hAnsi="Arial"/>
                <w:sz w:val="16"/>
                <w:szCs w:val="16"/>
                <w:color w:val="auto"/>
              </w:rPr>
              <w:t>Amortization of pension liability adjustments: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00" w:type="dxa"/>
            <w:vAlign w:val="bottom"/>
            <w:shd w:val="clear" w:color="auto" w:fill="B2B2B2"/>
          </w:tcPr>
          <w:p>
            <w:pPr>
              <w:ind w:left="320"/>
              <w:spacing w:after="0"/>
              <w:rPr>
                <w:sz w:val="20"/>
                <w:szCs w:val="20"/>
                <w:color w:val="auto"/>
              </w:rPr>
            </w:pPr>
            <w:r>
              <w:rPr>
                <w:rFonts w:ascii="Arial" w:cs="Arial" w:eastAsia="Arial" w:hAnsi="Arial"/>
                <w:sz w:val="16"/>
                <w:szCs w:val="16"/>
                <w:color w:val="auto"/>
              </w:rPr>
              <w:t>Prior service credit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(1,105)</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(3,342)</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(3,315)</w:t>
            </w:r>
          </w:p>
        </w:tc>
      </w:tr>
      <w:tr>
        <w:trPr>
          <w:trHeight w:val="216"/>
        </w:trPr>
        <w:tc>
          <w:tcPr>
            <w:tcW w:w="5800" w:type="dxa"/>
            <w:vAlign w:val="bottom"/>
          </w:tcPr>
          <w:p>
            <w:pPr>
              <w:ind w:left="340"/>
              <w:spacing w:after="0"/>
              <w:rPr>
                <w:sz w:val="20"/>
                <w:szCs w:val="20"/>
                <w:color w:val="auto"/>
              </w:rPr>
            </w:pPr>
            <w:r>
              <w:rPr>
                <w:rFonts w:ascii="Arial" w:cs="Arial" w:eastAsia="Arial" w:hAnsi="Arial"/>
                <w:sz w:val="16"/>
                <w:szCs w:val="16"/>
                <w:color w:val="auto"/>
              </w:rPr>
              <w:t>Net actuarial loss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3,357</w:t>
            </w:r>
          </w:p>
        </w:tc>
      </w:tr>
      <w:tr>
        <w:trPr>
          <w:trHeight w:val="216"/>
        </w:trPr>
        <w:tc>
          <w:tcPr>
            <w:tcW w:w="58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2,742</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(1,117)</w:t>
            </w:r>
          </w:p>
        </w:tc>
      </w:tr>
      <w:tr>
        <w:trPr>
          <w:trHeight w:val="216"/>
        </w:trPr>
        <w:tc>
          <w:tcPr>
            <w:tcW w:w="5800" w:type="dxa"/>
            <w:vAlign w:val="bottom"/>
          </w:tcPr>
          <w:p>
            <w:pPr>
              <w:ind w:left="12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(10,796)</w:t>
            </w:r>
          </w:p>
        </w:tc>
      </w:tr>
      <w:tr>
        <w:trPr>
          <w:trHeight w:val="257"/>
        </w:trPr>
        <w:tc>
          <w:tcPr>
            <w:tcW w:w="580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460" w:type="dxa"/>
            <w:vAlign w:val="bottom"/>
            <w:shd w:val="clear" w:color="auto" w:fill="B2B2B2"/>
          </w:tcPr>
          <w:p>
            <w:pPr>
              <w:spacing w:after="0"/>
              <w:rPr>
                <w:sz w:val="22"/>
                <w:szCs w:val="22"/>
                <w:color w:val="auto"/>
              </w:rPr>
            </w:pPr>
          </w:p>
        </w:tc>
        <w:tc>
          <w:tcPr>
            <w:tcW w:w="840" w:type="dxa"/>
            <w:vAlign w:val="bottom"/>
            <w:shd w:val="clear" w:color="auto" w:fill="B2B2B2"/>
          </w:tcPr>
          <w:p>
            <w:pPr>
              <w:spacing w:after="0"/>
              <w:rPr>
                <w:sz w:val="22"/>
                <w:szCs w:val="22"/>
                <w:color w:val="auto"/>
              </w:rPr>
            </w:pPr>
          </w:p>
        </w:tc>
        <w:tc>
          <w:tcPr>
            <w:tcW w:w="80" w:type="dxa"/>
            <w:vAlign w:val="bottom"/>
            <w:shd w:val="clear" w:color="auto" w:fill="B2B2B2"/>
          </w:tcPr>
          <w:p>
            <w:pPr>
              <w:spacing w:after="0"/>
              <w:rPr>
                <w:sz w:val="22"/>
                <w:szCs w:val="22"/>
                <w:color w:val="auto"/>
              </w:rPr>
            </w:pPr>
          </w:p>
        </w:tc>
        <w:tc>
          <w:tcPr>
            <w:tcW w:w="300" w:type="dxa"/>
            <w:vAlign w:val="bottom"/>
            <w:shd w:val="clear" w:color="auto" w:fill="B2B2B2"/>
          </w:tcPr>
          <w:p>
            <w:pPr>
              <w:spacing w:after="0"/>
              <w:rPr>
                <w:sz w:val="22"/>
                <w:szCs w:val="22"/>
                <w:color w:val="auto"/>
              </w:rPr>
            </w:pPr>
          </w:p>
        </w:tc>
        <w:tc>
          <w:tcPr>
            <w:tcW w:w="980" w:type="dxa"/>
            <w:vAlign w:val="bottom"/>
            <w:shd w:val="clear" w:color="auto" w:fill="B2B2B2"/>
          </w:tcPr>
          <w:p>
            <w:pPr>
              <w:spacing w:after="0"/>
              <w:rPr>
                <w:sz w:val="22"/>
                <w:szCs w:val="22"/>
                <w:color w:val="auto"/>
              </w:rPr>
            </w:pPr>
          </w:p>
        </w:tc>
        <w:tc>
          <w:tcPr>
            <w:tcW w:w="100" w:type="dxa"/>
            <w:vAlign w:val="bottom"/>
            <w:shd w:val="clear" w:color="auto" w:fill="B2B2B2"/>
          </w:tcPr>
          <w:p>
            <w:pPr>
              <w:spacing w:after="0"/>
              <w:rPr>
                <w:sz w:val="22"/>
                <w:szCs w:val="22"/>
                <w:color w:val="auto"/>
              </w:rPr>
            </w:pPr>
          </w:p>
        </w:tc>
        <w:tc>
          <w:tcPr>
            <w:tcW w:w="480" w:type="dxa"/>
            <w:vAlign w:val="bottom"/>
            <w:shd w:val="clear" w:color="auto" w:fill="B2B2B2"/>
          </w:tcPr>
          <w:p>
            <w:pPr>
              <w:spacing w:after="0"/>
              <w:rPr>
                <w:sz w:val="22"/>
                <w:szCs w:val="22"/>
                <w:color w:val="auto"/>
              </w:rPr>
            </w:pPr>
          </w:p>
        </w:tc>
        <w:tc>
          <w:tcPr>
            <w:tcW w:w="820" w:type="dxa"/>
            <w:vAlign w:val="bottom"/>
            <w:shd w:val="clear" w:color="auto" w:fill="B2B2B2"/>
          </w:tcPr>
          <w:p>
            <w:pPr>
              <w:spacing w:after="0"/>
              <w:rPr>
                <w:sz w:val="22"/>
                <w:szCs w:val="22"/>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58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Pension/postretirement settlements and curtailments</w:t>
            </w:r>
          </w:p>
        </w:tc>
        <w:tc>
          <w:tcPr>
            <w:tcW w:w="300" w:type="dxa"/>
            <w:vAlign w:val="bottom"/>
            <w:shd w:val="clear" w:color="auto" w:fill="B2B2B2"/>
          </w:tcPr>
          <w:p>
            <w:pPr>
              <w:spacing w:after="0"/>
              <w:rPr>
                <w:sz w:val="18"/>
                <w:szCs w:val="18"/>
                <w:color w:val="auto"/>
              </w:rPr>
            </w:pPr>
          </w:p>
        </w:tc>
        <w:tc>
          <w:tcPr>
            <w:tcW w:w="1080" w:type="dxa"/>
            <w:vAlign w:val="bottom"/>
            <w:gridSpan w:val="2"/>
            <w:shd w:val="clear" w:color="auto" w:fill="B2B2B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B2B2B2"/>
          </w:tcPr>
          <w:p>
            <w:pPr>
              <w:spacing w:after="0"/>
              <w:rPr>
                <w:sz w:val="18"/>
                <w:szCs w:val="18"/>
                <w:color w:val="auto"/>
              </w:rPr>
            </w:pPr>
          </w:p>
        </w:tc>
        <w:tc>
          <w:tcPr>
            <w:tcW w:w="920" w:type="dxa"/>
            <w:vAlign w:val="bottom"/>
            <w:gridSpan w:val="2"/>
            <w:shd w:val="clear" w:color="auto" w:fill="B2B2B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800" w:type="dxa"/>
            <w:vAlign w:val="bottom"/>
          </w:tcPr>
          <w:p>
            <w:pPr>
              <w:ind w:left="120"/>
              <w:spacing w:after="0"/>
              <w:rPr>
                <w:sz w:val="20"/>
                <w:szCs w:val="20"/>
                <w:color w:val="auto"/>
              </w:rPr>
            </w:pPr>
            <w:r>
              <w:rPr>
                <w:rFonts w:ascii="Arial" w:cs="Arial" w:eastAsia="Arial" w:hAnsi="Arial"/>
                <w:sz w:val="16"/>
                <w:szCs w:val="16"/>
                <w:color w:val="auto"/>
              </w:rPr>
              <w:t>Amortization of pension liability adjustment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5800" w:type="dxa"/>
            <w:vAlign w:val="bottom"/>
            <w:shd w:val="clear" w:color="auto" w:fill="B2B2B2"/>
          </w:tcPr>
          <w:p>
            <w:pPr>
              <w:ind w:left="12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(311)</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Arial" w:cs="Arial" w:eastAsia="Arial" w:hAnsi="Arial"/>
                <w:sz w:val="16"/>
                <w:szCs w:val="16"/>
                <w:color w:val="auto"/>
              </w:rPr>
              <w:t>62</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285</w:t>
            </w:r>
          </w:p>
        </w:tc>
      </w:tr>
      <w:tr>
        <w:trPr>
          <w:trHeight w:val="216"/>
        </w:trPr>
        <w:tc>
          <w:tcPr>
            <w:tcW w:w="5800" w:type="dxa"/>
            <w:vAlign w:val="bottom"/>
            <w:tcBorders>
              <w:bottom w:val="single" w:sz="8" w:color="B2B2B2"/>
            </w:tcBorders>
          </w:tcPr>
          <w:p>
            <w:pPr>
              <w:ind w:left="120"/>
              <w:spacing w:after="0"/>
              <w:rPr>
                <w:sz w:val="20"/>
                <w:szCs w:val="20"/>
                <w:color w:val="auto"/>
              </w:rPr>
            </w:pPr>
            <w:r>
              <w:rPr>
                <w:rFonts w:ascii="Arial" w:cs="Arial" w:eastAsia="Arial" w:hAnsi="Arial"/>
                <w:sz w:val="16"/>
                <w:szCs w:val="16"/>
                <w:color w:val="auto"/>
              </w:rPr>
              <w:t>Derivative valuation adjustment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w:t>
            </w:r>
          </w:p>
        </w:tc>
      </w:tr>
      <w:tr>
        <w:trPr>
          <w:trHeight w:val="209"/>
        </w:trPr>
        <w:tc>
          <w:tcPr>
            <w:tcW w:w="5800" w:type="dxa"/>
            <w:vAlign w:val="bottom"/>
            <w:shd w:val="clear" w:color="auto" w:fill="B2B2B2"/>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49,558</w:t>
            </w:r>
          </w:p>
        </w:tc>
        <w:tc>
          <w:tcPr>
            <w:tcW w:w="100" w:type="dxa"/>
            <w:vAlign w:val="bottom"/>
            <w:shd w:val="clear" w:color="auto" w:fill="B2B2B2"/>
          </w:tcPr>
          <w:p>
            <w:pPr>
              <w:spacing w:after="0"/>
              <w:rPr>
                <w:sz w:val="18"/>
                <w:szCs w:val="18"/>
                <w:color w:val="auto"/>
              </w:rPr>
            </w:pPr>
          </w:p>
        </w:tc>
        <w:tc>
          <w:tcPr>
            <w:tcW w:w="460" w:type="dxa"/>
            <w:vAlign w:val="bottom"/>
            <w:shd w:val="clear" w:color="auto" w:fill="B2B2B2"/>
          </w:tcPr>
          <w:p>
            <w:pPr>
              <w:spacing w:after="0"/>
              <w:rPr>
                <w:sz w:val="18"/>
                <w:szCs w:val="18"/>
                <w:color w:val="auto"/>
              </w:rPr>
            </w:pPr>
          </w:p>
        </w:tc>
        <w:tc>
          <w:tcPr>
            <w:tcW w:w="840" w:type="dxa"/>
            <w:vAlign w:val="bottom"/>
            <w:shd w:val="clear" w:color="auto" w:fill="B2B2B2"/>
          </w:tcPr>
          <w:p>
            <w:pPr>
              <w:jc w:val="right"/>
              <w:spacing w:after="0"/>
              <w:rPr>
                <w:sz w:val="20"/>
                <w:szCs w:val="20"/>
                <w:color w:val="auto"/>
              </w:rPr>
            </w:pPr>
            <w:r>
              <w:rPr>
                <w:rFonts w:ascii="Arial" w:cs="Arial" w:eastAsia="Arial" w:hAnsi="Arial"/>
                <w:sz w:val="16"/>
                <w:szCs w:val="16"/>
                <w:color w:val="auto"/>
              </w:rPr>
              <w:t>16,770</w:t>
            </w:r>
          </w:p>
        </w:tc>
        <w:tc>
          <w:tcPr>
            <w:tcW w:w="80" w:type="dxa"/>
            <w:vAlign w:val="bottom"/>
            <w:shd w:val="clear" w:color="auto" w:fill="B2B2B2"/>
          </w:tcPr>
          <w:p>
            <w:pPr>
              <w:spacing w:after="0"/>
              <w:rPr>
                <w:sz w:val="18"/>
                <w:szCs w:val="18"/>
                <w:color w:val="auto"/>
              </w:rPr>
            </w:pPr>
          </w:p>
        </w:tc>
        <w:tc>
          <w:tcPr>
            <w:tcW w:w="300" w:type="dxa"/>
            <w:vAlign w:val="bottom"/>
            <w:shd w:val="clear" w:color="auto" w:fill="B2B2B2"/>
          </w:tcPr>
          <w:p>
            <w:pPr>
              <w:spacing w:after="0"/>
              <w:rPr>
                <w:sz w:val="18"/>
                <w:szCs w:val="18"/>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65,955</w:t>
            </w:r>
          </w:p>
        </w:tc>
        <w:tc>
          <w:tcPr>
            <w:tcW w:w="100" w:type="dxa"/>
            <w:vAlign w:val="bottom"/>
            <w:shd w:val="clear" w:color="auto" w:fill="B2B2B2"/>
          </w:tcPr>
          <w:p>
            <w:pPr>
              <w:spacing w:after="0"/>
              <w:rPr>
                <w:sz w:val="18"/>
                <w:szCs w:val="18"/>
                <w:color w:val="auto"/>
              </w:rPr>
            </w:pPr>
          </w:p>
        </w:tc>
        <w:tc>
          <w:tcPr>
            <w:tcW w:w="480" w:type="dxa"/>
            <w:vAlign w:val="bottom"/>
            <w:shd w:val="clear" w:color="auto" w:fill="B2B2B2"/>
          </w:tcPr>
          <w:p>
            <w:pPr>
              <w:spacing w:after="0"/>
              <w:rPr>
                <w:sz w:val="18"/>
                <w:szCs w:val="18"/>
                <w:color w:val="auto"/>
              </w:rPr>
            </w:pPr>
          </w:p>
        </w:tc>
        <w:tc>
          <w:tcPr>
            <w:tcW w:w="820" w:type="dxa"/>
            <w:vAlign w:val="bottom"/>
            <w:shd w:val="clear" w:color="auto" w:fill="B2B2B2"/>
          </w:tcPr>
          <w:p>
            <w:pPr>
              <w:jc w:val="right"/>
              <w:spacing w:after="0"/>
              <w:rPr>
                <w:sz w:val="20"/>
                <w:szCs w:val="20"/>
                <w:color w:val="auto"/>
              </w:rPr>
            </w:pPr>
            <w:r>
              <w:rPr>
                <w:rFonts w:ascii="Arial" w:cs="Arial" w:eastAsia="Arial" w:hAnsi="Arial"/>
                <w:sz w:val="16"/>
                <w:szCs w:val="16"/>
                <w:color w:val="auto"/>
              </w:rPr>
              <w:t>70,709</w:t>
            </w:r>
          </w:p>
        </w:tc>
      </w:tr>
      <w:tr>
        <w:trPr>
          <w:trHeight w:val="216"/>
        </w:trPr>
        <w:tc>
          <w:tcPr>
            <w:tcW w:w="5800" w:type="dxa"/>
            <w:vAlign w:val="bottom"/>
            <w:tcBorders>
              <w:bottom w:val="single" w:sz="8" w:color="B2B2B2"/>
            </w:tcBorders>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r>
      <w:tr>
        <w:trPr>
          <w:trHeight w:val="235"/>
        </w:trPr>
        <w:tc>
          <w:tcPr>
            <w:tcW w:w="5800" w:type="dxa"/>
            <w:vAlign w:val="bottom"/>
            <w:tcBorders>
              <w:bottom w:val="single" w:sz="8" w:color="B2B2B2"/>
            </w:tcBorders>
            <w:shd w:val="clear" w:color="auto" w:fill="B2B2B2"/>
          </w:tcPr>
          <w:p>
            <w:pPr>
              <w:ind w:left="20"/>
              <w:spacing w:after="0"/>
              <w:rPr>
                <w:sz w:val="20"/>
                <w:szCs w:val="20"/>
                <w:color w:val="auto"/>
              </w:rPr>
            </w:pPr>
            <w:r>
              <w:rPr>
                <w:rFonts w:ascii="Arial" w:cs="Arial" w:eastAsia="Arial" w:hAnsi="Arial"/>
                <w:sz w:val="16"/>
                <w:szCs w:val="16"/>
                <w:color w:val="auto"/>
              </w:rPr>
              <w:t>Comprehensive income/(loss) attributable to the Company</w:t>
            </w:r>
          </w:p>
        </w:tc>
        <w:tc>
          <w:tcPr>
            <w:tcW w:w="300" w:type="dxa"/>
            <w:vAlign w:val="bottom"/>
            <w:tcBorders>
              <w:bottom w:val="single" w:sz="8" w:color="auto"/>
            </w:tcBorders>
            <w:shd w:val="clear" w:color="auto" w:fill="B2B2B2"/>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49,356</w:t>
            </w:r>
          </w:p>
        </w:tc>
        <w:tc>
          <w:tcPr>
            <w:tcW w:w="100" w:type="dxa"/>
            <w:vAlign w:val="bottom"/>
            <w:tcBorders>
              <w:bottom w:val="single" w:sz="8" w:color="B2B2B2"/>
            </w:tcBorders>
            <w:shd w:val="clear" w:color="auto" w:fill="B2B2B2"/>
          </w:tcPr>
          <w:p>
            <w:pPr>
              <w:spacing w:after="0"/>
              <w:rPr>
                <w:sz w:val="19"/>
                <w:szCs w:val="19"/>
                <w:color w:val="auto"/>
              </w:rPr>
            </w:pPr>
          </w:p>
        </w:tc>
        <w:tc>
          <w:tcPr>
            <w:tcW w:w="460" w:type="dxa"/>
            <w:vAlign w:val="bottom"/>
            <w:tcBorders>
              <w:bottom w:val="single" w:sz="8" w:color="auto"/>
            </w:tcBorders>
            <w:shd w:val="clear" w:color="auto" w:fill="B2B2B2"/>
          </w:tcPr>
          <w:p>
            <w:pPr>
              <w:jc w:val="right"/>
              <w:ind w:right="2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16,667</w:t>
            </w:r>
          </w:p>
        </w:tc>
        <w:tc>
          <w:tcPr>
            <w:tcW w:w="80" w:type="dxa"/>
            <w:vAlign w:val="bottom"/>
            <w:tcBorders>
              <w:bottom w:val="single" w:sz="8" w:color="B2B2B2"/>
            </w:tcBorders>
            <w:shd w:val="clear" w:color="auto" w:fill="B2B2B2"/>
          </w:tcPr>
          <w:p>
            <w:pPr>
              <w:spacing w:after="0"/>
              <w:rPr>
                <w:sz w:val="19"/>
                <w:szCs w:val="19"/>
                <w:color w:val="auto"/>
              </w:rPr>
            </w:pPr>
          </w:p>
        </w:tc>
        <w:tc>
          <w:tcPr>
            <w:tcW w:w="300" w:type="dxa"/>
            <w:vAlign w:val="bottom"/>
            <w:tcBorders>
              <w:bottom w:val="single" w:sz="8" w:color="auto"/>
            </w:tcBorders>
            <w:shd w:val="clear" w:color="auto" w:fill="B2B2B2"/>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66,912</w:t>
            </w:r>
          </w:p>
        </w:tc>
        <w:tc>
          <w:tcPr>
            <w:tcW w:w="100" w:type="dxa"/>
            <w:vAlign w:val="bottom"/>
            <w:tcBorders>
              <w:bottom w:val="single" w:sz="8" w:color="B2B2B2"/>
            </w:tcBorders>
            <w:shd w:val="clear" w:color="auto" w:fill="B2B2B2"/>
          </w:tcPr>
          <w:p>
            <w:pPr>
              <w:spacing w:after="0"/>
              <w:rPr>
                <w:sz w:val="19"/>
                <w:szCs w:val="19"/>
                <w:color w:val="auto"/>
              </w:rPr>
            </w:pPr>
          </w:p>
        </w:tc>
        <w:tc>
          <w:tcPr>
            <w:tcW w:w="480" w:type="dxa"/>
            <w:vAlign w:val="bottom"/>
            <w:tcBorders>
              <w:bottom w:val="single" w:sz="8" w:color="auto"/>
            </w:tcBorders>
            <w:shd w:val="clear" w:color="auto" w:fill="B2B2B2"/>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6"/>
                <w:szCs w:val="16"/>
                <w:color w:val="auto"/>
              </w:rPr>
              <w:t>70,189</w:t>
            </w:r>
          </w:p>
        </w:tc>
      </w:tr>
      <w:tr>
        <w:trPr>
          <w:trHeight w:val="20"/>
        </w:trPr>
        <w:tc>
          <w:tcPr>
            <w:tcW w:w="5800" w:type="dxa"/>
            <w:vAlign w:val="bottom"/>
            <w:tcBorders>
              <w:top w:val="single" w:sz="8" w:color="B2B2B2"/>
            </w:tcBorders>
          </w:tcPr>
          <w:p>
            <w:pPr>
              <w:spacing w:after="0" w:line="20" w:lineRule="exact"/>
              <w:rPr>
                <w:sz w:val="1"/>
                <w:szCs w:val="1"/>
                <w:color w:val="auto"/>
              </w:rPr>
            </w:pPr>
          </w:p>
        </w:tc>
        <w:tc>
          <w:tcPr>
            <w:tcW w:w="300" w:type="dxa"/>
            <w:vAlign w:val="bottom"/>
            <w:tcBorders>
              <w:top w:val="single" w:sz="8" w:color="B2B2B2"/>
              <w:bottom w:val="single" w:sz="8" w:color="auto"/>
            </w:tcBorders>
          </w:tcPr>
          <w:p>
            <w:pPr>
              <w:spacing w:after="0" w:line="20" w:lineRule="exact"/>
              <w:rPr>
                <w:sz w:val="1"/>
                <w:szCs w:val="1"/>
                <w:color w:val="auto"/>
              </w:rPr>
            </w:pPr>
          </w:p>
        </w:tc>
        <w:tc>
          <w:tcPr>
            <w:tcW w:w="980" w:type="dxa"/>
            <w:vAlign w:val="bottom"/>
            <w:tcBorders>
              <w:top w:val="single" w:sz="8" w:color="B2B2B2"/>
              <w:bottom w:val="single" w:sz="8" w:color="auto"/>
            </w:tcBorders>
          </w:tcPr>
          <w:p>
            <w:pPr>
              <w:spacing w:after="0" w:line="20" w:lineRule="exact"/>
              <w:rPr>
                <w:sz w:val="1"/>
                <w:szCs w:val="1"/>
                <w:color w:val="auto"/>
              </w:rPr>
            </w:pPr>
          </w:p>
        </w:tc>
        <w:tc>
          <w:tcPr>
            <w:tcW w:w="100" w:type="dxa"/>
            <w:vAlign w:val="bottom"/>
            <w:tcBorders>
              <w:top w:val="single" w:sz="8" w:color="B2B2B2"/>
            </w:tcBorders>
          </w:tcPr>
          <w:p>
            <w:pPr>
              <w:spacing w:after="0" w:line="20" w:lineRule="exact"/>
              <w:rPr>
                <w:sz w:val="1"/>
                <w:szCs w:val="1"/>
                <w:color w:val="auto"/>
              </w:rPr>
            </w:pPr>
          </w:p>
        </w:tc>
        <w:tc>
          <w:tcPr>
            <w:tcW w:w="460" w:type="dxa"/>
            <w:vAlign w:val="bottom"/>
            <w:tcBorders>
              <w:top w:val="single" w:sz="8" w:color="B2B2B2"/>
              <w:bottom w:val="single" w:sz="8" w:color="auto"/>
            </w:tcBorders>
          </w:tcPr>
          <w:p>
            <w:pPr>
              <w:spacing w:after="0" w:line="20" w:lineRule="exact"/>
              <w:rPr>
                <w:sz w:val="1"/>
                <w:szCs w:val="1"/>
                <w:color w:val="auto"/>
              </w:rPr>
            </w:pPr>
          </w:p>
        </w:tc>
        <w:tc>
          <w:tcPr>
            <w:tcW w:w="840" w:type="dxa"/>
            <w:vAlign w:val="bottom"/>
            <w:tcBorders>
              <w:top w:val="single" w:sz="8" w:color="B2B2B2"/>
              <w:bottom w:val="single" w:sz="8" w:color="auto"/>
            </w:tcBorders>
          </w:tcPr>
          <w:p>
            <w:pPr>
              <w:spacing w:after="0" w:line="20" w:lineRule="exact"/>
              <w:rPr>
                <w:sz w:val="1"/>
                <w:szCs w:val="1"/>
                <w:color w:val="auto"/>
              </w:rPr>
            </w:pPr>
          </w:p>
        </w:tc>
        <w:tc>
          <w:tcPr>
            <w:tcW w:w="80" w:type="dxa"/>
            <w:vAlign w:val="bottom"/>
            <w:tcBorders>
              <w:top w:val="single" w:sz="8" w:color="B2B2B2"/>
            </w:tcBorders>
          </w:tcPr>
          <w:p>
            <w:pPr>
              <w:spacing w:after="0" w:line="20" w:lineRule="exact"/>
              <w:rPr>
                <w:sz w:val="1"/>
                <w:szCs w:val="1"/>
                <w:color w:val="auto"/>
              </w:rPr>
            </w:pPr>
          </w:p>
        </w:tc>
        <w:tc>
          <w:tcPr>
            <w:tcW w:w="300" w:type="dxa"/>
            <w:vAlign w:val="bottom"/>
            <w:tcBorders>
              <w:top w:val="single" w:sz="8" w:color="B2B2B2"/>
              <w:bottom w:val="single" w:sz="8" w:color="auto"/>
            </w:tcBorders>
          </w:tcPr>
          <w:p>
            <w:pPr>
              <w:spacing w:after="0" w:line="20" w:lineRule="exact"/>
              <w:rPr>
                <w:sz w:val="1"/>
                <w:szCs w:val="1"/>
                <w:color w:val="auto"/>
              </w:rPr>
            </w:pPr>
          </w:p>
        </w:tc>
        <w:tc>
          <w:tcPr>
            <w:tcW w:w="980" w:type="dxa"/>
            <w:vAlign w:val="bottom"/>
            <w:tcBorders>
              <w:top w:val="single" w:sz="8" w:color="B2B2B2"/>
              <w:bottom w:val="single" w:sz="8" w:color="auto"/>
            </w:tcBorders>
          </w:tcPr>
          <w:p>
            <w:pPr>
              <w:spacing w:after="0" w:line="20" w:lineRule="exact"/>
              <w:rPr>
                <w:sz w:val="1"/>
                <w:szCs w:val="1"/>
                <w:color w:val="auto"/>
              </w:rPr>
            </w:pPr>
          </w:p>
        </w:tc>
        <w:tc>
          <w:tcPr>
            <w:tcW w:w="100" w:type="dxa"/>
            <w:vAlign w:val="bottom"/>
            <w:tcBorders>
              <w:top w:val="single" w:sz="8" w:color="B2B2B2"/>
            </w:tcBorders>
          </w:tcPr>
          <w:p>
            <w:pPr>
              <w:spacing w:after="0" w:line="20" w:lineRule="exact"/>
              <w:rPr>
                <w:sz w:val="1"/>
                <w:szCs w:val="1"/>
                <w:color w:val="auto"/>
              </w:rPr>
            </w:pPr>
          </w:p>
        </w:tc>
        <w:tc>
          <w:tcPr>
            <w:tcW w:w="480" w:type="dxa"/>
            <w:vAlign w:val="bottom"/>
            <w:tcBorders>
              <w:top w:val="single" w:sz="8" w:color="B2B2B2"/>
              <w:bottom w:val="single" w:sz="8" w:color="auto"/>
            </w:tcBorders>
          </w:tcPr>
          <w:p>
            <w:pPr>
              <w:spacing w:after="0" w:line="20" w:lineRule="exact"/>
              <w:rPr>
                <w:sz w:val="1"/>
                <w:szCs w:val="1"/>
                <w:color w:val="auto"/>
              </w:rPr>
            </w:pPr>
          </w:p>
        </w:tc>
        <w:tc>
          <w:tcPr>
            <w:tcW w:w="820" w:type="dxa"/>
            <w:vAlign w:val="bottom"/>
            <w:tcBorders>
              <w:top w:val="single" w:sz="8" w:color="B2B2B2"/>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6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7440" w:type="dxa"/>
            <w:vAlign w:val="bottom"/>
            <w:tcBorders>
              <w:top w:val="single" w:sz="8" w:color="B2B2B2"/>
            </w:tcBorders>
            <w:shd w:val="clear" w:color="auto" w:fill="B2B2B2"/>
          </w:tcPr>
          <w:p>
            <w:pPr>
              <w:ind w:left="20"/>
              <w:spacing w:after="0"/>
              <w:rPr>
                <w:sz w:val="20"/>
                <w:szCs w:val="20"/>
                <w:color w:val="auto"/>
              </w:rPr>
            </w:pPr>
            <w:r>
              <w:rPr>
                <w:rFonts w:ascii="Arial" w:cs="Arial" w:eastAsia="Arial" w:hAnsi="Arial"/>
                <w:sz w:val="14"/>
                <w:szCs w:val="14"/>
                <w:color w:val="auto"/>
              </w:rPr>
              <w:t>ASSETS</w:t>
            </w:r>
          </w:p>
        </w:tc>
        <w:tc>
          <w:tcPr>
            <w:tcW w:w="160" w:type="dxa"/>
            <w:vAlign w:val="bottom"/>
            <w:tcBorders>
              <w:top w:val="single" w:sz="8" w:color="auto"/>
            </w:tcBorders>
            <w:shd w:val="clear" w:color="auto" w:fill="B2B2B2"/>
          </w:tcPr>
          <w:p>
            <w:pPr>
              <w:spacing w:after="0"/>
              <w:rPr>
                <w:sz w:val="17"/>
                <w:szCs w:val="17"/>
                <w:color w:val="auto"/>
              </w:rPr>
            </w:pPr>
          </w:p>
        </w:tc>
        <w:tc>
          <w:tcPr>
            <w:tcW w:w="1640" w:type="dxa"/>
            <w:vAlign w:val="bottom"/>
            <w:tcBorders>
              <w:top w:val="single" w:sz="8" w:color="auto"/>
            </w:tcBorders>
            <w:shd w:val="clear" w:color="auto" w:fill="B2B2B2"/>
          </w:tcPr>
          <w:p>
            <w:pPr>
              <w:spacing w:after="0"/>
              <w:rPr>
                <w:sz w:val="17"/>
                <w:szCs w:val="17"/>
                <w:color w:val="auto"/>
              </w:rPr>
            </w:pPr>
          </w:p>
        </w:tc>
        <w:tc>
          <w:tcPr>
            <w:tcW w:w="140" w:type="dxa"/>
            <w:vAlign w:val="bottom"/>
            <w:tcBorders>
              <w:top w:val="single" w:sz="8" w:color="B2B2B2"/>
            </w:tcBorders>
            <w:shd w:val="clear" w:color="auto" w:fill="B2B2B2"/>
          </w:tcPr>
          <w:p>
            <w:pPr>
              <w:spacing w:after="0"/>
              <w:rPr>
                <w:sz w:val="17"/>
                <w:szCs w:val="17"/>
                <w:color w:val="auto"/>
              </w:rPr>
            </w:pPr>
          </w:p>
        </w:tc>
        <w:tc>
          <w:tcPr>
            <w:tcW w:w="180" w:type="dxa"/>
            <w:vAlign w:val="bottom"/>
            <w:tcBorders>
              <w:top w:val="single" w:sz="8" w:color="auto"/>
            </w:tcBorders>
            <w:shd w:val="clear" w:color="auto" w:fill="B2B2B2"/>
          </w:tcPr>
          <w:p>
            <w:pPr>
              <w:spacing w:after="0"/>
              <w:rPr>
                <w:sz w:val="17"/>
                <w:szCs w:val="17"/>
                <w:color w:val="auto"/>
              </w:rPr>
            </w:pPr>
          </w:p>
        </w:tc>
        <w:tc>
          <w:tcPr>
            <w:tcW w:w="1680" w:type="dxa"/>
            <w:vAlign w:val="bottom"/>
            <w:tcBorders>
              <w:top w:val="single" w:sz="8" w:color="auto"/>
            </w:tcBorders>
            <w:shd w:val="clear" w:color="auto" w:fill="B2B2B2"/>
          </w:tcPr>
          <w:p>
            <w:pPr>
              <w:spacing w:after="0"/>
              <w:rPr>
                <w:sz w:val="17"/>
                <w:szCs w:val="17"/>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215,304</w:t>
            </w:r>
          </w:p>
        </w:tc>
        <w:tc>
          <w:tcPr>
            <w:tcW w:w="14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195,540</w:t>
            </w:r>
          </w:p>
        </w:tc>
      </w:tr>
      <w:tr>
        <w:trPr>
          <w:trHeight w:val="216"/>
        </w:trPr>
        <w:tc>
          <w:tcPr>
            <w:tcW w:w="7440" w:type="dxa"/>
            <w:vAlign w:val="bottom"/>
            <w:shd w:val="clear" w:color="auto" w:fill="B2B2B2"/>
          </w:tcPr>
          <w:p>
            <w:pPr>
              <w:ind w:left="14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B2B2B2"/>
          </w:tcPr>
          <w:p>
            <w:pPr>
              <w:spacing w:after="0"/>
              <w:rPr>
                <w:sz w:val="18"/>
                <w:szCs w:val="18"/>
                <w:color w:val="auto"/>
              </w:rPr>
            </w:pPr>
          </w:p>
        </w:tc>
        <w:tc>
          <w:tcPr>
            <w:tcW w:w="16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210,326</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218,271</w:t>
            </w:r>
          </w:p>
        </w:tc>
      </w:tr>
      <w:tr>
        <w:trPr>
          <w:trHeight w:val="216"/>
        </w:trPr>
        <w:tc>
          <w:tcPr>
            <w:tcW w:w="7440" w:type="dxa"/>
            <w:vAlign w:val="bottom"/>
          </w:tcPr>
          <w:p>
            <w:pPr>
              <w:ind w:left="140"/>
              <w:spacing w:after="0"/>
              <w:rPr>
                <w:sz w:val="20"/>
                <w:szCs w:val="20"/>
                <w:color w:val="auto"/>
              </w:rPr>
            </w:pPr>
            <w:r>
              <w:rPr>
                <w:rFonts w:ascii="Arial" w:cs="Arial" w:eastAsia="Arial" w:hAnsi="Arial"/>
                <w:sz w:val="14"/>
                <w:szCs w:val="14"/>
                <w:color w:val="auto"/>
              </w:rPr>
              <w:t>Contract assets,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104,853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79,070</w:t>
            </w:r>
          </w:p>
        </w:tc>
      </w:tr>
      <w:tr>
        <w:trPr>
          <w:trHeight w:val="216"/>
        </w:trPr>
        <w:tc>
          <w:tcPr>
            <w:tcW w:w="7440" w:type="dxa"/>
            <w:vAlign w:val="bottom"/>
            <w:shd w:val="clear" w:color="auto" w:fill="B2B2B2"/>
          </w:tcPr>
          <w:p>
            <w:pPr>
              <w:ind w:left="14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B2B2B2"/>
          </w:tcPr>
          <w:p>
            <w:pPr>
              <w:spacing w:after="0"/>
              <w:rPr>
                <w:sz w:val="18"/>
                <w:szCs w:val="18"/>
                <w:color w:val="auto"/>
              </w:rPr>
            </w:pPr>
          </w:p>
        </w:tc>
        <w:tc>
          <w:tcPr>
            <w:tcW w:w="16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113,107</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95,149</w:t>
            </w:r>
          </w:p>
        </w:tc>
      </w:tr>
      <w:tr>
        <w:trPr>
          <w:trHeight w:val="216"/>
        </w:trPr>
        <w:tc>
          <w:tcPr>
            <w:tcW w:w="7440" w:type="dxa"/>
            <w:vAlign w:val="bottom"/>
          </w:tcPr>
          <w:p>
            <w:pPr>
              <w:ind w:left="140"/>
              <w:spacing w:after="0"/>
              <w:rPr>
                <w:sz w:val="20"/>
                <w:szCs w:val="20"/>
                <w:color w:val="auto"/>
              </w:rPr>
            </w:pPr>
            <w:r>
              <w:rPr>
                <w:rFonts w:ascii="Arial" w:cs="Arial" w:eastAsia="Arial" w:hAnsi="Arial"/>
                <w:sz w:val="14"/>
                <w:szCs w:val="14"/>
                <w:color w:val="auto"/>
              </w:rPr>
              <w:t>Income taxes prepaid and receivable</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6,560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6,162</w:t>
            </w:r>
          </w:p>
        </w:tc>
      </w:tr>
      <w:tr>
        <w:trPr>
          <w:trHeight w:val="216"/>
        </w:trPr>
        <w:tc>
          <w:tcPr>
            <w:tcW w:w="7440" w:type="dxa"/>
            <w:vAlign w:val="bottom"/>
            <w:shd w:val="clear" w:color="auto" w:fill="B2B2B2"/>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B2B2B2"/>
          </w:tcPr>
          <w:p>
            <w:pPr>
              <w:spacing w:after="0"/>
              <w:rPr>
                <w:sz w:val="18"/>
                <w:szCs w:val="18"/>
                <w:color w:val="auto"/>
              </w:rPr>
            </w:pPr>
          </w:p>
        </w:tc>
        <w:tc>
          <w:tcPr>
            <w:tcW w:w="16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4"/>
                <w:szCs w:val="14"/>
                <w:color w:val="auto"/>
              </w:rPr>
              <w:t>30,485</w:t>
            </w:r>
          </w:p>
        </w:tc>
        <w:tc>
          <w:tcPr>
            <w:tcW w:w="140" w:type="dxa"/>
            <w:vAlign w:val="bottom"/>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4"/>
                <w:szCs w:val="14"/>
                <w:color w:val="auto"/>
              </w:rPr>
              <w:t>24,142</w:t>
            </w:r>
          </w:p>
        </w:tc>
      </w:tr>
      <w:tr>
        <w:trPr>
          <w:trHeight w:val="196"/>
        </w:trPr>
        <w:tc>
          <w:tcPr>
            <w:tcW w:w="744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680,635</w:t>
            </w:r>
          </w:p>
        </w:tc>
        <w:tc>
          <w:tcPr>
            <w:tcW w:w="14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618,334</w:t>
            </w:r>
          </w:p>
        </w:tc>
      </w:tr>
      <w:tr>
        <w:trPr>
          <w:trHeight w:val="216"/>
        </w:trPr>
        <w:tc>
          <w:tcPr>
            <w:tcW w:w="7440" w:type="dxa"/>
            <w:vAlign w:val="bottom"/>
            <w:shd w:val="clear" w:color="auto" w:fill="B2B2B2"/>
          </w:tcPr>
          <w:p>
            <w:pPr>
              <w:spacing w:after="0"/>
              <w:rPr>
                <w:sz w:val="18"/>
                <w:szCs w:val="18"/>
                <w:color w:val="auto"/>
              </w:rPr>
            </w:pPr>
          </w:p>
        </w:tc>
        <w:tc>
          <w:tcPr>
            <w:tcW w:w="160" w:type="dxa"/>
            <w:vAlign w:val="bottom"/>
            <w:shd w:val="clear" w:color="auto" w:fill="B2B2B2"/>
          </w:tcPr>
          <w:p>
            <w:pPr>
              <w:spacing w:after="0"/>
              <w:rPr>
                <w:sz w:val="18"/>
                <w:szCs w:val="18"/>
                <w:color w:val="auto"/>
              </w:rPr>
            </w:pPr>
          </w:p>
        </w:tc>
        <w:tc>
          <w:tcPr>
            <w:tcW w:w="1640" w:type="dxa"/>
            <w:vAlign w:val="bottom"/>
            <w:shd w:val="clear" w:color="auto" w:fill="B2B2B2"/>
          </w:tcPr>
          <w:p>
            <w:pPr>
              <w:spacing w:after="0"/>
              <w:rPr>
                <w:sz w:val="18"/>
                <w:szCs w:val="18"/>
                <w:color w:val="auto"/>
              </w:rPr>
            </w:pP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80" w:type="dxa"/>
            <w:vAlign w:val="bottom"/>
            <w:shd w:val="clear" w:color="auto" w:fill="B2B2B2"/>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442,469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466,462</w:t>
            </w:r>
          </w:p>
        </w:tc>
      </w:tr>
      <w:tr>
        <w:trPr>
          <w:trHeight w:val="216"/>
        </w:trPr>
        <w:tc>
          <w:tcPr>
            <w:tcW w:w="7440" w:type="dxa"/>
            <w:vAlign w:val="bottom"/>
            <w:shd w:val="clear" w:color="auto" w:fill="B2B2B2"/>
          </w:tcPr>
          <w:p>
            <w:pPr>
              <w:ind w:left="140"/>
              <w:spacing w:after="0"/>
              <w:rPr>
                <w:sz w:val="20"/>
                <w:szCs w:val="20"/>
                <w:color w:val="auto"/>
              </w:rPr>
            </w:pPr>
            <w:r>
              <w:rPr>
                <w:rFonts w:ascii="Arial" w:cs="Arial" w:eastAsia="Arial" w:hAnsi="Arial"/>
                <w:sz w:val="14"/>
                <w:szCs w:val="14"/>
                <w:color w:val="auto"/>
              </w:rPr>
              <w:t>Intangibles, net</w:t>
            </w:r>
          </w:p>
        </w:tc>
        <w:tc>
          <w:tcPr>
            <w:tcW w:w="160" w:type="dxa"/>
            <w:vAlign w:val="bottom"/>
            <w:shd w:val="clear" w:color="auto" w:fill="B2B2B2"/>
          </w:tcPr>
          <w:p>
            <w:pPr>
              <w:spacing w:after="0"/>
              <w:rPr>
                <w:sz w:val="18"/>
                <w:szCs w:val="18"/>
                <w:color w:val="auto"/>
              </w:rPr>
            </w:pPr>
          </w:p>
        </w:tc>
        <w:tc>
          <w:tcPr>
            <w:tcW w:w="16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48,281</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52,892</w:t>
            </w:r>
          </w:p>
        </w:tc>
      </w:tr>
      <w:tr>
        <w:trPr>
          <w:trHeight w:val="216"/>
        </w:trPr>
        <w:tc>
          <w:tcPr>
            <w:tcW w:w="7440" w:type="dxa"/>
            <w:vAlign w:val="bottom"/>
          </w:tcPr>
          <w:p>
            <w:pPr>
              <w:ind w:left="1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184,287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180,934</w:t>
            </w:r>
          </w:p>
        </w:tc>
      </w:tr>
      <w:tr>
        <w:trPr>
          <w:trHeight w:val="216"/>
        </w:trPr>
        <w:tc>
          <w:tcPr>
            <w:tcW w:w="7440" w:type="dxa"/>
            <w:vAlign w:val="bottom"/>
            <w:shd w:val="clear" w:color="auto" w:fill="B2B2B2"/>
          </w:tcPr>
          <w:p>
            <w:pPr>
              <w:ind w:left="1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B2B2B2"/>
          </w:tcPr>
          <w:p>
            <w:pPr>
              <w:spacing w:after="0"/>
              <w:rPr>
                <w:sz w:val="18"/>
                <w:szCs w:val="18"/>
                <w:color w:val="auto"/>
              </w:rPr>
            </w:pPr>
          </w:p>
        </w:tc>
        <w:tc>
          <w:tcPr>
            <w:tcW w:w="164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38,387</w:t>
            </w:r>
          </w:p>
        </w:tc>
        <w:tc>
          <w:tcPr>
            <w:tcW w:w="140" w:type="dxa"/>
            <w:vAlign w:val="bottom"/>
            <w:shd w:val="clear" w:color="auto" w:fill="B2B2B2"/>
          </w:tcPr>
          <w:p>
            <w:pPr>
              <w:spacing w:after="0"/>
              <w:rPr>
                <w:sz w:val="18"/>
                <w:szCs w:val="18"/>
                <w:color w:val="auto"/>
              </w:rPr>
            </w:pPr>
          </w:p>
        </w:tc>
        <w:tc>
          <w:tcPr>
            <w:tcW w:w="180" w:type="dxa"/>
            <w:vAlign w:val="bottom"/>
            <w:shd w:val="clear" w:color="auto" w:fill="B2B2B2"/>
          </w:tcPr>
          <w:p>
            <w:pPr>
              <w:spacing w:after="0"/>
              <w:rPr>
                <w:sz w:val="18"/>
                <w:szCs w:val="18"/>
                <w:color w:val="auto"/>
              </w:rPr>
            </w:pPr>
          </w:p>
        </w:tc>
        <w:tc>
          <w:tcPr>
            <w:tcW w:w="16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51,621</w:t>
            </w:r>
          </w:p>
        </w:tc>
      </w:tr>
      <w:tr>
        <w:trPr>
          <w:trHeight w:val="216"/>
        </w:trPr>
        <w:tc>
          <w:tcPr>
            <w:tcW w:w="7440" w:type="dxa"/>
            <w:vAlign w:val="bottom"/>
          </w:tcPr>
          <w:p>
            <w:pPr>
              <w:ind w:left="140"/>
              <w:spacing w:after="0"/>
              <w:rPr>
                <w:sz w:val="20"/>
                <w:szCs w:val="20"/>
                <w:color w:val="auto"/>
              </w:rPr>
            </w:pPr>
            <w:r>
              <w:rPr>
                <w:rFonts w:ascii="Arial" w:cs="Arial" w:eastAsia="Arial" w:hAnsi="Arial"/>
                <w:sz w:val="14"/>
                <w:szCs w:val="14"/>
                <w:color w:val="auto"/>
              </w:rPr>
              <w:t>Noncurrent receivables, net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36,228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41,234</w:t>
            </w:r>
          </w:p>
        </w:tc>
      </w:tr>
      <w:tr>
        <w:trPr>
          <w:trHeight w:val="216"/>
        </w:trPr>
        <w:tc>
          <w:tcPr>
            <w:tcW w:w="7440" w:type="dxa"/>
            <w:vAlign w:val="bottom"/>
            <w:shd w:val="clear" w:color="auto" w:fill="B2B2B2"/>
          </w:tcPr>
          <w:p>
            <w:pPr>
              <w:ind w:left="14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B2B2B2"/>
          </w:tcPr>
          <w:p>
            <w:pPr>
              <w:spacing w:after="0"/>
              <w:rPr>
                <w:sz w:val="18"/>
                <w:szCs w:val="18"/>
                <w:color w:val="auto"/>
              </w:rPr>
            </w:pPr>
          </w:p>
        </w:tc>
        <w:tc>
          <w:tcPr>
            <w:tcW w:w="164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4"/>
                <w:szCs w:val="14"/>
                <w:color w:val="auto"/>
              </w:rPr>
              <w:t>60,405</w:t>
            </w:r>
          </w:p>
        </w:tc>
        <w:tc>
          <w:tcPr>
            <w:tcW w:w="140" w:type="dxa"/>
            <w:vAlign w:val="bottom"/>
            <w:shd w:val="clear" w:color="auto" w:fill="B2B2B2"/>
          </w:tcPr>
          <w:p>
            <w:pPr>
              <w:spacing w:after="0"/>
              <w:rPr>
                <w:sz w:val="18"/>
                <w:szCs w:val="18"/>
                <w:color w:val="auto"/>
              </w:rPr>
            </w:pPr>
          </w:p>
        </w:tc>
        <w:tc>
          <w:tcPr>
            <w:tcW w:w="180" w:type="dxa"/>
            <w:vAlign w:val="bottom"/>
            <w:tcBorders>
              <w:bottom w:val="single" w:sz="8" w:color="auto"/>
            </w:tcBorders>
            <w:shd w:val="clear" w:color="auto" w:fill="B2B2B2"/>
          </w:tcPr>
          <w:p>
            <w:pPr>
              <w:spacing w:after="0"/>
              <w:rPr>
                <w:sz w:val="18"/>
                <w:szCs w:val="18"/>
                <w:color w:val="auto"/>
              </w:rPr>
            </w:pPr>
          </w:p>
        </w:tc>
        <w:tc>
          <w:tcPr>
            <w:tcW w:w="16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4"/>
                <w:szCs w:val="14"/>
                <w:color w:val="auto"/>
              </w:rPr>
              <w:t>62,891</w:t>
            </w:r>
          </w:p>
        </w:tc>
      </w:tr>
      <w:tr>
        <w:trPr>
          <w:trHeight w:val="183"/>
        </w:trPr>
        <w:tc>
          <w:tcPr>
            <w:tcW w:w="744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1,490,692</w:t>
            </w:r>
          </w:p>
        </w:tc>
        <w:tc>
          <w:tcPr>
            <w:tcW w:w="14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1,474,368</w:t>
            </w:r>
          </w:p>
        </w:tc>
      </w:tr>
      <w:tr>
        <w:trPr>
          <w:trHeight w:val="20"/>
        </w:trPr>
        <w:tc>
          <w:tcPr>
            <w:tcW w:w="7440" w:type="dxa"/>
            <w:vAlign w:val="bottom"/>
            <w:tcBorders>
              <w:bottom w:val="single" w:sz="8" w:color="B2B2B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B2B2B2"/>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B2B2B2"/>
          </w:tcPr>
          <w:p>
            <w:pPr>
              <w:spacing w:after="0"/>
              <w:rPr>
                <w:sz w:val="15"/>
                <w:szCs w:val="15"/>
                <w:color w:val="auto"/>
              </w:rPr>
            </w:pPr>
          </w:p>
        </w:tc>
        <w:tc>
          <w:tcPr>
            <w:tcW w:w="160" w:type="dxa"/>
            <w:vAlign w:val="bottom"/>
            <w:shd w:val="clear" w:color="auto" w:fill="B2B2B2"/>
          </w:tcPr>
          <w:p>
            <w:pPr>
              <w:spacing w:after="0"/>
              <w:rPr>
                <w:sz w:val="15"/>
                <w:szCs w:val="15"/>
                <w:color w:val="auto"/>
              </w:rPr>
            </w:pPr>
          </w:p>
        </w:tc>
        <w:tc>
          <w:tcPr>
            <w:tcW w:w="1640" w:type="dxa"/>
            <w:vAlign w:val="bottom"/>
            <w:shd w:val="clear" w:color="auto" w:fill="B2B2B2"/>
          </w:tcPr>
          <w:p>
            <w:pPr>
              <w:spacing w:after="0"/>
              <w:rPr>
                <w:sz w:val="15"/>
                <w:szCs w:val="15"/>
                <w:color w:val="auto"/>
              </w:rPr>
            </w:pPr>
          </w:p>
        </w:tc>
        <w:tc>
          <w:tcPr>
            <w:tcW w:w="140" w:type="dxa"/>
            <w:vAlign w:val="bottom"/>
            <w:shd w:val="clear" w:color="auto" w:fill="B2B2B2"/>
          </w:tcPr>
          <w:p>
            <w:pPr>
              <w:spacing w:after="0"/>
              <w:rPr>
                <w:sz w:val="15"/>
                <w:szCs w:val="15"/>
                <w:color w:val="auto"/>
              </w:rPr>
            </w:pPr>
          </w:p>
        </w:tc>
        <w:tc>
          <w:tcPr>
            <w:tcW w:w="180" w:type="dxa"/>
            <w:vAlign w:val="bottom"/>
            <w:shd w:val="clear" w:color="auto" w:fill="B2B2B2"/>
          </w:tcPr>
          <w:p>
            <w:pPr>
              <w:spacing w:after="0"/>
              <w:rPr>
                <w:sz w:val="15"/>
                <w:szCs w:val="15"/>
                <w:color w:val="auto"/>
              </w:rPr>
            </w:pPr>
          </w:p>
        </w:tc>
        <w:tc>
          <w:tcPr>
            <w:tcW w:w="1680" w:type="dxa"/>
            <w:vAlign w:val="bottom"/>
            <w:shd w:val="clear" w:color="auto" w:fill="B2B2B2"/>
          </w:tcPr>
          <w:p>
            <w:pPr>
              <w:spacing w:after="0"/>
              <w:rPr>
                <w:sz w:val="15"/>
                <w:szCs w:val="15"/>
                <w:color w:val="auto"/>
              </w:rPr>
            </w:pPr>
          </w:p>
        </w:tc>
      </w:tr>
    </w:tbl>
    <w:p>
      <w:pPr>
        <w:spacing w:after="0" w:line="14" w:lineRule="exact"/>
        <w:rPr>
          <w:sz w:val="20"/>
          <w:szCs w:val="20"/>
          <w:color w:val="auto"/>
        </w:rPr>
      </w:pPr>
    </w:p>
    <w:p>
      <w:pPr>
        <w:sectPr>
          <w:pgSz w:w="11900" w:h="16838" w:orient="portrait"/>
          <w:cols w:equalWidth="0" w:num="1">
            <w:col w:w="11240"/>
          </w:cols>
          <w:pgMar w:left="320" w:top="118" w:right="339" w:bottom="1440" w:gutter="0" w:footer="0" w:header="0"/>
        </w:sectPr>
      </w:pPr>
    </w:p>
    <w:p>
      <w:pPr>
        <w:ind w:left="20"/>
        <w:spacing w:after="0"/>
        <w:rPr>
          <w:sz w:val="20"/>
          <w:szCs w:val="20"/>
          <w:color w:val="auto"/>
        </w:rPr>
      </w:pPr>
      <w:r>
        <w:rPr>
          <w:rFonts w:ascii="Arial" w:cs="Arial" w:eastAsia="Arial" w:hAnsi="Arial"/>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tabs>
          <w:tab w:leader="none" w:pos="7440" w:val="left"/>
        </w:tabs>
        <w:rPr>
          <w:sz w:val="20"/>
          <w:szCs w:val="20"/>
          <w:color w:val="auto"/>
        </w:rPr>
      </w:pPr>
      <w:r>
        <w:rPr>
          <w:rFonts w:ascii="Arial" w:cs="Arial" w:eastAsia="Arial" w:hAnsi="Arial"/>
          <w:sz w:val="14"/>
          <w:szCs w:val="14"/>
          <w:color w:val="auto"/>
        </w:rPr>
        <w:t>Accounts payable</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maturities of long-term debt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Long-term debt</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Deferred taxes and other liabilities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Preferred stock, par value $5.00 per share; authorized 2,000,000 shares; none issued</w:t>
      </w:r>
    </w:p>
    <w:p>
      <w:pPr>
        <w:spacing w:after="0" w:line="33" w:lineRule="exact"/>
        <w:rPr>
          <w:sz w:val="20"/>
          <w:szCs w:val="20"/>
          <w:color w:val="auto"/>
        </w:rPr>
      </w:pPr>
    </w:p>
    <w:p>
      <w:pPr>
        <w:ind w:left="140" w:right="540"/>
        <w:spacing w:after="0" w:line="241" w:lineRule="auto"/>
        <w:rPr>
          <w:sz w:val="20"/>
          <w:szCs w:val="20"/>
          <w:color w:val="auto"/>
        </w:rPr>
      </w:pPr>
      <w:r>
        <w:rPr>
          <w:rFonts w:ascii="Arial" w:cs="Arial" w:eastAsia="Arial" w:hAnsi="Arial"/>
          <w:sz w:val="14"/>
          <w:szCs w:val="14"/>
          <w:color w:val="auto"/>
        </w:rPr>
        <w:t>Class A Common Stock, par value $0.001 per share; authorized 100,000,000 shares; 39,113,172 issued in 2020 and 39,098,792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40" w:right="1600"/>
        <w:spacing w:after="0" w:line="243" w:lineRule="auto"/>
        <w:rPr>
          <w:sz w:val="20"/>
          <w:szCs w:val="20"/>
          <w:color w:val="auto"/>
        </w:rPr>
      </w:pPr>
      <w:r>
        <w:rPr>
          <w:rFonts w:ascii="Arial" w:cs="Arial" w:eastAsia="Arial" w:hAnsi="Arial"/>
          <w:sz w:val="14"/>
          <w:szCs w:val="14"/>
          <w:color w:val="auto"/>
        </w:rPr>
        <w:t>Class B Common Stock, par value $0.001 per share; authorized 25,000,000 shares; issued and outstanding 1,617,998 in 2020 and 2019</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Retained earnings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Accumulated items of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Translation adjustments</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Pension and postretirement liability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Derivative valuation adjustment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Treasury stock (Class A), at cost; 8,394,022 shares in 2020 and 8,408,770 shares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 Company shareholders' equity</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equity</w:t>
      </w:r>
    </w:p>
    <w:p>
      <w:pPr>
        <w:spacing w:after="0" w:line="55" w:lineRule="exact"/>
        <w:rPr>
          <w:sz w:val="20"/>
          <w:szCs w:val="20"/>
          <w:color w:val="auto"/>
        </w:rPr>
      </w:pPr>
    </w:p>
    <w:p>
      <w:pPr>
        <w:ind w:left="220"/>
        <w:spacing w:after="0"/>
        <w:tabs>
          <w:tab w:leader="none" w:pos="7440" w:val="left"/>
        </w:tabs>
        <w:rPr>
          <w:sz w:val="20"/>
          <w:szCs w:val="20"/>
          <w:color w:val="auto"/>
        </w:rPr>
      </w:pPr>
      <w:r>
        <w:rPr>
          <w:rFonts w:ascii="Arial" w:cs="Arial" w:eastAsia="Arial" w:hAnsi="Arial"/>
          <w:sz w:val="14"/>
          <w:szCs w:val="14"/>
          <w:color w:val="auto"/>
        </w:rPr>
        <w:t>Total liabilities and shareholders'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46,740</w:t>
            </w: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65,203</w:t>
            </w:r>
          </w:p>
        </w:tc>
      </w:tr>
      <w:tr>
        <w:trPr>
          <w:trHeight w:val="216"/>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119,221</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125,885</w:t>
            </w:r>
          </w:p>
        </w:tc>
      </w:tr>
      <w:tr>
        <w:trPr>
          <w:trHeight w:val="216"/>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1"/>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12,936</w:t>
            </w: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11,611</w:t>
            </w:r>
          </w:p>
        </w:tc>
      </w:tr>
      <w:tr>
        <w:trPr>
          <w:trHeight w:val="201"/>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178,909</w:t>
            </w:r>
          </w:p>
        </w:tc>
        <w:tc>
          <w:tcPr>
            <w:tcW w:w="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202,719</w:t>
            </w:r>
          </w:p>
        </w:tc>
      </w:tr>
      <w:tr>
        <w:trPr>
          <w:trHeight w:val="432"/>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418,000</w:t>
            </w:r>
          </w:p>
        </w:tc>
        <w:tc>
          <w:tcPr>
            <w:tcW w:w="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424,009</w:t>
            </w:r>
          </w:p>
        </w:tc>
      </w:tr>
      <w:tr>
        <w:trPr>
          <w:trHeight w:val="216"/>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134,903</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132,725</w:t>
            </w:r>
          </w:p>
        </w:tc>
      </w:tr>
      <w:tr>
        <w:trPr>
          <w:trHeight w:val="211"/>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9,022</w:t>
            </w: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12,226</w:t>
            </w:r>
          </w:p>
        </w:tc>
      </w:tr>
      <w:tr>
        <w:trPr>
          <w:trHeight w:val="196"/>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740,834</w:t>
            </w:r>
          </w:p>
        </w:tc>
        <w:tc>
          <w:tcPr>
            <w:tcW w:w="6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771,679</w:t>
            </w:r>
          </w:p>
        </w:tc>
      </w:tr>
      <w:tr>
        <w:trPr>
          <w:trHeight w:val="613"/>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318"/>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39</w:t>
            </w:r>
          </w:p>
        </w:tc>
        <w:tc>
          <w:tcPr>
            <w:tcW w:w="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24"/>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432,823</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432,518</w:t>
            </w:r>
          </w:p>
        </w:tc>
      </w:tr>
      <w:tr>
        <w:trPr>
          <w:trHeight w:val="216"/>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749,678</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698,496</w:t>
            </w:r>
          </w:p>
        </w:tc>
      </w:tr>
      <w:tr>
        <w:trPr>
          <w:trHeight w:val="432"/>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(119,814)</w:t>
            </w:r>
          </w:p>
        </w:tc>
        <w:tc>
          <w:tcPr>
            <w:tcW w:w="6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(122,852)</w:t>
            </w:r>
          </w:p>
        </w:tc>
      </w:tr>
      <w:tr>
        <w:trPr>
          <w:trHeight w:val="216"/>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(49,436)</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(49,994)</w:t>
            </w:r>
          </w:p>
        </w:tc>
      </w:tr>
      <w:tr>
        <w:trPr>
          <w:trHeight w:val="211"/>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(10,409)</w:t>
            </w:r>
          </w:p>
        </w:tc>
        <w:tc>
          <w:tcPr>
            <w:tcW w:w="6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(3,135)</w:t>
            </w:r>
          </w:p>
        </w:tc>
      </w:tr>
      <w:tr>
        <w:trPr>
          <w:trHeight w:val="189"/>
        </w:trPr>
        <w:tc>
          <w:tcPr>
            <w:tcW w:w="840" w:type="dxa"/>
            <w:vAlign w:val="bottom"/>
          </w:tcPr>
          <w:p>
            <w:pPr>
              <w:jc w:val="right"/>
              <w:ind w:right="88"/>
              <w:spacing w:after="0"/>
              <w:rPr>
                <w:sz w:val="20"/>
                <w:szCs w:val="20"/>
                <w:color w:val="auto"/>
              </w:rPr>
            </w:pPr>
            <w:r>
              <w:rPr>
                <w:rFonts w:ascii="Arial" w:cs="Arial" w:eastAsia="Arial" w:hAnsi="Arial"/>
                <w:sz w:val="14"/>
                <w:szCs w:val="14"/>
                <w:color w:val="auto"/>
              </w:rPr>
              <w:t>(256,074)</w:t>
            </w: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(256,391)</w:t>
            </w:r>
          </w:p>
        </w:tc>
      </w:tr>
      <w:tr>
        <w:trPr>
          <w:trHeight w:val="201"/>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746,809</w:t>
            </w:r>
          </w:p>
        </w:tc>
        <w:tc>
          <w:tcPr>
            <w:tcW w:w="6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698,683</w:t>
            </w:r>
          </w:p>
        </w:tc>
      </w:tr>
      <w:tr>
        <w:trPr>
          <w:trHeight w:val="211"/>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3,049</w:t>
            </w: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4,006</w:t>
            </w:r>
          </w:p>
        </w:tc>
      </w:tr>
      <w:tr>
        <w:trPr>
          <w:trHeight w:val="196"/>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749,858</w:t>
            </w:r>
          </w:p>
        </w:tc>
        <w:tc>
          <w:tcPr>
            <w:tcW w:w="6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702,689</w:t>
            </w:r>
          </w:p>
        </w:tc>
      </w:tr>
      <w:tr>
        <w:trPr>
          <w:trHeight w:val="183"/>
        </w:trPr>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1,490,692</w:t>
            </w: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1,474,368</w:t>
            </w:r>
          </w:p>
        </w:tc>
      </w:tr>
      <w:tr>
        <w:trPr>
          <w:trHeight w:val="20"/>
        </w:trPr>
        <w:tc>
          <w:tcPr>
            <w:tcW w:w="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-33655</wp:posOffset>
            </wp:positionV>
            <wp:extent cx="11398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-8255</wp:posOffset>
            </wp:positionV>
            <wp:extent cx="11398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39825"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-161925</wp:posOffset>
            </wp:positionV>
            <wp:extent cx="11398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39825" cy="8890"/>
                    </a:xfrm>
                    <a:prstGeom prst="rect">
                      <a:avLst/>
                    </a:prstGeom>
                    <a:noFill/>
                  </pic:spPr>
                </pic:pic>
              </a:graphicData>
            </a:graphic>
          </wp:anchor>
        </w:drawing>
        <w:drawing>
          <wp:anchor simplePos="0" relativeHeight="251657728" behindDoc="1" locked="0" layoutInCell="0" allowOverlap="1">
            <wp:simplePos x="0" y="0"/>
            <wp:positionH relativeFrom="column">
              <wp:posOffset>-694055</wp:posOffset>
            </wp:positionH>
            <wp:positionV relativeFrom="paragraph">
              <wp:posOffset>-2459355</wp:posOffset>
            </wp:positionV>
            <wp:extent cx="11398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7820" w:space="720"/>
            <w:col w:w="2700"/>
          </w:cols>
          <w:pgMar w:left="320" w:top="118" w:right="339" w:bottom="1440" w:gutter="0" w:footer="0" w:header="0"/>
          <w:type w:val="continuous"/>
        </w:sect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20" w:type="dxa"/>
            <w:vAlign w:val="bottom"/>
            <w:tcBorders>
              <w:bottom w:val="single" w:sz="8" w:color="B2B2B2"/>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B2B2B2"/>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B2B2B2"/>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B2B2B2"/>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169"/>
        </w:trPr>
        <w:tc>
          <w:tcPr>
            <w:tcW w:w="5820" w:type="dxa"/>
            <w:vAlign w:val="bottom"/>
            <w:shd w:val="clear" w:color="auto" w:fill="B2B2B2"/>
          </w:tcPr>
          <w:p>
            <w:pPr>
              <w:ind w:left="20"/>
              <w:spacing w:after="0"/>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B2B2B2"/>
          </w:tcPr>
          <w:p>
            <w:pPr>
              <w:spacing w:after="0"/>
              <w:rPr>
                <w:sz w:val="14"/>
                <w:szCs w:val="14"/>
                <w:color w:val="auto"/>
              </w:rPr>
            </w:pPr>
          </w:p>
        </w:tc>
        <w:tc>
          <w:tcPr>
            <w:tcW w:w="116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80" w:type="dxa"/>
            <w:vAlign w:val="bottom"/>
            <w:shd w:val="clear" w:color="auto" w:fill="B2B2B2"/>
          </w:tcPr>
          <w:p>
            <w:pPr>
              <w:spacing w:after="0"/>
              <w:rPr>
                <w:sz w:val="14"/>
                <w:szCs w:val="14"/>
                <w:color w:val="auto"/>
              </w:rPr>
            </w:pPr>
          </w:p>
        </w:tc>
        <w:tc>
          <w:tcPr>
            <w:tcW w:w="100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116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280" w:type="dxa"/>
            <w:vAlign w:val="bottom"/>
            <w:shd w:val="clear" w:color="auto" w:fill="B2B2B2"/>
          </w:tcPr>
          <w:p>
            <w:pPr>
              <w:spacing w:after="0"/>
              <w:rPr>
                <w:sz w:val="14"/>
                <w:szCs w:val="14"/>
                <w:color w:val="auto"/>
              </w:rPr>
            </w:pPr>
          </w:p>
        </w:tc>
        <w:tc>
          <w:tcPr>
            <w:tcW w:w="980" w:type="dxa"/>
            <w:vAlign w:val="bottom"/>
            <w:shd w:val="clear" w:color="auto" w:fill="B2B2B2"/>
          </w:tcPr>
          <w:p>
            <w:pPr>
              <w:spacing w:after="0"/>
              <w:rPr>
                <w:sz w:val="14"/>
                <w:szCs w:val="14"/>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29,590</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40,125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69,633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103,792</w:t>
            </w:r>
          </w:p>
        </w:tc>
      </w:tr>
      <w:tr>
        <w:trPr>
          <w:trHeight w:val="189"/>
        </w:trPr>
        <w:tc>
          <w:tcPr>
            <w:tcW w:w="5820" w:type="dxa"/>
            <w:vAlign w:val="bottom"/>
            <w:shd w:val="clear" w:color="auto" w:fill="B2B2B2"/>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spacing w:after="0"/>
              <w:rPr>
                <w:sz w:val="16"/>
                <w:szCs w:val="16"/>
                <w:color w:val="auto"/>
              </w:rPr>
            </w:pP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16,285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15,672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47,289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46,659</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Amortization</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1,997</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1,582</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auto"/>
              </w:rPr>
              <w:t>7,017</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6,305</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Change in deferred taxes and other liabilities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12,434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12,802</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Provision for write-off of property, plant and equipment</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1,101</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Non-cash interest (income)/expense</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454</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Compensation and benefits paid or payable in Class A Common Stock</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790</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1,413</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Fair value adjustment on foreign currency option</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Provision for credit losses from uncollected receivables and contract assets</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auto"/>
              </w:rPr>
              <w:t>1,664</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1,136</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Foreign currency remeasurement loss/(gain) on intercompany loans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15,750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(2,656)</w:t>
            </w:r>
          </w:p>
        </w:tc>
      </w:tr>
      <w:tr>
        <w:trPr>
          <w:trHeight w:val="162"/>
        </w:trPr>
        <w:tc>
          <w:tcPr>
            <w:tcW w:w="582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116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280" w:type="dxa"/>
            <w:vAlign w:val="bottom"/>
            <w:shd w:val="clear" w:color="auto" w:fill="B2B2B2"/>
          </w:tcPr>
          <w:p>
            <w:pPr>
              <w:spacing w:after="0"/>
              <w:rPr>
                <w:sz w:val="14"/>
                <w:szCs w:val="14"/>
                <w:color w:val="auto"/>
              </w:rPr>
            </w:pPr>
          </w:p>
        </w:tc>
        <w:tc>
          <w:tcPr>
            <w:tcW w:w="100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120" w:type="dxa"/>
            <w:vAlign w:val="bottom"/>
            <w:shd w:val="clear" w:color="auto" w:fill="B2B2B2"/>
          </w:tcPr>
          <w:p>
            <w:pPr>
              <w:spacing w:after="0"/>
              <w:rPr>
                <w:sz w:val="14"/>
                <w:szCs w:val="14"/>
                <w:color w:val="auto"/>
              </w:rPr>
            </w:pPr>
          </w:p>
        </w:tc>
        <w:tc>
          <w:tcPr>
            <w:tcW w:w="1160" w:type="dxa"/>
            <w:vAlign w:val="bottom"/>
            <w:shd w:val="clear" w:color="auto" w:fill="B2B2B2"/>
          </w:tcPr>
          <w:p>
            <w:pPr>
              <w:spacing w:after="0"/>
              <w:rPr>
                <w:sz w:val="14"/>
                <w:szCs w:val="14"/>
                <w:color w:val="auto"/>
              </w:rPr>
            </w:pPr>
          </w:p>
        </w:tc>
        <w:tc>
          <w:tcPr>
            <w:tcW w:w="100" w:type="dxa"/>
            <w:vAlign w:val="bottom"/>
            <w:shd w:val="clear" w:color="auto" w:fill="B2B2B2"/>
          </w:tcPr>
          <w:p>
            <w:pPr>
              <w:spacing w:after="0"/>
              <w:rPr>
                <w:sz w:val="14"/>
                <w:szCs w:val="14"/>
                <w:color w:val="auto"/>
              </w:rPr>
            </w:pPr>
          </w:p>
        </w:tc>
        <w:tc>
          <w:tcPr>
            <w:tcW w:w="280" w:type="dxa"/>
            <w:vAlign w:val="bottom"/>
            <w:shd w:val="clear" w:color="auto" w:fill="B2B2B2"/>
          </w:tcPr>
          <w:p>
            <w:pPr>
              <w:spacing w:after="0"/>
              <w:rPr>
                <w:sz w:val="14"/>
                <w:szCs w:val="14"/>
                <w:color w:val="auto"/>
              </w:rPr>
            </w:pPr>
          </w:p>
        </w:tc>
        <w:tc>
          <w:tcPr>
            <w:tcW w:w="980" w:type="dxa"/>
            <w:vAlign w:val="bottom"/>
            <w:shd w:val="clear" w:color="auto" w:fill="B2B2B2"/>
          </w:tcPr>
          <w:p>
            <w:pPr>
              <w:spacing w:after="0"/>
              <w:rPr>
                <w:sz w:val="14"/>
                <w:szCs w:val="14"/>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that provided/(used) cash:</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Accounts receivable</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(2,048)</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(10,282)</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auto"/>
              </w:rPr>
              <w:t>6,069</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(8,276)</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Contract assets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(27,932)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(6,558)</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Inventories</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4,585</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(3,760)</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(20,043)</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(21,927)</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(4,057)</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Income taxes prepaid and receivable</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(662)</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662</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7,837</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Accrued liabilities</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2,838</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3,407</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(8,063)</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(8,762)</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Income taxes payable</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3,741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1,619</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Noncurrent receivables</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(679)</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Other noncurrent liabilities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(4,411)</w:t>
            </w: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shd w:val="clear" w:color="auto" w:fill="B2B2B2"/>
          </w:tcPr>
          <w:p>
            <w:pPr>
              <w:spacing w:after="0"/>
              <w:rPr>
                <w:sz w:val="16"/>
                <w:szCs w:val="16"/>
                <w:color w:val="auto"/>
              </w:rPr>
            </w:pPr>
          </w:p>
        </w:tc>
        <w:tc>
          <w:tcPr>
            <w:tcW w:w="1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B2B2B2"/>
          </w:tcPr>
          <w:p>
            <w:pPr>
              <w:spacing w:after="0"/>
              <w:rPr>
                <w:sz w:val="16"/>
                <w:szCs w:val="16"/>
                <w:color w:val="auto"/>
              </w:rPr>
            </w:pPr>
          </w:p>
        </w:tc>
        <w:tc>
          <w:tcPr>
            <w:tcW w:w="280" w:type="dxa"/>
            <w:vAlign w:val="bottom"/>
            <w:tcBorders>
              <w:bottom w:val="single" w:sz="8" w:color="auto"/>
            </w:tcBorders>
            <w:shd w:val="clear" w:color="auto" w:fill="B2B2B2"/>
          </w:tcPr>
          <w:p>
            <w:pPr>
              <w:spacing w:after="0"/>
              <w:rPr>
                <w:sz w:val="16"/>
                <w:szCs w:val="16"/>
                <w:color w:val="auto"/>
              </w:rPr>
            </w:pPr>
          </w:p>
        </w:tc>
        <w:tc>
          <w:tcPr>
            <w:tcW w:w="100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B2B2B2"/>
          </w:tcPr>
          <w:p>
            <w:pPr>
              <w:spacing w:after="0"/>
              <w:rPr>
                <w:sz w:val="16"/>
                <w:szCs w:val="16"/>
                <w:color w:val="auto"/>
              </w:rPr>
            </w:pPr>
          </w:p>
        </w:tc>
        <w:tc>
          <w:tcPr>
            <w:tcW w:w="120" w:type="dxa"/>
            <w:vAlign w:val="bottom"/>
            <w:tcBorders>
              <w:bottom w:val="single" w:sz="8" w:color="auto"/>
            </w:tcBorders>
            <w:shd w:val="clear" w:color="auto" w:fill="B2B2B2"/>
          </w:tcPr>
          <w:p>
            <w:pPr>
              <w:spacing w:after="0"/>
              <w:rPr>
                <w:sz w:val="16"/>
                <w:szCs w:val="16"/>
                <w:color w:val="auto"/>
              </w:rPr>
            </w:pPr>
          </w:p>
        </w:tc>
        <w:tc>
          <w:tcPr>
            <w:tcW w:w="116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B2B2B2"/>
          </w:tcPr>
          <w:p>
            <w:pPr>
              <w:spacing w:after="0"/>
              <w:rPr>
                <w:sz w:val="16"/>
                <w:szCs w:val="16"/>
                <w:color w:val="auto"/>
              </w:rPr>
            </w:pPr>
          </w:p>
        </w:tc>
        <w:tc>
          <w:tcPr>
            <w:tcW w:w="280" w:type="dxa"/>
            <w:vAlign w:val="bottom"/>
            <w:tcBorders>
              <w:bottom w:val="single" w:sz="8" w:color="auto"/>
            </w:tcBorders>
            <w:shd w:val="clear" w:color="auto" w:fill="B2B2B2"/>
          </w:tcPr>
          <w:p>
            <w:pPr>
              <w:spacing w:after="0"/>
              <w:rPr>
                <w:sz w:val="16"/>
                <w:szCs w:val="16"/>
                <w:color w:val="auto"/>
              </w:rPr>
            </w:pPr>
          </w:p>
        </w:tc>
        <w:tc>
          <w:tcPr>
            <w:tcW w:w="980" w:type="dxa"/>
            <w:vAlign w:val="bottom"/>
            <w:tcBorders>
              <w:bottom w:val="single" w:sz="8" w:color="auto"/>
            </w:tcBorders>
            <w:shd w:val="clear" w:color="auto" w:fill="B2B2B2"/>
          </w:tcPr>
          <w:p>
            <w:pPr>
              <w:jc w:val="right"/>
              <w:spacing w:after="0"/>
              <w:rPr>
                <w:sz w:val="20"/>
                <w:szCs w:val="20"/>
                <w:color w:val="auto"/>
              </w:rPr>
            </w:pPr>
            <w:r>
              <w:rPr>
                <w:rFonts w:ascii="Arial" w:cs="Arial" w:eastAsia="Arial" w:hAnsi="Arial"/>
                <w:sz w:val="14"/>
                <w:szCs w:val="14"/>
                <w:color w:val="auto"/>
              </w:rPr>
              <w:t>139</w:t>
            </w:r>
          </w:p>
        </w:tc>
      </w:tr>
      <w:tr>
        <w:trPr>
          <w:trHeight w:val="183"/>
        </w:trPr>
        <w:tc>
          <w:tcPr>
            <w:tcW w:w="5820" w:type="dxa"/>
            <w:vAlign w:val="bottom"/>
            <w:tcBorders>
              <w:bottom w:val="single" w:sz="8" w:color="B2B2B2"/>
            </w:tcBorders>
          </w:tcPr>
          <w:p>
            <w:pPr>
              <w:ind w:left="46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39,659</w:t>
            </w:r>
          </w:p>
        </w:tc>
        <w:tc>
          <w:tcPr>
            <w:tcW w:w="120" w:type="dxa"/>
            <w:vAlign w:val="bottom"/>
            <w:tcBorders>
              <w:bottom w:val="single" w:sz="8" w:color="B2B2B2"/>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43,497</w:t>
            </w:r>
          </w:p>
        </w:tc>
        <w:tc>
          <w:tcPr>
            <w:tcW w:w="100" w:type="dxa"/>
            <w:vAlign w:val="bottom"/>
            <w:tcBorders>
              <w:bottom w:val="single" w:sz="8" w:color="B2B2B2"/>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83,693</w:t>
            </w:r>
          </w:p>
        </w:tc>
        <w:tc>
          <w:tcPr>
            <w:tcW w:w="100" w:type="dxa"/>
            <w:vAlign w:val="bottom"/>
            <w:tcBorders>
              <w:bottom w:val="single" w:sz="8" w:color="B2B2B2"/>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126,593</w:t>
            </w:r>
          </w:p>
        </w:tc>
      </w:tr>
      <w:tr>
        <w:trPr>
          <w:trHeight w:val="128"/>
        </w:trPr>
        <w:tc>
          <w:tcPr>
            <w:tcW w:w="5820" w:type="dxa"/>
            <w:vAlign w:val="bottom"/>
            <w:shd w:val="clear" w:color="auto" w:fill="B2B2B2"/>
          </w:tcPr>
          <w:p>
            <w:pPr>
              <w:spacing w:after="0"/>
              <w:rPr>
                <w:sz w:val="11"/>
                <w:szCs w:val="11"/>
                <w:color w:val="auto"/>
              </w:rPr>
            </w:pPr>
          </w:p>
        </w:tc>
        <w:tc>
          <w:tcPr>
            <w:tcW w:w="120" w:type="dxa"/>
            <w:vAlign w:val="bottom"/>
            <w:shd w:val="clear" w:color="auto" w:fill="B2B2B2"/>
          </w:tcPr>
          <w:p>
            <w:pPr>
              <w:spacing w:after="0"/>
              <w:rPr>
                <w:sz w:val="11"/>
                <w:szCs w:val="11"/>
                <w:color w:val="auto"/>
              </w:rPr>
            </w:pPr>
          </w:p>
        </w:tc>
        <w:tc>
          <w:tcPr>
            <w:tcW w:w="1160" w:type="dxa"/>
            <w:vAlign w:val="bottom"/>
            <w:shd w:val="clear" w:color="auto" w:fill="B2B2B2"/>
          </w:tcPr>
          <w:p>
            <w:pPr>
              <w:spacing w:after="0"/>
              <w:rPr>
                <w:sz w:val="11"/>
                <w:szCs w:val="11"/>
                <w:color w:val="auto"/>
              </w:rPr>
            </w:pPr>
          </w:p>
        </w:tc>
        <w:tc>
          <w:tcPr>
            <w:tcW w:w="120" w:type="dxa"/>
            <w:vAlign w:val="bottom"/>
            <w:shd w:val="clear" w:color="auto" w:fill="B2B2B2"/>
          </w:tcPr>
          <w:p>
            <w:pPr>
              <w:spacing w:after="0"/>
              <w:rPr>
                <w:sz w:val="11"/>
                <w:szCs w:val="11"/>
                <w:color w:val="auto"/>
              </w:rPr>
            </w:pPr>
          </w:p>
        </w:tc>
        <w:tc>
          <w:tcPr>
            <w:tcW w:w="280" w:type="dxa"/>
            <w:vAlign w:val="bottom"/>
            <w:shd w:val="clear" w:color="auto" w:fill="B2B2B2"/>
          </w:tcPr>
          <w:p>
            <w:pPr>
              <w:spacing w:after="0"/>
              <w:rPr>
                <w:sz w:val="11"/>
                <w:szCs w:val="11"/>
                <w:color w:val="auto"/>
              </w:rPr>
            </w:pPr>
          </w:p>
        </w:tc>
        <w:tc>
          <w:tcPr>
            <w:tcW w:w="1000" w:type="dxa"/>
            <w:vAlign w:val="bottom"/>
            <w:shd w:val="clear" w:color="auto" w:fill="B2B2B2"/>
          </w:tcPr>
          <w:p>
            <w:pPr>
              <w:spacing w:after="0"/>
              <w:rPr>
                <w:sz w:val="11"/>
                <w:szCs w:val="11"/>
                <w:color w:val="auto"/>
              </w:rPr>
            </w:pPr>
          </w:p>
        </w:tc>
        <w:tc>
          <w:tcPr>
            <w:tcW w:w="100" w:type="dxa"/>
            <w:vAlign w:val="bottom"/>
            <w:shd w:val="clear" w:color="auto" w:fill="B2B2B2"/>
          </w:tcPr>
          <w:p>
            <w:pPr>
              <w:spacing w:after="0"/>
              <w:rPr>
                <w:sz w:val="11"/>
                <w:szCs w:val="11"/>
                <w:color w:val="auto"/>
              </w:rPr>
            </w:pPr>
          </w:p>
        </w:tc>
        <w:tc>
          <w:tcPr>
            <w:tcW w:w="120" w:type="dxa"/>
            <w:vAlign w:val="bottom"/>
            <w:shd w:val="clear" w:color="auto" w:fill="B2B2B2"/>
          </w:tcPr>
          <w:p>
            <w:pPr>
              <w:spacing w:after="0"/>
              <w:rPr>
                <w:sz w:val="11"/>
                <w:szCs w:val="11"/>
                <w:color w:val="auto"/>
              </w:rPr>
            </w:pPr>
          </w:p>
        </w:tc>
        <w:tc>
          <w:tcPr>
            <w:tcW w:w="1160" w:type="dxa"/>
            <w:vAlign w:val="bottom"/>
            <w:shd w:val="clear" w:color="auto" w:fill="B2B2B2"/>
          </w:tcPr>
          <w:p>
            <w:pPr>
              <w:spacing w:after="0"/>
              <w:rPr>
                <w:sz w:val="11"/>
                <w:szCs w:val="11"/>
                <w:color w:val="auto"/>
              </w:rPr>
            </w:pPr>
          </w:p>
        </w:tc>
        <w:tc>
          <w:tcPr>
            <w:tcW w:w="100" w:type="dxa"/>
            <w:vAlign w:val="bottom"/>
            <w:shd w:val="clear" w:color="auto" w:fill="B2B2B2"/>
          </w:tcPr>
          <w:p>
            <w:pPr>
              <w:spacing w:after="0"/>
              <w:rPr>
                <w:sz w:val="11"/>
                <w:szCs w:val="11"/>
                <w:color w:val="auto"/>
              </w:rPr>
            </w:pPr>
          </w:p>
        </w:tc>
        <w:tc>
          <w:tcPr>
            <w:tcW w:w="280" w:type="dxa"/>
            <w:vAlign w:val="bottom"/>
            <w:shd w:val="clear" w:color="auto" w:fill="B2B2B2"/>
          </w:tcPr>
          <w:p>
            <w:pPr>
              <w:spacing w:after="0"/>
              <w:rPr>
                <w:sz w:val="11"/>
                <w:szCs w:val="11"/>
                <w:color w:val="auto"/>
              </w:rPr>
            </w:pPr>
          </w:p>
        </w:tc>
        <w:tc>
          <w:tcPr>
            <w:tcW w:w="980" w:type="dxa"/>
            <w:vAlign w:val="bottom"/>
            <w:shd w:val="clear" w:color="auto" w:fill="B2B2B2"/>
          </w:tcPr>
          <w:p>
            <w:pPr>
              <w:spacing w:after="0"/>
              <w:rPr>
                <w:sz w:val="11"/>
                <w:szCs w:val="11"/>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INVESTING ACTIVITIES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820" w:type="dxa"/>
            <w:vAlign w:val="bottom"/>
            <w:shd w:val="clear" w:color="auto" w:fill="B2B2B2"/>
          </w:tcPr>
          <w:p>
            <w:pPr>
              <w:ind w:left="460"/>
              <w:spacing w:after="0"/>
              <w:rPr>
                <w:sz w:val="20"/>
                <w:szCs w:val="20"/>
                <w:color w:val="auto"/>
              </w:rPr>
            </w:pPr>
            <w:r>
              <w:rPr>
                <w:rFonts w:ascii="Arial" w:cs="Arial" w:eastAsia="Arial" w:hAnsi="Arial"/>
                <w:sz w:val="14"/>
                <w:szCs w:val="14"/>
                <w:color w:val="auto"/>
              </w:rPr>
              <w:t>Purchases of property, plant and equipment</w:t>
            </w: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(9,349)</w:t>
            </w:r>
          </w:p>
        </w:tc>
        <w:tc>
          <w:tcPr>
            <w:tcW w:w="12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1000" w:type="dxa"/>
            <w:vAlign w:val="bottom"/>
            <w:shd w:val="clear" w:color="auto" w:fill="B2B2B2"/>
          </w:tcPr>
          <w:p>
            <w:pPr>
              <w:jc w:val="right"/>
              <w:spacing w:after="0"/>
              <w:rPr>
                <w:sz w:val="20"/>
                <w:szCs w:val="20"/>
                <w:color w:val="auto"/>
              </w:rPr>
            </w:pPr>
            <w:r>
              <w:rPr>
                <w:rFonts w:ascii="Arial" w:cs="Arial" w:eastAsia="Arial" w:hAnsi="Arial"/>
                <w:sz w:val="14"/>
                <w:szCs w:val="14"/>
                <w:color w:val="auto"/>
              </w:rPr>
              <w:t>(13,442)</w:t>
            </w:r>
          </w:p>
        </w:tc>
        <w:tc>
          <w:tcPr>
            <w:tcW w:w="100" w:type="dxa"/>
            <w:vAlign w:val="bottom"/>
            <w:shd w:val="clear" w:color="auto" w:fill="B2B2B2"/>
          </w:tcPr>
          <w:p>
            <w:pPr>
              <w:spacing w:after="0"/>
              <w:rPr>
                <w:sz w:val="16"/>
                <w:szCs w:val="16"/>
                <w:color w:val="auto"/>
              </w:rPr>
            </w:pPr>
          </w:p>
        </w:tc>
        <w:tc>
          <w:tcPr>
            <w:tcW w:w="120" w:type="dxa"/>
            <w:vAlign w:val="bottom"/>
            <w:shd w:val="clear" w:color="auto" w:fill="B2B2B2"/>
          </w:tcPr>
          <w:p>
            <w:pPr>
              <w:spacing w:after="0"/>
              <w:rPr>
                <w:sz w:val="16"/>
                <w:szCs w:val="16"/>
                <w:color w:val="auto"/>
              </w:rPr>
            </w:pPr>
          </w:p>
        </w:tc>
        <w:tc>
          <w:tcPr>
            <w:tcW w:w="1160" w:type="dxa"/>
            <w:vAlign w:val="bottom"/>
            <w:shd w:val="clear" w:color="auto" w:fill="B2B2B2"/>
          </w:tcPr>
          <w:p>
            <w:pPr>
              <w:jc w:val="right"/>
              <w:spacing w:after="0"/>
              <w:rPr>
                <w:sz w:val="20"/>
                <w:szCs w:val="20"/>
                <w:color w:val="auto"/>
              </w:rPr>
            </w:pPr>
            <w:r>
              <w:rPr>
                <w:rFonts w:ascii="Arial" w:cs="Arial" w:eastAsia="Arial" w:hAnsi="Arial"/>
                <w:sz w:val="14"/>
                <w:szCs w:val="14"/>
                <w:color w:val="auto"/>
              </w:rPr>
              <w:t>(31,320)</w:t>
            </w:r>
          </w:p>
        </w:tc>
        <w:tc>
          <w:tcPr>
            <w:tcW w:w="100" w:type="dxa"/>
            <w:vAlign w:val="bottom"/>
            <w:shd w:val="clear" w:color="auto" w:fill="B2B2B2"/>
          </w:tcPr>
          <w:p>
            <w:pPr>
              <w:spacing w:after="0"/>
              <w:rPr>
                <w:sz w:val="16"/>
                <w:szCs w:val="16"/>
                <w:color w:val="auto"/>
              </w:rPr>
            </w:pPr>
          </w:p>
        </w:tc>
        <w:tc>
          <w:tcPr>
            <w:tcW w:w="280" w:type="dxa"/>
            <w:vAlign w:val="bottom"/>
            <w:shd w:val="clear" w:color="auto" w:fill="B2B2B2"/>
          </w:tcPr>
          <w:p>
            <w:pPr>
              <w:spacing w:after="0"/>
              <w:rPr>
                <w:sz w:val="16"/>
                <w:szCs w:val="16"/>
                <w:color w:val="auto"/>
              </w:rPr>
            </w:pPr>
          </w:p>
        </w:tc>
        <w:tc>
          <w:tcPr>
            <w:tcW w:w="980" w:type="dxa"/>
            <w:vAlign w:val="bottom"/>
            <w:shd w:val="clear" w:color="auto" w:fill="B2B2B2"/>
          </w:tcPr>
          <w:p>
            <w:pPr>
              <w:jc w:val="right"/>
              <w:spacing w:after="0"/>
              <w:rPr>
                <w:sz w:val="20"/>
                <w:szCs w:val="20"/>
                <w:color w:val="auto"/>
              </w:rPr>
            </w:pPr>
            <w:r>
              <w:rPr>
                <w:rFonts w:ascii="Arial" w:cs="Arial" w:eastAsia="Arial" w:hAnsi="Arial"/>
                <w:sz w:val="14"/>
                <w:szCs w:val="14"/>
                <w:color w:val="auto"/>
              </w:rPr>
              <w:t>(48,846)</w:t>
            </w:r>
          </w:p>
        </w:tc>
      </w:tr>
      <w:tr>
        <w:trPr>
          <w:trHeight w:val="189"/>
        </w:trPr>
        <w:tc>
          <w:tcPr>
            <w:tcW w:w="5820" w:type="dxa"/>
            <w:vAlign w:val="bottom"/>
            <w:tcBorders>
              <w:bottom w:val="single" w:sz="8" w:color="B3B3B3"/>
            </w:tcBorders>
          </w:tcPr>
          <w:p>
            <w:pPr>
              <w:ind w:left="460"/>
              <w:spacing w:after="0"/>
              <w:rPr>
                <w:sz w:val="20"/>
                <w:szCs w:val="20"/>
                <w:color w:val="auto"/>
              </w:rPr>
            </w:pPr>
            <w:r>
              <w:rPr>
                <w:rFonts w:ascii="Arial" w:cs="Arial" w:eastAsia="Arial" w:hAnsi="Arial"/>
                <w:sz w:val="14"/>
                <w:szCs w:val="14"/>
                <w:color w:val="auto"/>
              </w:rPr>
              <w:t>Purchased software</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B3B3B3"/>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B3B3B3"/>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B3B3B3"/>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w:t>
            </w:r>
          </w:p>
        </w:tc>
      </w:tr>
      <w:tr>
        <w:trPr>
          <w:trHeight w:val="183"/>
        </w:trPr>
        <w:tc>
          <w:tcPr>
            <w:tcW w:w="5820" w:type="dxa"/>
            <w:vAlign w:val="bottom"/>
            <w:shd w:val="clear" w:color="auto" w:fill="B3B3B3"/>
          </w:tcPr>
          <w:p>
            <w:pPr>
              <w:ind w:left="46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Borders>
              <w:bottom w:val="single" w:sz="8" w:color="auto"/>
            </w:tcBorders>
            <w:shd w:val="clear" w:color="auto" w:fill="B3B3B3"/>
          </w:tcPr>
          <w:p>
            <w:pPr>
              <w:spacing w:after="0"/>
              <w:rPr>
                <w:sz w:val="15"/>
                <w:szCs w:val="15"/>
                <w:color w:val="auto"/>
              </w:rPr>
            </w:pPr>
          </w:p>
        </w:tc>
        <w:tc>
          <w:tcPr>
            <w:tcW w:w="1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(9,458)</w:t>
            </w:r>
          </w:p>
        </w:tc>
        <w:tc>
          <w:tcPr>
            <w:tcW w:w="120" w:type="dxa"/>
            <w:vAlign w:val="bottom"/>
            <w:shd w:val="clear" w:color="auto" w:fill="B3B3B3"/>
          </w:tcPr>
          <w:p>
            <w:pPr>
              <w:spacing w:after="0"/>
              <w:rPr>
                <w:sz w:val="15"/>
                <w:szCs w:val="15"/>
                <w:color w:val="auto"/>
              </w:rPr>
            </w:pPr>
          </w:p>
        </w:tc>
        <w:tc>
          <w:tcPr>
            <w:tcW w:w="280" w:type="dxa"/>
            <w:vAlign w:val="bottom"/>
            <w:tcBorders>
              <w:bottom w:val="single" w:sz="8" w:color="auto"/>
            </w:tcBorders>
            <w:shd w:val="clear" w:color="auto" w:fill="B3B3B3"/>
          </w:tcPr>
          <w:p>
            <w:pPr>
              <w:spacing w:after="0"/>
              <w:rPr>
                <w:sz w:val="15"/>
                <w:szCs w:val="15"/>
                <w:color w:val="auto"/>
              </w:rPr>
            </w:pPr>
          </w:p>
        </w:tc>
        <w:tc>
          <w:tcPr>
            <w:tcW w:w="10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(13,699)</w:t>
            </w:r>
          </w:p>
        </w:tc>
        <w:tc>
          <w:tcPr>
            <w:tcW w:w="100" w:type="dxa"/>
            <w:vAlign w:val="bottom"/>
            <w:shd w:val="clear" w:color="auto" w:fill="B3B3B3"/>
          </w:tcPr>
          <w:p>
            <w:pPr>
              <w:spacing w:after="0"/>
              <w:rPr>
                <w:sz w:val="15"/>
                <w:szCs w:val="15"/>
                <w:color w:val="auto"/>
              </w:rPr>
            </w:pPr>
          </w:p>
        </w:tc>
        <w:tc>
          <w:tcPr>
            <w:tcW w:w="120" w:type="dxa"/>
            <w:vAlign w:val="bottom"/>
            <w:tcBorders>
              <w:bottom w:val="single" w:sz="8" w:color="auto"/>
            </w:tcBorders>
            <w:shd w:val="clear" w:color="auto" w:fill="B3B3B3"/>
          </w:tcPr>
          <w:p>
            <w:pPr>
              <w:spacing w:after="0"/>
              <w:rPr>
                <w:sz w:val="15"/>
                <w:szCs w:val="15"/>
                <w:color w:val="auto"/>
              </w:rPr>
            </w:pPr>
          </w:p>
        </w:tc>
        <w:tc>
          <w:tcPr>
            <w:tcW w:w="1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(31,475)</w:t>
            </w:r>
          </w:p>
        </w:tc>
        <w:tc>
          <w:tcPr>
            <w:tcW w:w="100" w:type="dxa"/>
            <w:vAlign w:val="bottom"/>
            <w:shd w:val="clear" w:color="auto" w:fill="B3B3B3"/>
          </w:tcPr>
          <w:p>
            <w:pPr>
              <w:spacing w:after="0"/>
              <w:rPr>
                <w:sz w:val="15"/>
                <w:szCs w:val="15"/>
                <w:color w:val="auto"/>
              </w:rPr>
            </w:pPr>
          </w:p>
        </w:tc>
        <w:tc>
          <w:tcPr>
            <w:tcW w:w="280" w:type="dxa"/>
            <w:vAlign w:val="bottom"/>
            <w:tcBorders>
              <w:bottom w:val="single" w:sz="8" w:color="auto"/>
            </w:tcBorders>
            <w:shd w:val="clear" w:color="auto" w:fill="B3B3B3"/>
          </w:tcPr>
          <w:p>
            <w:pPr>
              <w:spacing w:after="0"/>
              <w:rPr>
                <w:sz w:val="15"/>
                <w:szCs w:val="15"/>
                <w:color w:val="auto"/>
              </w:rPr>
            </w:pPr>
          </w:p>
        </w:tc>
        <w:tc>
          <w:tcPr>
            <w:tcW w:w="9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(49,152)</w:t>
            </w:r>
          </w:p>
        </w:tc>
      </w:tr>
      <w:tr>
        <w:trPr>
          <w:trHeight w:val="88"/>
        </w:trPr>
        <w:tc>
          <w:tcPr>
            <w:tcW w:w="5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189"/>
        </w:trPr>
        <w:tc>
          <w:tcPr>
            <w:tcW w:w="5820" w:type="dxa"/>
            <w:vAlign w:val="bottom"/>
            <w:shd w:val="clear" w:color="auto" w:fill="B3B3B3"/>
          </w:tcPr>
          <w:p>
            <w:pPr>
              <w:ind w:left="20"/>
              <w:spacing w:after="0"/>
              <w:rPr>
                <w:sz w:val="20"/>
                <w:szCs w:val="20"/>
                <w:color w:val="auto"/>
              </w:rPr>
            </w:pPr>
            <w:r>
              <w:rPr>
                <w:rFonts w:ascii="Arial" w:cs="Arial" w:eastAsia="Arial" w:hAnsi="Arial"/>
                <w:sz w:val="14"/>
                <w:szCs w:val="14"/>
                <w:color w:val="auto"/>
              </w:rPr>
              <w:t>FINANCING ACTIVITIES</w:t>
            </w:r>
          </w:p>
        </w:tc>
        <w:tc>
          <w:tcPr>
            <w:tcW w:w="120" w:type="dxa"/>
            <w:vAlign w:val="bottom"/>
            <w:shd w:val="clear" w:color="auto" w:fill="B3B3B3"/>
          </w:tcPr>
          <w:p>
            <w:pPr>
              <w:spacing w:after="0"/>
              <w:rPr>
                <w:sz w:val="16"/>
                <w:szCs w:val="16"/>
                <w:color w:val="auto"/>
              </w:rPr>
            </w:pPr>
          </w:p>
        </w:tc>
        <w:tc>
          <w:tcPr>
            <w:tcW w:w="1160" w:type="dxa"/>
            <w:vAlign w:val="bottom"/>
            <w:shd w:val="clear" w:color="auto" w:fill="B3B3B3"/>
          </w:tcPr>
          <w:p>
            <w:pPr>
              <w:spacing w:after="0"/>
              <w:rPr>
                <w:sz w:val="16"/>
                <w:szCs w:val="16"/>
                <w:color w:val="auto"/>
              </w:rPr>
            </w:pPr>
          </w:p>
        </w:tc>
        <w:tc>
          <w:tcPr>
            <w:tcW w:w="120" w:type="dxa"/>
            <w:vAlign w:val="bottom"/>
            <w:shd w:val="clear" w:color="auto" w:fill="B3B3B3"/>
          </w:tcPr>
          <w:p>
            <w:pPr>
              <w:spacing w:after="0"/>
              <w:rPr>
                <w:sz w:val="16"/>
                <w:szCs w:val="16"/>
                <w:color w:val="auto"/>
              </w:rPr>
            </w:pPr>
          </w:p>
        </w:tc>
        <w:tc>
          <w:tcPr>
            <w:tcW w:w="280" w:type="dxa"/>
            <w:vAlign w:val="bottom"/>
            <w:shd w:val="clear" w:color="auto" w:fill="B3B3B3"/>
          </w:tcPr>
          <w:p>
            <w:pPr>
              <w:spacing w:after="0"/>
              <w:rPr>
                <w:sz w:val="16"/>
                <w:szCs w:val="16"/>
                <w:color w:val="auto"/>
              </w:rPr>
            </w:pPr>
          </w:p>
        </w:tc>
        <w:tc>
          <w:tcPr>
            <w:tcW w:w="1000" w:type="dxa"/>
            <w:vAlign w:val="bottom"/>
            <w:shd w:val="clear" w:color="auto" w:fill="B3B3B3"/>
          </w:tcPr>
          <w:p>
            <w:pPr>
              <w:spacing w:after="0"/>
              <w:rPr>
                <w:sz w:val="16"/>
                <w:szCs w:val="16"/>
                <w:color w:val="auto"/>
              </w:rPr>
            </w:pPr>
          </w:p>
        </w:tc>
        <w:tc>
          <w:tcPr>
            <w:tcW w:w="100" w:type="dxa"/>
            <w:vAlign w:val="bottom"/>
            <w:shd w:val="clear" w:color="auto" w:fill="B3B3B3"/>
          </w:tcPr>
          <w:p>
            <w:pPr>
              <w:spacing w:after="0"/>
              <w:rPr>
                <w:sz w:val="16"/>
                <w:szCs w:val="16"/>
                <w:color w:val="auto"/>
              </w:rPr>
            </w:pPr>
          </w:p>
        </w:tc>
        <w:tc>
          <w:tcPr>
            <w:tcW w:w="120" w:type="dxa"/>
            <w:vAlign w:val="bottom"/>
            <w:shd w:val="clear" w:color="auto" w:fill="B3B3B3"/>
          </w:tcPr>
          <w:p>
            <w:pPr>
              <w:spacing w:after="0"/>
              <w:rPr>
                <w:sz w:val="16"/>
                <w:szCs w:val="16"/>
                <w:color w:val="auto"/>
              </w:rPr>
            </w:pPr>
          </w:p>
        </w:tc>
        <w:tc>
          <w:tcPr>
            <w:tcW w:w="1160" w:type="dxa"/>
            <w:vAlign w:val="bottom"/>
            <w:shd w:val="clear" w:color="auto" w:fill="B3B3B3"/>
          </w:tcPr>
          <w:p>
            <w:pPr>
              <w:spacing w:after="0"/>
              <w:rPr>
                <w:sz w:val="16"/>
                <w:szCs w:val="16"/>
                <w:color w:val="auto"/>
              </w:rPr>
            </w:pPr>
          </w:p>
        </w:tc>
        <w:tc>
          <w:tcPr>
            <w:tcW w:w="100" w:type="dxa"/>
            <w:vAlign w:val="bottom"/>
            <w:shd w:val="clear" w:color="auto" w:fill="B3B3B3"/>
          </w:tcPr>
          <w:p>
            <w:pPr>
              <w:spacing w:after="0"/>
              <w:rPr>
                <w:sz w:val="16"/>
                <w:szCs w:val="16"/>
                <w:color w:val="auto"/>
              </w:rPr>
            </w:pPr>
          </w:p>
        </w:tc>
        <w:tc>
          <w:tcPr>
            <w:tcW w:w="280" w:type="dxa"/>
            <w:vAlign w:val="bottom"/>
            <w:shd w:val="clear" w:color="auto" w:fill="B3B3B3"/>
          </w:tcPr>
          <w:p>
            <w:pPr>
              <w:spacing w:after="0"/>
              <w:rPr>
                <w:sz w:val="16"/>
                <w:szCs w:val="16"/>
                <w:color w:val="auto"/>
              </w:rPr>
            </w:pPr>
          </w:p>
        </w:tc>
        <w:tc>
          <w:tcPr>
            <w:tcW w:w="980" w:type="dxa"/>
            <w:vAlign w:val="bottom"/>
            <w:shd w:val="clear" w:color="auto" w:fill="B3B3B3"/>
          </w:tcPr>
          <w:p>
            <w:pPr>
              <w:spacing w:after="0"/>
              <w:rPr>
                <w:sz w:val="16"/>
                <w:szCs w:val="16"/>
                <w:color w:val="auto"/>
              </w:rPr>
            </w:pP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Proceeds from borrowings</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189"/>
        </w:trPr>
        <w:tc>
          <w:tcPr>
            <w:tcW w:w="5820" w:type="dxa"/>
            <w:vAlign w:val="bottom"/>
            <w:shd w:val="clear" w:color="auto" w:fill="B3B3B3"/>
          </w:tcPr>
          <w:p>
            <w:pPr>
              <w:ind w:left="460"/>
              <w:spacing w:after="0"/>
              <w:rPr>
                <w:sz w:val="20"/>
                <w:szCs w:val="20"/>
                <w:color w:val="auto"/>
              </w:rPr>
            </w:pPr>
            <w:r>
              <w:rPr>
                <w:rFonts w:ascii="Arial" w:cs="Arial" w:eastAsia="Arial" w:hAnsi="Arial"/>
                <w:sz w:val="14"/>
                <w:szCs w:val="14"/>
                <w:color w:val="auto"/>
              </w:rPr>
              <w:t>Principal payments on debt</w:t>
            </w:r>
          </w:p>
        </w:tc>
        <w:tc>
          <w:tcPr>
            <w:tcW w:w="120" w:type="dxa"/>
            <w:vAlign w:val="bottom"/>
            <w:shd w:val="clear" w:color="auto" w:fill="B3B3B3"/>
          </w:tcPr>
          <w:p>
            <w:pPr>
              <w:spacing w:after="0"/>
              <w:rPr>
                <w:sz w:val="16"/>
                <w:szCs w:val="16"/>
                <w:color w:val="auto"/>
              </w:rPr>
            </w:pPr>
          </w:p>
        </w:tc>
        <w:tc>
          <w:tcPr>
            <w:tcW w:w="1160" w:type="dxa"/>
            <w:vAlign w:val="bottom"/>
            <w:shd w:val="clear" w:color="auto" w:fill="B3B3B3"/>
          </w:tcPr>
          <w:p>
            <w:pPr>
              <w:jc w:val="right"/>
              <w:spacing w:after="0"/>
              <w:rPr>
                <w:sz w:val="20"/>
                <w:szCs w:val="20"/>
                <w:color w:val="auto"/>
              </w:rPr>
            </w:pPr>
            <w:r>
              <w:rPr>
                <w:rFonts w:ascii="Arial" w:cs="Arial" w:eastAsia="Arial" w:hAnsi="Arial"/>
                <w:sz w:val="14"/>
                <w:szCs w:val="14"/>
                <w:color w:val="auto"/>
              </w:rPr>
              <w:t>(17,005)</w:t>
            </w:r>
          </w:p>
        </w:tc>
        <w:tc>
          <w:tcPr>
            <w:tcW w:w="120" w:type="dxa"/>
            <w:vAlign w:val="bottom"/>
            <w:shd w:val="clear" w:color="auto" w:fill="B3B3B3"/>
          </w:tcPr>
          <w:p>
            <w:pPr>
              <w:spacing w:after="0"/>
              <w:rPr>
                <w:sz w:val="16"/>
                <w:szCs w:val="16"/>
                <w:color w:val="auto"/>
              </w:rPr>
            </w:pPr>
          </w:p>
        </w:tc>
        <w:tc>
          <w:tcPr>
            <w:tcW w:w="280" w:type="dxa"/>
            <w:vAlign w:val="bottom"/>
            <w:shd w:val="clear" w:color="auto" w:fill="B3B3B3"/>
          </w:tcPr>
          <w:p>
            <w:pPr>
              <w:spacing w:after="0"/>
              <w:rPr>
                <w:sz w:val="16"/>
                <w:szCs w:val="16"/>
                <w:color w:val="auto"/>
              </w:rPr>
            </w:pPr>
          </w:p>
        </w:tc>
        <w:tc>
          <w:tcPr>
            <w:tcW w:w="1000" w:type="dxa"/>
            <w:vAlign w:val="bottom"/>
            <w:shd w:val="clear" w:color="auto" w:fill="B3B3B3"/>
          </w:tcPr>
          <w:p>
            <w:pPr>
              <w:jc w:val="right"/>
              <w:spacing w:after="0"/>
              <w:rPr>
                <w:sz w:val="20"/>
                <w:szCs w:val="20"/>
                <w:color w:val="auto"/>
              </w:rPr>
            </w:pPr>
            <w:r>
              <w:rPr>
                <w:rFonts w:ascii="Arial" w:cs="Arial" w:eastAsia="Arial" w:hAnsi="Arial"/>
                <w:sz w:val="14"/>
                <w:szCs w:val="14"/>
                <w:color w:val="auto"/>
              </w:rPr>
              <w:t>(58,006)</w:t>
            </w:r>
          </w:p>
        </w:tc>
        <w:tc>
          <w:tcPr>
            <w:tcW w:w="100" w:type="dxa"/>
            <w:vAlign w:val="bottom"/>
            <w:shd w:val="clear" w:color="auto" w:fill="B3B3B3"/>
          </w:tcPr>
          <w:p>
            <w:pPr>
              <w:spacing w:after="0"/>
              <w:rPr>
                <w:sz w:val="16"/>
                <w:szCs w:val="16"/>
                <w:color w:val="auto"/>
              </w:rPr>
            </w:pPr>
          </w:p>
        </w:tc>
        <w:tc>
          <w:tcPr>
            <w:tcW w:w="120" w:type="dxa"/>
            <w:vAlign w:val="bottom"/>
            <w:shd w:val="clear" w:color="auto" w:fill="B3B3B3"/>
          </w:tcPr>
          <w:p>
            <w:pPr>
              <w:spacing w:after="0"/>
              <w:rPr>
                <w:sz w:val="16"/>
                <w:szCs w:val="16"/>
                <w:color w:val="auto"/>
              </w:rPr>
            </w:pPr>
          </w:p>
        </w:tc>
        <w:tc>
          <w:tcPr>
            <w:tcW w:w="1160" w:type="dxa"/>
            <w:vAlign w:val="bottom"/>
            <w:shd w:val="clear" w:color="auto" w:fill="B3B3B3"/>
          </w:tcPr>
          <w:p>
            <w:pPr>
              <w:jc w:val="right"/>
              <w:spacing w:after="0"/>
              <w:rPr>
                <w:sz w:val="20"/>
                <w:szCs w:val="20"/>
                <w:color w:val="auto"/>
              </w:rPr>
            </w:pPr>
            <w:r>
              <w:rPr>
                <w:rFonts w:ascii="Arial" w:cs="Arial" w:eastAsia="Arial" w:hAnsi="Arial"/>
                <w:sz w:val="14"/>
                <w:szCs w:val="14"/>
                <w:color w:val="auto"/>
              </w:rPr>
              <w:t>(76,016)</w:t>
            </w:r>
          </w:p>
        </w:tc>
        <w:tc>
          <w:tcPr>
            <w:tcW w:w="100" w:type="dxa"/>
            <w:vAlign w:val="bottom"/>
            <w:shd w:val="clear" w:color="auto" w:fill="B3B3B3"/>
          </w:tcPr>
          <w:p>
            <w:pPr>
              <w:spacing w:after="0"/>
              <w:rPr>
                <w:sz w:val="16"/>
                <w:szCs w:val="16"/>
                <w:color w:val="auto"/>
              </w:rPr>
            </w:pPr>
          </w:p>
        </w:tc>
        <w:tc>
          <w:tcPr>
            <w:tcW w:w="280" w:type="dxa"/>
            <w:vAlign w:val="bottom"/>
            <w:shd w:val="clear" w:color="auto" w:fill="B3B3B3"/>
          </w:tcPr>
          <w:p>
            <w:pPr>
              <w:spacing w:after="0"/>
              <w:rPr>
                <w:sz w:val="16"/>
                <w:szCs w:val="16"/>
                <w:color w:val="auto"/>
              </w:rPr>
            </w:pPr>
          </w:p>
        </w:tc>
        <w:tc>
          <w:tcPr>
            <w:tcW w:w="980" w:type="dxa"/>
            <w:vAlign w:val="bottom"/>
            <w:shd w:val="clear" w:color="auto" w:fill="B3B3B3"/>
          </w:tcPr>
          <w:p>
            <w:pPr>
              <w:jc w:val="right"/>
              <w:spacing w:after="0"/>
              <w:rPr>
                <w:sz w:val="20"/>
                <w:szCs w:val="20"/>
                <w:color w:val="auto"/>
              </w:rPr>
            </w:pPr>
            <w:r>
              <w:rPr>
                <w:rFonts w:ascii="Arial" w:cs="Arial" w:eastAsia="Arial" w:hAnsi="Arial"/>
                <w:sz w:val="14"/>
                <w:szCs w:val="14"/>
                <w:color w:val="auto"/>
              </w:rPr>
              <w:t>(95,014)</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Principal payments on finance lease liabilities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(876)</w:t>
            </w:r>
          </w:p>
        </w:tc>
      </w:tr>
      <w:tr>
        <w:trPr>
          <w:trHeight w:val="189"/>
        </w:trPr>
        <w:tc>
          <w:tcPr>
            <w:tcW w:w="5820" w:type="dxa"/>
            <w:vAlign w:val="bottom"/>
            <w:shd w:val="clear" w:color="auto" w:fill="B3B3B3"/>
          </w:tcPr>
          <w:p>
            <w:pPr>
              <w:ind w:left="460"/>
              <w:spacing w:after="0"/>
              <w:rPr>
                <w:sz w:val="20"/>
                <w:szCs w:val="20"/>
                <w:color w:val="auto"/>
              </w:rPr>
            </w:pPr>
            <w:r>
              <w:rPr>
                <w:rFonts w:ascii="Arial" w:cs="Arial" w:eastAsia="Arial" w:hAnsi="Arial"/>
                <w:sz w:val="14"/>
                <w:szCs w:val="14"/>
                <w:color w:val="auto"/>
              </w:rPr>
              <w:t>Taxes paid in lieu of share issuance</w:t>
            </w:r>
          </w:p>
        </w:tc>
        <w:tc>
          <w:tcPr>
            <w:tcW w:w="120" w:type="dxa"/>
            <w:vAlign w:val="bottom"/>
            <w:shd w:val="clear" w:color="auto" w:fill="B3B3B3"/>
          </w:tcPr>
          <w:p>
            <w:pPr>
              <w:spacing w:after="0"/>
              <w:rPr>
                <w:sz w:val="16"/>
                <w:szCs w:val="16"/>
                <w:color w:val="auto"/>
              </w:rPr>
            </w:pPr>
          </w:p>
        </w:tc>
        <w:tc>
          <w:tcPr>
            <w:tcW w:w="1280" w:type="dxa"/>
            <w:vAlign w:val="bottom"/>
            <w:gridSpan w:val="2"/>
            <w:shd w:val="clear" w:color="auto" w:fill="B3B3B3"/>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B3B3B3"/>
          </w:tcPr>
          <w:p>
            <w:pPr>
              <w:spacing w:after="0"/>
              <w:rPr>
                <w:sz w:val="16"/>
                <w:szCs w:val="16"/>
                <w:color w:val="auto"/>
              </w:rPr>
            </w:pPr>
          </w:p>
        </w:tc>
        <w:tc>
          <w:tcPr>
            <w:tcW w:w="1100" w:type="dxa"/>
            <w:vAlign w:val="bottom"/>
            <w:gridSpan w:val="2"/>
            <w:shd w:val="clear" w:color="auto" w:fill="B3B3B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B3B3B3"/>
          </w:tcPr>
          <w:p>
            <w:pPr>
              <w:spacing w:after="0"/>
              <w:rPr>
                <w:sz w:val="16"/>
                <w:szCs w:val="16"/>
                <w:color w:val="auto"/>
              </w:rPr>
            </w:pPr>
          </w:p>
        </w:tc>
        <w:tc>
          <w:tcPr>
            <w:tcW w:w="1160" w:type="dxa"/>
            <w:vAlign w:val="bottom"/>
            <w:shd w:val="clear" w:color="auto" w:fill="B3B3B3"/>
          </w:tcPr>
          <w:p>
            <w:pPr>
              <w:jc w:val="right"/>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B3B3B3"/>
          </w:tcPr>
          <w:p>
            <w:pPr>
              <w:spacing w:after="0"/>
              <w:rPr>
                <w:sz w:val="16"/>
                <w:szCs w:val="16"/>
                <w:color w:val="auto"/>
              </w:rPr>
            </w:pPr>
          </w:p>
        </w:tc>
        <w:tc>
          <w:tcPr>
            <w:tcW w:w="280" w:type="dxa"/>
            <w:vAlign w:val="bottom"/>
            <w:shd w:val="clear" w:color="auto" w:fill="B3B3B3"/>
          </w:tcPr>
          <w:p>
            <w:pPr>
              <w:spacing w:after="0"/>
              <w:rPr>
                <w:sz w:val="16"/>
                <w:szCs w:val="16"/>
                <w:color w:val="auto"/>
              </w:rPr>
            </w:pPr>
          </w:p>
        </w:tc>
        <w:tc>
          <w:tcPr>
            <w:tcW w:w="980" w:type="dxa"/>
            <w:vAlign w:val="bottom"/>
            <w:shd w:val="clear" w:color="auto" w:fill="B3B3B3"/>
          </w:tcPr>
          <w:p>
            <w:pPr>
              <w:jc w:val="right"/>
              <w:spacing w:after="0"/>
              <w:rPr>
                <w:sz w:val="20"/>
                <w:szCs w:val="20"/>
                <w:color w:val="auto"/>
              </w:rPr>
            </w:pPr>
            <w:r>
              <w:rPr>
                <w:rFonts w:ascii="Arial" w:cs="Arial" w:eastAsia="Arial" w:hAnsi="Arial"/>
                <w:sz w:val="14"/>
                <w:szCs w:val="14"/>
                <w:color w:val="auto"/>
              </w:rPr>
              <w:t>(971)</w:t>
            </w:r>
          </w:p>
        </w:tc>
      </w:tr>
      <w:tr>
        <w:trPr>
          <w:trHeight w:val="189"/>
        </w:trPr>
        <w:tc>
          <w:tcPr>
            <w:tcW w:w="5820" w:type="dxa"/>
            <w:vAlign w:val="bottom"/>
          </w:tcPr>
          <w:p>
            <w:pPr>
              <w:ind w:left="460"/>
              <w:spacing w:after="0"/>
              <w:rPr>
                <w:sz w:val="20"/>
                <w:szCs w:val="20"/>
                <w:color w:val="auto"/>
              </w:rPr>
            </w:pPr>
            <w:r>
              <w:rPr>
                <w:rFonts w:ascii="Arial" w:cs="Arial" w:eastAsia="Arial" w:hAnsi="Arial"/>
                <w:sz w:val="14"/>
                <w:szCs w:val="14"/>
                <w:color w:val="auto"/>
              </w:rPr>
              <w:t>Proceeds from options exercised</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189"/>
        </w:trPr>
        <w:tc>
          <w:tcPr>
            <w:tcW w:w="5820" w:type="dxa"/>
            <w:vAlign w:val="bottom"/>
            <w:shd w:val="clear" w:color="auto" w:fill="B3B3B3"/>
          </w:tcPr>
          <w:p>
            <w:pPr>
              <w:ind w:left="460"/>
              <w:spacing w:after="0"/>
              <w:rPr>
                <w:sz w:val="20"/>
                <w:szCs w:val="20"/>
                <w:color w:val="auto"/>
              </w:rPr>
            </w:pPr>
            <w:r>
              <w:rPr>
                <w:rFonts w:ascii="Arial" w:cs="Arial" w:eastAsia="Arial" w:hAnsi="Arial"/>
                <w:sz w:val="14"/>
                <w:szCs w:val="14"/>
                <w:color w:val="auto"/>
              </w:rPr>
              <w:t>Dividends paid</w:t>
            </w:r>
          </w:p>
        </w:tc>
        <w:tc>
          <w:tcPr>
            <w:tcW w:w="120" w:type="dxa"/>
            <w:vAlign w:val="bottom"/>
            <w:tcBorders>
              <w:bottom w:val="single" w:sz="8" w:color="auto"/>
            </w:tcBorders>
            <w:shd w:val="clear" w:color="auto" w:fill="B3B3B3"/>
          </w:tcPr>
          <w:p>
            <w:pPr>
              <w:spacing w:after="0"/>
              <w:rPr>
                <w:sz w:val="16"/>
                <w:szCs w:val="16"/>
                <w:color w:val="auto"/>
              </w:rPr>
            </w:pPr>
          </w:p>
        </w:tc>
        <w:tc>
          <w:tcPr>
            <w:tcW w:w="1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(6,144)</w:t>
            </w:r>
          </w:p>
        </w:tc>
        <w:tc>
          <w:tcPr>
            <w:tcW w:w="120" w:type="dxa"/>
            <w:vAlign w:val="bottom"/>
            <w:shd w:val="clear" w:color="auto" w:fill="B3B3B3"/>
          </w:tcPr>
          <w:p>
            <w:pPr>
              <w:spacing w:after="0"/>
              <w:rPr>
                <w:sz w:val="16"/>
                <w:szCs w:val="16"/>
                <w:color w:val="auto"/>
              </w:rPr>
            </w:pPr>
          </w:p>
        </w:tc>
        <w:tc>
          <w:tcPr>
            <w:tcW w:w="280" w:type="dxa"/>
            <w:vAlign w:val="bottom"/>
            <w:tcBorders>
              <w:bottom w:val="single" w:sz="8" w:color="auto"/>
            </w:tcBorders>
            <w:shd w:val="clear" w:color="auto" w:fill="B3B3B3"/>
          </w:tcPr>
          <w:p>
            <w:pPr>
              <w:spacing w:after="0"/>
              <w:rPr>
                <w:sz w:val="16"/>
                <w:szCs w:val="16"/>
                <w:color w:val="auto"/>
              </w:rPr>
            </w:pPr>
          </w:p>
        </w:tc>
        <w:tc>
          <w:tcPr>
            <w:tcW w:w="10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(5,814)</w:t>
            </w:r>
          </w:p>
        </w:tc>
        <w:tc>
          <w:tcPr>
            <w:tcW w:w="100" w:type="dxa"/>
            <w:vAlign w:val="bottom"/>
            <w:shd w:val="clear" w:color="auto" w:fill="B3B3B3"/>
          </w:tcPr>
          <w:p>
            <w:pPr>
              <w:spacing w:after="0"/>
              <w:rPr>
                <w:sz w:val="16"/>
                <w:szCs w:val="16"/>
                <w:color w:val="auto"/>
              </w:rPr>
            </w:pPr>
          </w:p>
        </w:tc>
        <w:tc>
          <w:tcPr>
            <w:tcW w:w="120" w:type="dxa"/>
            <w:vAlign w:val="bottom"/>
            <w:tcBorders>
              <w:bottom w:val="single" w:sz="8" w:color="auto"/>
            </w:tcBorders>
            <w:shd w:val="clear" w:color="auto" w:fill="B3B3B3"/>
          </w:tcPr>
          <w:p>
            <w:pPr>
              <w:spacing w:after="0"/>
              <w:rPr>
                <w:sz w:val="16"/>
                <w:szCs w:val="16"/>
                <w:color w:val="auto"/>
              </w:rPr>
            </w:pPr>
          </w:p>
        </w:tc>
        <w:tc>
          <w:tcPr>
            <w:tcW w:w="1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(18,424)</w:t>
            </w:r>
          </w:p>
        </w:tc>
        <w:tc>
          <w:tcPr>
            <w:tcW w:w="100" w:type="dxa"/>
            <w:vAlign w:val="bottom"/>
            <w:shd w:val="clear" w:color="auto" w:fill="B3B3B3"/>
          </w:tcPr>
          <w:p>
            <w:pPr>
              <w:spacing w:after="0"/>
              <w:rPr>
                <w:sz w:val="16"/>
                <w:szCs w:val="16"/>
                <w:color w:val="auto"/>
              </w:rPr>
            </w:pPr>
          </w:p>
        </w:tc>
        <w:tc>
          <w:tcPr>
            <w:tcW w:w="280" w:type="dxa"/>
            <w:vAlign w:val="bottom"/>
            <w:tcBorders>
              <w:bottom w:val="single" w:sz="8" w:color="auto"/>
            </w:tcBorders>
            <w:shd w:val="clear" w:color="auto" w:fill="B3B3B3"/>
          </w:tcPr>
          <w:p>
            <w:pPr>
              <w:spacing w:after="0"/>
              <w:rPr>
                <w:sz w:val="16"/>
                <w:szCs w:val="16"/>
                <w:color w:val="auto"/>
              </w:rPr>
            </w:pPr>
          </w:p>
        </w:tc>
        <w:tc>
          <w:tcPr>
            <w:tcW w:w="9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(17,435)</w:t>
            </w:r>
          </w:p>
        </w:tc>
      </w:tr>
      <w:tr>
        <w:trPr>
          <w:trHeight w:val="183"/>
        </w:trPr>
        <w:tc>
          <w:tcPr>
            <w:tcW w:w="5820" w:type="dxa"/>
            <w:vAlign w:val="bottom"/>
            <w:tcBorders>
              <w:bottom w:val="single" w:sz="8" w:color="B3B3B3"/>
            </w:tcBorders>
          </w:tcPr>
          <w:p>
            <w:pPr>
              <w:ind w:left="440"/>
              <w:spacing w:after="0"/>
              <w:rPr>
                <w:sz w:val="20"/>
                <w:szCs w:val="20"/>
                <w:color w:val="auto"/>
              </w:rPr>
            </w:pPr>
            <w:r>
              <w:rPr>
                <w:rFonts w:ascii="Arial" w:cs="Arial" w:eastAsia="Arial" w:hAnsi="Arial"/>
                <w:sz w:val="14"/>
                <w:szCs w:val="14"/>
                <w:color w:val="auto"/>
              </w:rPr>
              <w:t>Net cash used in financing activities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(23,479)</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(64,085)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(31,703)</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(94,191)</w:t>
            </w:r>
          </w:p>
        </w:tc>
      </w:tr>
      <w:tr>
        <w:trPr>
          <w:trHeight w:val="129"/>
        </w:trPr>
        <w:tc>
          <w:tcPr>
            <w:tcW w:w="5820" w:type="dxa"/>
            <w:vAlign w:val="bottom"/>
            <w:shd w:val="clear" w:color="auto" w:fill="B3B3B3"/>
          </w:tcPr>
          <w:p>
            <w:pPr>
              <w:spacing w:after="0"/>
              <w:rPr>
                <w:sz w:val="11"/>
                <w:szCs w:val="11"/>
                <w:color w:val="auto"/>
              </w:rPr>
            </w:pPr>
          </w:p>
        </w:tc>
        <w:tc>
          <w:tcPr>
            <w:tcW w:w="120" w:type="dxa"/>
            <w:vAlign w:val="bottom"/>
            <w:shd w:val="clear" w:color="auto" w:fill="B3B3B3"/>
          </w:tcPr>
          <w:p>
            <w:pPr>
              <w:spacing w:after="0"/>
              <w:rPr>
                <w:sz w:val="11"/>
                <w:szCs w:val="11"/>
                <w:color w:val="auto"/>
              </w:rPr>
            </w:pPr>
          </w:p>
        </w:tc>
        <w:tc>
          <w:tcPr>
            <w:tcW w:w="1160" w:type="dxa"/>
            <w:vAlign w:val="bottom"/>
            <w:shd w:val="clear" w:color="auto" w:fill="B3B3B3"/>
          </w:tcPr>
          <w:p>
            <w:pPr>
              <w:spacing w:after="0"/>
              <w:rPr>
                <w:sz w:val="11"/>
                <w:szCs w:val="11"/>
                <w:color w:val="auto"/>
              </w:rPr>
            </w:pPr>
          </w:p>
        </w:tc>
        <w:tc>
          <w:tcPr>
            <w:tcW w:w="120" w:type="dxa"/>
            <w:vAlign w:val="bottom"/>
            <w:shd w:val="clear" w:color="auto" w:fill="B3B3B3"/>
          </w:tcPr>
          <w:p>
            <w:pPr>
              <w:spacing w:after="0"/>
              <w:rPr>
                <w:sz w:val="11"/>
                <w:szCs w:val="11"/>
                <w:color w:val="auto"/>
              </w:rPr>
            </w:pPr>
          </w:p>
        </w:tc>
        <w:tc>
          <w:tcPr>
            <w:tcW w:w="280" w:type="dxa"/>
            <w:vAlign w:val="bottom"/>
            <w:shd w:val="clear" w:color="auto" w:fill="B3B3B3"/>
          </w:tcPr>
          <w:p>
            <w:pPr>
              <w:spacing w:after="0"/>
              <w:rPr>
                <w:sz w:val="11"/>
                <w:szCs w:val="11"/>
                <w:color w:val="auto"/>
              </w:rPr>
            </w:pPr>
          </w:p>
        </w:tc>
        <w:tc>
          <w:tcPr>
            <w:tcW w:w="1000" w:type="dxa"/>
            <w:vAlign w:val="bottom"/>
            <w:shd w:val="clear" w:color="auto" w:fill="B3B3B3"/>
          </w:tcPr>
          <w:p>
            <w:pPr>
              <w:spacing w:after="0"/>
              <w:rPr>
                <w:sz w:val="11"/>
                <w:szCs w:val="11"/>
                <w:color w:val="auto"/>
              </w:rPr>
            </w:pPr>
          </w:p>
        </w:tc>
        <w:tc>
          <w:tcPr>
            <w:tcW w:w="100" w:type="dxa"/>
            <w:vAlign w:val="bottom"/>
            <w:shd w:val="clear" w:color="auto" w:fill="B3B3B3"/>
          </w:tcPr>
          <w:p>
            <w:pPr>
              <w:spacing w:after="0"/>
              <w:rPr>
                <w:sz w:val="11"/>
                <w:szCs w:val="11"/>
                <w:color w:val="auto"/>
              </w:rPr>
            </w:pPr>
          </w:p>
        </w:tc>
        <w:tc>
          <w:tcPr>
            <w:tcW w:w="120" w:type="dxa"/>
            <w:vAlign w:val="bottom"/>
            <w:shd w:val="clear" w:color="auto" w:fill="B3B3B3"/>
          </w:tcPr>
          <w:p>
            <w:pPr>
              <w:spacing w:after="0"/>
              <w:rPr>
                <w:sz w:val="11"/>
                <w:szCs w:val="11"/>
                <w:color w:val="auto"/>
              </w:rPr>
            </w:pPr>
          </w:p>
        </w:tc>
        <w:tc>
          <w:tcPr>
            <w:tcW w:w="1160" w:type="dxa"/>
            <w:vAlign w:val="bottom"/>
            <w:shd w:val="clear" w:color="auto" w:fill="B3B3B3"/>
          </w:tcPr>
          <w:p>
            <w:pPr>
              <w:spacing w:after="0"/>
              <w:rPr>
                <w:sz w:val="11"/>
                <w:szCs w:val="11"/>
                <w:color w:val="auto"/>
              </w:rPr>
            </w:pPr>
          </w:p>
        </w:tc>
        <w:tc>
          <w:tcPr>
            <w:tcW w:w="100" w:type="dxa"/>
            <w:vAlign w:val="bottom"/>
            <w:shd w:val="clear" w:color="auto" w:fill="B3B3B3"/>
          </w:tcPr>
          <w:p>
            <w:pPr>
              <w:spacing w:after="0"/>
              <w:rPr>
                <w:sz w:val="11"/>
                <w:szCs w:val="11"/>
                <w:color w:val="auto"/>
              </w:rPr>
            </w:pPr>
          </w:p>
        </w:tc>
        <w:tc>
          <w:tcPr>
            <w:tcW w:w="280" w:type="dxa"/>
            <w:vAlign w:val="bottom"/>
            <w:shd w:val="clear" w:color="auto" w:fill="B3B3B3"/>
          </w:tcPr>
          <w:p>
            <w:pPr>
              <w:spacing w:after="0"/>
              <w:rPr>
                <w:sz w:val="11"/>
                <w:szCs w:val="11"/>
                <w:color w:val="auto"/>
              </w:rPr>
            </w:pPr>
          </w:p>
        </w:tc>
        <w:tc>
          <w:tcPr>
            <w:tcW w:w="980" w:type="dxa"/>
            <w:vAlign w:val="bottom"/>
            <w:shd w:val="clear" w:color="auto" w:fill="B3B3B3"/>
          </w:tcPr>
          <w:p>
            <w:pPr>
              <w:spacing w:after="0"/>
              <w:rPr>
                <w:sz w:val="11"/>
                <w:szCs w:val="11"/>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(7,266)</w:t>
            </w:r>
          </w:p>
        </w:tc>
      </w:tr>
      <w:tr>
        <w:trPr>
          <w:trHeight w:val="148"/>
        </w:trPr>
        <w:tc>
          <w:tcPr>
            <w:tcW w:w="5820" w:type="dxa"/>
            <w:vAlign w:val="bottom"/>
            <w:shd w:val="clear" w:color="auto" w:fill="B3B3B3"/>
          </w:tcPr>
          <w:p>
            <w:pPr>
              <w:spacing w:after="0"/>
              <w:rPr>
                <w:sz w:val="12"/>
                <w:szCs w:val="12"/>
                <w:color w:val="auto"/>
              </w:rPr>
            </w:pPr>
          </w:p>
        </w:tc>
        <w:tc>
          <w:tcPr>
            <w:tcW w:w="120" w:type="dxa"/>
            <w:vAlign w:val="bottom"/>
            <w:shd w:val="clear" w:color="auto" w:fill="B3B3B3"/>
          </w:tcPr>
          <w:p>
            <w:pPr>
              <w:spacing w:after="0"/>
              <w:rPr>
                <w:sz w:val="12"/>
                <w:szCs w:val="12"/>
                <w:color w:val="auto"/>
              </w:rPr>
            </w:pPr>
          </w:p>
        </w:tc>
        <w:tc>
          <w:tcPr>
            <w:tcW w:w="1160" w:type="dxa"/>
            <w:vAlign w:val="bottom"/>
            <w:shd w:val="clear" w:color="auto" w:fill="B3B3B3"/>
          </w:tcPr>
          <w:p>
            <w:pPr>
              <w:spacing w:after="0"/>
              <w:rPr>
                <w:sz w:val="12"/>
                <w:szCs w:val="12"/>
                <w:color w:val="auto"/>
              </w:rPr>
            </w:pPr>
          </w:p>
        </w:tc>
        <w:tc>
          <w:tcPr>
            <w:tcW w:w="120" w:type="dxa"/>
            <w:vAlign w:val="bottom"/>
            <w:shd w:val="clear" w:color="auto" w:fill="B3B3B3"/>
          </w:tcPr>
          <w:p>
            <w:pPr>
              <w:spacing w:after="0"/>
              <w:rPr>
                <w:sz w:val="12"/>
                <w:szCs w:val="12"/>
                <w:color w:val="auto"/>
              </w:rPr>
            </w:pPr>
          </w:p>
        </w:tc>
        <w:tc>
          <w:tcPr>
            <w:tcW w:w="280" w:type="dxa"/>
            <w:vAlign w:val="bottom"/>
            <w:shd w:val="clear" w:color="auto" w:fill="B3B3B3"/>
          </w:tcPr>
          <w:p>
            <w:pPr>
              <w:spacing w:after="0"/>
              <w:rPr>
                <w:sz w:val="12"/>
                <w:szCs w:val="12"/>
                <w:color w:val="auto"/>
              </w:rPr>
            </w:pPr>
          </w:p>
        </w:tc>
        <w:tc>
          <w:tcPr>
            <w:tcW w:w="1000" w:type="dxa"/>
            <w:vAlign w:val="bottom"/>
            <w:shd w:val="clear" w:color="auto" w:fill="B3B3B3"/>
          </w:tcPr>
          <w:p>
            <w:pPr>
              <w:spacing w:after="0"/>
              <w:rPr>
                <w:sz w:val="12"/>
                <w:szCs w:val="12"/>
                <w:color w:val="auto"/>
              </w:rPr>
            </w:pPr>
          </w:p>
        </w:tc>
        <w:tc>
          <w:tcPr>
            <w:tcW w:w="100" w:type="dxa"/>
            <w:vAlign w:val="bottom"/>
            <w:shd w:val="clear" w:color="auto" w:fill="B3B3B3"/>
          </w:tcPr>
          <w:p>
            <w:pPr>
              <w:spacing w:after="0"/>
              <w:rPr>
                <w:sz w:val="12"/>
                <w:szCs w:val="12"/>
                <w:color w:val="auto"/>
              </w:rPr>
            </w:pPr>
          </w:p>
        </w:tc>
        <w:tc>
          <w:tcPr>
            <w:tcW w:w="120" w:type="dxa"/>
            <w:vAlign w:val="bottom"/>
            <w:shd w:val="clear" w:color="auto" w:fill="B3B3B3"/>
          </w:tcPr>
          <w:p>
            <w:pPr>
              <w:spacing w:after="0"/>
              <w:rPr>
                <w:sz w:val="12"/>
                <w:szCs w:val="12"/>
                <w:color w:val="auto"/>
              </w:rPr>
            </w:pPr>
          </w:p>
        </w:tc>
        <w:tc>
          <w:tcPr>
            <w:tcW w:w="1160" w:type="dxa"/>
            <w:vAlign w:val="bottom"/>
            <w:shd w:val="clear" w:color="auto" w:fill="B3B3B3"/>
          </w:tcPr>
          <w:p>
            <w:pPr>
              <w:spacing w:after="0"/>
              <w:rPr>
                <w:sz w:val="12"/>
                <w:szCs w:val="12"/>
                <w:color w:val="auto"/>
              </w:rPr>
            </w:pPr>
          </w:p>
        </w:tc>
        <w:tc>
          <w:tcPr>
            <w:tcW w:w="100" w:type="dxa"/>
            <w:vAlign w:val="bottom"/>
            <w:shd w:val="clear" w:color="auto" w:fill="B3B3B3"/>
          </w:tcPr>
          <w:p>
            <w:pPr>
              <w:spacing w:after="0"/>
              <w:rPr>
                <w:sz w:val="12"/>
                <w:szCs w:val="12"/>
                <w:color w:val="auto"/>
              </w:rPr>
            </w:pPr>
          </w:p>
        </w:tc>
        <w:tc>
          <w:tcPr>
            <w:tcW w:w="280" w:type="dxa"/>
            <w:vAlign w:val="bottom"/>
            <w:shd w:val="clear" w:color="auto" w:fill="B3B3B3"/>
          </w:tcPr>
          <w:p>
            <w:pPr>
              <w:spacing w:after="0"/>
              <w:rPr>
                <w:sz w:val="12"/>
                <w:szCs w:val="12"/>
                <w:color w:val="auto"/>
              </w:rPr>
            </w:pPr>
          </w:p>
        </w:tc>
        <w:tc>
          <w:tcPr>
            <w:tcW w:w="980" w:type="dxa"/>
            <w:vAlign w:val="bottom"/>
            <w:shd w:val="clear" w:color="auto" w:fill="B3B3B3"/>
          </w:tcPr>
          <w:p>
            <w:pPr>
              <w:spacing w:after="0"/>
              <w:rPr>
                <w:sz w:val="12"/>
                <w:szCs w:val="12"/>
                <w:color w:val="auto"/>
              </w:rPr>
            </w:pPr>
          </w:p>
        </w:tc>
      </w:tr>
      <w:tr>
        <w:trPr>
          <w:trHeight w:val="189"/>
        </w:trPr>
        <w:tc>
          <w:tcPr>
            <w:tcW w:w="5820" w:type="dxa"/>
            <w:vAlign w:val="bottom"/>
          </w:tcPr>
          <w:p>
            <w:pPr>
              <w:ind w:left="20"/>
              <w:spacing w:after="0"/>
              <w:rPr>
                <w:sz w:val="20"/>
                <w:szCs w:val="20"/>
                <w:color w:val="auto"/>
              </w:rPr>
            </w:pPr>
            <w:r>
              <w:rPr>
                <w:rFonts w:ascii="Arial" w:cs="Arial" w:eastAsia="Arial" w:hAnsi="Arial"/>
                <w:sz w:val="14"/>
                <w:szCs w:val="14"/>
                <w:color w:val="auto"/>
              </w:rPr>
              <w:t>Increase/(decrease) in cash and cash equivalents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11,267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(41,494)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19,764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(24,016)</w:t>
            </w:r>
          </w:p>
        </w:tc>
      </w:tr>
      <w:tr>
        <w:trPr>
          <w:trHeight w:val="189"/>
        </w:trPr>
        <w:tc>
          <w:tcPr>
            <w:tcW w:w="5820" w:type="dxa"/>
            <w:vAlign w:val="bottom"/>
            <w:shd w:val="clear" w:color="auto" w:fill="B3B3B3"/>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Borders>
              <w:bottom w:val="single" w:sz="8" w:color="auto"/>
            </w:tcBorders>
            <w:shd w:val="clear" w:color="auto" w:fill="B3B3B3"/>
          </w:tcPr>
          <w:p>
            <w:pPr>
              <w:spacing w:after="0"/>
              <w:rPr>
                <w:sz w:val="16"/>
                <w:szCs w:val="16"/>
                <w:color w:val="auto"/>
              </w:rPr>
            </w:pPr>
          </w:p>
        </w:tc>
        <w:tc>
          <w:tcPr>
            <w:tcW w:w="116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204,037</w:t>
            </w:r>
          </w:p>
        </w:tc>
        <w:tc>
          <w:tcPr>
            <w:tcW w:w="120" w:type="dxa"/>
            <w:vAlign w:val="bottom"/>
            <w:shd w:val="clear" w:color="auto" w:fill="B3B3B3"/>
          </w:tcPr>
          <w:p>
            <w:pPr>
              <w:spacing w:after="0"/>
              <w:rPr>
                <w:sz w:val="16"/>
                <w:szCs w:val="16"/>
                <w:color w:val="auto"/>
              </w:rPr>
            </w:pPr>
          </w:p>
        </w:tc>
        <w:tc>
          <w:tcPr>
            <w:tcW w:w="280" w:type="dxa"/>
            <w:vAlign w:val="bottom"/>
            <w:tcBorders>
              <w:bottom w:val="single" w:sz="8" w:color="auto"/>
            </w:tcBorders>
            <w:shd w:val="clear" w:color="auto" w:fill="B3B3B3"/>
          </w:tcPr>
          <w:p>
            <w:pPr>
              <w:spacing w:after="0"/>
              <w:rPr>
                <w:sz w:val="16"/>
                <w:szCs w:val="16"/>
                <w:color w:val="auto"/>
              </w:rPr>
            </w:pPr>
          </w:p>
        </w:tc>
        <w:tc>
          <w:tcPr>
            <w:tcW w:w="100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215,233</w:t>
            </w:r>
          </w:p>
        </w:tc>
        <w:tc>
          <w:tcPr>
            <w:tcW w:w="100" w:type="dxa"/>
            <w:vAlign w:val="bottom"/>
            <w:shd w:val="clear" w:color="auto" w:fill="B3B3B3"/>
          </w:tcPr>
          <w:p>
            <w:pPr>
              <w:spacing w:after="0"/>
              <w:rPr>
                <w:sz w:val="16"/>
                <w:szCs w:val="16"/>
                <w:color w:val="auto"/>
              </w:rPr>
            </w:pPr>
          </w:p>
        </w:tc>
        <w:tc>
          <w:tcPr>
            <w:tcW w:w="120" w:type="dxa"/>
            <w:vAlign w:val="bottom"/>
            <w:tcBorders>
              <w:bottom w:val="single" w:sz="8" w:color="auto"/>
            </w:tcBorders>
            <w:shd w:val="clear" w:color="auto" w:fill="B3B3B3"/>
          </w:tcPr>
          <w:p>
            <w:pPr>
              <w:spacing w:after="0"/>
              <w:rPr>
                <w:sz w:val="16"/>
                <w:szCs w:val="16"/>
                <w:color w:val="auto"/>
              </w:rPr>
            </w:pPr>
          </w:p>
        </w:tc>
        <w:tc>
          <w:tcPr>
            <w:tcW w:w="1160" w:type="dxa"/>
            <w:vAlign w:val="bottom"/>
            <w:tcBorders>
              <w:bottom w:val="single" w:sz="8" w:color="auto"/>
            </w:tcBorders>
            <w:shd w:val="clear" w:color="auto" w:fill="B3B3B3"/>
          </w:tcPr>
          <w:p>
            <w:pPr>
              <w:jc w:val="right"/>
              <w:ind w:right="8"/>
              <w:spacing w:after="0"/>
              <w:rPr>
                <w:sz w:val="20"/>
                <w:szCs w:val="20"/>
                <w:color w:val="auto"/>
              </w:rPr>
            </w:pPr>
            <w:r>
              <w:rPr>
                <w:rFonts w:ascii="Arial" w:cs="Arial" w:eastAsia="Arial" w:hAnsi="Arial"/>
                <w:sz w:val="14"/>
                <w:szCs w:val="14"/>
                <w:color w:val="auto"/>
              </w:rPr>
              <w:t>195,540</w:t>
            </w:r>
          </w:p>
        </w:tc>
        <w:tc>
          <w:tcPr>
            <w:tcW w:w="100" w:type="dxa"/>
            <w:vAlign w:val="bottom"/>
            <w:shd w:val="clear" w:color="auto" w:fill="B3B3B3"/>
          </w:tcPr>
          <w:p>
            <w:pPr>
              <w:spacing w:after="0"/>
              <w:rPr>
                <w:sz w:val="16"/>
                <w:szCs w:val="16"/>
                <w:color w:val="auto"/>
              </w:rPr>
            </w:pPr>
          </w:p>
        </w:tc>
        <w:tc>
          <w:tcPr>
            <w:tcW w:w="280" w:type="dxa"/>
            <w:vAlign w:val="bottom"/>
            <w:tcBorders>
              <w:bottom w:val="single" w:sz="8" w:color="auto"/>
            </w:tcBorders>
            <w:shd w:val="clear" w:color="auto" w:fill="B3B3B3"/>
          </w:tcPr>
          <w:p>
            <w:pPr>
              <w:spacing w:after="0"/>
              <w:rPr>
                <w:sz w:val="16"/>
                <w:szCs w:val="16"/>
                <w:color w:val="auto"/>
              </w:rPr>
            </w:pPr>
          </w:p>
        </w:tc>
        <w:tc>
          <w:tcPr>
            <w:tcW w:w="980" w:type="dxa"/>
            <w:vAlign w:val="bottom"/>
            <w:tcBorders>
              <w:bottom w:val="single" w:sz="8" w:color="auto"/>
            </w:tcBorders>
            <w:shd w:val="clear" w:color="auto" w:fill="B3B3B3"/>
          </w:tcPr>
          <w:p>
            <w:pPr>
              <w:jc w:val="right"/>
              <w:spacing w:after="0"/>
              <w:rPr>
                <w:sz w:val="20"/>
                <w:szCs w:val="20"/>
                <w:color w:val="auto"/>
              </w:rPr>
            </w:pPr>
            <w:r>
              <w:rPr>
                <w:rFonts w:ascii="Arial" w:cs="Arial" w:eastAsia="Arial" w:hAnsi="Arial"/>
                <w:sz w:val="14"/>
                <w:szCs w:val="14"/>
                <w:color w:val="auto"/>
              </w:rPr>
              <w:t>197,755</w:t>
            </w:r>
          </w:p>
        </w:tc>
      </w:tr>
      <w:tr>
        <w:trPr>
          <w:trHeight w:val="183"/>
        </w:trPr>
        <w:tc>
          <w:tcPr>
            <w:tcW w:w="582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215,304</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173,739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215,304</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173,739</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p>
      <w:pPr>
        <w:ind w:left="340" w:right="8340" w:hanging="332"/>
        <w:spacing w:after="0" w:line="397" w:lineRule="auto"/>
        <w:tabs>
          <w:tab w:leader="none" w:pos="216" w:val="left"/>
        </w:tabs>
        <w:numPr>
          <w:ilvl w:val="0"/>
          <w:numId w:val="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6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55"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information included in this Quarterly Report on Form 10-Q should be read in conjunction with Albany International Corp.’s Annual Report on Form 10-K for the year ended December 31, 2019.</w:t>
      </w:r>
    </w:p>
    <w:p>
      <w:pPr>
        <w:spacing w:after="0" w:line="3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 xml:space="preserve">Effective January 1, 2020, we adopted the provisions of ASC 326, </w:t>
      </w:r>
      <w:r>
        <w:rPr>
          <w:rFonts w:ascii="Arial" w:cs="Arial" w:eastAsia="Arial" w:hAnsi="Arial"/>
          <w:sz w:val="18"/>
          <w:szCs w:val="18"/>
          <w:i w:val="1"/>
          <w:iCs w:val="1"/>
          <w:color w:val="auto"/>
        </w:rPr>
        <w:t>Current Expected Credit Losses (CECL)</w:t>
      </w:r>
      <w:r>
        <w:rPr>
          <w:rFonts w:ascii="Arial" w:cs="Arial" w:eastAsia="Arial" w:hAnsi="Arial"/>
          <w:sz w:val="18"/>
          <w:szCs w:val="18"/>
          <w:color w:val="auto"/>
        </w:rPr>
        <w:t>, using the effective date (or modified retrospective) approach for transition. Under this transition method, periods prior to 2020 were not restated. The pre-tax cumulative effect of initially applying the new standard was an increase in credit loss reserves of $ 1.8 million, primarily for Accounts receivable and Contract assets. Including tax effects, Retained earnings was reduced by $1.4 million as a result of transitioning to the new standard. The effect of the application of CECL during the first quarter of 2020 is further described in Notes 11 and 12.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11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Machine Clothing (“MC”) segment supplies permeable and impermeable belts used in the manufacture of paper, paperboard, tissue and towel, nonwovens, fiber cement and several other industrial applications. We sell our MC products directly to customer end-users in countries across the globe. Our products, manufacturing processes, and distribution channels for MC are substantially the same in each region of the world in which we operate.</w:t>
      </w:r>
    </w:p>
    <w:p>
      <w:pPr>
        <w:spacing w:after="0" w:line="6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5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In the fourth quarter of 2019, Safran leased manufacturing space from AEC for the GE9X program. Rent paid by Safran under this lease amounted to $0.7 million for the first nine months of 2020. AEC Net sales to Safran, substantially all of which were through ASC, were $73.6 million and $175.2 million in the first nine months of 2020 and 2019, respectively.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of Accounts receivable, Contract assets and Noncurrent receivables due from Safran amounted to $119.8 million and $114.5 million as of September 30, 2020 and December 31, 2019, respectively. Other significant programs by AEC include the F-35, Boeing 787, Sikorsky CH-53K and JASSM, as well as the fan case for the GE9X engine. In 2019, approximately 25 percent of AEC sales were related to U.S. government contracts or programs.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229"/>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6"/>
        </w:trPr>
        <w:tc>
          <w:tcPr>
            <w:tcW w:w="60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138,747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151,324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428,782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450,673</w:t>
            </w: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73,252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119,809</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244,971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345,781</w:t>
            </w: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211,999</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271,133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673,753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796,454</w:t>
            </w:r>
          </w:p>
        </w:tc>
      </w:tr>
      <w:tr>
        <w:trPr>
          <w:trHeight w:val="229"/>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7"/>
        </w:trPr>
        <w:tc>
          <w:tcPr>
            <w:tcW w:w="60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45,699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51,906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149,418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145,688</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6,828</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17,345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22,749</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44,598</w:t>
            </w: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(13,754)</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(13,573)</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(41,073)</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(40,290)</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38,773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55,678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131,094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149,996</w:t>
            </w:r>
          </w:p>
        </w:tc>
      </w:tr>
      <w:tr>
        <w:trPr>
          <w:trHeight w:val="221"/>
        </w:trPr>
        <w:tc>
          <w:tcPr>
            <w:tcW w:w="600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5"/>
        </w:trPr>
        <w:tc>
          <w:tcPr>
            <w:tcW w:w="600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(1,485)</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(2,280)</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(2,037)</w:t>
            </w:r>
          </w:p>
        </w:tc>
      </w:tr>
      <w:tr>
        <w:trPr>
          <w:trHeight w:val="243"/>
        </w:trPr>
        <w:tc>
          <w:tcPr>
            <w:tcW w:w="60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3,727</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4,838</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12,322</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15,072</w:t>
            </w:r>
          </w:p>
        </w:tc>
      </w:tr>
      <w:tr>
        <w:trPr>
          <w:trHeight w:val="237"/>
        </w:trPr>
        <w:tc>
          <w:tcPr>
            <w:tcW w:w="60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expense/(income), net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13,915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39,276</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107,137</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138,867</w:t>
            </w:r>
          </w:p>
        </w:tc>
      </w:tr>
    </w:tbl>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changes in the total assets of the reportable segments in the first nine months of 2020.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03"/>
        </w:trPr>
        <w:tc>
          <w:tcPr>
            <w:tcW w:w="60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1,414</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1,125</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2,606</w:t>
            </w:r>
          </w:p>
        </w:tc>
        <w:tc>
          <w:tcPr>
            <w:tcW w:w="3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18</w:t>
            </w: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4,189</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1,139</w:t>
            </w:r>
          </w:p>
        </w:tc>
      </w:tr>
    </w:tbl>
    <w:p>
      <w:pPr>
        <w:spacing w:after="0" w:line="328"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In 2020, net adjustments to the estimated profitability of long-term contracts increased gross profit by $3.5 million and $9.5 million for the three and nine month periods, respectively, ended September 30, 2020. In 2019, net adjustments to the estimated profitability of long-term contracts increased gross profit by $3.2 million and $8.8 million for the three and nine month periods, respectively,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product groups based on the timing of revenue recognition, and groupings used for internal review purposes.</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disaggregate revenue for each product group by timing of revenue recognition: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Borders>
              <w:top w:val="single" w:sz="8" w:color="auto"/>
            </w:tcBorders>
          </w:tcPr>
          <w:p>
            <w:pPr>
              <w:spacing w:after="0"/>
              <w:rPr>
                <w:sz w:val="17"/>
                <w:szCs w:val="17"/>
                <w:color w:val="auto"/>
              </w:rPr>
            </w:pPr>
          </w:p>
        </w:tc>
        <w:tc>
          <w:tcPr>
            <w:tcW w:w="30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 2020</w:t>
            </w: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62"/>
              <w:spacing w:after="0" w:line="142" w:lineRule="exact"/>
              <w:rPr>
                <w:sz w:val="20"/>
                <w:szCs w:val="20"/>
                <w:color w:val="auto"/>
              </w:rPr>
            </w:pPr>
            <w:r>
              <w:rPr>
                <w:rFonts w:ascii="Arial" w:cs="Arial" w:eastAsia="Arial" w:hAnsi="Arial"/>
                <w:sz w:val="14"/>
                <w:szCs w:val="14"/>
                <w:b w:val="1"/>
                <w:bCs w:val="1"/>
                <w:color w:val="auto"/>
              </w:rPr>
              <w:t>Point in</w:t>
            </w:r>
          </w:p>
        </w:tc>
        <w:tc>
          <w:tcPr>
            <w:tcW w:w="1460" w:type="dxa"/>
            <w:vAlign w:val="bottom"/>
            <w:gridSpan w:val="2"/>
            <w:vMerge w:val="restart"/>
          </w:tcPr>
          <w:p>
            <w:pPr>
              <w:jc w:val="center"/>
              <w:ind w:left="2"/>
              <w:spacing w:after="0"/>
              <w:rPr>
                <w:sz w:val="20"/>
                <w:szCs w:val="20"/>
                <w:color w:val="auto"/>
              </w:rPr>
            </w:pPr>
            <w:r>
              <w:rPr>
                <w:rFonts w:ascii="Arial" w:cs="Arial" w:eastAsia="Arial" w:hAnsi="Arial"/>
                <w:sz w:val="14"/>
                <w:szCs w:val="14"/>
                <w:b w:val="1"/>
                <w:bCs w:val="1"/>
                <w:color w:val="auto"/>
              </w:rPr>
              <w:t>Over Time Revenue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380" w:type="dxa"/>
            <w:vAlign w:val="bottom"/>
            <w:gridSpan w:val="2"/>
          </w:tcPr>
          <w:p>
            <w:pPr>
              <w:jc w:val="center"/>
              <w:ind w:right="122"/>
              <w:spacing w:after="0" w:line="135" w:lineRule="exact"/>
              <w:rPr>
                <w:sz w:val="20"/>
                <w:szCs w:val="20"/>
                <w:color w:val="auto"/>
              </w:rPr>
            </w:pPr>
            <w:r>
              <w:rPr>
                <w:rFonts w:ascii="Arial" w:cs="Arial" w:eastAsia="Arial" w:hAnsi="Arial"/>
                <w:sz w:val="14"/>
                <w:szCs w:val="14"/>
                <w:b w:val="1"/>
                <w:bCs w:val="1"/>
                <w:color w:val="auto"/>
              </w:rPr>
              <w:t>Time Revenue</w:t>
            </w: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7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Recognition</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Recognition</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137,899</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848</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138,747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67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17,301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17,301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120"/>
              <w:spacing w:after="0"/>
              <w:rPr>
                <w:sz w:val="20"/>
                <w:szCs w:val="20"/>
                <w:color w:val="auto"/>
              </w:rPr>
            </w:pPr>
            <w:r>
              <w:rPr>
                <w:rFonts w:ascii="Arial" w:cs="Arial" w:eastAsia="Arial" w:hAnsi="Arial"/>
                <w:sz w:val="16"/>
                <w:szCs w:val="16"/>
                <w:color w:val="auto"/>
              </w:rPr>
              <w:t>ASC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AEC</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4,479</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51,472</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55,951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4,479</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68,773</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73,252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142,378</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69,621</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211,999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6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6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
              <w:spacing w:after="0" w:line="142" w:lineRule="exact"/>
              <w:rPr>
                <w:sz w:val="20"/>
                <w:szCs w:val="20"/>
                <w:color w:val="auto"/>
              </w:rPr>
            </w:pPr>
            <w:r>
              <w:rPr>
                <w:rFonts w:ascii="Arial" w:cs="Arial" w:eastAsia="Arial" w:hAnsi="Arial"/>
                <w:sz w:val="14"/>
                <w:szCs w:val="14"/>
                <w:b w:val="1"/>
                <w:bCs w:val="1"/>
                <w:color w:val="auto"/>
              </w:rPr>
              <w:t>Point in</w:t>
            </w: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Over Time Revenue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22"/>
              <w:spacing w:after="0" w:line="135" w:lineRule="exact"/>
              <w:rPr>
                <w:sz w:val="20"/>
                <w:szCs w:val="20"/>
                <w:color w:val="auto"/>
              </w:rPr>
            </w:pPr>
            <w:r>
              <w:rPr>
                <w:rFonts w:ascii="Arial" w:cs="Arial" w:eastAsia="Arial" w:hAnsi="Arial"/>
                <w:sz w:val="14"/>
                <w:szCs w:val="14"/>
                <w:b w:val="1"/>
                <w:bCs w:val="1"/>
                <w:color w:val="auto"/>
              </w:rPr>
              <w:t>Time Revenue</w:t>
            </w: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7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Recognition</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Recognition</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3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426,238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2,544</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428,782</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67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72,771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72,771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120"/>
              <w:spacing w:after="0"/>
              <w:rPr>
                <w:sz w:val="20"/>
                <w:szCs w:val="20"/>
                <w:color w:val="auto"/>
              </w:rPr>
            </w:pPr>
            <w:r>
              <w:rPr>
                <w:rFonts w:ascii="Arial" w:cs="Arial" w:eastAsia="Arial" w:hAnsi="Arial"/>
                <w:sz w:val="16"/>
                <w:szCs w:val="16"/>
                <w:color w:val="auto"/>
              </w:rPr>
              <w:t>ASC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AEC</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14,942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157,258</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172,200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14,942</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230,029</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244,971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441,180</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232,573</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673,753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6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2"/>
              <w:spacing w:after="0" w:line="142" w:lineRule="exact"/>
              <w:rPr>
                <w:sz w:val="20"/>
                <w:szCs w:val="20"/>
                <w:color w:val="auto"/>
              </w:rPr>
            </w:pPr>
            <w:r>
              <w:rPr>
                <w:rFonts w:ascii="Arial" w:cs="Arial" w:eastAsia="Arial" w:hAnsi="Arial"/>
                <w:sz w:val="14"/>
                <w:szCs w:val="14"/>
                <w:b w:val="1"/>
                <w:bCs w:val="1"/>
                <w:color w:val="auto"/>
              </w:rPr>
              <w:t>Point in</w:t>
            </w: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Over Time Revenue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22"/>
              <w:spacing w:after="0" w:line="135" w:lineRule="exact"/>
              <w:rPr>
                <w:sz w:val="20"/>
                <w:szCs w:val="20"/>
                <w:color w:val="auto"/>
              </w:rPr>
            </w:pPr>
            <w:r>
              <w:rPr>
                <w:rFonts w:ascii="Arial" w:cs="Arial" w:eastAsia="Arial" w:hAnsi="Arial"/>
                <w:sz w:val="14"/>
                <w:szCs w:val="14"/>
                <w:b w:val="1"/>
                <w:bCs w:val="1"/>
                <w:color w:val="auto"/>
              </w:rPr>
              <w:t>Time Revenue</w:t>
            </w:r>
          </w:p>
        </w:tc>
        <w:tc>
          <w:tcPr>
            <w:tcW w:w="14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7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Recognition</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Recognition</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65"/>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3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150,524</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151,324</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67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20"/>
              <w:spacing w:after="0"/>
              <w:rPr>
                <w:sz w:val="20"/>
                <w:szCs w:val="20"/>
                <w:color w:val="auto"/>
              </w:rPr>
            </w:pPr>
            <w:r>
              <w:rPr>
                <w:rFonts w:ascii="Arial" w:cs="Arial" w:eastAsia="Arial" w:hAnsi="Arial"/>
                <w:sz w:val="16"/>
                <w:szCs w:val="16"/>
                <w:color w:val="auto"/>
              </w:rPr>
              <w:t>ASC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56,414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AEC</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6,708</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56,687</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6,708</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113,101</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119,809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157,232</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113,901</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271,133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4"/>
                <w:szCs w:val="14"/>
                <w:b w:val="1"/>
                <w:bCs w:val="1"/>
                <w:color w:val="auto"/>
              </w:rPr>
              <w:t>Nine months ended September 30, 2019</w:t>
            </w:r>
          </w:p>
        </w:tc>
        <w:tc>
          <w:tcPr>
            <w:tcW w:w="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200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Point in Time Revenue</w:t>
            </w:r>
          </w:p>
        </w:tc>
        <w:tc>
          <w:tcPr>
            <w:tcW w:w="320" w:type="dxa"/>
            <w:vAlign w:val="bottom"/>
          </w:tcPr>
          <w:p>
            <w:pPr>
              <w:spacing w:after="0"/>
              <w:rPr>
                <w:sz w:val="12"/>
                <w:szCs w:val="12"/>
                <w:color w:val="auto"/>
              </w:rPr>
            </w:pPr>
          </w:p>
        </w:tc>
        <w:tc>
          <w:tcPr>
            <w:tcW w:w="1960" w:type="dxa"/>
            <w:vAlign w:val="bottom"/>
          </w:tcPr>
          <w:p>
            <w:pPr>
              <w:jc w:val="right"/>
              <w:ind w:right="382"/>
              <w:spacing w:after="0" w:line="142" w:lineRule="exact"/>
              <w:rPr>
                <w:sz w:val="20"/>
                <w:szCs w:val="20"/>
                <w:color w:val="auto"/>
              </w:rPr>
            </w:pPr>
            <w:r>
              <w:rPr>
                <w:rFonts w:ascii="Arial" w:cs="Arial" w:eastAsia="Arial" w:hAnsi="Arial"/>
                <w:sz w:val="14"/>
                <w:szCs w:val="14"/>
                <w:b w:val="1"/>
                <w:bCs w:val="1"/>
                <w:color w:val="auto"/>
              </w:rPr>
              <w:t>Over Time Revenue</w:t>
            </w:r>
          </w:p>
        </w:tc>
        <w:tc>
          <w:tcPr>
            <w:tcW w:w="540" w:type="dxa"/>
            <w:vAlign w:val="bottom"/>
          </w:tcPr>
          <w:p>
            <w:pPr>
              <w:spacing w:after="0"/>
              <w:rPr>
                <w:sz w:val="12"/>
                <w:szCs w:val="12"/>
                <w:color w:val="auto"/>
              </w:rPr>
            </w:pPr>
          </w:p>
        </w:tc>
        <w:tc>
          <w:tcPr>
            <w:tcW w:w="1720" w:type="dxa"/>
            <w:vAlign w:val="bottom"/>
            <w:vMerge w:val="restart"/>
          </w:tcPr>
          <w:p>
            <w:pPr>
              <w:jc w:val="right"/>
              <w:ind w:right="8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4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Recognition</w:t>
            </w:r>
          </w:p>
        </w:tc>
        <w:tc>
          <w:tcPr>
            <w:tcW w:w="3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Recognition</w:t>
            </w: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5"/>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448,273</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450,673</w:t>
            </w:r>
          </w:p>
        </w:tc>
        <w:tc>
          <w:tcPr>
            <w:tcW w:w="0" w:type="dxa"/>
            <w:vAlign w:val="bottom"/>
          </w:tcPr>
          <w:p>
            <w:pPr>
              <w:spacing w:after="0"/>
              <w:rPr>
                <w:sz w:val="1"/>
                <w:szCs w:val="1"/>
                <w:color w:val="auto"/>
              </w:rPr>
            </w:pPr>
          </w:p>
        </w:tc>
      </w:tr>
      <w:tr>
        <w:trPr>
          <w:trHeight w:val="462"/>
        </w:trPr>
        <w:tc>
          <w:tcPr>
            <w:tcW w:w="44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6"/>
                <w:szCs w:val="16"/>
                <w:color w:val="auto"/>
              </w:rPr>
              <w:t>ASC</w:t>
            </w: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170,551</w:t>
            </w:r>
          </w:p>
        </w:tc>
        <w:tc>
          <w:tcPr>
            <w:tcW w:w="540" w:type="dxa"/>
            <w:vAlign w:val="bottom"/>
          </w:tcPr>
          <w:p>
            <w:pPr>
              <w:spacing w:after="0"/>
              <w:rPr>
                <w:sz w:val="18"/>
                <w:szCs w:val="18"/>
                <w:color w:val="auto"/>
              </w:rPr>
            </w:pP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170,551</w:t>
            </w:r>
          </w:p>
        </w:tc>
        <w:tc>
          <w:tcPr>
            <w:tcW w:w="0" w:type="dxa"/>
            <w:vAlign w:val="bottom"/>
          </w:tcPr>
          <w:p>
            <w:pPr>
              <w:spacing w:after="0"/>
              <w:rPr>
                <w:sz w:val="1"/>
                <w:szCs w:val="1"/>
                <w:color w:val="auto"/>
              </w:rPr>
            </w:pPr>
          </w:p>
        </w:tc>
      </w:tr>
      <w:tr>
        <w:trPr>
          <w:trHeight w:val="220"/>
        </w:trPr>
        <w:tc>
          <w:tcPr>
            <w:tcW w:w="4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AEC</w:t>
            </w: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22,850</w:t>
            </w:r>
          </w:p>
        </w:tc>
        <w:tc>
          <w:tcPr>
            <w:tcW w:w="3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152,380</w:t>
            </w: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175,230</w:t>
            </w:r>
          </w:p>
        </w:tc>
        <w:tc>
          <w:tcPr>
            <w:tcW w:w="0" w:type="dxa"/>
            <w:vAlign w:val="bottom"/>
          </w:tcPr>
          <w:p>
            <w:pPr>
              <w:spacing w:after="0"/>
              <w:rPr>
                <w:sz w:val="1"/>
                <w:szCs w:val="1"/>
                <w:color w:val="auto"/>
              </w:rPr>
            </w:pPr>
          </w:p>
        </w:tc>
      </w:tr>
      <w:tr>
        <w:trPr>
          <w:trHeight w:val="211"/>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22,850</w:t>
            </w: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322,931</w:t>
            </w: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345,781</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471,123</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325,331</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796,454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182"/>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446"/>
        </w:trPr>
        <w:tc>
          <w:tcPr>
            <w:tcW w:w="6000" w:type="dxa"/>
            <w:vAlign w:val="bottom"/>
          </w:tcPr>
          <w:p>
            <w:pPr>
              <w:ind w:left="20"/>
              <w:spacing w:after="0"/>
              <w:rPr>
                <w:sz w:val="20"/>
                <w:szCs w:val="20"/>
                <w:color w:val="auto"/>
              </w:rPr>
            </w:pPr>
            <w:r>
              <w:rPr>
                <w:rFonts w:ascii="Arial" w:cs="Arial" w:eastAsia="Arial" w:hAnsi="Arial"/>
                <w:sz w:val="16"/>
                <w:szCs w:val="16"/>
                <w:color w:val="auto"/>
              </w:rPr>
              <w:t>Americas PMC</w:t>
            </w:r>
          </w:p>
        </w:tc>
        <w:tc>
          <w:tcPr>
            <w:tcW w:w="30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70,663</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82,763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225,565</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239,686</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50,923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50,330</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150,220</w:t>
            </w:r>
          </w:p>
        </w:tc>
        <w:tc>
          <w:tcPr>
            <w:tcW w:w="34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155,849</w:t>
            </w: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Engineered Fabrics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17,161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18,231</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52,997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55,138</w:t>
            </w:r>
          </w:p>
        </w:tc>
      </w:tr>
      <w:tr>
        <w:trPr>
          <w:trHeight w:val="20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138,747</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151,324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428,782</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450,673</w:t>
            </w: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accordance with ASC 606,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$81 million as of both September 30, 2020 and 2019 and related primarily to firm contracts in the AEC segment. Of the remaining performance obligations as of September 30, 2020, we expect to recognize as revenue approximately $36 million during 2020 and the remainder during 2021.</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Business Acquisition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November 20, 2019, the Company acquired CirComp GmbH, a privately-held developer and manufacturer of high-performance composite components located in Kaiserslautern, Germany for $32.4 million. The Company also agreed to pay approximately $5.5 million that will become due as certain post-closing obligations are performed. Expense related to that agreement will be recognized over the five year performance period. The Company funded the acquisition using a combination of cash on hand and funds drawn on its revolving credit facility. In March 2020, the Company purchased, in cash, the primary operating facility in Germany for $5.8 million, which resulted in the recording of land and building assets, and the removal of the Right of use assets and associated lease liabilities included in the acquisition-date balance sheet.</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seller provided representations, warranties and indemnities customary for acquisition transactions, including indemnities for certain customer claims identified, before closing. The acquired entity is part of the AEC segment. CirComp specializes in designing and manufacturing customized engineered composite components for aerospace and other demanding industrial applications.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allocation of the purchase price to the fair value of the assets and liabilities acquired: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34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November 20, 2019</w:t>
            </w:r>
          </w:p>
        </w:tc>
      </w:tr>
      <w:tr>
        <w:trPr>
          <w:trHeight w:val="205"/>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Assets acquired</w:t>
            </w:r>
          </w:p>
        </w:tc>
        <w:tc>
          <w:tcPr>
            <w:tcW w:w="33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Cash</w:t>
            </w:r>
          </w:p>
        </w:tc>
        <w:tc>
          <w:tcPr>
            <w:tcW w:w="33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1,607</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986</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1,992</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525</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5,686</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4,884</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Amortizable intangible assets</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10,302</w:t>
            </w:r>
          </w:p>
        </w:tc>
      </w:tr>
      <w:tr>
        <w:trPr>
          <w:trHeight w:val="22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Goodwill</w:t>
            </w:r>
          </w:p>
        </w:tc>
        <w:tc>
          <w:tcPr>
            <w:tcW w:w="3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17,676</w:t>
            </w:r>
          </w:p>
        </w:tc>
      </w:tr>
      <w:tr>
        <w:trPr>
          <w:trHeight w:val="21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 acquired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44,110</w:t>
            </w:r>
          </w:p>
        </w:tc>
      </w:tr>
      <w:tr>
        <w:trPr>
          <w:trHeight w:val="448"/>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33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34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2,777</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6"/>
        </w:trPr>
        <w:tc>
          <w:tcPr>
            <w:tcW w:w="63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3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3,182</w:t>
            </w:r>
          </w:p>
        </w:tc>
      </w:tr>
      <w:tr>
        <w:trPr>
          <w:trHeight w:val="22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w:t>
            </w:r>
          </w:p>
        </w:tc>
      </w:tr>
      <w:tr>
        <w:trPr>
          <w:trHeight w:val="211"/>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assumed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11,710</w:t>
            </w:r>
          </w:p>
        </w:tc>
      </w:tr>
      <w:tr>
        <w:trPr>
          <w:trHeight w:val="236"/>
        </w:trPr>
        <w:tc>
          <w:tcPr>
            <w:tcW w:w="63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1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32,400</w:t>
            </w:r>
          </w:p>
        </w:tc>
      </w:tr>
      <w:tr>
        <w:trPr>
          <w:trHeight w:val="209"/>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Purchase of business, net of cash acquired</w:t>
            </w:r>
          </w:p>
        </w:tc>
        <w:tc>
          <w:tcPr>
            <w:tcW w:w="3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30,793</w:t>
            </w: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six months of 2020, management identified adjustments to the provisional value of assets and liabilities acquired reported in the Form 10-K for the year ended December 31, 2019, which resulted in a decrease to Contract assets of $0.3 million, an increase to Accrued liabilities of $0.5 million, an increase to Amortizable intangible assets of $0.3 million, a decrease to Deferred income tax liabilities of $0.2 million, and an increase to Goodwill of $0.3 million. Management's review of the purchase price allocation has been completed.</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Acquired Goodwill of $17.7 million reflects the Company’s belief that the acquisition complements and expands Albany’s portfolio of proprietary, advanced manufacturing technologies for composite components, increases the Company’s position as a leading innovator in advanced materials processing and automation, and opens a geographic footprint in Europe to better serve our global customer base. The acquisition significantly increases the Company’s opportunities for future growth. The goodwill is non-deductible for tax purposes.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820" w:firstLine="8"/>
        <w:spacing w:after="0" w:line="375" w:lineRule="auto"/>
        <w:tabs>
          <w:tab w:leader="none" w:pos="20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Pensions and Other Postretirement Benefit Plans </w:t>
      </w:r>
      <w:r>
        <w:rPr>
          <w:rFonts w:ascii="Arial" w:cs="Arial" w:eastAsia="Arial" w:hAnsi="Arial"/>
          <w:sz w:val="18"/>
          <w:szCs w:val="18"/>
          <w:i w:val="1"/>
          <w:iCs w:val="1"/>
          <w:color w:val="auto"/>
        </w:rPr>
        <w:t>Pension Plans</w:t>
      </w:r>
    </w:p>
    <w:p>
      <w:pPr>
        <w:spacing w:after="0" w:line="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benefits accrued under this plan have been frozen since February 2009.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nine months ended September 30, 2020 and 2019,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18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1,728</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150</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1,892</w:t>
            </w:r>
          </w:p>
        </w:tc>
        <w:tc>
          <w:tcPr>
            <w:tcW w:w="20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4,621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5,368</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1,285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1,585</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(5,139)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(6,155)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Settlement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Curtailment cost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(3,366)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1,776</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1,687</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periodic benefit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3,388</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right="320" w:firstLine="324"/>
        <w:spacing w:after="0" w:line="255" w:lineRule="auto"/>
        <w:rPr>
          <w:sz w:val="20"/>
          <w:szCs w:val="20"/>
          <w:color w:val="auto"/>
        </w:rPr>
      </w:pPr>
      <w:r>
        <w:rPr>
          <w:rFonts w:ascii="Arial" w:cs="Arial" w:eastAsia="Arial" w:hAnsi="Arial"/>
          <w:sz w:val="18"/>
          <w:szCs w:val="18"/>
          <w:color w:val="auto"/>
        </w:rPr>
        <w:t>The amount of net periodic pension cost is determined at the beginning of each year and generally only varies from quarter to quarter when a significant event occurs, such as a curtailment or a settlement. In the second quarter of 2020, the Company recorded expense of $0.4 million related to curtailments and settlements. There were no curtailments or settlements in other quarters.</w:t>
      </w:r>
    </w:p>
    <w:p>
      <w:pPr>
        <w:spacing w:after="0" w:line="272"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or items as other compensation costs arising from services rendered by the pertinent employees during the period.</w:t>
      </w:r>
    </w:p>
    <w:p>
      <w:pPr>
        <w:spacing w:after="0" w:line="252"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Other components of net periodic benefit cost are presented in the income statement separately from the service cost component and outside a subtotal of income from operations, in the line item Other (income)/expense, net in the Consolidated Statements of Income.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360" w:lineRule="exact"/>
        <w:rPr>
          <w:sz w:val="20"/>
          <w:szCs w:val="20"/>
          <w:color w:val="auto"/>
        </w:rPr>
      </w:pPr>
    </w:p>
    <w:p>
      <w:pPr>
        <w:ind w:right="180" w:firstLine="324"/>
        <w:spacing w:after="0" w:line="276" w:lineRule="auto"/>
        <w:rPr>
          <w:sz w:val="20"/>
          <w:szCs w:val="20"/>
          <w:color w:val="auto"/>
        </w:rPr>
      </w:pPr>
      <w:r>
        <w:rPr>
          <w:rFonts w:ascii="Arial" w:cs="Arial" w:eastAsia="Arial" w:hAnsi="Arial"/>
          <w:sz w:val="18"/>
          <w:szCs w:val="18"/>
          <w:color w:val="auto"/>
        </w:rPr>
        <w:t>In 2020, AEC reduced its workforce at various locations, principally in the United States, leading to restructuring charges of $2.6 million for the first nine months of 2020.</w:t>
      </w:r>
    </w:p>
    <w:p>
      <w:pPr>
        <w:spacing w:after="0" w:line="172"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Machine Clothing restructuring charges for the first nine months of 2020 and 2019 were principally related to the plant closure of its MC production facility in Sélestat, France that was announced in 2017. Since 2017, we have recorded $13.3 million of restructuring charges related to this action.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ind w:left="660"/>
              <w:spacing w:after="0"/>
              <w:rPr>
                <w:sz w:val="20"/>
                <w:szCs w:val="20"/>
                <w:color w:val="auto"/>
              </w:rPr>
            </w:pPr>
            <w:r>
              <w:rPr>
                <w:rFonts w:ascii="Arial" w:cs="Arial" w:eastAsia="Arial" w:hAnsi="Arial"/>
                <w:sz w:val="16"/>
                <w:szCs w:val="16"/>
                <w:b w:val="1"/>
                <w:bCs w:val="1"/>
                <w:color w:val="auto"/>
                <w:w w:val="97"/>
              </w:rPr>
              <w:t>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1,414</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6"/>
                <w:szCs w:val="16"/>
                <w:b w:val="1"/>
                <w:bCs w:val="1"/>
                <w:color w:val="auto"/>
                <w:w w:val="97"/>
              </w:rPr>
              <w:t>358</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2,606</w:t>
            </w:r>
          </w:p>
        </w:tc>
        <w:tc>
          <w:tcPr>
            <w:tcW w:w="10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(32)</w:t>
            </w: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169</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w w:val="97"/>
              </w:rPr>
              <w:t>710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4,189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102"/>
        </w:trPr>
        <w:tc>
          <w:tcPr>
            <w:tcW w:w="6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401"/>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0" w:type="dxa"/>
            <w:vAlign w:val="bottom"/>
            <w:gridSpan w:val="2"/>
          </w:tcPr>
          <w:p>
            <w:pPr>
              <w:jc w:val="center"/>
              <w:ind w:right="142"/>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Impairment of</w:t>
            </w:r>
          </w:p>
        </w:tc>
        <w:tc>
          <w:tcPr>
            <w:tcW w:w="0" w:type="dxa"/>
            <w:vAlign w:val="bottom"/>
          </w:tcPr>
          <w:p>
            <w:pPr>
              <w:spacing w:after="0"/>
              <w:rPr>
                <w:sz w:val="1"/>
                <w:szCs w:val="1"/>
                <w:color w:val="auto"/>
              </w:rPr>
            </w:pPr>
          </w:p>
        </w:tc>
      </w:tr>
      <w:tr>
        <w:trPr>
          <w:trHeight w:val="187"/>
        </w:trPr>
        <w:tc>
          <w:tcPr>
            <w:tcW w:w="6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rPr>
              <w:t>costs incurred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spacing w:after="0"/>
              <w:rPr>
                <w:sz w:val="21"/>
                <w:szCs w:val="21"/>
                <w:color w:val="auto"/>
              </w:rPr>
            </w:pPr>
          </w:p>
        </w:tc>
        <w:tc>
          <w:tcPr>
            <w:tcW w:w="940" w:type="dxa"/>
            <w:vAlign w:val="bottom"/>
          </w:tcPr>
          <w:p>
            <w:pPr>
              <w:ind w:left="70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1,414</w:t>
            </w:r>
          </w:p>
        </w:tc>
        <w:tc>
          <w:tcPr>
            <w:tcW w:w="2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1,414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2,606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2,606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4,189</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15"/>
        </w:trPr>
        <w:tc>
          <w:tcPr>
            <w:tcW w:w="6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401"/>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0" w:type="dxa"/>
            <w:vAlign w:val="bottom"/>
            <w:gridSpan w:val="2"/>
          </w:tcPr>
          <w:p>
            <w:pPr>
              <w:jc w:val="center"/>
              <w:ind w:right="142"/>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 September 30, 2019</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4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Impairment of</w:t>
            </w:r>
          </w:p>
        </w:tc>
        <w:tc>
          <w:tcPr>
            <w:tcW w:w="0" w:type="dxa"/>
            <w:vAlign w:val="bottom"/>
          </w:tcPr>
          <w:p>
            <w:pPr>
              <w:spacing w:after="0"/>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rPr>
              <w:t>costs incurred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262"/>
              <w:spacing w:after="0"/>
              <w:rPr>
                <w:sz w:val="20"/>
                <w:szCs w:val="20"/>
                <w:color w:val="auto"/>
              </w:rPr>
            </w:pPr>
            <w:r>
              <w:rPr>
                <w:rFonts w:ascii="Arial" w:cs="Arial" w:eastAsia="Arial" w:hAnsi="Arial"/>
                <w:sz w:val="14"/>
                <w:szCs w:val="14"/>
                <w:b w:val="1"/>
                <w:bCs w:val="1"/>
                <w:color w:val="auto"/>
              </w:rPr>
              <w:t>costs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14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0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spacing w:after="0"/>
              <w:rPr>
                <w:sz w:val="17"/>
                <w:szCs w:val="17"/>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1,125</w:t>
            </w:r>
          </w:p>
        </w:tc>
        <w:tc>
          <w:tcPr>
            <w:tcW w:w="2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We expect that approximately $2.8 million of Accrued liabilities for restructuring at September 30, 2020 will be paid within one year and approximately $ 0.3 million will be paid the following year. The table below presents the year-to-date changes in restructuring liabilities for 2020 and 2019, all of which are related to termination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80" w:type="dxa"/>
            <w:vAlign w:val="bottom"/>
          </w:tcPr>
          <w:p>
            <w:pPr>
              <w:jc w:val="center"/>
              <w:ind w:right="10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340" w:type="dxa"/>
            <w:vAlign w:val="bottom"/>
          </w:tcPr>
          <w:p>
            <w:pPr>
              <w:jc w:val="center"/>
              <w:ind w:right="45"/>
              <w:spacing w:after="0"/>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6"/>
                <w:szCs w:val="16"/>
                <w:color w:val="auto"/>
              </w:rPr>
            </w:pPr>
          </w:p>
        </w:tc>
        <w:tc>
          <w:tcPr>
            <w:tcW w:w="11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6"/>
                <w:szCs w:val="16"/>
                <w:color w:val="auto"/>
              </w:rPr>
            </w:pPr>
          </w:p>
        </w:tc>
        <w:tc>
          <w:tcPr>
            <w:tcW w:w="1460" w:type="dxa"/>
            <w:vAlign w:val="bottom"/>
          </w:tcPr>
          <w:p>
            <w:pPr>
              <w:jc w:val="center"/>
              <w:ind w:right="85"/>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6"/>
                <w:szCs w:val="16"/>
                <w:color w:val="auto"/>
              </w:rPr>
            </w:pPr>
          </w:p>
        </w:tc>
        <w:tc>
          <w:tcPr>
            <w:tcW w:w="1320" w:type="dxa"/>
            <w:vAlign w:val="bottom"/>
          </w:tcPr>
          <w:p>
            <w:pPr>
              <w:jc w:val="center"/>
              <w:ind w:right="14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charges accrued</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translation /other</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tcPr>
          <w:p>
            <w:pPr>
              <w:spacing w:after="0"/>
              <w:rPr>
                <w:sz w:val="20"/>
                <w:szCs w:val="20"/>
                <w:color w:val="auto"/>
              </w:rPr>
            </w:pPr>
            <w:r>
              <w:rPr>
                <w:rFonts w:ascii="Arial" w:cs="Arial" w:eastAsia="Arial" w:hAnsi="Arial"/>
                <w:sz w:val="16"/>
                <w:szCs w:val="16"/>
                <w:color w:val="auto"/>
              </w:rPr>
              <w:t>Total termination and other costs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2,042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4,189</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(3,186)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ind w:right="5"/>
              <w:spacing w:after="0"/>
              <w:rPr>
                <w:sz w:val="20"/>
                <w:szCs w:val="20"/>
                <w:color w:val="auto"/>
              </w:rPr>
            </w:pPr>
            <w:r>
              <w:rPr>
                <w:rFonts w:ascii="Arial" w:cs="Arial" w:eastAsia="Arial" w:hAnsi="Arial"/>
                <w:sz w:val="16"/>
                <w:szCs w:val="16"/>
                <w:b w:val="1"/>
                <w:bCs w:val="1"/>
                <w:color w:val="auto"/>
              </w:rPr>
              <w:t>46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5"/>
              <w:spacing w:after="0"/>
              <w:rPr>
                <w:sz w:val="20"/>
                <w:szCs w:val="20"/>
                <w:color w:val="auto"/>
              </w:rPr>
            </w:pPr>
            <w:r>
              <w:rPr>
                <w:rFonts w:ascii="Arial" w:cs="Arial" w:eastAsia="Arial" w:hAnsi="Arial"/>
                <w:sz w:val="16"/>
                <w:szCs w:val="16"/>
                <w:b w:val="1"/>
                <w:bCs w:val="1"/>
                <w:color w:val="auto"/>
              </w:rPr>
              <w:t>3,091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280" w:type="dxa"/>
            <w:vAlign w:val="bottom"/>
          </w:tcPr>
          <w:p>
            <w:pPr>
              <w:jc w:val="center"/>
              <w:ind w:right="105"/>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7"/>
                <w:szCs w:val="17"/>
                <w:color w:val="auto"/>
              </w:rPr>
            </w:pPr>
          </w:p>
        </w:tc>
        <w:tc>
          <w:tcPr>
            <w:tcW w:w="1340" w:type="dxa"/>
            <w:vAlign w:val="bottom"/>
          </w:tcPr>
          <w:p>
            <w:pPr>
              <w:jc w:val="center"/>
              <w:ind w:right="45"/>
              <w:spacing w:after="0"/>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7"/>
                <w:szCs w:val="17"/>
                <w:color w:val="auto"/>
              </w:rPr>
            </w:pPr>
          </w:p>
        </w:tc>
        <w:tc>
          <w:tcPr>
            <w:tcW w:w="1100" w:type="dxa"/>
            <w:vAlign w:val="bottom"/>
            <w:vMerge w:val="restart"/>
          </w:tcPr>
          <w:p>
            <w:pPr>
              <w:jc w:val="right"/>
              <w:ind w:right="244"/>
              <w:spacing w:after="0"/>
              <w:rPr>
                <w:sz w:val="20"/>
                <w:szCs w:val="20"/>
                <w:color w:val="auto"/>
              </w:rPr>
            </w:pPr>
            <w:r>
              <w:rPr>
                <w:rFonts w:ascii="Arial" w:cs="Arial" w:eastAsia="Arial" w:hAnsi="Arial"/>
                <w:sz w:val="14"/>
                <w:szCs w:val="14"/>
                <w:b w:val="1"/>
                <w:bCs w:val="1"/>
                <w:color w:val="auto"/>
              </w:rPr>
              <w:t>Payments</w:t>
            </w:r>
          </w:p>
        </w:tc>
        <w:tc>
          <w:tcPr>
            <w:tcW w:w="160" w:type="dxa"/>
            <w:vAlign w:val="bottom"/>
          </w:tcPr>
          <w:p>
            <w:pPr>
              <w:spacing w:after="0"/>
              <w:rPr>
                <w:sz w:val="17"/>
                <w:szCs w:val="17"/>
                <w:color w:val="auto"/>
              </w:rPr>
            </w:pPr>
          </w:p>
        </w:tc>
        <w:tc>
          <w:tcPr>
            <w:tcW w:w="1460" w:type="dxa"/>
            <w:vAlign w:val="bottom"/>
          </w:tcPr>
          <w:p>
            <w:pPr>
              <w:jc w:val="center"/>
              <w:ind w:right="65"/>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7"/>
                <w:szCs w:val="17"/>
                <w:color w:val="auto"/>
              </w:rPr>
            </w:pPr>
          </w:p>
        </w:tc>
        <w:tc>
          <w:tcPr>
            <w:tcW w:w="1320" w:type="dxa"/>
            <w:vAlign w:val="bottom"/>
          </w:tcPr>
          <w:p>
            <w:pPr>
              <w:jc w:val="center"/>
              <w:ind w:right="10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rPr>
              <w:t>charges accrued</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translation /other</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termination and other costs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03"/>
        </w:trPr>
        <w:tc>
          <w:tcPr>
            <w:tcW w:w="6000" w:type="dxa"/>
            <w:vAlign w:val="bottom"/>
          </w:tcPr>
          <w:p>
            <w:pPr>
              <w:ind w:left="20"/>
              <w:spacing w:after="0"/>
              <w:rPr>
                <w:sz w:val="20"/>
                <w:szCs w:val="20"/>
                <w:color w:val="auto"/>
              </w:rPr>
            </w:pPr>
            <w:r>
              <w:rPr>
                <w:rFonts w:ascii="Arial" w:cs="Arial" w:eastAsia="Arial" w:hAnsi="Arial"/>
                <w:sz w:val="16"/>
                <w:szCs w:val="16"/>
                <w:color w:val="auto"/>
              </w:rPr>
              <w:t>Currency transaction (gains)/losses</w:t>
            </w:r>
          </w:p>
        </w:tc>
        <w:tc>
          <w:tcPr>
            <w:tcW w:w="30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(2,028)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14,702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(3,724)</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96</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262</w:t>
            </w: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 service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1,523</w:t>
            </w:r>
          </w:p>
        </w:tc>
        <w:tc>
          <w:tcPr>
            <w:tcW w:w="32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840</w:t>
            </w: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716</w:t>
            </w:r>
          </w:p>
        </w:tc>
      </w:tr>
      <w:tr>
        <w:trPr>
          <w:trHeight w:val="21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13,915</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r>
    </w:tbl>
    <w:p>
      <w:pPr>
        <w:spacing w:after="0" w:line="200" w:lineRule="exact"/>
        <w:rPr>
          <w:sz w:val="20"/>
          <w:szCs w:val="20"/>
          <w:color w:val="auto"/>
        </w:rPr>
      </w:pPr>
    </w:p>
    <w:p>
      <w:pPr>
        <w:spacing w:after="0" w:line="236"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Other (Income)/Expense, net for the first three months of 2020 included losses related to the revaluation of nonfunctional-currency balances of $14.8 million, which principally resulted from intercompany demand loans payable by Mexican subsidiaries combined with the effects of a much weaker peso in 2020. As a result of changes in business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conditions that occurred in the first quarter of 2020, certain loan repayments are no longer expected in the foreseeable future and, beginning April 1, 2020, the revaluation effects for those loans are being recorded in Other comprehensive income. This resulted in a gain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$0.6 million, and a loss of $0.6 million being recorded in Other comprehensive income in the second and third quarters of 2020, respectively.</w:t>
      </w:r>
    </w:p>
    <w:p>
      <w:pPr>
        <w:spacing w:after="0" w:line="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Other (income)/expense, net, for the first nine months of 2019 included gains related to the revaluation of nonfunctional-currency balances of $3.7 million.</w:t>
      </w:r>
    </w:p>
    <w:p>
      <w:pPr>
        <w:spacing w:after="0" w:line="3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In the third quarter 2020 Other income/expense, net we recorded other income of $2.6 million related to a successful claim for a rebate of foreign sales tax paid in previous years.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nine months ended September 30, 2020 and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Borders>
              <w:top w:val="single" w:sz="8" w:color="auto"/>
              <w:bottom w:val="single" w:sz="8" w:color="auto"/>
            </w:tcBorders>
          </w:tcPr>
          <w:p>
            <w:pPr>
              <w:spacing w:after="0"/>
              <w:rPr>
                <w:sz w:val="17"/>
                <w:szCs w:val="17"/>
                <w:color w:val="auto"/>
              </w:rPr>
            </w:pPr>
          </w:p>
        </w:tc>
        <w:tc>
          <w:tcPr>
            <w:tcW w:w="27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4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5"/>
        </w:trPr>
        <w:tc>
          <w:tcPr>
            <w:tcW w:w="6040" w:type="dxa"/>
            <w:vAlign w:val="bottom"/>
          </w:tcPr>
          <w:p>
            <w:pPr>
              <w:ind w:left="20"/>
              <w:spacing w:after="0" w:line="155" w:lineRule="exact"/>
              <w:rPr>
                <w:sz w:val="20"/>
                <w:szCs w:val="20"/>
                <w:color w:val="auto"/>
              </w:rPr>
            </w:pPr>
            <w:r>
              <w:rPr>
                <w:rFonts w:ascii="Arial" w:cs="Arial" w:eastAsia="Arial" w:hAnsi="Arial"/>
                <w:sz w:val="16"/>
                <w:szCs w:val="16"/>
                <w:color w:val="auto"/>
              </w:rPr>
              <w:t>Income tax based on income from continuing operations, at estimated tax rates of</w:t>
            </w:r>
          </w:p>
        </w:tc>
        <w:tc>
          <w:tcPr>
            <w:tcW w:w="440" w:type="dxa"/>
            <w:vAlign w:val="bottom"/>
            <w:vMerge w:val="restart"/>
          </w:tcPr>
          <w:p>
            <w:pPr>
              <w:jc w:val="right"/>
              <w:ind w:right="122"/>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12,666</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14,662</w:t>
            </w:r>
          </w:p>
        </w:tc>
        <w:tc>
          <w:tcPr>
            <w:tcW w:w="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34,550</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38,256</w:t>
            </w:r>
          </w:p>
        </w:tc>
        <w:tc>
          <w:tcPr>
            <w:tcW w:w="0" w:type="dxa"/>
            <w:vAlign w:val="bottom"/>
          </w:tcPr>
          <w:p>
            <w:pPr>
              <w:spacing w:after="0"/>
              <w:rPr>
                <w:sz w:val="1"/>
                <w:szCs w:val="1"/>
                <w:color w:val="auto"/>
              </w:rPr>
            </w:pPr>
          </w:p>
        </w:tc>
      </w:tr>
      <w:tr>
        <w:trPr>
          <w:trHeight w:val="209"/>
        </w:trPr>
        <w:tc>
          <w:tcPr>
            <w:tcW w:w="6040" w:type="dxa"/>
            <w:vAlign w:val="bottom"/>
          </w:tcPr>
          <w:p>
            <w:pPr>
              <w:ind w:left="20"/>
              <w:spacing w:after="0"/>
              <w:rPr>
                <w:sz w:val="20"/>
                <w:szCs w:val="20"/>
                <w:color w:val="auto"/>
              </w:rPr>
            </w:pPr>
            <w:r>
              <w:rPr>
                <w:rFonts w:ascii="Arial" w:cs="Arial" w:eastAsia="Arial" w:hAnsi="Arial"/>
                <w:sz w:val="16"/>
                <w:szCs w:val="16"/>
                <w:color w:val="auto"/>
              </w:rPr>
              <w:t>32.2% and 27.5%, respectively</w:t>
            </w:r>
          </w:p>
        </w:tc>
        <w:tc>
          <w:tcPr>
            <w:tcW w:w="4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change in estimated tax rate</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(1,196)</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040" w:type="dxa"/>
            <w:vAlign w:val="bottom"/>
          </w:tcPr>
          <w:p>
            <w:pPr>
              <w:ind w:left="20"/>
              <w:spacing w:after="0"/>
              <w:rPr>
                <w:sz w:val="20"/>
                <w:szCs w:val="20"/>
                <w:color w:val="auto"/>
              </w:rPr>
            </w:pPr>
            <w:r>
              <w:rPr>
                <w:rFonts w:ascii="Arial" w:cs="Arial" w:eastAsia="Arial" w:hAnsi="Arial"/>
                <w:sz w:val="16"/>
                <w:szCs w:val="16"/>
                <w:color w:val="auto"/>
              </w:rPr>
              <w:t>Income tax before discrete items</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11,470</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13,970</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34,550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38,256</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6"/>
                <w:szCs w:val="16"/>
                <w:color w:val="auto"/>
              </w:rPr>
              <w:t>Discrete tax expense:</w:t>
            </w:r>
          </w:p>
        </w:tc>
        <w:tc>
          <w:tcPr>
            <w:tcW w:w="4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ind w:left="20"/>
              <w:spacing w:after="0"/>
              <w:rPr>
                <w:sz w:val="20"/>
                <w:szCs w:val="20"/>
                <w:color w:val="auto"/>
              </w:rPr>
            </w:pPr>
            <w:r>
              <w:rPr>
                <w:rFonts w:ascii="Arial" w:cs="Arial" w:eastAsia="Arial" w:hAnsi="Arial"/>
                <w:sz w:val="16"/>
                <w:szCs w:val="16"/>
                <w:color w:val="auto"/>
              </w:rPr>
              <w:t>Exercise of U.S. stock options</w:t>
            </w:r>
          </w:p>
        </w:tc>
        <w:tc>
          <w:tcPr>
            <w:tcW w:w="4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6"/>
                <w:szCs w:val="16"/>
                <w:color w:val="auto"/>
              </w:rPr>
              <w:t>Adjustments to prior period tax liabilities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(1,750)</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(983)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(1,779)</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(2,785)</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6"/>
                <w:szCs w:val="16"/>
                <w:color w:val="auto"/>
              </w:rPr>
              <w:t>Out-of-period adjustments to deferred tax assets</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1,830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6"/>
                <w:szCs w:val="16"/>
                <w:color w:val="auto"/>
              </w:rPr>
              <w:t>Tax effect of non-deductible foreign exchange loss on intercompany loan</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3,658</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6"/>
                <w:szCs w:val="16"/>
                <w:color w:val="auto"/>
              </w:rPr>
              <w:t>Changes in valuation allowance</w:t>
            </w: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income tax expense</w:t>
            </w:r>
          </w:p>
        </w:tc>
        <w:tc>
          <w:tcPr>
            <w:tcW w:w="4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9,686</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13,194</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37,504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35,075</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third quarter estimated annual effective tax rate on continuing operations was 32.2 percent in 2020, compared to 27.5 percent for the same period in 2019.</w:t>
      </w:r>
    </w:p>
    <w:p>
      <w:pPr>
        <w:spacing w:after="0" w:line="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Income tax expense for the quarter was determined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5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 The higher estimated income tax rate is primarily driven by an increase in losses in a foreign jurisdiction that is excluded in calculating the quarterly income tax provision.</w:t>
      </w:r>
    </w:p>
    <w:p>
      <w:pPr>
        <w:spacing w:after="0" w:line="6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$156.4 million of current year and prior year earnings of the Company’s foreign operations. If these earnings were repatriated, the Company would be subject to foreign withholding taxes of $2.8 million and state income taxes of $2.6 million which have already been recorded.</w:t>
      </w:r>
    </w:p>
    <w:p>
      <w:pPr>
        <w:spacing w:after="0" w:line="6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2020. The Company is currently under audit in U.S and non-U.S. tax jurisdictions, including but not limited to Canada and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state of Utah. In the first quarter of 2020, the Company recorded a $1.8 million out-of-period immaterial charge related to developments in ongoing tax audits, which resulted in a corresponding decrease in deferred tax assets. In the second quarter of 2020, a U.S. state tax audit was settled, resulting in a net tax benefit of $1.5 million in that quarter.</w:t>
      </w:r>
    </w:p>
    <w:p>
      <w:pPr>
        <w:spacing w:after="0" w:line="19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In 2020, the Company recorded a net tax benefit of $1.0 million related to the adjustment of prior period liabilities. In the third and second quarter of 2020, respectively, the Company recorded a net tax benefit of $1.8 million related to U.S. adjustments of prior period liabilities, and deferred tax expense of $1.0 million due to an adjustment of net operating losses related to settled audits. Additionally, the Company recorded a $0.2 million valuation allowance on the net deferred tax assets of one of its foreign subsidiaries in the second quarter of 2020.</w:t>
      </w:r>
    </w:p>
    <w:p>
      <w:pPr>
        <w:spacing w:after="0" w:line="19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One of the Company’s subsidiaries in Mexico has an intercompany loan payable in U.S. dollars. As a result of the weaker Mexican peso, the Company recorded a revaluation loss of $12.7 million in the first quarter of 2020. That foreign currency loss is not deductible under Mexican tax law, which had a $3.7 million discrete tax impact in the first quarter of 2020. This intercompany loan was designated as a long-term loan as of April 1, 2020 and, as such, the subsequent foreign currency impacts are not recorded in the income statement.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1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54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5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Company</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29,589</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40,009</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71,052</w:t>
            </w:r>
          </w:p>
        </w:tc>
        <w:tc>
          <w:tcPr>
            <w:tcW w:w="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103,253</w:t>
            </w:r>
          </w:p>
        </w:tc>
        <w:tc>
          <w:tcPr>
            <w:tcW w:w="0" w:type="dxa"/>
            <w:vAlign w:val="bottom"/>
          </w:tcPr>
          <w:p>
            <w:pPr>
              <w:spacing w:after="0"/>
              <w:rPr>
                <w:sz w:val="1"/>
                <w:szCs w:val="1"/>
                <w:color w:val="auto"/>
              </w:rPr>
            </w:pPr>
          </w:p>
        </w:tc>
      </w:tr>
      <w:tr>
        <w:trPr>
          <w:trHeight w:val="44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32,337</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32,326</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color w:val="auto"/>
              </w:rPr>
              <w:t>Weighted average number of shares used in calculating basic net income per share</w:t>
            </w:r>
          </w:p>
        </w:tc>
        <w:tc>
          <w:tcPr>
            <w:tcW w:w="3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32,306</w:t>
            </w:r>
          </w:p>
        </w:tc>
        <w:tc>
          <w:tcPr>
            <w:tcW w:w="3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32,293</w:t>
            </w:r>
          </w:p>
        </w:tc>
        <w:tc>
          <w:tcPr>
            <w:tcW w:w="0" w:type="dxa"/>
            <w:vAlign w:val="bottom"/>
          </w:tcPr>
          <w:p>
            <w:pPr>
              <w:spacing w:after="0"/>
              <w:rPr>
                <w:sz w:val="1"/>
                <w:szCs w:val="1"/>
                <w:color w:val="auto"/>
              </w:rPr>
            </w:pPr>
          </w:p>
        </w:tc>
      </w:tr>
      <w:tr>
        <w:trPr>
          <w:trHeight w:val="21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3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Stock options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99"/>
        </w:trPr>
        <w:tc>
          <w:tcPr>
            <w:tcW w:w="6060" w:type="dxa"/>
            <w:vAlign w:val="bottom"/>
          </w:tcPr>
          <w:p>
            <w:pPr>
              <w:ind w:left="20"/>
              <w:spacing w:after="0"/>
              <w:rPr>
                <w:sz w:val="20"/>
                <w:szCs w:val="20"/>
                <w:color w:val="auto"/>
              </w:rPr>
            </w:pPr>
            <w:r>
              <w:rPr>
                <w:rFonts w:ascii="Arial" w:cs="Arial" w:eastAsia="Arial" w:hAnsi="Arial"/>
                <w:sz w:val="16"/>
                <w:szCs w:val="16"/>
                <w:color w:val="auto"/>
              </w:rPr>
              <w:t>Weighted average number of shares used in calculating diluted net income per</w:t>
            </w:r>
          </w:p>
        </w:tc>
        <w:tc>
          <w:tcPr>
            <w:tcW w:w="3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32,344</w:t>
            </w:r>
          </w:p>
        </w:tc>
        <w:tc>
          <w:tcPr>
            <w:tcW w:w="34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32,317</w:t>
            </w:r>
          </w:p>
        </w:tc>
        <w:tc>
          <w:tcPr>
            <w:tcW w:w="30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32,333</w:t>
            </w:r>
          </w:p>
        </w:tc>
        <w:tc>
          <w:tcPr>
            <w:tcW w:w="34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32,305</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060" w:type="dxa"/>
            <w:vAlign w:val="bottom"/>
          </w:tcPr>
          <w:p>
            <w:pPr>
              <w:ind w:left="20"/>
              <w:spacing w:after="0"/>
              <w:rPr>
                <w:sz w:val="20"/>
                <w:szCs w:val="20"/>
                <w:color w:val="auto"/>
              </w:rPr>
            </w:pPr>
            <w:r>
              <w:rPr>
                <w:rFonts w:ascii="Arial" w:cs="Arial" w:eastAsia="Arial" w:hAnsi="Arial"/>
                <w:sz w:val="16"/>
                <w:szCs w:val="16"/>
                <w:color w:val="auto"/>
              </w:rPr>
              <w:t>Average market price of common stock used for calculation of dilutive shares</w:t>
            </w:r>
          </w:p>
        </w:tc>
        <w:tc>
          <w:tcPr>
            <w:tcW w:w="32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51.81</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82.99</w:t>
            </w:r>
          </w:p>
        </w:tc>
        <w:tc>
          <w:tcPr>
            <w:tcW w:w="3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57.05</w:t>
            </w:r>
          </w:p>
        </w:tc>
        <w:tc>
          <w:tcPr>
            <w:tcW w:w="340" w:type="dxa"/>
            <w:vAlign w:val="bottom"/>
          </w:tcPr>
          <w:p>
            <w:pPr>
              <w:jc w:val="center"/>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76.45</w:t>
            </w:r>
          </w:p>
        </w:tc>
        <w:tc>
          <w:tcPr>
            <w:tcW w:w="0" w:type="dxa"/>
            <w:vAlign w:val="bottom"/>
          </w:tcPr>
          <w:p>
            <w:pPr>
              <w:spacing w:after="0"/>
              <w:rPr>
                <w:sz w:val="1"/>
                <w:szCs w:val="1"/>
                <w:color w:val="auto"/>
              </w:rPr>
            </w:pPr>
          </w:p>
        </w:tc>
      </w:tr>
      <w:tr>
        <w:trPr>
          <w:trHeight w:val="46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32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0.92</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2.20</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color w:val="auto"/>
              </w:rPr>
              <w:t>Basic</w:t>
            </w:r>
          </w:p>
        </w:tc>
        <w:tc>
          <w:tcPr>
            <w:tcW w:w="3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w:t>
            </w:r>
          </w:p>
        </w:tc>
        <w:tc>
          <w:tcPr>
            <w:tcW w:w="3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tcPr>
          <w:p>
            <w:pPr>
              <w:jc w:val="center"/>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0.91</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w:t>
            </w:r>
          </w:p>
        </w:tc>
        <w:tc>
          <w:tcPr>
            <w:tcW w:w="3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2019 to September 30,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1"/>
                <w:szCs w:val="11"/>
                <w:color w:val="auto"/>
              </w:rPr>
            </w:pPr>
          </w:p>
        </w:tc>
        <w:tc>
          <w:tcPr>
            <w:tcW w:w="132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1"/>
                <w:szCs w:val="11"/>
                <w:color w:val="auto"/>
              </w:rPr>
            </w:pPr>
          </w:p>
        </w:tc>
        <w:tc>
          <w:tcPr>
            <w:tcW w:w="1280" w:type="dxa"/>
            <w:vAlign w:val="bottom"/>
          </w:tcPr>
          <w:p>
            <w:pPr>
              <w:jc w:val="center"/>
              <w:ind w:right="162"/>
              <w:spacing w:after="0" w:line="135" w:lineRule="exact"/>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1"/>
                <w:szCs w:val="11"/>
                <w:color w:val="auto"/>
              </w:rPr>
            </w:pPr>
          </w:p>
        </w:tc>
        <w:tc>
          <w:tcPr>
            <w:tcW w:w="14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75"/>
        </w:trPr>
        <w:tc>
          <w:tcPr>
            <w:tcW w:w="51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(122,852)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(49,994)</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(175,981)</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7"/>
                <w:szCs w:val="17"/>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3,038</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(9,315)</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(6,268)</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6"/>
                <w:szCs w:val="16"/>
                <w:color w:val="auto"/>
              </w:rPr>
              <w:t>Pension/postretirement curtailment loss, net of tax</w:t>
            </w:r>
          </w:p>
        </w:tc>
        <w:tc>
          <w:tcPr>
            <w:tcW w:w="2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265</w:t>
            </w:r>
          </w:p>
        </w:tc>
        <w:tc>
          <w:tcPr>
            <w:tcW w:w="24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2"/>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67"/>
        </w:trPr>
        <w:tc>
          <w:tcPr>
            <w:tcW w:w="5100" w:type="dxa"/>
            <w:vAlign w:val="bottom"/>
          </w:tcPr>
          <w:p>
            <w:pPr>
              <w:ind w:left="20"/>
              <w:spacing w:after="0" w:line="167"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2,041</w:t>
            </w:r>
          </w:p>
        </w:tc>
        <w:tc>
          <w:tcPr>
            <w:tcW w:w="120" w:type="dxa"/>
            <w:vAlign w:val="bottom"/>
          </w:tcPr>
          <w:p>
            <w:pPr>
              <w:spacing w:after="0"/>
              <w:rPr>
                <w:sz w:val="14"/>
                <w:szCs w:val="14"/>
                <w:color w:val="auto"/>
              </w:rPr>
            </w:pPr>
          </w:p>
        </w:tc>
        <w:tc>
          <w:tcPr>
            <w:tcW w:w="1400" w:type="dxa"/>
            <w:vAlign w:val="bottom"/>
            <w:vMerge w:val="restart"/>
          </w:tcPr>
          <w:p>
            <w:pPr>
              <w:jc w:val="right"/>
              <w:ind w:right="2"/>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11"/>
        </w:trPr>
        <w:tc>
          <w:tcPr>
            <w:tcW w:w="510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100" w:type="dxa"/>
            <w:vAlign w:val="bottom"/>
          </w:tcPr>
          <w:p>
            <w:pPr>
              <w:ind w:left="20"/>
              <w:spacing w:after="0" w:line="167"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284</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0" w:type="dxa"/>
            <w:vAlign w:val="bottom"/>
            <w:vMerge w:val="restart"/>
          </w:tcPr>
          <w:p>
            <w:pPr>
              <w:jc w:val="right"/>
              <w:ind w:right="2"/>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3,038</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(7,274)</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(3,678)</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(119,814)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(49,436)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(10,409)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(179,659)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2018 to September 30,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Pension and</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2"/>
              <w:spacing w:after="0"/>
              <w:rPr>
                <w:sz w:val="20"/>
                <w:szCs w:val="20"/>
                <w:color w:val="auto"/>
              </w:rPr>
            </w:pPr>
            <w:r>
              <w:rPr>
                <w:rFonts w:ascii="Arial" w:cs="Arial" w:eastAsia="Arial" w:hAnsi="Arial"/>
                <w:sz w:val="14"/>
                <w:szCs w:val="14"/>
                <w:b w:val="1"/>
                <w:bCs w:val="1"/>
                <w:color w:val="auto"/>
              </w:rPr>
              <w:t>Derivative</w:t>
            </w:r>
          </w:p>
        </w:tc>
        <w:tc>
          <w:tcPr>
            <w:tcW w:w="1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Total Accumulated</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1"/>
                <w:szCs w:val="11"/>
                <w:color w:val="auto"/>
              </w:rPr>
            </w:pPr>
          </w:p>
        </w:tc>
        <w:tc>
          <w:tcPr>
            <w:tcW w:w="132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rPr>
              <w:t>liability</w:t>
            </w:r>
          </w:p>
        </w:tc>
        <w:tc>
          <w:tcPr>
            <w:tcW w:w="240" w:type="dxa"/>
            <w:vAlign w:val="bottom"/>
          </w:tcPr>
          <w:p>
            <w:pPr>
              <w:spacing w:after="0"/>
              <w:rPr>
                <w:sz w:val="11"/>
                <w:szCs w:val="11"/>
                <w:color w:val="auto"/>
              </w:rPr>
            </w:pPr>
          </w:p>
        </w:tc>
        <w:tc>
          <w:tcPr>
            <w:tcW w:w="1280" w:type="dxa"/>
            <w:vAlign w:val="bottom"/>
          </w:tcPr>
          <w:p>
            <w:pPr>
              <w:jc w:val="center"/>
              <w:ind w:right="162"/>
              <w:spacing w:after="0" w:line="135" w:lineRule="exact"/>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1"/>
                <w:szCs w:val="11"/>
                <w:color w:val="auto"/>
              </w:rPr>
            </w:pPr>
          </w:p>
        </w:tc>
        <w:tc>
          <w:tcPr>
            <w:tcW w:w="14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76"/>
        </w:trPr>
        <w:tc>
          <w:tcPr>
            <w:tcW w:w="51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adjustment</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(115,976)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(47,109)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4,697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(158,388)</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 net of tax</w:t>
            </w:r>
          </w:p>
        </w:tc>
        <w:tc>
          <w:tcPr>
            <w:tcW w:w="2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(23,177)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280</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(8,037)</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(30,934)</w:t>
            </w:r>
          </w:p>
        </w:tc>
        <w:tc>
          <w:tcPr>
            <w:tcW w:w="0" w:type="dxa"/>
            <w:vAlign w:val="bottom"/>
          </w:tcPr>
          <w:p>
            <w:pPr>
              <w:spacing w:after="0"/>
              <w:rPr>
                <w:sz w:val="1"/>
                <w:szCs w:val="1"/>
                <w:color w:val="auto"/>
              </w:rPr>
            </w:pPr>
          </w:p>
        </w:tc>
      </w:tr>
      <w:tr>
        <w:trPr>
          <w:trHeight w:val="167"/>
        </w:trPr>
        <w:tc>
          <w:tcPr>
            <w:tcW w:w="5100" w:type="dxa"/>
            <w:vAlign w:val="bottom"/>
          </w:tcPr>
          <w:p>
            <w:pPr>
              <w:ind w:left="20"/>
              <w:spacing w:after="0" w:line="167" w:lineRule="exact"/>
              <w:rPr>
                <w:sz w:val="20"/>
                <w:szCs w:val="20"/>
                <w:color w:val="auto"/>
              </w:rPr>
            </w:pPr>
            <w:r>
              <w:rPr>
                <w:rFonts w:ascii="Arial" w:cs="Arial" w:eastAsia="Arial" w:hAnsi="Arial"/>
                <w:sz w:val="16"/>
                <w:szCs w:val="16"/>
                <w:color w:val="auto"/>
              </w:rPr>
              <w:t>Interest expense related to swaps reclassified to the Consolidated</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1"/>
        </w:trPr>
        <w:tc>
          <w:tcPr>
            <w:tcW w:w="510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100" w:type="dxa"/>
            <w:vAlign w:val="bottom"/>
          </w:tcPr>
          <w:p>
            <w:pPr>
              <w:ind w:left="20"/>
              <w:spacing w:after="0" w:line="167" w:lineRule="exact"/>
              <w:rPr>
                <w:sz w:val="20"/>
                <w:szCs w:val="20"/>
                <w:color w:val="auto"/>
              </w:rPr>
            </w:pPr>
            <w:r>
              <w:rPr>
                <w:rFonts w:ascii="Arial" w:cs="Arial" w:eastAsia="Arial" w:hAnsi="Arial"/>
                <w:sz w:val="16"/>
                <w:szCs w:val="16"/>
                <w:color w:val="auto"/>
              </w:rPr>
              <w:t>Pension and postretirement liability adjustments reclassified to</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0" w:type="dxa"/>
            <w:vAlign w:val="bottom"/>
            <w:vMerge w:val="restart"/>
          </w:tcPr>
          <w:p>
            <w:pPr>
              <w:jc w:val="right"/>
              <w:ind w:right="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1"/>
        </w:trPr>
        <w:tc>
          <w:tcPr>
            <w:tcW w:w="5100" w:type="dxa"/>
            <w:vAlign w:val="bottom"/>
          </w:tcPr>
          <w:p>
            <w:pPr>
              <w:ind w:left="20"/>
              <w:spacing w:after="0"/>
              <w:rPr>
                <w:sz w:val="20"/>
                <w:szCs w:val="20"/>
                <w:color w:val="auto"/>
              </w:rPr>
            </w:pPr>
            <w:r>
              <w:rPr>
                <w:rFonts w:ascii="Arial" w:cs="Arial" w:eastAsia="Arial" w:hAnsi="Arial"/>
                <w:sz w:val="16"/>
                <w:szCs w:val="16"/>
                <w:color w:val="auto"/>
              </w:rPr>
              <w:t>Consolidated Statements of Income, net of tax</w:t>
            </w:r>
          </w:p>
        </w:tc>
        <w:tc>
          <w:tcPr>
            <w:tcW w:w="2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100" w:type="dxa"/>
            <w:vAlign w:val="bottom"/>
          </w:tcPr>
          <w:p>
            <w:pPr>
              <w:ind w:left="20"/>
              <w:spacing w:after="0" w:line="167" w:lineRule="exact"/>
              <w:rPr>
                <w:sz w:val="20"/>
                <w:szCs w:val="20"/>
                <w:color w:val="auto"/>
              </w:rPr>
            </w:pPr>
            <w:r>
              <w:rPr>
                <w:rFonts w:ascii="Arial" w:cs="Arial" w:eastAsia="Arial" w:hAnsi="Arial"/>
                <w:sz w:val="16"/>
                <w:szCs w:val="16"/>
                <w:color w:val="auto"/>
              </w:rPr>
              <w:t>Adjustment related to prior period change in opening valuation</w:t>
            </w:r>
          </w:p>
        </w:tc>
        <w:tc>
          <w:tcPr>
            <w:tcW w:w="280" w:type="dxa"/>
            <w:vAlign w:val="bottom"/>
          </w:tcPr>
          <w:p>
            <w:pPr>
              <w:spacing w:after="0"/>
              <w:rPr>
                <w:sz w:val="14"/>
                <w:szCs w:val="14"/>
                <w:color w:val="auto"/>
              </w:rPr>
            </w:pPr>
          </w:p>
        </w:tc>
        <w:tc>
          <w:tcPr>
            <w:tcW w:w="13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(1,346)</w:t>
            </w:r>
          </w:p>
        </w:tc>
        <w:tc>
          <w:tcPr>
            <w:tcW w:w="240" w:type="dxa"/>
            <w:vAlign w:val="bottom"/>
          </w:tcPr>
          <w:p>
            <w:pPr>
              <w:spacing w:after="0"/>
              <w:rPr>
                <w:sz w:val="14"/>
                <w:szCs w:val="14"/>
                <w:color w:val="auto"/>
              </w:rPr>
            </w:pPr>
          </w:p>
        </w:tc>
        <w:tc>
          <w:tcPr>
            <w:tcW w:w="1280" w:type="dxa"/>
            <w:vAlign w:val="bottom"/>
            <w:vMerge w:val="restart"/>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(23,177)</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(8,869)</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(33,083)</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2019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(139,153)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(48,146)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(191,471)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3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table below presents the expense/(income) amounts reclassified, and the line items of the Statement of Income that were affected for the three and nine months ended September 30, 2020 and 2019:</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0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56"/>
        </w:trPr>
        <w:tc>
          <w:tcPr>
            <w:tcW w:w="600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Pretax Derivative valuation reclassified from Accumulated</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0" w:type="dxa"/>
            <w:vAlign w:val="bottom"/>
          </w:tcPr>
          <w:p>
            <w:pPr>
              <w:ind w:left="20"/>
              <w:spacing w:after="0" w:line="167" w:lineRule="exact"/>
              <w:rPr>
                <w:sz w:val="20"/>
                <w:szCs w:val="20"/>
                <w:color w:val="auto"/>
              </w:rPr>
            </w:pPr>
            <w:r>
              <w:rPr>
                <w:rFonts w:ascii="Arial" w:cs="Arial" w:eastAsia="Arial" w:hAnsi="Arial"/>
                <w:sz w:val="16"/>
                <w:szCs w:val="16"/>
                <w:color w:val="auto"/>
              </w:rPr>
              <w:t>Expense/(income) related to interest rate swaps included in Income before taxes</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1,219</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(245)</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2,742</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09"/>
        </w:trPr>
        <w:tc>
          <w:tcPr>
            <w:tcW w:w="6000" w:type="dxa"/>
            <w:vAlign w:val="bottom"/>
          </w:tcPr>
          <w:p>
            <w:pPr>
              <w:ind w:left="20"/>
              <w:spacing w:after="0"/>
              <w:rPr>
                <w:sz w:val="20"/>
                <w:szCs w:val="20"/>
                <w:color w:val="auto"/>
              </w:rPr>
            </w:pPr>
            <w:r>
              <w:rPr>
                <w:rFonts w:ascii="Arial" w:cs="Arial" w:eastAsia="Arial" w:hAnsi="Arial"/>
                <w:sz w:val="16"/>
                <w:szCs w:val="16"/>
                <w:color w:val="auto"/>
              </w:rPr>
              <w:t>(a)</w:t>
            </w: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55"/>
        </w:trPr>
        <w:tc>
          <w:tcPr>
            <w:tcW w:w="6000" w:type="dxa"/>
            <w:vAlign w:val="bottom"/>
          </w:tcPr>
          <w:p>
            <w:pPr>
              <w:ind w:left="20"/>
              <w:spacing w:after="0" w:line="155" w:lineRule="exact"/>
              <w:rPr>
                <w:sz w:val="20"/>
                <w:szCs w:val="20"/>
                <w:color w:val="auto"/>
              </w:rPr>
            </w:pPr>
            <w:r>
              <w:rPr>
                <w:rFonts w:ascii="Arial" w:cs="Arial" w:eastAsia="Arial" w:hAnsi="Arial"/>
                <w:sz w:val="16"/>
                <w:szCs w:val="16"/>
                <w:color w:val="auto"/>
              </w:rPr>
              <w:t>Effect on net income due to items reclassified from Accumulated Other</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908</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(183)</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2,041</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Pretax pension and postretirement liabilities reclassified from</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0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Income:</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2"/>
            <w:vMerge w:val="restart"/>
          </w:tcPr>
          <w:p>
            <w:pPr>
              <w:jc w:val="right"/>
              <w:ind w:right="119"/>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378</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0" w:type="dxa"/>
            <w:vAlign w:val="bottom"/>
          </w:tcPr>
          <w:p>
            <w:pPr>
              <w:ind w:left="20"/>
              <w:spacing w:after="0"/>
              <w:rPr>
                <w:sz w:val="20"/>
                <w:szCs w:val="20"/>
                <w:color w:val="auto"/>
              </w:rPr>
            </w:pPr>
            <w:r>
              <w:rPr>
                <w:rFonts w:ascii="Arial" w:cs="Arial" w:eastAsia="Arial" w:hAnsi="Arial"/>
                <w:sz w:val="16"/>
                <w:szCs w:val="16"/>
                <w:color w:val="auto"/>
              </w:rPr>
              <w:t>Pension/postretirement curtailment</w:t>
            </w:r>
          </w:p>
        </w:tc>
        <w:tc>
          <w:tcPr>
            <w:tcW w:w="30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(1,114)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(3,342)</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(3,315)</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Amortization of net actuarial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1,244</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03"/>
        </w:trPr>
        <w:tc>
          <w:tcPr>
            <w:tcW w:w="6000" w:type="dxa"/>
            <w:vAlign w:val="bottom"/>
          </w:tcPr>
          <w:p>
            <w:pPr>
              <w:ind w:left="20"/>
              <w:spacing w:after="0"/>
              <w:rPr>
                <w:sz w:val="20"/>
                <w:szCs w:val="20"/>
                <w:color w:val="auto"/>
              </w:rPr>
            </w:pPr>
            <w:r>
              <w:rPr>
                <w:rFonts w:ascii="Arial" w:cs="Arial" w:eastAsia="Arial" w:hAnsi="Arial"/>
                <w:sz w:val="16"/>
                <w:szCs w:val="16"/>
                <w:color w:val="auto"/>
              </w:rPr>
              <w:t>Total pretax amount reclassified (b)</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756</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effect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(207)</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56"/>
        </w:trPr>
        <w:tc>
          <w:tcPr>
            <w:tcW w:w="6000" w:type="dxa"/>
            <w:vAlign w:val="bottom"/>
          </w:tcPr>
          <w:p>
            <w:pPr>
              <w:ind w:left="20"/>
              <w:spacing w:after="0" w:line="155" w:lineRule="exact"/>
              <w:rPr>
                <w:sz w:val="20"/>
                <w:szCs w:val="20"/>
                <w:color w:val="auto"/>
              </w:rPr>
            </w:pPr>
            <w:r>
              <w:rPr>
                <w:rFonts w:ascii="Arial" w:cs="Arial" w:eastAsia="Arial" w:hAnsi="Arial"/>
                <w:sz w:val="16"/>
                <w:szCs w:val="16"/>
                <w:color w:val="auto"/>
              </w:rPr>
              <w:t>Effect on net income due to items reclassified from Accumulated Other</w:t>
            </w:r>
          </w:p>
        </w:tc>
        <w:tc>
          <w:tcPr>
            <w:tcW w:w="30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98</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549</w:t>
            </w: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60" w:hanging="652"/>
        <w:spacing w:after="0" w:line="259"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15 and 16).</w:t>
      </w: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pension cost (see Note 4).</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w:t>
      </w:r>
    </w:p>
    <w:p>
      <w:pPr>
        <w:spacing w:after="0" w:line="11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subsidiary Albany Safran Composites,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4" w:lineRule="exact"/>
        <w:rPr>
          <w:sz w:val="20"/>
          <w:szCs w:val="20"/>
          <w:color w:val="auto"/>
        </w:rPr>
      </w:pPr>
    </w:p>
    <w:p>
      <w:pPr>
        <w:ind w:left="8620"/>
        <w:spacing w:after="0"/>
        <w:rPr>
          <w:sz w:val="20"/>
          <w:szCs w:val="20"/>
          <w:color w:val="auto"/>
        </w:rPr>
      </w:pPr>
      <w:r>
        <w:rPr>
          <w:rFonts w:ascii="Arial" w:cs="Arial" w:eastAsia="Arial" w:hAnsi="Arial"/>
          <w:sz w:val="14"/>
          <w:szCs w:val="14"/>
          <w:b w:val="1"/>
          <w:bCs w:val="1"/>
          <w:color w:val="auto"/>
        </w:rPr>
        <w:t>Nine months ended September 30,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203"/>
        </w:trPr>
        <w:tc>
          <w:tcPr>
            <w:tcW w:w="7020" w:type="dxa"/>
            <w:vAlign w:val="bottom"/>
          </w:tcPr>
          <w:p>
            <w:pPr>
              <w:ind w:left="20"/>
              <w:spacing w:after="0"/>
              <w:rPr>
                <w:sz w:val="20"/>
                <w:szCs w:val="20"/>
                <w:color w:val="auto"/>
              </w:rPr>
            </w:pPr>
            <w:r>
              <w:rPr>
                <w:rFonts w:ascii="Arial" w:cs="Arial" w:eastAsia="Arial" w:hAnsi="Arial"/>
                <w:sz w:val="16"/>
                <w:szCs w:val="16"/>
                <w:color w:val="auto"/>
              </w:rPr>
              <w:t>Net (loss)/income of Albany Safran Composites (ASC)</w:t>
            </w:r>
          </w:p>
        </w:tc>
        <w:tc>
          <w:tcPr>
            <w:tcW w:w="16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b w:val="1"/>
                <w:bCs w:val="1"/>
                <w:color w:val="auto"/>
              </w:rPr>
              <w:t>(13,310)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6,368</w:t>
            </w:r>
          </w:p>
        </w:tc>
      </w:tr>
      <w:tr>
        <w:trPr>
          <w:trHeight w:val="22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884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974</w:t>
            </w:r>
          </w:p>
        </w:tc>
      </w:tr>
      <w:tr>
        <w:trPr>
          <w:trHeight w:val="203"/>
        </w:trPr>
        <w:tc>
          <w:tcPr>
            <w:tcW w:w="7020" w:type="dxa"/>
            <w:vAlign w:val="bottom"/>
          </w:tcPr>
          <w:p>
            <w:pPr>
              <w:ind w:left="20"/>
              <w:spacing w:after="0"/>
              <w:rPr>
                <w:sz w:val="20"/>
                <w:szCs w:val="20"/>
                <w:color w:val="auto"/>
              </w:rPr>
            </w:pPr>
            <w:r>
              <w:rPr>
                <w:rFonts w:ascii="Arial" w:cs="Arial" w:eastAsia="Arial" w:hAnsi="Arial"/>
                <w:sz w:val="16"/>
                <w:szCs w:val="16"/>
                <w:color w:val="auto"/>
              </w:rPr>
              <w:t>Net (loss)/income of ASC available for common ownership</w:t>
            </w:r>
          </w:p>
        </w:tc>
        <w:tc>
          <w:tcPr>
            <w:tcW w:w="16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b w:val="1"/>
                <w:bCs w:val="1"/>
                <w:color w:val="auto"/>
              </w:rPr>
              <w:t>(14,194)</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5,394</w:t>
            </w:r>
          </w:p>
        </w:tc>
      </w:tr>
      <w:tr>
        <w:trPr>
          <w:trHeight w:val="22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10 %</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(loss)/income attributable to noncontrolling interest</w:t>
            </w: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(1,419)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539</w:t>
            </w:r>
          </w:p>
        </w:tc>
      </w:tr>
      <w:tr>
        <w:trPr>
          <w:trHeight w:val="446"/>
        </w:trPr>
        <w:tc>
          <w:tcPr>
            <w:tcW w:w="7020" w:type="dxa"/>
            <w:vAlign w:val="bottom"/>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68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b w:val="1"/>
                <w:bCs w:val="1"/>
                <w:color w:val="auto"/>
              </w:rPr>
              <w:t>4,006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3,031</w:t>
            </w:r>
          </w:p>
        </w:tc>
      </w:tr>
      <w:tr>
        <w:trPr>
          <w:trHeight w:val="216"/>
        </w:trPr>
        <w:tc>
          <w:tcPr>
            <w:tcW w:w="7020" w:type="dxa"/>
            <w:vAlign w:val="bottom"/>
          </w:tcPr>
          <w:p>
            <w:pPr>
              <w:ind w:left="20"/>
              <w:spacing w:after="0"/>
              <w:rPr>
                <w:sz w:val="20"/>
                <w:szCs w:val="20"/>
                <w:color w:val="auto"/>
              </w:rPr>
            </w:pPr>
            <w:r>
              <w:rPr>
                <w:rFonts w:ascii="Arial" w:cs="Arial" w:eastAsia="Arial" w:hAnsi="Arial"/>
                <w:sz w:val="16"/>
                <w:szCs w:val="16"/>
                <w:color w:val="auto"/>
              </w:rPr>
              <w:t>Net (loss)/income attributable to noncontrolling interest</w:t>
            </w:r>
          </w:p>
        </w:tc>
        <w:tc>
          <w:tcPr>
            <w:tcW w:w="1680" w:type="dxa"/>
            <w:vAlign w:val="bottom"/>
          </w:tcPr>
          <w:p>
            <w:pPr>
              <w:spacing w:after="0"/>
              <w:rPr>
                <w:sz w:val="18"/>
                <w:szCs w:val="18"/>
                <w:color w:val="auto"/>
              </w:rPr>
            </w:pPr>
          </w:p>
        </w:tc>
        <w:tc>
          <w:tcPr>
            <w:tcW w:w="1100" w:type="dxa"/>
            <w:vAlign w:val="bottom"/>
          </w:tcPr>
          <w:p>
            <w:pPr>
              <w:jc w:val="right"/>
              <w:ind w:right="80"/>
              <w:spacing w:after="0"/>
              <w:rPr>
                <w:sz w:val="20"/>
                <w:szCs w:val="20"/>
                <w:color w:val="auto"/>
              </w:rPr>
            </w:pPr>
            <w:r>
              <w:rPr>
                <w:rFonts w:ascii="Arial" w:cs="Arial" w:eastAsia="Arial" w:hAnsi="Arial"/>
                <w:sz w:val="16"/>
                <w:szCs w:val="16"/>
                <w:b w:val="1"/>
                <w:bCs w:val="1"/>
                <w:color w:val="auto"/>
              </w:rPr>
              <w:t>(1,419)</w:t>
            </w:r>
          </w:p>
        </w:tc>
        <w:tc>
          <w:tcPr>
            <w:tcW w:w="340" w:type="dxa"/>
            <w:vAlign w:val="bottom"/>
          </w:tcPr>
          <w:p>
            <w:pPr>
              <w:spacing w:after="0"/>
              <w:rPr>
                <w:sz w:val="18"/>
                <w:szCs w:val="18"/>
                <w:color w:val="auto"/>
              </w:rPr>
            </w:pPr>
          </w:p>
        </w:tc>
        <w:tc>
          <w:tcPr>
            <w:tcW w:w="1100" w:type="dxa"/>
            <w:vAlign w:val="bottom"/>
          </w:tcPr>
          <w:p>
            <w:pPr>
              <w:jc w:val="right"/>
              <w:ind w:right="120"/>
              <w:spacing w:after="0"/>
              <w:rPr>
                <w:sz w:val="20"/>
                <w:szCs w:val="20"/>
                <w:color w:val="auto"/>
              </w:rPr>
            </w:pPr>
            <w:r>
              <w:rPr>
                <w:rFonts w:ascii="Arial" w:cs="Arial" w:eastAsia="Arial" w:hAnsi="Arial"/>
                <w:sz w:val="16"/>
                <w:szCs w:val="16"/>
                <w:color w:val="auto"/>
              </w:rPr>
              <w:t>539</w:t>
            </w:r>
          </w:p>
        </w:tc>
      </w:tr>
      <w:tr>
        <w:trPr>
          <w:trHeight w:val="223"/>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Changes in other comprehensive income attributable to noncontrolling interest</w:t>
            </w:r>
          </w:p>
        </w:tc>
        <w:tc>
          <w:tcPr>
            <w:tcW w:w="1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462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w:t>
            </w:r>
          </w:p>
        </w:tc>
      </w:tr>
      <w:tr>
        <w:trPr>
          <w:trHeight w:val="209"/>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 end of interim period</w:t>
            </w: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3,049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3,551</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Accounts receivable includes trade receivables. In connection with certain sales in Asia, the Company accepts a bank promissory note as customer payment. The notes may be presented for payment at maturity, which is less than one year. As of September 30, 2020 and December 31, 2019, Accounts receivable consisted of the following:</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color w:val="auto"/>
              </w:rPr>
              <w:t>Trade and other accounts receivable</w:t>
            </w:r>
          </w:p>
        </w:tc>
        <w:tc>
          <w:tcPr>
            <w:tcW w:w="3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191,035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201,427</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23,169</w:t>
            </w:r>
          </w:p>
        </w:tc>
        <w:tc>
          <w:tcPr>
            <w:tcW w:w="160" w:type="dxa"/>
            <w:vAlign w:val="bottom"/>
          </w:tcPr>
          <w:p>
            <w:pPr>
              <w:spacing w:after="0"/>
              <w:rPr>
                <w:sz w:val="21"/>
                <w:szCs w:val="21"/>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18,563</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(3,878)</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210,326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218,271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are invoiced to the customer, with 2% interest, over a 10-year period that began in 2020. As of September 30, 2020 and December 31, 2019, Noncurrent receivables consisted of the following: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5640" w:type="dxa"/>
            <w:vAlign w:val="bottom"/>
            <w:tcBorders>
              <w:bottom w:val="single" w:sz="8" w:color="auto"/>
            </w:tcBorders>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color w:val="auto"/>
              </w:rPr>
              <w:t>Noncurrent receivables</w:t>
            </w:r>
          </w:p>
        </w:tc>
        <w:tc>
          <w:tcPr>
            <w:tcW w:w="3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36,611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41,234</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(383)</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receivables, net</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36,228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41,234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As described in Note 1, effective January 1, 2020, the Company adopted the provisions of ASC 326, </w:t>
      </w:r>
      <w:r>
        <w:rPr>
          <w:rFonts w:ascii="Arial" w:cs="Arial" w:eastAsia="Arial" w:hAnsi="Arial"/>
          <w:sz w:val="18"/>
          <w:szCs w:val="18"/>
          <w:i w:val="1"/>
          <w:iCs w:val="1"/>
          <w:color w:val="auto"/>
        </w:rPr>
        <w:t>Current Expected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(CECL). </w:t>
      </w:r>
      <w:r>
        <w:rPr>
          <w:rFonts w:ascii="Arial" w:cs="Arial" w:eastAsia="Arial" w:hAnsi="Arial"/>
          <w:sz w:val="18"/>
          <w:szCs w:val="18"/>
          <w:color w:val="auto"/>
        </w:rPr>
        <w:t>The overarching purpose of the new standard is to provide greater transparency and understanding of the Company’s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The CECL accounting update replaces the incurred loss impairment methodology under current GAAP with a methodology that reflects expected credit losses and requires consideration of a broader range of reasonable and supportable information to inform credit loss estimates. Under the new standard, the Company recognizes an allowance for expected credit losses on financial assets measured at amortized cost, such as Accounts receivable, Contract assets and Noncurrent receivables. The allowance is determined using a CECL model that is based on an historical average three-year loss rate and is measured by financial asset type on a collective (pool) basis when similar risk characteristics exist, at an amount equal to lifetime expected credit losses. The estimate reflects the risk of loss due to credit default, even when the risk is remote, and considers available relevant information about the collectability of cash flows, including information about past events, current conditions, and reasonable and supportable expected future economic conditions.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While an expected credit loss allowance is recorded at the same time the financial asset is recorded, the Company monitors financial assets for credit impairment events to assess whether there has been a significant increase in credit risk since initial recognition, and considers both quantitative and qualitative information. The risk of loss due to credit default increases when one or more events occur that can have a detrimental impact on estimated future cash flows of that financial asset. Evidence that a financial asset is subject to greater credit risk include observable data about significant financial difficulty of the customer, a breach of contract, such as a default or past due event, or it becomes probable that the customer will enter bankruptcy or other financial reorganization, among other factors. It may not be possible to identify a single discrete event, but rather, the combined effect of several events may cause an increase in risk of loss.</w:t>
      </w:r>
    </w:p>
    <w:p>
      <w:pPr>
        <w:spacing w:after="0" w:line="6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probability of default is driven by the relative financial health of our customer base and that of the industries in which we do business, as well as the broader macro-economic environment. A changing economic environment or forecasted economic scenario can lead to a different probability of default and can suggest that credit risk has changed. Such is the case with the global COVID-19 pandemic, which has increased uncertainty and poses a significant challenge to the macro-economic environment. Management believes this has increased the probability of credit default, causing the Company to increase the allowance for expected credit losses during the current year.</w:t>
      </w:r>
    </w:p>
    <w:p>
      <w:pPr>
        <w:spacing w:after="0" w:line="6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At each reporting period, the Company will recognize the amount of change in current expected credit losses as an allowance gain or loss in Selling, general, and administrative expenses in the Consolidated Statements of Income.</w:t>
      </w:r>
    </w:p>
    <w:p>
      <w:pPr>
        <w:spacing w:after="0" w:line="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Financial assets are written-off when the Company has no reasonable expectation of recovering the financial asset, either in its entirety, or a portion thereof. This is the case when the Company determines that the customer does not have assets or sources of income that could generate sufficient cash flows to repay the amounts subject to the write-off.</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(increases)/decreases in the allowance for credit losses for Accounts receivable: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w w:val="99"/>
              </w:rPr>
              <w:t>CECL</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rPr>
              <w:t>transition</w:t>
            </w:r>
          </w:p>
        </w:tc>
        <w:tc>
          <w:tcPr>
            <w:tcW w:w="240" w:type="dxa"/>
            <w:vAlign w:val="bottom"/>
          </w:tcPr>
          <w:p>
            <w:pPr>
              <w:spacing w:after="0"/>
              <w:rPr>
                <w:sz w:val="16"/>
                <w:szCs w:val="16"/>
                <w:color w:val="auto"/>
              </w:rPr>
            </w:pPr>
          </w:p>
        </w:tc>
        <w:tc>
          <w:tcPr>
            <w:tcW w:w="10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6"/>
                <w:szCs w:val="16"/>
                <w:color w:val="auto"/>
              </w:rPr>
            </w:pPr>
          </w:p>
        </w:tc>
        <w:tc>
          <w:tcPr>
            <w:tcW w:w="1080" w:type="dxa"/>
            <w:vAlign w:val="bottom"/>
          </w:tcPr>
          <w:p>
            <w:pPr>
              <w:jc w:val="right"/>
              <w:ind w:right="248"/>
              <w:spacing w:after="0"/>
              <w:rPr>
                <w:sz w:val="20"/>
                <w:szCs w:val="20"/>
                <w:color w:val="auto"/>
              </w:rPr>
            </w:pPr>
            <w:r>
              <w:rPr>
                <w:rFonts w:ascii="Arial" w:cs="Arial" w:eastAsia="Arial" w:hAnsi="Arial"/>
                <w:sz w:val="14"/>
                <w:szCs w:val="14"/>
                <w:b w:val="1"/>
                <w:bCs w:val="1"/>
                <w:color w:val="auto"/>
              </w:rPr>
              <w:t>Currency</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316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translation</w:t>
            </w:r>
          </w:p>
        </w:tc>
        <w:tc>
          <w:tcPr>
            <w:tcW w:w="9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4"/>
                <w:szCs w:val="14"/>
                <w:color w:val="auto"/>
              </w:rPr>
              <w:t>Specific customer reserves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(1,719)</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c>
          <w:tcPr>
            <w:tcW w:w="96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(1,635)</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Incremental expected credit losses</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9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Accounts receivable expected credit losses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(1,097)</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9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(increases)/decreases in the allowance for credit losses for Noncurrent receivables: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CECL</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6"/>
                <w:szCs w:val="16"/>
                <w:color w:val="auto"/>
              </w:rPr>
            </w:pPr>
          </w:p>
        </w:tc>
        <w:tc>
          <w:tcPr>
            <w:tcW w:w="1420" w:type="dxa"/>
            <w:vAlign w:val="bottom"/>
          </w:tcPr>
          <w:p>
            <w:pPr>
              <w:jc w:val="center"/>
              <w:ind w:right="288"/>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center"/>
              <w:ind w:right="148"/>
              <w:spacing w:after="0"/>
              <w:rPr>
                <w:sz w:val="20"/>
                <w:szCs w:val="20"/>
                <w:color w:val="auto"/>
              </w:rPr>
            </w:pPr>
            <w:r>
              <w:rPr>
                <w:rFonts w:ascii="Arial" w:cs="Arial" w:eastAsia="Arial" w:hAnsi="Arial"/>
                <w:sz w:val="14"/>
                <w:szCs w:val="14"/>
                <w:b w:val="1"/>
                <w:bCs w:val="1"/>
                <w:color w:val="auto"/>
              </w:rPr>
              <w:t>transition</w:t>
            </w:r>
          </w:p>
        </w:tc>
        <w:tc>
          <w:tcPr>
            <w:tcW w:w="160" w:type="dxa"/>
            <w:vAlign w:val="bottom"/>
          </w:tcPr>
          <w:p>
            <w:pPr>
              <w:spacing w:after="0"/>
              <w:rPr>
                <w:sz w:val="16"/>
                <w:szCs w:val="16"/>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Charges</w:t>
            </w:r>
          </w:p>
        </w:tc>
        <w:tc>
          <w:tcPr>
            <w:tcW w:w="220" w:type="dxa"/>
            <w:vAlign w:val="bottom"/>
          </w:tcPr>
          <w:p>
            <w:pPr>
              <w:spacing w:after="0"/>
              <w:rPr>
                <w:sz w:val="16"/>
                <w:szCs w:val="16"/>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rPr>
              <w:t>Currency</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42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33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adjustment</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translation</w:t>
            </w:r>
          </w:p>
        </w:tc>
        <w:tc>
          <w:tcPr>
            <w:tcW w:w="80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Noncurrent receivables expected credit losses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61"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and December 31, 2019, Contract assets and Contract liabilities consisted of the following:</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5640" w:type="dxa"/>
            <w:vAlign w:val="bottom"/>
            <w:tcBorders>
              <w:bottom w:val="single" w:sz="8" w:color="auto"/>
            </w:tcBorders>
            <w:vMerge w:val="continue"/>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3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105,626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79,070</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expected credit losses</w:t>
            </w: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(773)</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Contract assets, net</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104,853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79,070</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Contract liabilities</w:t>
            </w: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5,656</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Contract assets increased $25.8 million during the nine-month period ended September 30, 2020. The increase was primarily due to an increase in unbilled revenue related to the satisfaction of performance obligations, in excess of the amounts billed to customers for contracts that were in a contract asset position. There were no impairment losses related to our Contract assets during the nine month periods ended September 30, 2020 and 2019.</w:t>
      </w:r>
    </w:p>
    <w:p>
      <w:pPr>
        <w:spacing w:after="0" w:line="61"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 xml:space="preserve">As described in Notes 1 and 11, effective January 1, 2020, the Company adopted the provisions of ASC 326, </w:t>
      </w:r>
      <w:r>
        <w:rPr>
          <w:rFonts w:ascii="Arial" w:cs="Arial" w:eastAsia="Arial" w:hAnsi="Arial"/>
          <w:sz w:val="18"/>
          <w:szCs w:val="18"/>
          <w:i w:val="1"/>
          <w:iCs w:val="1"/>
          <w:color w:val="auto"/>
        </w:rPr>
        <w:t>Current Expected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(CECL).</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year-to-date (increases)/ decreases in the allowance for credit losses for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jc w:val="center"/>
              <w:ind w:right="106"/>
              <w:spacing w:after="0"/>
              <w:rPr>
                <w:sz w:val="20"/>
                <w:szCs w:val="20"/>
                <w:color w:val="auto"/>
              </w:rPr>
            </w:pPr>
            <w:r>
              <w:rPr>
                <w:rFonts w:ascii="Arial" w:cs="Arial" w:eastAsia="Arial" w:hAnsi="Arial"/>
                <w:sz w:val="14"/>
                <w:szCs w:val="14"/>
                <w:b w:val="1"/>
                <w:bCs w:val="1"/>
                <w:color w:val="auto"/>
              </w:rPr>
              <w:t>CECL</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6"/>
                <w:szCs w:val="16"/>
                <w:color w:val="auto"/>
              </w:rPr>
            </w:pPr>
          </w:p>
        </w:tc>
        <w:tc>
          <w:tcPr>
            <w:tcW w:w="1340" w:type="dxa"/>
            <w:vAlign w:val="bottom"/>
          </w:tcPr>
          <w:p>
            <w:pPr>
              <w:jc w:val="center"/>
              <w:ind w:right="245"/>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jc w:val="center"/>
              <w:ind w:right="126"/>
              <w:spacing w:after="0"/>
              <w:rPr>
                <w:sz w:val="20"/>
                <w:szCs w:val="20"/>
                <w:color w:val="auto"/>
              </w:rPr>
            </w:pPr>
            <w:r>
              <w:rPr>
                <w:rFonts w:ascii="Arial" w:cs="Arial" w:eastAsia="Arial" w:hAnsi="Arial"/>
                <w:sz w:val="14"/>
                <w:szCs w:val="14"/>
                <w:b w:val="1"/>
                <w:bCs w:val="1"/>
                <w:color w:val="auto"/>
              </w:rPr>
              <w:t>transition</w:t>
            </w:r>
          </w:p>
        </w:tc>
        <w:tc>
          <w:tcPr>
            <w:tcW w:w="180" w:type="dxa"/>
            <w:vAlign w:val="bottom"/>
          </w:tcPr>
          <w:p>
            <w:pPr>
              <w:spacing w:after="0"/>
              <w:rPr>
                <w:sz w:val="16"/>
                <w:szCs w:val="16"/>
                <w:color w:val="auto"/>
              </w:rPr>
            </w:pPr>
          </w:p>
        </w:tc>
        <w:tc>
          <w:tcPr>
            <w:tcW w:w="92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Charges</w:t>
            </w:r>
          </w:p>
        </w:tc>
        <w:tc>
          <w:tcPr>
            <w:tcW w:w="200" w:type="dxa"/>
            <w:vAlign w:val="bottom"/>
          </w:tcPr>
          <w:p>
            <w:pPr>
              <w:spacing w:after="0"/>
              <w:rPr>
                <w:sz w:val="16"/>
                <w:szCs w:val="16"/>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6"/>
                <w:szCs w:val="16"/>
                <w:color w:val="auto"/>
              </w:rPr>
            </w:pPr>
          </w:p>
        </w:tc>
        <w:tc>
          <w:tcPr>
            <w:tcW w:w="7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160" w:type="dxa"/>
            <w:vAlign w:val="bottom"/>
          </w:tcPr>
          <w:p>
            <w:pPr>
              <w:jc w:val="center"/>
              <w:ind w:right="6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05"/>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adjustment</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translation</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30"/>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Contract assets expected credit losses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92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Contract liabilities increased $2.3 million during the nine-month period ended September 30, 2020, primarily due to increased billings in excess of revenue recognized from satisfied performance obligations for contracts that were in a contract liability position. Revenue recognized for the nine-month periods ended September 30, 2020 and 2019 that was included in the Contract liability balance at the beginning of the year was $3.5 million and $6.1 million, respectively.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1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Once established, the original cost of the inventory less the related write-down represents the new cost basis of such inventories.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and December 31, 2019, 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0294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September 30, 2020</w:t>
            </w: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December 31, 2019</w:t>
            </w:r>
          </w:p>
        </w:tc>
      </w:tr>
      <w:tr>
        <w:trPr>
          <w:trHeight w:val="243"/>
        </w:trPr>
        <w:tc>
          <w:tcPr>
            <w:tcW w:w="432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65,117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52,960</w:t>
            </w:r>
          </w:p>
        </w:tc>
      </w:tr>
      <w:tr>
        <w:trPr>
          <w:trHeight w:val="243"/>
        </w:trPr>
        <w:tc>
          <w:tcPr>
            <w:tcW w:w="4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35,207</w:t>
            </w:r>
          </w:p>
        </w:tc>
        <w:tc>
          <w:tcPr>
            <w:tcW w:w="220" w:type="dxa"/>
            <w:vAlign w:val="bottom"/>
          </w:tcPr>
          <w:p>
            <w:pPr>
              <w:spacing w:after="0"/>
              <w:rPr>
                <w:sz w:val="21"/>
                <w:szCs w:val="21"/>
                <w:color w:val="auto"/>
              </w:rPr>
            </w:pPr>
          </w:p>
        </w:tc>
        <w:tc>
          <w:tcPr>
            <w:tcW w:w="1680" w:type="dxa"/>
            <w:vAlign w:val="bottom"/>
          </w:tcPr>
          <w:p>
            <w:pPr>
              <w:jc w:val="right"/>
              <w:ind w:right="1"/>
              <w:spacing w:after="0"/>
              <w:rPr>
                <w:sz w:val="20"/>
                <w:szCs w:val="20"/>
                <w:color w:val="auto"/>
              </w:rPr>
            </w:pPr>
            <w:r>
              <w:rPr>
                <w:rFonts w:ascii="Arial" w:cs="Arial" w:eastAsia="Arial" w:hAnsi="Arial"/>
                <w:sz w:val="16"/>
                <w:szCs w:val="16"/>
                <w:color w:val="auto"/>
              </w:rPr>
              <w:t>31,744</w:t>
            </w:r>
          </w:p>
        </w:tc>
      </w:tr>
      <w:tr>
        <w:trPr>
          <w:trHeight w:val="23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3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12,783</w:t>
            </w: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10,445</w:t>
            </w:r>
          </w:p>
        </w:tc>
      </w:tr>
      <w:tr>
        <w:trPr>
          <w:trHeight w:val="237"/>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113,107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95,149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360"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Goodwill represents the excess of the purchase price over the fair value of the net tangible and identifiable intangible assets acquired in each business combination. Goodwill and intangible assets with indefinite useful lives are not amortized, but are tested for impairment at least annually at the reporting unit level. Impairment is the condition that exists when the carrying amount of a reporting unit, including goodwill, exceeds its fair value. Our reportable segments are consistent with our operating segments.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6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To determine fair value, we utilize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6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the second quarter of 2020, management applied the quantitative assessment approach in performing its annual evaluation of goodwill and concluded that no impairment provision was required. As part of this evaluation, the Company considered projected cash flows and market multiples for the Company’s Machine Clothing reporting unit and three AEC reporting units. Management performed assessments as to whether the fair value of each reporting unit was less than its carrying value as of June 30, 2020 and concluded that it was more likely than not that each reporting unit’s fair value continued to exceed its carrying value. In addition, there were no amounts at risk due to the estimated spread between the fair and carrying values. Accordingly, no impairment charges were recorded.</w:t>
      </w:r>
    </w:p>
    <w:p>
      <w:pPr>
        <w:spacing w:after="0" w:line="69"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8"/>
          <w:szCs w:val="18"/>
          <w:color w:val="auto"/>
        </w:rPr>
        <w:t>We are continuing to amortize certain patents, trade names, customer relationships, customer contracts and technology assets that have finite lives. The gross carrying value, accumulated amortization and net values of intangible assets and goodwill as of September 30, 2020 and December 31, 2019, were as follows: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2880" w:type="dxa"/>
            <w:vAlign w:val="bottom"/>
          </w:tcPr>
          <w:p>
            <w:pPr>
              <w:jc w:val="center"/>
              <w:ind w:left="704"/>
              <w:spacing w:after="0"/>
              <w:rPr>
                <w:sz w:val="20"/>
                <w:szCs w:val="20"/>
                <w:color w:val="auto"/>
              </w:rPr>
            </w:pPr>
            <w:r>
              <w:rPr>
                <w:rFonts w:ascii="Arial" w:cs="Arial" w:eastAsia="Arial" w:hAnsi="Arial"/>
                <w:sz w:val="13"/>
                <w:szCs w:val="13"/>
                <w:b w:val="1"/>
                <w:bCs w:val="1"/>
                <w:color w:val="auto"/>
                <w:w w:val="95"/>
              </w:rPr>
              <w:t>Weighted average amortization life</w:t>
            </w:r>
          </w:p>
        </w:tc>
        <w:tc>
          <w:tcPr>
            <w:tcW w:w="160" w:type="dxa"/>
            <w:vAlign w:val="bottom"/>
          </w:tcPr>
          <w:p>
            <w:pPr>
              <w:spacing w:after="0"/>
              <w:rPr>
                <w:sz w:val="13"/>
                <w:szCs w:val="13"/>
                <w:color w:val="auto"/>
              </w:rPr>
            </w:pPr>
          </w:p>
        </w:tc>
        <w:tc>
          <w:tcPr>
            <w:tcW w:w="1220" w:type="dxa"/>
            <w:vAlign w:val="bottom"/>
          </w:tcPr>
          <w:p>
            <w:pPr>
              <w:jc w:val="center"/>
              <w:ind w:right="62"/>
              <w:spacing w:after="0"/>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91"/>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As of September 30, 2020</w:t>
            </w:r>
          </w:p>
        </w:tc>
        <w:tc>
          <w:tcPr>
            <w:tcW w:w="2880" w:type="dxa"/>
            <w:vAlign w:val="bottom"/>
          </w:tcPr>
          <w:p>
            <w:pPr>
              <w:jc w:val="center"/>
              <w:ind w:left="684"/>
              <w:spacing w:after="0"/>
              <w:rPr>
                <w:sz w:val="20"/>
                <w:szCs w:val="20"/>
                <w:color w:val="auto"/>
              </w:rPr>
            </w:pPr>
            <w:r>
              <w:rPr>
                <w:rFonts w:ascii="Arial" w:cs="Arial" w:eastAsia="Arial" w:hAnsi="Arial"/>
                <w:sz w:val="13"/>
                <w:szCs w:val="13"/>
                <w:b w:val="1"/>
                <w:bCs w:val="1"/>
                <w:color w:val="auto"/>
                <w:w w:val="97"/>
              </w:rPr>
              <w:t>in years</w:t>
            </w:r>
          </w:p>
        </w:tc>
        <w:tc>
          <w:tcPr>
            <w:tcW w:w="160" w:type="dxa"/>
            <w:vAlign w:val="bottom"/>
          </w:tcPr>
          <w:p>
            <w:pPr>
              <w:spacing w:after="0"/>
              <w:rPr>
                <w:sz w:val="16"/>
                <w:szCs w:val="16"/>
                <w:color w:val="auto"/>
              </w:rPr>
            </w:pPr>
          </w:p>
        </w:tc>
        <w:tc>
          <w:tcPr>
            <w:tcW w:w="1220" w:type="dxa"/>
            <w:vAlign w:val="bottom"/>
          </w:tcPr>
          <w:p>
            <w:pPr>
              <w:jc w:val="center"/>
              <w:ind w:right="62"/>
              <w:spacing w:after="0"/>
              <w:rPr>
                <w:sz w:val="20"/>
                <w:szCs w:val="20"/>
                <w:color w:val="auto"/>
              </w:rPr>
            </w:pPr>
            <w:r>
              <w:rPr>
                <w:rFonts w:ascii="Arial" w:cs="Arial" w:eastAsia="Arial" w:hAnsi="Arial"/>
                <w:sz w:val="13"/>
                <w:szCs w:val="13"/>
                <w:b w:val="1"/>
                <w:bCs w:val="1"/>
                <w:color w:val="auto"/>
                <w:w w:val="98"/>
              </w:rPr>
              <w:t>carrying amount</w:t>
            </w:r>
          </w:p>
        </w:tc>
        <w:tc>
          <w:tcPr>
            <w:tcW w:w="180" w:type="dxa"/>
            <w:vAlign w:val="bottom"/>
          </w:tcPr>
          <w:p>
            <w:pPr>
              <w:spacing w:after="0"/>
              <w:rPr>
                <w:sz w:val="16"/>
                <w:szCs w:val="16"/>
                <w:color w:val="auto"/>
              </w:rPr>
            </w:pPr>
          </w:p>
        </w:tc>
        <w:tc>
          <w:tcPr>
            <w:tcW w:w="1840" w:type="dxa"/>
            <w:vAlign w:val="bottom"/>
          </w:tcPr>
          <w:p>
            <w:pPr>
              <w:jc w:val="right"/>
              <w:ind w:right="141"/>
              <w:spacing w:after="0"/>
              <w:rPr>
                <w:sz w:val="20"/>
                <w:szCs w:val="20"/>
                <w:color w:val="auto"/>
              </w:rPr>
            </w:pPr>
            <w:r>
              <w:rPr>
                <w:rFonts w:ascii="Arial" w:cs="Arial" w:eastAsia="Arial" w:hAnsi="Arial"/>
                <w:sz w:val="13"/>
                <w:szCs w:val="13"/>
                <w:b w:val="1"/>
                <w:bCs w:val="1"/>
                <w:color w:val="auto"/>
                <w:w w:val="98"/>
              </w:rPr>
              <w:t>Accumulated amortization</w:t>
            </w:r>
          </w:p>
        </w:tc>
        <w:tc>
          <w:tcPr>
            <w:tcW w:w="120" w:type="dxa"/>
            <w:vAlign w:val="bottom"/>
          </w:tcPr>
          <w:p>
            <w:pPr>
              <w:spacing w:after="0"/>
              <w:rPr>
                <w:sz w:val="16"/>
                <w:szCs w:val="16"/>
                <w:color w:val="auto"/>
              </w:rPr>
            </w:pPr>
          </w:p>
        </w:tc>
        <w:tc>
          <w:tcPr>
            <w:tcW w:w="1400" w:type="dxa"/>
            <w:vAlign w:val="bottom"/>
          </w:tcPr>
          <w:p>
            <w:pPr>
              <w:jc w:val="right"/>
              <w:ind w:right="81"/>
              <w:spacing w:after="0"/>
              <w:rPr>
                <w:sz w:val="20"/>
                <w:szCs w:val="20"/>
                <w:color w:val="auto"/>
              </w:rPr>
            </w:pPr>
            <w:r>
              <w:rPr>
                <w:rFonts w:ascii="Arial" w:cs="Arial" w:eastAsia="Arial" w:hAnsi="Arial"/>
                <w:sz w:val="13"/>
                <w:szCs w:val="13"/>
                <w:b w:val="1"/>
                <w:bCs w:val="1"/>
                <w:color w:val="auto"/>
                <w:w w:val="96"/>
              </w:rPr>
              <w:t>Net carrying amount</w:t>
            </w:r>
          </w:p>
        </w:tc>
      </w:tr>
      <w:tr>
        <w:trPr>
          <w:trHeight w:val="189"/>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
        </w:trPr>
        <w:tc>
          <w:tcPr>
            <w:tcW w:w="34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1"/>
        </w:trPr>
        <w:tc>
          <w:tcPr>
            <w:tcW w:w="34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6"/>
        </w:trPr>
        <w:tc>
          <w:tcPr>
            <w:tcW w:w="3420" w:type="dxa"/>
            <w:vAlign w:val="bottom"/>
          </w:tcPr>
          <w:p>
            <w:pPr>
              <w:ind w:left="140"/>
              <w:spacing w:after="0"/>
              <w:rPr>
                <w:sz w:val="20"/>
                <w:szCs w:val="20"/>
                <w:color w:val="auto"/>
              </w:rPr>
            </w:pPr>
            <w:r>
              <w:rPr>
                <w:rFonts w:ascii="Arial" w:cs="Arial" w:eastAsia="Arial" w:hAnsi="Arial"/>
                <w:sz w:val="16"/>
                <w:szCs w:val="16"/>
                <w:color w:val="auto"/>
              </w:rPr>
              <w:t>AEC Trademarks and trade names</w:t>
            </w:r>
          </w:p>
        </w:tc>
        <w:tc>
          <w:tcPr>
            <w:tcW w:w="2880" w:type="dxa"/>
            <w:vAlign w:val="bottom"/>
          </w:tcPr>
          <w:p>
            <w:pPr>
              <w:jc w:val="center"/>
              <w:ind w:left="684"/>
              <w:spacing w:after="0"/>
              <w:rPr>
                <w:sz w:val="20"/>
                <w:szCs w:val="20"/>
                <w:color w:val="auto"/>
              </w:rPr>
            </w:pPr>
            <w:r>
              <w:rPr>
                <w:rFonts w:ascii="Arial" w:cs="Arial" w:eastAsia="Arial" w:hAnsi="Arial"/>
                <w:sz w:val="16"/>
                <w:szCs w:val="16"/>
                <w:color w:val="auto"/>
                <w:w w:val="99"/>
              </w:rPr>
              <w:t>6-15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60</w:t>
            </w:r>
          </w:p>
        </w:tc>
      </w:tr>
      <w:tr>
        <w:trPr>
          <w:trHeight w:val="243"/>
        </w:trPr>
        <w:tc>
          <w:tcPr>
            <w:tcW w:w="3420" w:type="dxa"/>
            <w:vAlign w:val="bottom"/>
          </w:tcPr>
          <w:p>
            <w:pPr>
              <w:ind w:left="140"/>
              <w:spacing w:after="0"/>
              <w:rPr>
                <w:sz w:val="20"/>
                <w:szCs w:val="20"/>
                <w:color w:val="auto"/>
              </w:rPr>
            </w:pPr>
            <w:r>
              <w:rPr>
                <w:rFonts w:ascii="Arial" w:cs="Arial" w:eastAsia="Arial" w:hAnsi="Arial"/>
                <w:sz w:val="16"/>
                <w:szCs w:val="16"/>
                <w:color w:val="auto"/>
              </w:rPr>
              <w:t>AEC Technology</w:t>
            </w:r>
          </w:p>
        </w:tc>
        <w:tc>
          <w:tcPr>
            <w:tcW w:w="2880" w:type="dxa"/>
            <w:vAlign w:val="bottom"/>
          </w:tcPr>
          <w:p>
            <w:pPr>
              <w:jc w:val="center"/>
              <w:ind w:left="704"/>
              <w:spacing w:after="0"/>
              <w:rPr>
                <w:sz w:val="20"/>
                <w:szCs w:val="20"/>
                <w:color w:val="auto"/>
              </w:rPr>
            </w:pPr>
            <w:r>
              <w:rPr>
                <w:rFonts w:ascii="Arial" w:cs="Arial" w:eastAsia="Arial" w:hAnsi="Arial"/>
                <w:sz w:val="16"/>
                <w:szCs w:val="16"/>
                <w:color w:val="auto"/>
              </w:rPr>
              <w:t>10-15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6,522</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5,651</w:t>
            </w:r>
          </w:p>
        </w:tc>
      </w:tr>
      <w:tr>
        <w:trPr>
          <w:trHeight w:val="243"/>
        </w:trPr>
        <w:tc>
          <w:tcPr>
            <w:tcW w:w="3420" w:type="dxa"/>
            <w:vAlign w:val="bottom"/>
          </w:tcPr>
          <w:p>
            <w:pPr>
              <w:ind w:left="140"/>
              <w:spacing w:after="0"/>
              <w:rPr>
                <w:sz w:val="20"/>
                <w:szCs w:val="20"/>
                <w:color w:val="auto"/>
              </w:rPr>
            </w:pPr>
            <w:r>
              <w:rPr>
                <w:rFonts w:ascii="Arial" w:cs="Arial" w:eastAsia="Arial" w:hAnsi="Arial"/>
                <w:sz w:val="16"/>
                <w:szCs w:val="16"/>
                <w:color w:val="auto"/>
              </w:rPr>
              <w:t>AEC Intellectual property</w:t>
            </w:r>
          </w:p>
        </w:tc>
        <w:tc>
          <w:tcPr>
            <w:tcW w:w="2880" w:type="dxa"/>
            <w:vAlign w:val="bottom"/>
          </w:tcPr>
          <w:p>
            <w:pPr>
              <w:jc w:val="center"/>
              <w:ind w:left="704"/>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1,250</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1,182</w:t>
            </w:r>
          </w:p>
        </w:tc>
      </w:tr>
      <w:tr>
        <w:trPr>
          <w:trHeight w:val="243"/>
        </w:trPr>
        <w:tc>
          <w:tcPr>
            <w:tcW w:w="3420" w:type="dxa"/>
            <w:vAlign w:val="bottom"/>
          </w:tcPr>
          <w:p>
            <w:pPr>
              <w:ind w:left="140"/>
              <w:spacing w:after="0"/>
              <w:rPr>
                <w:sz w:val="20"/>
                <w:szCs w:val="20"/>
                <w:color w:val="auto"/>
              </w:rPr>
            </w:pPr>
            <w:r>
              <w:rPr>
                <w:rFonts w:ascii="Arial" w:cs="Arial" w:eastAsia="Arial" w:hAnsi="Arial"/>
                <w:sz w:val="16"/>
                <w:szCs w:val="16"/>
                <w:color w:val="auto"/>
              </w:rPr>
              <w:t>AEC Customer contracts</w:t>
            </w:r>
          </w:p>
        </w:tc>
        <w:tc>
          <w:tcPr>
            <w:tcW w:w="2880" w:type="dxa"/>
            <w:vAlign w:val="bottom"/>
          </w:tcPr>
          <w:p>
            <w:pPr>
              <w:jc w:val="center"/>
              <w:ind w:left="704"/>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17,471</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(13,110)</w:t>
            </w:r>
          </w:p>
        </w:tc>
        <w:tc>
          <w:tcPr>
            <w:tcW w:w="12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4,361</w:t>
            </w:r>
          </w:p>
        </w:tc>
      </w:tr>
      <w:tr>
        <w:trPr>
          <w:trHeight w:val="243"/>
        </w:trPr>
        <w:tc>
          <w:tcPr>
            <w:tcW w:w="3420" w:type="dxa"/>
            <w:vAlign w:val="bottom"/>
          </w:tcPr>
          <w:p>
            <w:pPr>
              <w:ind w:left="140"/>
              <w:spacing w:after="0"/>
              <w:rPr>
                <w:sz w:val="20"/>
                <w:szCs w:val="20"/>
                <w:color w:val="auto"/>
              </w:rPr>
            </w:pPr>
            <w:r>
              <w:rPr>
                <w:rFonts w:ascii="Arial" w:cs="Arial" w:eastAsia="Arial" w:hAnsi="Arial"/>
                <w:sz w:val="16"/>
                <w:szCs w:val="16"/>
                <w:color w:val="auto"/>
              </w:rPr>
              <w:t>AEC Customer relationships</w:t>
            </w:r>
          </w:p>
        </w:tc>
        <w:tc>
          <w:tcPr>
            <w:tcW w:w="2880" w:type="dxa"/>
            <w:vAlign w:val="bottom"/>
          </w:tcPr>
          <w:p>
            <w:pPr>
              <w:jc w:val="center"/>
              <w:ind w:left="684"/>
              <w:spacing w:after="0"/>
              <w:rPr>
                <w:sz w:val="20"/>
                <w:szCs w:val="20"/>
                <w:color w:val="auto"/>
              </w:rPr>
            </w:pPr>
            <w:r>
              <w:rPr>
                <w:rFonts w:ascii="Arial" w:cs="Arial" w:eastAsia="Arial" w:hAnsi="Arial"/>
                <w:sz w:val="16"/>
                <w:szCs w:val="16"/>
                <w:color w:val="auto"/>
                <w:w w:val="99"/>
              </w:rPr>
              <w:t>8-15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51,763</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(14,768)</w:t>
            </w:r>
          </w:p>
        </w:tc>
        <w:tc>
          <w:tcPr>
            <w:tcW w:w="12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36,995</w:t>
            </w:r>
          </w:p>
        </w:tc>
      </w:tr>
      <w:tr>
        <w:trPr>
          <w:trHeight w:val="244"/>
        </w:trPr>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Other intangibles</w:t>
            </w:r>
          </w:p>
        </w:tc>
        <w:tc>
          <w:tcPr>
            <w:tcW w:w="2880" w:type="dxa"/>
            <w:vAlign w:val="bottom"/>
            <w:tcBorders>
              <w:bottom w:val="single" w:sz="8" w:color="auto"/>
            </w:tcBorders>
          </w:tcPr>
          <w:p>
            <w:pPr>
              <w:jc w:val="center"/>
              <w:ind w:left="704"/>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r>
      <w:tr>
        <w:trPr>
          <w:trHeight w:val="236"/>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amortized intangible assets</w:t>
            </w:r>
          </w:p>
        </w:tc>
        <w:tc>
          <w:tcPr>
            <w:tcW w:w="2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48,281</w:t>
            </w:r>
          </w:p>
        </w:tc>
      </w:tr>
      <w:tr>
        <w:trPr>
          <w:trHeight w:val="465"/>
        </w:trPr>
        <w:tc>
          <w:tcPr>
            <w:tcW w:w="3420" w:type="dxa"/>
            <w:vAlign w:val="bottom"/>
          </w:tcPr>
          <w:p>
            <w:pPr>
              <w:ind w:left="20"/>
              <w:spacing w:after="0"/>
              <w:rPr>
                <w:sz w:val="20"/>
                <w:szCs w:val="20"/>
                <w:color w:val="auto"/>
              </w:rPr>
            </w:pPr>
            <w:r>
              <w:rPr>
                <w:rFonts w:ascii="Arial" w:cs="Arial" w:eastAsia="Arial" w:hAnsi="Arial"/>
                <w:sz w:val="16"/>
                <w:szCs w:val="16"/>
                <w:color w:val="auto"/>
              </w:rPr>
              <w:t>Unamortized intangible assets: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7"/>
        </w:trPr>
        <w:tc>
          <w:tcPr>
            <w:tcW w:w="3420" w:type="dxa"/>
            <w:vAlign w:val="bottom"/>
          </w:tcPr>
          <w:p>
            <w:pPr>
              <w:ind w:left="20"/>
              <w:spacing w:after="0"/>
              <w:rPr>
                <w:sz w:val="20"/>
                <w:szCs w:val="20"/>
                <w:color w:val="auto"/>
              </w:rPr>
            </w:pPr>
            <w:r>
              <w:rPr>
                <w:rFonts w:ascii="Arial" w:cs="Arial" w:eastAsia="Arial" w:hAnsi="Arial"/>
                <w:sz w:val="16"/>
                <w:szCs w:val="16"/>
                <w:color w:val="auto"/>
              </w:rPr>
              <w:t>MC Goodwill</w:t>
            </w:r>
          </w:p>
        </w:tc>
        <w:tc>
          <w:tcPr>
            <w:tcW w:w="28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69,884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69,884</w:t>
            </w:r>
          </w:p>
        </w:tc>
      </w:tr>
      <w:tr>
        <w:trPr>
          <w:trHeight w:val="244"/>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AEC Goodwill</w:t>
            </w:r>
          </w:p>
        </w:tc>
        <w:tc>
          <w:tcPr>
            <w:tcW w:w="2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114,403</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114,403</w:t>
            </w:r>
          </w:p>
        </w:tc>
      </w:tr>
      <w:tr>
        <w:trPr>
          <w:trHeight w:val="235"/>
        </w:trPr>
        <w:tc>
          <w:tcPr>
            <w:tcW w:w="3420" w:type="dxa"/>
            <w:vAlign w:val="bottom"/>
          </w:tcPr>
          <w:p>
            <w:pPr>
              <w:ind w:left="20"/>
              <w:spacing w:after="0"/>
              <w:rPr>
                <w:sz w:val="20"/>
                <w:szCs w:val="20"/>
                <w:color w:val="auto"/>
              </w:rPr>
            </w:pPr>
            <w:r>
              <w:rPr>
                <w:rFonts w:ascii="Arial" w:cs="Arial" w:eastAsia="Arial" w:hAnsi="Arial"/>
                <w:sz w:val="16"/>
                <w:szCs w:val="16"/>
                <w:color w:val="auto"/>
              </w:rPr>
              <w:t>Total unamortized intangible assets:</w:t>
            </w:r>
          </w:p>
        </w:tc>
        <w:tc>
          <w:tcPr>
            <w:tcW w:w="28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184,287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184,287</w:t>
            </w:r>
          </w:p>
        </w:tc>
      </w:tr>
      <w:tr>
        <w:trPr>
          <w:trHeight w:val="110"/>
        </w:trPr>
        <w:tc>
          <w:tcPr>
            <w:tcW w:w="342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r>
      <w:tr>
        <w:trPr>
          <w:trHeight w:val="145"/>
        </w:trPr>
        <w:tc>
          <w:tcPr>
            <w:tcW w:w="3420" w:type="dxa"/>
            <w:vAlign w:val="bottom"/>
          </w:tcPr>
          <w:p>
            <w:pPr>
              <w:spacing w:after="0"/>
              <w:rPr>
                <w:sz w:val="12"/>
                <w:szCs w:val="12"/>
                <w:color w:val="auto"/>
              </w:rPr>
            </w:pPr>
          </w:p>
        </w:tc>
        <w:tc>
          <w:tcPr>
            <w:tcW w:w="2880" w:type="dxa"/>
            <w:vAlign w:val="bottom"/>
          </w:tcPr>
          <w:p>
            <w:pPr>
              <w:jc w:val="center"/>
              <w:ind w:left="704"/>
              <w:spacing w:after="0" w:line="145" w:lineRule="exact"/>
              <w:rPr>
                <w:sz w:val="20"/>
                <w:szCs w:val="20"/>
                <w:color w:val="auto"/>
              </w:rPr>
            </w:pPr>
            <w:r>
              <w:rPr>
                <w:rFonts w:ascii="Arial" w:cs="Arial" w:eastAsia="Arial" w:hAnsi="Arial"/>
                <w:sz w:val="13"/>
                <w:szCs w:val="13"/>
                <w:b w:val="1"/>
                <w:bCs w:val="1"/>
                <w:color w:val="auto"/>
                <w:w w:val="95"/>
              </w:rPr>
              <w:t>Weighted average amortization life</w:t>
            </w:r>
          </w:p>
        </w:tc>
        <w:tc>
          <w:tcPr>
            <w:tcW w:w="160" w:type="dxa"/>
            <w:vAlign w:val="bottom"/>
          </w:tcPr>
          <w:p>
            <w:pPr>
              <w:spacing w:after="0"/>
              <w:rPr>
                <w:sz w:val="12"/>
                <w:szCs w:val="12"/>
                <w:color w:val="auto"/>
              </w:rPr>
            </w:pPr>
          </w:p>
        </w:tc>
        <w:tc>
          <w:tcPr>
            <w:tcW w:w="1220" w:type="dxa"/>
            <w:vAlign w:val="bottom"/>
          </w:tcPr>
          <w:p>
            <w:pPr>
              <w:jc w:val="center"/>
              <w:ind w:right="62"/>
              <w:spacing w:after="0" w:line="145" w:lineRule="exact"/>
              <w:rPr>
                <w:sz w:val="20"/>
                <w:szCs w:val="20"/>
                <w:color w:val="auto"/>
              </w:rPr>
            </w:pPr>
            <w:r>
              <w:rPr>
                <w:rFonts w:ascii="Arial" w:cs="Arial" w:eastAsia="Arial" w:hAnsi="Arial"/>
                <w:sz w:val="13"/>
                <w:szCs w:val="13"/>
                <w:b w:val="1"/>
                <w:bCs w:val="1"/>
                <w:color w:val="auto"/>
                <w:w w:val="95"/>
              </w:rPr>
              <w:t>Gross</w:t>
            </w:r>
          </w:p>
        </w:tc>
        <w:tc>
          <w:tcPr>
            <w:tcW w:w="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91"/>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2019</w:t>
            </w:r>
          </w:p>
        </w:tc>
        <w:tc>
          <w:tcPr>
            <w:tcW w:w="2880" w:type="dxa"/>
            <w:vAlign w:val="bottom"/>
          </w:tcPr>
          <w:p>
            <w:pPr>
              <w:jc w:val="center"/>
              <w:ind w:left="684"/>
              <w:spacing w:after="0"/>
              <w:rPr>
                <w:sz w:val="20"/>
                <w:szCs w:val="20"/>
                <w:color w:val="auto"/>
              </w:rPr>
            </w:pPr>
            <w:r>
              <w:rPr>
                <w:rFonts w:ascii="Arial" w:cs="Arial" w:eastAsia="Arial" w:hAnsi="Arial"/>
                <w:sz w:val="13"/>
                <w:szCs w:val="13"/>
                <w:b w:val="1"/>
                <w:bCs w:val="1"/>
                <w:color w:val="auto"/>
                <w:w w:val="97"/>
              </w:rPr>
              <w:t>in years</w:t>
            </w:r>
          </w:p>
        </w:tc>
        <w:tc>
          <w:tcPr>
            <w:tcW w:w="160" w:type="dxa"/>
            <w:vAlign w:val="bottom"/>
          </w:tcPr>
          <w:p>
            <w:pPr>
              <w:spacing w:after="0"/>
              <w:rPr>
                <w:sz w:val="16"/>
                <w:szCs w:val="16"/>
                <w:color w:val="auto"/>
              </w:rPr>
            </w:pPr>
          </w:p>
        </w:tc>
        <w:tc>
          <w:tcPr>
            <w:tcW w:w="1220" w:type="dxa"/>
            <w:vAlign w:val="bottom"/>
          </w:tcPr>
          <w:p>
            <w:pPr>
              <w:jc w:val="center"/>
              <w:ind w:right="62"/>
              <w:spacing w:after="0"/>
              <w:rPr>
                <w:sz w:val="20"/>
                <w:szCs w:val="20"/>
                <w:color w:val="auto"/>
              </w:rPr>
            </w:pPr>
            <w:r>
              <w:rPr>
                <w:rFonts w:ascii="Arial" w:cs="Arial" w:eastAsia="Arial" w:hAnsi="Arial"/>
                <w:sz w:val="13"/>
                <w:szCs w:val="13"/>
                <w:b w:val="1"/>
                <w:bCs w:val="1"/>
                <w:color w:val="auto"/>
                <w:w w:val="98"/>
              </w:rPr>
              <w:t>carrying amount</w:t>
            </w:r>
          </w:p>
        </w:tc>
        <w:tc>
          <w:tcPr>
            <w:tcW w:w="180" w:type="dxa"/>
            <w:vAlign w:val="bottom"/>
          </w:tcPr>
          <w:p>
            <w:pPr>
              <w:spacing w:after="0"/>
              <w:rPr>
                <w:sz w:val="16"/>
                <w:szCs w:val="16"/>
                <w:color w:val="auto"/>
              </w:rPr>
            </w:pPr>
          </w:p>
        </w:tc>
        <w:tc>
          <w:tcPr>
            <w:tcW w:w="1840" w:type="dxa"/>
            <w:vAlign w:val="bottom"/>
          </w:tcPr>
          <w:p>
            <w:pPr>
              <w:jc w:val="right"/>
              <w:ind w:right="141"/>
              <w:spacing w:after="0"/>
              <w:rPr>
                <w:sz w:val="20"/>
                <w:szCs w:val="20"/>
                <w:color w:val="auto"/>
              </w:rPr>
            </w:pPr>
            <w:r>
              <w:rPr>
                <w:rFonts w:ascii="Arial" w:cs="Arial" w:eastAsia="Arial" w:hAnsi="Arial"/>
                <w:sz w:val="13"/>
                <w:szCs w:val="13"/>
                <w:b w:val="1"/>
                <w:bCs w:val="1"/>
                <w:color w:val="auto"/>
                <w:w w:val="98"/>
              </w:rPr>
              <w:t>Accumulated amortization</w:t>
            </w:r>
          </w:p>
        </w:tc>
        <w:tc>
          <w:tcPr>
            <w:tcW w:w="120" w:type="dxa"/>
            <w:vAlign w:val="bottom"/>
          </w:tcPr>
          <w:p>
            <w:pPr>
              <w:spacing w:after="0"/>
              <w:rPr>
                <w:sz w:val="16"/>
                <w:szCs w:val="16"/>
                <w:color w:val="auto"/>
              </w:rPr>
            </w:pPr>
          </w:p>
        </w:tc>
        <w:tc>
          <w:tcPr>
            <w:tcW w:w="1400" w:type="dxa"/>
            <w:vAlign w:val="bottom"/>
          </w:tcPr>
          <w:p>
            <w:pPr>
              <w:jc w:val="right"/>
              <w:ind w:right="81"/>
              <w:spacing w:after="0"/>
              <w:rPr>
                <w:sz w:val="20"/>
                <w:szCs w:val="20"/>
                <w:color w:val="auto"/>
              </w:rPr>
            </w:pPr>
            <w:r>
              <w:rPr>
                <w:rFonts w:ascii="Arial" w:cs="Arial" w:eastAsia="Arial" w:hAnsi="Arial"/>
                <w:sz w:val="13"/>
                <w:szCs w:val="13"/>
                <w:b w:val="1"/>
                <w:bCs w:val="1"/>
                <w:color w:val="auto"/>
                <w:w w:val="96"/>
              </w:rPr>
              <w:t>Net carrying amount</w:t>
            </w:r>
          </w:p>
        </w:tc>
      </w:tr>
      <w:tr>
        <w:trPr>
          <w:trHeight w:val="189"/>
        </w:trPr>
        <w:tc>
          <w:tcPr>
            <w:tcW w:w="34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
        </w:trPr>
        <w:tc>
          <w:tcPr>
            <w:tcW w:w="34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78"/>
        </w:trPr>
        <w:tc>
          <w:tcPr>
            <w:tcW w:w="34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6"/>
        </w:trPr>
        <w:tc>
          <w:tcPr>
            <w:tcW w:w="3420" w:type="dxa"/>
            <w:vAlign w:val="bottom"/>
          </w:tcPr>
          <w:p>
            <w:pPr>
              <w:ind w:left="140"/>
              <w:spacing w:after="0"/>
              <w:rPr>
                <w:sz w:val="20"/>
                <w:szCs w:val="20"/>
                <w:color w:val="auto"/>
              </w:rPr>
            </w:pPr>
            <w:r>
              <w:rPr>
                <w:rFonts w:ascii="Arial" w:cs="Arial" w:eastAsia="Arial" w:hAnsi="Arial"/>
                <w:sz w:val="16"/>
                <w:szCs w:val="16"/>
                <w:color w:val="auto"/>
              </w:rPr>
              <w:t>AEC Trademarks and trade names</w:t>
            </w:r>
          </w:p>
        </w:tc>
        <w:tc>
          <w:tcPr>
            <w:tcW w:w="2880" w:type="dxa"/>
            <w:vAlign w:val="bottom"/>
          </w:tcPr>
          <w:p>
            <w:pPr>
              <w:jc w:val="center"/>
              <w:ind w:left="684"/>
              <w:spacing w:after="0"/>
              <w:rPr>
                <w:sz w:val="20"/>
                <w:szCs w:val="20"/>
                <w:color w:val="auto"/>
              </w:rPr>
            </w:pPr>
            <w:r>
              <w:rPr>
                <w:rFonts w:ascii="Arial" w:cs="Arial" w:eastAsia="Arial" w:hAnsi="Arial"/>
                <w:sz w:val="16"/>
                <w:szCs w:val="16"/>
                <w:color w:val="auto"/>
                <w:w w:val="99"/>
              </w:rPr>
              <w:t>6-15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73</w:t>
            </w:r>
          </w:p>
        </w:tc>
      </w:tr>
      <w:tr>
        <w:trPr>
          <w:trHeight w:val="243"/>
        </w:trPr>
        <w:tc>
          <w:tcPr>
            <w:tcW w:w="3420" w:type="dxa"/>
            <w:vAlign w:val="bottom"/>
          </w:tcPr>
          <w:p>
            <w:pPr>
              <w:ind w:left="140"/>
              <w:spacing w:after="0"/>
              <w:rPr>
                <w:sz w:val="20"/>
                <w:szCs w:val="20"/>
                <w:color w:val="auto"/>
              </w:rPr>
            </w:pPr>
            <w:r>
              <w:rPr>
                <w:rFonts w:ascii="Arial" w:cs="Arial" w:eastAsia="Arial" w:hAnsi="Arial"/>
                <w:sz w:val="16"/>
                <w:szCs w:val="16"/>
                <w:color w:val="auto"/>
              </w:rPr>
              <w:t>AEC Technology</w:t>
            </w:r>
          </w:p>
        </w:tc>
        <w:tc>
          <w:tcPr>
            <w:tcW w:w="2880" w:type="dxa"/>
            <w:vAlign w:val="bottom"/>
          </w:tcPr>
          <w:p>
            <w:pPr>
              <w:jc w:val="center"/>
              <w:ind w:left="704"/>
              <w:spacing w:after="0"/>
              <w:rPr>
                <w:sz w:val="20"/>
                <w:szCs w:val="20"/>
                <w:color w:val="auto"/>
              </w:rPr>
            </w:pPr>
            <w:r>
              <w:rPr>
                <w:rFonts w:ascii="Arial" w:cs="Arial" w:eastAsia="Arial" w:hAnsi="Arial"/>
                <w:sz w:val="16"/>
                <w:szCs w:val="16"/>
                <w:color w:val="auto"/>
              </w:rPr>
              <w:t>10-15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6,191</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5,804</w:t>
            </w:r>
          </w:p>
        </w:tc>
      </w:tr>
      <w:tr>
        <w:trPr>
          <w:trHeight w:val="243"/>
        </w:trPr>
        <w:tc>
          <w:tcPr>
            <w:tcW w:w="3420" w:type="dxa"/>
            <w:vAlign w:val="bottom"/>
          </w:tcPr>
          <w:p>
            <w:pPr>
              <w:ind w:left="140"/>
              <w:spacing w:after="0"/>
              <w:rPr>
                <w:sz w:val="20"/>
                <w:szCs w:val="20"/>
                <w:color w:val="auto"/>
              </w:rPr>
            </w:pPr>
            <w:r>
              <w:rPr>
                <w:rFonts w:ascii="Arial" w:cs="Arial" w:eastAsia="Arial" w:hAnsi="Arial"/>
                <w:sz w:val="16"/>
                <w:szCs w:val="16"/>
                <w:color w:val="auto"/>
              </w:rPr>
              <w:t>AEC Intellectual property</w:t>
            </w:r>
          </w:p>
        </w:tc>
        <w:tc>
          <w:tcPr>
            <w:tcW w:w="2880" w:type="dxa"/>
            <w:vAlign w:val="bottom"/>
          </w:tcPr>
          <w:p>
            <w:pPr>
              <w:jc w:val="center"/>
              <w:ind w:left="704"/>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1,250</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1,243</w:t>
            </w:r>
          </w:p>
        </w:tc>
      </w:tr>
      <w:tr>
        <w:trPr>
          <w:trHeight w:val="243"/>
        </w:trPr>
        <w:tc>
          <w:tcPr>
            <w:tcW w:w="3420" w:type="dxa"/>
            <w:vAlign w:val="bottom"/>
          </w:tcPr>
          <w:p>
            <w:pPr>
              <w:ind w:left="140"/>
              <w:spacing w:after="0"/>
              <w:rPr>
                <w:sz w:val="20"/>
                <w:szCs w:val="20"/>
                <w:color w:val="auto"/>
              </w:rPr>
            </w:pPr>
            <w:r>
              <w:rPr>
                <w:rFonts w:ascii="Arial" w:cs="Arial" w:eastAsia="Arial" w:hAnsi="Arial"/>
                <w:sz w:val="16"/>
                <w:szCs w:val="16"/>
                <w:color w:val="auto"/>
              </w:rPr>
              <w:t>AEC Customer contracts</w:t>
            </w:r>
          </w:p>
        </w:tc>
        <w:tc>
          <w:tcPr>
            <w:tcW w:w="2880" w:type="dxa"/>
            <w:vAlign w:val="bottom"/>
          </w:tcPr>
          <w:p>
            <w:pPr>
              <w:jc w:val="center"/>
              <w:ind w:left="704"/>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17,471</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(10,927)</w:t>
            </w:r>
          </w:p>
        </w:tc>
        <w:tc>
          <w:tcPr>
            <w:tcW w:w="12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6,544</w:t>
            </w:r>
          </w:p>
        </w:tc>
      </w:tr>
      <w:tr>
        <w:trPr>
          <w:trHeight w:val="243"/>
        </w:trPr>
        <w:tc>
          <w:tcPr>
            <w:tcW w:w="3420" w:type="dxa"/>
            <w:vAlign w:val="bottom"/>
          </w:tcPr>
          <w:p>
            <w:pPr>
              <w:ind w:left="140"/>
              <w:spacing w:after="0"/>
              <w:rPr>
                <w:sz w:val="20"/>
                <w:szCs w:val="20"/>
                <w:color w:val="auto"/>
              </w:rPr>
            </w:pPr>
            <w:r>
              <w:rPr>
                <w:rFonts w:ascii="Arial" w:cs="Arial" w:eastAsia="Arial" w:hAnsi="Arial"/>
                <w:sz w:val="16"/>
                <w:szCs w:val="16"/>
                <w:color w:val="auto"/>
              </w:rPr>
              <w:t>AEC Customer relationships</w:t>
            </w:r>
          </w:p>
        </w:tc>
        <w:tc>
          <w:tcPr>
            <w:tcW w:w="2880" w:type="dxa"/>
            <w:vAlign w:val="bottom"/>
          </w:tcPr>
          <w:p>
            <w:pPr>
              <w:jc w:val="center"/>
              <w:ind w:left="684"/>
              <w:spacing w:after="0"/>
              <w:rPr>
                <w:sz w:val="20"/>
                <w:szCs w:val="20"/>
                <w:color w:val="auto"/>
              </w:rPr>
            </w:pPr>
            <w:r>
              <w:rPr>
                <w:rFonts w:ascii="Arial" w:cs="Arial" w:eastAsia="Arial" w:hAnsi="Arial"/>
                <w:sz w:val="16"/>
                <w:szCs w:val="16"/>
                <w:color w:val="auto"/>
                <w:w w:val="99"/>
              </w:rPr>
              <w:t>8-15</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51,255</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(12,108)</w:t>
            </w:r>
          </w:p>
        </w:tc>
        <w:tc>
          <w:tcPr>
            <w:tcW w:w="12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39,147</w:t>
            </w:r>
          </w:p>
        </w:tc>
      </w:tr>
      <w:tr>
        <w:trPr>
          <w:trHeight w:val="244"/>
        </w:trPr>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Other intangibles</w:t>
            </w:r>
          </w:p>
        </w:tc>
        <w:tc>
          <w:tcPr>
            <w:tcW w:w="2880" w:type="dxa"/>
            <w:vAlign w:val="bottom"/>
            <w:tcBorders>
              <w:bottom w:val="single" w:sz="8" w:color="auto"/>
            </w:tcBorders>
          </w:tcPr>
          <w:p>
            <w:pPr>
              <w:jc w:val="center"/>
              <w:ind w:left="704"/>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w:t>
            </w:r>
          </w:p>
        </w:tc>
      </w:tr>
      <w:tr>
        <w:trPr>
          <w:trHeight w:val="23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amortized intangible assets</w:t>
            </w:r>
          </w:p>
        </w:tc>
        <w:tc>
          <w:tcPr>
            <w:tcW w:w="2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52,892</w:t>
            </w:r>
          </w:p>
        </w:tc>
      </w:tr>
      <w:tr>
        <w:trPr>
          <w:trHeight w:val="478"/>
        </w:trPr>
        <w:tc>
          <w:tcPr>
            <w:tcW w:w="3420" w:type="dxa"/>
            <w:vAlign w:val="bottom"/>
          </w:tcPr>
          <w:p>
            <w:pPr>
              <w:ind w:left="20"/>
              <w:spacing w:after="0"/>
              <w:rPr>
                <w:sz w:val="20"/>
                <w:szCs w:val="20"/>
                <w:color w:val="auto"/>
              </w:rPr>
            </w:pPr>
            <w:r>
              <w:rPr>
                <w:rFonts w:ascii="Arial" w:cs="Arial" w:eastAsia="Arial" w:hAnsi="Arial"/>
                <w:sz w:val="16"/>
                <w:szCs w:val="16"/>
                <w:color w:val="auto"/>
              </w:rPr>
              <w:t>Unamortized intangible assets: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6"/>
        </w:trPr>
        <w:tc>
          <w:tcPr>
            <w:tcW w:w="3420" w:type="dxa"/>
            <w:vAlign w:val="bottom"/>
          </w:tcPr>
          <w:p>
            <w:pPr>
              <w:ind w:left="140"/>
              <w:spacing w:after="0"/>
              <w:rPr>
                <w:sz w:val="20"/>
                <w:szCs w:val="20"/>
                <w:color w:val="auto"/>
              </w:rPr>
            </w:pPr>
            <w:r>
              <w:rPr>
                <w:rFonts w:ascii="Arial" w:cs="Arial" w:eastAsia="Arial" w:hAnsi="Arial"/>
                <w:sz w:val="16"/>
                <w:szCs w:val="16"/>
                <w:color w:val="auto"/>
              </w:rPr>
              <w:t>MC Goodwill</w:t>
            </w:r>
          </w:p>
        </w:tc>
        <w:tc>
          <w:tcPr>
            <w:tcW w:w="28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67,672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67,672</w:t>
            </w:r>
          </w:p>
        </w:tc>
      </w:tr>
      <w:tr>
        <w:trPr>
          <w:trHeight w:val="244"/>
        </w:trPr>
        <w:tc>
          <w:tcPr>
            <w:tcW w:w="34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Goodwill</w:t>
            </w:r>
          </w:p>
        </w:tc>
        <w:tc>
          <w:tcPr>
            <w:tcW w:w="2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113,262</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113,262</w:t>
            </w:r>
          </w:p>
        </w:tc>
      </w:tr>
      <w:tr>
        <w:trPr>
          <w:trHeight w:val="237"/>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unamortized intangible assets:</w:t>
            </w:r>
          </w:p>
        </w:tc>
        <w:tc>
          <w:tcPr>
            <w:tcW w:w="2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180,934</w:t>
            </w:r>
          </w:p>
        </w:tc>
      </w:tr>
    </w:tbl>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intangible assets, net and goodwill from December 31, 2019 to September 30, 2020,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c>
          <w:tcPr>
            <w:tcW w:w="1140" w:type="dxa"/>
            <w:vAlign w:val="bottom"/>
          </w:tcPr>
          <w:p>
            <w:pPr>
              <w:jc w:val="right"/>
              <w:ind w:right="81"/>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6"/>
                <w:szCs w:val="16"/>
                <w:color w:val="auto"/>
              </w:rPr>
            </w:pPr>
          </w:p>
        </w:tc>
        <w:tc>
          <w:tcPr>
            <w:tcW w:w="104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1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6"/>
                <w:szCs w:val="16"/>
                <w:color w:val="auto"/>
              </w:rPr>
            </w:pPr>
          </w:p>
        </w:tc>
        <w:tc>
          <w:tcPr>
            <w:tcW w:w="1180" w:type="dxa"/>
            <w:vAlign w:val="bottom"/>
          </w:tcPr>
          <w:p>
            <w:pPr>
              <w:jc w:val="right"/>
              <w:ind w:right="8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36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464"/>
        </w:trPr>
        <w:tc>
          <w:tcPr>
            <w:tcW w:w="368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80" w:type="dxa"/>
            <w:vAlign w:val="bottom"/>
          </w:tcPr>
          <w:p>
            <w:pPr>
              <w:ind w:left="140"/>
              <w:spacing w:after="0"/>
              <w:rPr>
                <w:sz w:val="20"/>
                <w:szCs w:val="20"/>
                <w:color w:val="auto"/>
              </w:rPr>
            </w:pPr>
            <w:r>
              <w:rPr>
                <w:rFonts w:ascii="Arial" w:cs="Arial" w:eastAsia="Arial" w:hAnsi="Arial"/>
                <w:sz w:val="16"/>
                <w:szCs w:val="16"/>
                <w:color w:val="auto"/>
              </w:rPr>
              <w:t>AEC Trademarks and trade names</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3"/>
        </w:trPr>
        <w:tc>
          <w:tcPr>
            <w:tcW w:w="3680" w:type="dxa"/>
            <w:vAlign w:val="bottom"/>
          </w:tcPr>
          <w:p>
            <w:pPr>
              <w:ind w:left="140"/>
              <w:spacing w:after="0"/>
              <w:rPr>
                <w:sz w:val="20"/>
                <w:szCs w:val="20"/>
                <w:color w:val="auto"/>
              </w:rPr>
            </w:pPr>
            <w:r>
              <w:rPr>
                <w:rFonts w:ascii="Arial" w:cs="Arial" w:eastAsia="Arial" w:hAnsi="Arial"/>
                <w:sz w:val="16"/>
                <w:szCs w:val="16"/>
                <w:color w:val="auto"/>
              </w:rPr>
              <w:t>AEC Technology</w:t>
            </w:r>
          </w:p>
        </w:tc>
        <w:tc>
          <w:tcPr>
            <w:tcW w:w="1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5,804</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(480)</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5,651</w:t>
            </w:r>
          </w:p>
        </w:tc>
        <w:tc>
          <w:tcPr>
            <w:tcW w:w="0" w:type="dxa"/>
            <w:vAlign w:val="bottom"/>
          </w:tcPr>
          <w:p>
            <w:pPr>
              <w:spacing w:after="0"/>
              <w:rPr>
                <w:sz w:val="1"/>
                <w:szCs w:val="1"/>
                <w:color w:val="auto"/>
              </w:rPr>
            </w:pPr>
          </w:p>
        </w:tc>
      </w:tr>
      <w:tr>
        <w:trPr>
          <w:trHeight w:val="243"/>
        </w:trPr>
        <w:tc>
          <w:tcPr>
            <w:tcW w:w="3680" w:type="dxa"/>
            <w:vAlign w:val="bottom"/>
          </w:tcPr>
          <w:p>
            <w:pPr>
              <w:ind w:left="140"/>
              <w:spacing w:after="0"/>
              <w:rPr>
                <w:sz w:val="20"/>
                <w:szCs w:val="20"/>
                <w:color w:val="auto"/>
              </w:rPr>
            </w:pPr>
            <w:r>
              <w:rPr>
                <w:rFonts w:ascii="Arial" w:cs="Arial" w:eastAsia="Arial" w:hAnsi="Arial"/>
                <w:sz w:val="16"/>
                <w:szCs w:val="16"/>
                <w:color w:val="auto"/>
              </w:rPr>
              <w:t>AEC Intellectual property</w:t>
            </w:r>
          </w:p>
        </w:tc>
        <w:tc>
          <w:tcPr>
            <w:tcW w:w="1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1,243</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1,182</w:t>
            </w:r>
          </w:p>
        </w:tc>
        <w:tc>
          <w:tcPr>
            <w:tcW w:w="0" w:type="dxa"/>
            <w:vAlign w:val="bottom"/>
          </w:tcPr>
          <w:p>
            <w:pPr>
              <w:spacing w:after="0"/>
              <w:rPr>
                <w:sz w:val="1"/>
                <w:szCs w:val="1"/>
                <w:color w:val="auto"/>
              </w:rPr>
            </w:pPr>
          </w:p>
        </w:tc>
      </w:tr>
      <w:tr>
        <w:trPr>
          <w:trHeight w:val="243"/>
        </w:trPr>
        <w:tc>
          <w:tcPr>
            <w:tcW w:w="3680" w:type="dxa"/>
            <w:vAlign w:val="bottom"/>
          </w:tcPr>
          <w:p>
            <w:pPr>
              <w:ind w:left="140"/>
              <w:spacing w:after="0"/>
              <w:rPr>
                <w:sz w:val="20"/>
                <w:szCs w:val="20"/>
                <w:color w:val="auto"/>
              </w:rPr>
            </w:pPr>
            <w:r>
              <w:rPr>
                <w:rFonts w:ascii="Arial" w:cs="Arial" w:eastAsia="Arial" w:hAnsi="Arial"/>
                <w:sz w:val="16"/>
                <w:szCs w:val="16"/>
                <w:color w:val="auto"/>
              </w:rPr>
              <w:t>AEC Customer contracts</w:t>
            </w:r>
          </w:p>
        </w:tc>
        <w:tc>
          <w:tcPr>
            <w:tcW w:w="1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6,544</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(2,183)</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r>
        <w:trPr>
          <w:trHeight w:val="243"/>
        </w:trPr>
        <w:tc>
          <w:tcPr>
            <w:tcW w:w="3680" w:type="dxa"/>
            <w:vAlign w:val="bottom"/>
          </w:tcPr>
          <w:p>
            <w:pPr>
              <w:ind w:left="140"/>
              <w:spacing w:after="0"/>
              <w:rPr>
                <w:sz w:val="20"/>
                <w:szCs w:val="20"/>
                <w:color w:val="auto"/>
              </w:rPr>
            </w:pPr>
            <w:r>
              <w:rPr>
                <w:rFonts w:ascii="Arial" w:cs="Arial" w:eastAsia="Arial" w:hAnsi="Arial"/>
                <w:sz w:val="16"/>
                <w:szCs w:val="16"/>
                <w:color w:val="auto"/>
              </w:rPr>
              <w:t>AEC Customer relationships</w:t>
            </w:r>
          </w:p>
        </w:tc>
        <w:tc>
          <w:tcPr>
            <w:tcW w:w="1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39,147</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329</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(2,626)</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Pr>
          <w:p>
            <w:pPr>
              <w:spacing w:after="0"/>
              <w:rPr>
                <w:sz w:val="21"/>
                <w:szCs w:val="21"/>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36,995</w:t>
            </w:r>
          </w:p>
        </w:tc>
        <w:tc>
          <w:tcPr>
            <w:tcW w:w="0" w:type="dxa"/>
            <w:vAlign w:val="bottom"/>
          </w:tcPr>
          <w:p>
            <w:pPr>
              <w:spacing w:after="0"/>
              <w:rPr>
                <w:sz w:val="1"/>
                <w:szCs w:val="1"/>
                <w:color w:val="auto"/>
              </w:rPr>
            </w:pPr>
          </w:p>
        </w:tc>
      </w:tr>
      <w:tr>
        <w:trPr>
          <w:trHeight w:val="244"/>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Other intangibles</w:t>
            </w: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amortized intangible assets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52,892</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48,281</w:t>
            </w:r>
          </w:p>
        </w:tc>
        <w:tc>
          <w:tcPr>
            <w:tcW w:w="0" w:type="dxa"/>
            <w:vAlign w:val="bottom"/>
          </w:tcPr>
          <w:p>
            <w:pPr>
              <w:spacing w:after="0"/>
              <w:rPr>
                <w:sz w:val="1"/>
                <w:szCs w:val="1"/>
                <w:color w:val="auto"/>
              </w:rPr>
            </w:pPr>
          </w:p>
        </w:tc>
      </w:tr>
      <w:tr>
        <w:trPr>
          <w:trHeight w:val="465"/>
        </w:trPr>
        <w:tc>
          <w:tcPr>
            <w:tcW w:w="3680" w:type="dxa"/>
            <w:vAlign w:val="bottom"/>
          </w:tcPr>
          <w:p>
            <w:pPr>
              <w:ind w:left="20"/>
              <w:spacing w:after="0"/>
              <w:rPr>
                <w:sz w:val="20"/>
                <w:szCs w:val="20"/>
                <w:color w:val="auto"/>
              </w:rPr>
            </w:pPr>
            <w:r>
              <w:rPr>
                <w:rFonts w:ascii="Arial" w:cs="Arial" w:eastAsia="Arial" w:hAnsi="Arial"/>
                <w:sz w:val="16"/>
                <w:szCs w:val="16"/>
                <w:color w:val="auto"/>
              </w:rPr>
              <w:t>Unamortized intangible assets: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680" w:type="dxa"/>
            <w:vAlign w:val="bottom"/>
          </w:tcPr>
          <w:p>
            <w:pPr>
              <w:ind w:left="140"/>
              <w:spacing w:after="0"/>
              <w:rPr>
                <w:sz w:val="20"/>
                <w:szCs w:val="20"/>
                <w:color w:val="auto"/>
              </w:rPr>
            </w:pPr>
            <w:r>
              <w:rPr>
                <w:rFonts w:ascii="Arial" w:cs="Arial" w:eastAsia="Arial" w:hAnsi="Arial"/>
                <w:sz w:val="16"/>
                <w:szCs w:val="16"/>
                <w:color w:val="auto"/>
              </w:rPr>
              <w:t>MC Goodwill</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67,672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340" w:type="dxa"/>
            <w:vAlign w:val="bottom"/>
            <w:gridSpan w:val="2"/>
          </w:tcPr>
          <w:p>
            <w:pPr>
              <w:jc w:val="right"/>
              <w:ind w:right="19"/>
              <w:spacing w:after="0"/>
              <w:rPr>
                <w:sz w:val="20"/>
                <w:szCs w:val="20"/>
                <w:color w:val="auto"/>
              </w:rPr>
            </w:pPr>
            <w:r>
              <w:rPr>
                <w:rFonts w:ascii="Arial" w:cs="Arial" w:eastAsia="Arial" w:hAnsi="Arial"/>
                <w:sz w:val="16"/>
                <w:szCs w:val="16"/>
                <w:color w:val="auto"/>
              </w:rPr>
              <w:t>— $</w:t>
            </w:r>
          </w:p>
        </w:tc>
        <w:tc>
          <w:tcPr>
            <w:tcW w:w="1080" w:type="dxa"/>
            <w:vAlign w:val="bottom"/>
          </w:tcPr>
          <w:p>
            <w:pPr>
              <w:jc w:val="right"/>
              <w:spacing w:after="0"/>
              <w:rPr>
                <w:sz w:val="20"/>
                <w:szCs w:val="20"/>
                <w:color w:val="auto"/>
              </w:rPr>
            </w:pPr>
            <w:r>
              <w:rPr>
                <w:rFonts w:ascii="Arial" w:cs="Arial" w:eastAsia="Arial" w:hAnsi="Arial"/>
                <w:sz w:val="16"/>
                <w:szCs w:val="16"/>
                <w:color w:val="auto"/>
              </w:rPr>
              <w:t>2,212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69,884</w:t>
            </w:r>
          </w:p>
        </w:tc>
        <w:tc>
          <w:tcPr>
            <w:tcW w:w="0" w:type="dxa"/>
            <w:vAlign w:val="bottom"/>
          </w:tcPr>
          <w:p>
            <w:pPr>
              <w:spacing w:after="0"/>
              <w:rPr>
                <w:sz w:val="1"/>
                <w:szCs w:val="1"/>
                <w:color w:val="auto"/>
              </w:rPr>
            </w:pPr>
          </w:p>
        </w:tc>
      </w:tr>
      <w:tr>
        <w:trPr>
          <w:trHeight w:val="244"/>
        </w:trPr>
        <w:tc>
          <w:tcPr>
            <w:tcW w:w="3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AEC Goodwill</w:t>
            </w: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113,262</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114,403</w:t>
            </w:r>
          </w:p>
        </w:tc>
        <w:tc>
          <w:tcPr>
            <w:tcW w:w="0" w:type="dxa"/>
            <w:vAlign w:val="bottom"/>
          </w:tcPr>
          <w:p>
            <w:pPr>
              <w:spacing w:after="0"/>
              <w:rPr>
                <w:sz w:val="1"/>
                <w:szCs w:val="1"/>
                <w:color w:val="auto"/>
              </w:rPr>
            </w:pPr>
          </w:p>
        </w:tc>
      </w:tr>
      <w:tr>
        <w:trPr>
          <w:trHeight w:val="23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unamortized intangible assets: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180,934</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184,287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amortization expense of intangibles for the years ending December 31, 2020 through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22028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right"/>
              <w:ind w:right="202"/>
              <w:spacing w:after="0"/>
              <w:rPr>
                <w:sz w:val="20"/>
                <w:szCs w:val="20"/>
                <w:color w:val="auto"/>
              </w:rPr>
            </w:pPr>
            <w:r>
              <w:rPr>
                <w:rFonts w:ascii="Arial" w:cs="Arial" w:eastAsia="Arial" w:hAnsi="Arial"/>
                <w:sz w:val="14"/>
                <w:szCs w:val="14"/>
                <w:b w:val="1"/>
                <w:bCs w:val="1"/>
                <w:color w:val="auto"/>
              </w:rPr>
              <w:t>Annual amortization</w:t>
            </w:r>
          </w:p>
        </w:tc>
      </w:tr>
      <w:tr>
        <w:trPr>
          <w:trHeight w:val="204"/>
        </w:trPr>
        <w:tc>
          <w:tcPr>
            <w:tcW w:w="15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Year</w:t>
            </w: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(in thousands)</w:t>
            </w:r>
          </w:p>
        </w:tc>
      </w:tr>
      <w:tr>
        <w:trPr>
          <w:trHeight w:val="205"/>
        </w:trPr>
        <w:tc>
          <w:tcPr>
            <w:tcW w:w="1540" w:type="dxa"/>
            <w:vAlign w:val="bottom"/>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7,200</w:t>
            </w:r>
          </w:p>
        </w:tc>
      </w:tr>
      <w:tr>
        <w:trPr>
          <w:trHeight w:val="216"/>
        </w:trPr>
        <w:tc>
          <w:tcPr>
            <w:tcW w:w="1540" w:type="dxa"/>
            <w:vAlign w:val="bottom"/>
          </w:tcPr>
          <w:p>
            <w:pPr>
              <w:jc w:val="right"/>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8"/>
                <w:szCs w:val="18"/>
                <w:color w:val="auto"/>
              </w:rPr>
            </w:pP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7,100</w:t>
            </w:r>
          </w:p>
        </w:tc>
      </w:tr>
      <w:tr>
        <w:trPr>
          <w:trHeight w:val="216"/>
        </w:trPr>
        <w:tc>
          <w:tcPr>
            <w:tcW w:w="1540" w:type="dxa"/>
            <w:vAlign w:val="bottom"/>
          </w:tcPr>
          <w:p>
            <w:pPr>
              <w:jc w:val="right"/>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4,900</w:t>
            </w:r>
          </w:p>
        </w:tc>
      </w:tr>
      <w:tr>
        <w:trPr>
          <w:trHeight w:val="216"/>
        </w:trPr>
        <w:tc>
          <w:tcPr>
            <w:tcW w:w="1540" w:type="dxa"/>
            <w:vAlign w:val="bottom"/>
          </w:tcPr>
          <w:p>
            <w:pPr>
              <w:jc w:val="right"/>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760" w:type="dxa"/>
            <w:vAlign w:val="bottom"/>
          </w:tcPr>
          <w:p>
            <w:pPr>
              <w:jc w:val="right"/>
              <w:ind w:right="2"/>
              <w:spacing w:after="0"/>
              <w:rPr>
                <w:sz w:val="20"/>
                <w:szCs w:val="20"/>
                <w:color w:val="auto"/>
              </w:rPr>
            </w:pPr>
            <w:r>
              <w:rPr>
                <w:rFonts w:ascii="Arial" w:cs="Arial" w:eastAsia="Arial" w:hAnsi="Arial"/>
                <w:sz w:val="16"/>
                <w:szCs w:val="16"/>
                <w:color w:val="auto"/>
              </w:rPr>
              <w:t>4,200</w:t>
            </w:r>
          </w:p>
        </w:tc>
      </w:tr>
      <w:tr>
        <w:trPr>
          <w:trHeight w:val="220"/>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4,200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principally to banks and noteholders, consists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December 31, 2019</w:t>
            </w:r>
          </w:p>
        </w:tc>
      </w:tr>
      <w:tr>
        <w:trPr>
          <w:trHeight w:val="434"/>
        </w:trPr>
        <w:tc>
          <w:tcPr>
            <w:tcW w:w="7720" w:type="dxa"/>
            <w:vAlign w:val="bottom"/>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3.17% in 2020</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6"/>
                <w:szCs w:val="16"/>
                <w:color w:val="auto"/>
              </w:rPr>
              <w:t>and 3.43% in 2019 (including the effect of interest rate hedging transactions, as described below), due</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40"/>
        </w:trPr>
        <w:tc>
          <w:tcPr>
            <w:tcW w:w="7720" w:type="dxa"/>
            <w:vAlign w:val="bottom"/>
          </w:tcPr>
          <w:p>
            <w:pPr>
              <w:ind w:left="20"/>
              <w:spacing w:after="0"/>
              <w:rPr>
                <w:sz w:val="20"/>
                <w:szCs w:val="20"/>
                <w:color w:val="auto"/>
              </w:rPr>
            </w:pPr>
            <w:r>
              <w:rPr>
                <w:rFonts w:ascii="Arial" w:cs="Arial" w:eastAsia="Arial" w:hAnsi="Arial"/>
                <w:sz w:val="16"/>
                <w:szCs w:val="16"/>
                <w:color w:val="auto"/>
              </w:rPr>
              <w:t>in 2022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418,000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424,000</w:t>
            </w:r>
          </w:p>
        </w:tc>
      </w:tr>
      <w:tr>
        <w:trPr>
          <w:trHeight w:val="192"/>
        </w:trPr>
        <w:tc>
          <w:tcPr>
            <w:tcW w:w="7720" w:type="dxa"/>
            <w:vAlign w:val="bottom"/>
          </w:tcPr>
          <w:p>
            <w:pPr>
              <w:ind w:left="20"/>
              <w:spacing w:after="0"/>
              <w:rPr>
                <w:sz w:val="20"/>
                <w:szCs w:val="20"/>
                <w:color w:val="auto"/>
              </w:rPr>
            </w:pPr>
            <w:r>
              <w:rPr>
                <w:rFonts w:ascii="Arial" w:cs="Arial" w:eastAsia="Arial" w:hAnsi="Arial"/>
                <w:sz w:val="16"/>
                <w:szCs w:val="16"/>
                <w:color w:val="auto"/>
              </w:rPr>
              <w:t>Other debt, at an average end of period rate of 5.50% in both 2020 and 2019, due in varying amounts</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4"/>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through 2021</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r>
      <w:tr>
        <w:trPr>
          <w:trHeight w:val="243"/>
        </w:trPr>
        <w:tc>
          <w:tcPr>
            <w:tcW w:w="7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418,012</w:t>
            </w:r>
          </w:p>
        </w:tc>
        <w:tc>
          <w:tcPr>
            <w:tcW w:w="160" w:type="dxa"/>
            <w:vAlign w:val="bottom"/>
          </w:tcPr>
          <w:p>
            <w:pPr>
              <w:spacing w:after="0"/>
              <w:rPr>
                <w:sz w:val="21"/>
                <w:szCs w:val="21"/>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424,029</w:t>
            </w:r>
          </w:p>
        </w:tc>
      </w:tr>
      <w:tr>
        <w:trPr>
          <w:trHeight w:val="23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w:t>
            </w: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36"/>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 net of current portion</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424,009</w:t>
            </w:r>
          </w:p>
        </w:tc>
      </w:tr>
    </w:tbl>
    <w:p>
      <w:pPr>
        <w:spacing w:after="0" w:line="315"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The Credit Agreement matures on October 27, 2024. Under the Prior Agreement, $418 million of borrowings were outstanding as of September 30, 2020. The applicable interest rate for borrowings was LIBOR plus a spread, based on our leverage ratio at the time of borrowing, with an option to borrow at base rate. At the time of the last borrowing on September 28, 2020, the spread was 1.375%. Under the Prior Agreement, the spread was based on a pricing grid, which ranged from 1.250% to 1.750% and, after giving effect to the amendments, the applicable spread under the Credit Agreement increased by 25 basis points, now ranging from 1.50% to 2.00%, in each case, based on our leverage ratio. Under the Prior Agreement, we were required to maintain a leverage ratio (as defined in the agreement) of not greater than 3.50 to 1.00 and minimum interest coverage (as defined) of 3.00 to 1.00. Under the prior agreement, our leverage ratio was 1.50 to 1.00 and our interest coverage ratio was 14.62 to 1.00 as of September 30, 2020 and, at that date, we would have been able to borrow an additional $267 million.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36"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which were fully amortized into interest expense through June 2020.</w:t>
      </w:r>
    </w:p>
    <w:p>
      <w:pPr>
        <w:spacing w:after="0" w:line="6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September 16, 2020 was 0.16%, during the swap period. On September 16, 2020, the all-in-rate on the $350 million of debt was 3.485%.</w:t>
      </w:r>
    </w:p>
    <w:p>
      <w:pPr>
        <w:spacing w:after="0" w:line="67"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16. No cash collateral was received or pledged in relation to the swap agreements.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debt covenants as of September 30, 2020.</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1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September 30, 2020, or at December 31, 2019.</w:t>
      </w:r>
    </w:p>
    <w:p>
      <w:pPr>
        <w:spacing w:after="0" w:line="6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580" w:type="dxa"/>
            <w:vAlign w:val="bottom"/>
            <w:tcBorders>
              <w:top w:val="single" w:sz="8" w:color="auto"/>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Borders>
              <w:top w:val="single" w:sz="8" w:color="auto"/>
              <w:bottom w:val="single" w:sz="8" w:color="auto"/>
            </w:tcBorders>
          </w:tcPr>
          <w:p>
            <w:pPr>
              <w:spacing w:after="0"/>
              <w:rPr>
                <w:sz w:val="17"/>
                <w:szCs w:val="17"/>
                <w:color w:val="auto"/>
              </w:rPr>
            </w:pPr>
          </w:p>
        </w:tc>
        <w:tc>
          <w:tcPr>
            <w:tcW w:w="2540" w:type="dxa"/>
            <w:vAlign w:val="bottom"/>
            <w:tcBorders>
              <w:top w:val="single" w:sz="8" w:color="auto"/>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65"/>
              <w:spacing w:after="0" w:line="142" w:lineRule="exact"/>
              <w:rPr>
                <w:sz w:val="20"/>
                <w:szCs w:val="20"/>
                <w:color w:val="auto"/>
              </w:rPr>
            </w:pPr>
            <w:r>
              <w:rPr>
                <w:rFonts w:ascii="Arial" w:cs="Arial" w:eastAsia="Arial" w:hAnsi="Arial"/>
                <w:sz w:val="14"/>
                <w:szCs w:val="14"/>
                <w:b w:val="1"/>
                <w:bCs w:val="1"/>
                <w:color w:val="auto"/>
              </w:rPr>
              <w:t>Quoted</w:t>
            </w:r>
          </w:p>
        </w:tc>
        <w:tc>
          <w:tcPr>
            <w:tcW w:w="300" w:type="dxa"/>
            <w:vAlign w:val="bottom"/>
          </w:tcPr>
          <w:p>
            <w:pPr>
              <w:spacing w:after="0"/>
              <w:rPr>
                <w:sz w:val="12"/>
                <w:szCs w:val="12"/>
                <w:color w:val="auto"/>
              </w:rPr>
            </w:pPr>
          </w:p>
        </w:tc>
        <w:tc>
          <w:tcPr>
            <w:tcW w:w="1200" w:type="dxa"/>
            <w:vAlign w:val="bottom"/>
          </w:tcPr>
          <w:p>
            <w:pPr>
              <w:jc w:val="center"/>
              <w:ind w:right="185"/>
              <w:spacing w:after="0" w:line="142" w:lineRule="exact"/>
              <w:rPr>
                <w:sz w:val="20"/>
                <w:szCs w:val="20"/>
                <w:color w:val="auto"/>
              </w:rPr>
            </w:pPr>
            <w:r>
              <w:rPr>
                <w:rFonts w:ascii="Arial" w:cs="Arial" w:eastAsia="Arial" w:hAnsi="Arial"/>
                <w:sz w:val="14"/>
                <w:szCs w:val="14"/>
                <w:b w:val="1"/>
                <w:bCs w:val="1"/>
                <w:color w:val="auto"/>
              </w:rPr>
              <w:t>Significant</w:t>
            </w:r>
          </w:p>
        </w:tc>
        <w:tc>
          <w:tcPr>
            <w:tcW w:w="280" w:type="dxa"/>
            <w:vAlign w:val="bottom"/>
          </w:tcPr>
          <w:p>
            <w:pPr>
              <w:spacing w:after="0"/>
              <w:rPr>
                <w:sz w:val="12"/>
                <w:szCs w:val="12"/>
                <w:color w:val="auto"/>
              </w:rPr>
            </w:pPr>
          </w:p>
        </w:tc>
        <w:tc>
          <w:tcPr>
            <w:tcW w:w="1100" w:type="dxa"/>
            <w:vAlign w:val="bottom"/>
          </w:tcPr>
          <w:p>
            <w:pPr>
              <w:jc w:val="center"/>
              <w:ind w:right="165"/>
              <w:spacing w:after="0" w:line="142" w:lineRule="exact"/>
              <w:rPr>
                <w:sz w:val="20"/>
                <w:szCs w:val="20"/>
                <w:color w:val="auto"/>
              </w:rPr>
            </w:pPr>
            <w:r>
              <w:rPr>
                <w:rFonts w:ascii="Arial" w:cs="Arial" w:eastAsia="Arial" w:hAnsi="Arial"/>
                <w:sz w:val="14"/>
                <w:szCs w:val="14"/>
                <w:b w:val="1"/>
                <w:bCs w:val="1"/>
                <w:color w:val="auto"/>
              </w:rPr>
              <w:t>Quoted</w:t>
            </w:r>
          </w:p>
        </w:tc>
        <w:tc>
          <w:tcPr>
            <w:tcW w:w="280" w:type="dxa"/>
            <w:vAlign w:val="bottom"/>
          </w:tcPr>
          <w:p>
            <w:pPr>
              <w:spacing w:after="0"/>
              <w:rPr>
                <w:sz w:val="12"/>
                <w:szCs w:val="12"/>
                <w:color w:val="auto"/>
              </w:rPr>
            </w:pPr>
          </w:p>
        </w:tc>
        <w:tc>
          <w:tcPr>
            <w:tcW w:w="1160" w:type="dxa"/>
            <w:vAlign w:val="bottom"/>
          </w:tcPr>
          <w:p>
            <w:pPr>
              <w:jc w:val="center"/>
              <w:ind w:right="125"/>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65"/>
              <w:spacing w:after="0" w:line="135" w:lineRule="exact"/>
              <w:rPr>
                <w:sz w:val="20"/>
                <w:szCs w:val="20"/>
                <w:color w:val="auto"/>
              </w:rPr>
            </w:pPr>
            <w:r>
              <w:rPr>
                <w:rFonts w:ascii="Arial" w:cs="Arial" w:eastAsia="Arial" w:hAnsi="Arial"/>
                <w:sz w:val="14"/>
                <w:szCs w:val="14"/>
                <w:b w:val="1"/>
                <w:bCs w:val="1"/>
                <w:color w:val="auto"/>
              </w:rPr>
              <w:t>prices in</w:t>
            </w:r>
          </w:p>
        </w:tc>
        <w:tc>
          <w:tcPr>
            <w:tcW w:w="300" w:type="dxa"/>
            <w:vAlign w:val="bottom"/>
          </w:tcPr>
          <w:p>
            <w:pPr>
              <w:spacing w:after="0"/>
              <w:rPr>
                <w:sz w:val="11"/>
                <w:szCs w:val="11"/>
                <w:color w:val="auto"/>
              </w:rPr>
            </w:pPr>
          </w:p>
        </w:tc>
        <w:tc>
          <w:tcPr>
            <w:tcW w:w="1200" w:type="dxa"/>
            <w:vAlign w:val="bottom"/>
          </w:tcPr>
          <w:p>
            <w:pPr>
              <w:jc w:val="center"/>
              <w:ind w:right="205"/>
              <w:spacing w:after="0" w:line="135"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1"/>
                <w:szCs w:val="11"/>
                <w:color w:val="auto"/>
              </w:rPr>
            </w:pPr>
          </w:p>
        </w:tc>
        <w:tc>
          <w:tcPr>
            <w:tcW w:w="1100" w:type="dxa"/>
            <w:vAlign w:val="bottom"/>
          </w:tcPr>
          <w:p>
            <w:pPr>
              <w:jc w:val="center"/>
              <w:ind w:right="165"/>
              <w:spacing w:after="0" w:line="135" w:lineRule="exact"/>
              <w:rPr>
                <w:sz w:val="20"/>
                <w:szCs w:val="20"/>
                <w:color w:val="auto"/>
              </w:rPr>
            </w:pPr>
            <w:r>
              <w:rPr>
                <w:rFonts w:ascii="Arial" w:cs="Arial" w:eastAsia="Arial" w:hAnsi="Arial"/>
                <w:sz w:val="14"/>
                <w:szCs w:val="14"/>
                <w:b w:val="1"/>
                <w:bCs w:val="1"/>
                <w:color w:val="auto"/>
              </w:rPr>
              <w:t>prices in</w:t>
            </w:r>
          </w:p>
        </w:tc>
        <w:tc>
          <w:tcPr>
            <w:tcW w:w="280" w:type="dxa"/>
            <w:vAlign w:val="bottom"/>
          </w:tcPr>
          <w:p>
            <w:pPr>
              <w:spacing w:after="0"/>
              <w:rPr>
                <w:sz w:val="11"/>
                <w:szCs w:val="11"/>
                <w:color w:val="auto"/>
              </w:rPr>
            </w:pPr>
          </w:p>
        </w:tc>
        <w:tc>
          <w:tcPr>
            <w:tcW w:w="116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65"/>
              <w:spacing w:after="0" w:line="135" w:lineRule="exact"/>
              <w:rPr>
                <w:sz w:val="20"/>
                <w:szCs w:val="20"/>
                <w:color w:val="auto"/>
              </w:rPr>
            </w:pPr>
            <w:r>
              <w:rPr>
                <w:rFonts w:ascii="Arial" w:cs="Arial" w:eastAsia="Arial" w:hAnsi="Arial"/>
                <w:sz w:val="14"/>
                <w:szCs w:val="14"/>
                <w:b w:val="1"/>
                <w:bCs w:val="1"/>
                <w:color w:val="auto"/>
              </w:rPr>
              <w:t>active</w:t>
            </w:r>
          </w:p>
        </w:tc>
        <w:tc>
          <w:tcPr>
            <w:tcW w:w="300" w:type="dxa"/>
            <w:vAlign w:val="bottom"/>
          </w:tcPr>
          <w:p>
            <w:pPr>
              <w:spacing w:after="0"/>
              <w:rPr>
                <w:sz w:val="11"/>
                <w:szCs w:val="11"/>
                <w:color w:val="auto"/>
              </w:rPr>
            </w:pPr>
          </w:p>
        </w:tc>
        <w:tc>
          <w:tcPr>
            <w:tcW w:w="1200" w:type="dxa"/>
            <w:vAlign w:val="bottom"/>
          </w:tcPr>
          <w:p>
            <w:pPr>
              <w:jc w:val="center"/>
              <w:ind w:right="205"/>
              <w:spacing w:after="0" w:line="135" w:lineRule="exact"/>
              <w:rPr>
                <w:sz w:val="20"/>
                <w:szCs w:val="20"/>
                <w:color w:val="auto"/>
              </w:rPr>
            </w:pPr>
            <w:r>
              <w:rPr>
                <w:rFonts w:ascii="Arial" w:cs="Arial" w:eastAsia="Arial" w:hAnsi="Arial"/>
                <w:sz w:val="14"/>
                <w:szCs w:val="14"/>
                <w:b w:val="1"/>
                <w:bCs w:val="1"/>
                <w:color w:val="auto"/>
              </w:rPr>
              <w:t>observable</w:t>
            </w:r>
          </w:p>
        </w:tc>
        <w:tc>
          <w:tcPr>
            <w:tcW w:w="280" w:type="dxa"/>
            <w:vAlign w:val="bottom"/>
          </w:tcPr>
          <w:p>
            <w:pPr>
              <w:spacing w:after="0"/>
              <w:rPr>
                <w:sz w:val="11"/>
                <w:szCs w:val="11"/>
                <w:color w:val="auto"/>
              </w:rPr>
            </w:pPr>
          </w:p>
        </w:tc>
        <w:tc>
          <w:tcPr>
            <w:tcW w:w="1100" w:type="dxa"/>
            <w:vAlign w:val="bottom"/>
          </w:tcPr>
          <w:p>
            <w:pPr>
              <w:jc w:val="center"/>
              <w:ind w:right="165"/>
              <w:spacing w:after="0" w:line="135" w:lineRule="exact"/>
              <w:rPr>
                <w:sz w:val="20"/>
                <w:szCs w:val="20"/>
                <w:color w:val="auto"/>
              </w:rPr>
            </w:pPr>
            <w:r>
              <w:rPr>
                <w:rFonts w:ascii="Arial" w:cs="Arial" w:eastAsia="Arial" w:hAnsi="Arial"/>
                <w:sz w:val="14"/>
                <w:szCs w:val="14"/>
                <w:b w:val="1"/>
                <w:bCs w:val="1"/>
                <w:color w:val="auto"/>
              </w:rPr>
              <w:t>active</w:t>
            </w:r>
          </w:p>
        </w:tc>
        <w:tc>
          <w:tcPr>
            <w:tcW w:w="280" w:type="dxa"/>
            <w:vAlign w:val="bottom"/>
          </w:tcPr>
          <w:p>
            <w:pPr>
              <w:spacing w:after="0"/>
              <w:rPr>
                <w:sz w:val="11"/>
                <w:szCs w:val="11"/>
                <w:color w:val="auto"/>
              </w:rPr>
            </w:pPr>
          </w:p>
        </w:tc>
        <w:tc>
          <w:tcPr>
            <w:tcW w:w="1160" w:type="dxa"/>
            <w:vAlign w:val="bottom"/>
          </w:tcPr>
          <w:p>
            <w:pPr>
              <w:jc w:val="center"/>
              <w:ind w:right="125"/>
              <w:spacing w:after="0" w:line="135" w:lineRule="exact"/>
              <w:rPr>
                <w:sz w:val="20"/>
                <w:szCs w:val="20"/>
                <w:color w:val="auto"/>
              </w:rPr>
            </w:pPr>
            <w:r>
              <w:rPr>
                <w:rFonts w:ascii="Arial" w:cs="Arial" w:eastAsia="Arial" w:hAnsi="Arial"/>
                <w:sz w:val="14"/>
                <w:szCs w:val="14"/>
                <w:b w:val="1"/>
                <w:bCs w:val="1"/>
                <w:color w:val="auto"/>
              </w:rPr>
              <w:t>observable</w:t>
            </w:r>
          </w:p>
        </w:tc>
        <w:tc>
          <w:tcPr>
            <w:tcW w:w="0" w:type="dxa"/>
            <w:vAlign w:val="bottom"/>
          </w:tcPr>
          <w:p>
            <w:pPr>
              <w:spacing w:after="0"/>
              <w:rPr>
                <w:sz w:val="1"/>
                <w:szCs w:val="1"/>
                <w:color w:val="auto"/>
              </w:rPr>
            </w:pPr>
          </w:p>
        </w:tc>
      </w:tr>
      <w:tr>
        <w:trPr>
          <w:trHeight w:val="174"/>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65"/>
              <w:spacing w:after="0"/>
              <w:rPr>
                <w:sz w:val="20"/>
                <w:szCs w:val="20"/>
                <w:color w:val="auto"/>
              </w:rPr>
            </w:pPr>
            <w:r>
              <w:rPr>
                <w:rFonts w:ascii="Arial" w:cs="Arial" w:eastAsia="Arial" w:hAnsi="Arial"/>
                <w:sz w:val="14"/>
                <w:szCs w:val="14"/>
                <w:b w:val="1"/>
                <w:bCs w:val="1"/>
                <w:color w:val="auto"/>
              </w:rPr>
              <w:t>markets</w:t>
            </w:r>
          </w:p>
        </w:tc>
        <w:tc>
          <w:tcPr>
            <w:tcW w:w="300" w:type="dxa"/>
            <w:vAlign w:val="bottom"/>
          </w:tcPr>
          <w:p>
            <w:pPr>
              <w:spacing w:after="0"/>
              <w:rPr>
                <w:sz w:val="15"/>
                <w:szCs w:val="15"/>
                <w:color w:val="auto"/>
              </w:rPr>
            </w:pPr>
          </w:p>
        </w:tc>
        <w:tc>
          <w:tcPr>
            <w:tcW w:w="1200" w:type="dxa"/>
            <w:vAlign w:val="bottom"/>
          </w:tcPr>
          <w:p>
            <w:pPr>
              <w:jc w:val="center"/>
              <w:ind w:right="185"/>
              <w:spacing w:after="0"/>
              <w:rPr>
                <w:sz w:val="20"/>
                <w:szCs w:val="20"/>
                <w:color w:val="auto"/>
              </w:rPr>
            </w:pPr>
            <w:r>
              <w:rPr>
                <w:rFonts w:ascii="Arial" w:cs="Arial" w:eastAsia="Arial" w:hAnsi="Arial"/>
                <w:sz w:val="14"/>
                <w:szCs w:val="14"/>
                <w:b w:val="1"/>
                <w:bCs w:val="1"/>
                <w:color w:val="auto"/>
                <w:w w:val="99"/>
              </w:rPr>
              <w:t>inputs</w:t>
            </w:r>
          </w:p>
        </w:tc>
        <w:tc>
          <w:tcPr>
            <w:tcW w:w="280" w:type="dxa"/>
            <w:vAlign w:val="bottom"/>
          </w:tcPr>
          <w:p>
            <w:pPr>
              <w:spacing w:after="0"/>
              <w:rPr>
                <w:sz w:val="15"/>
                <w:szCs w:val="15"/>
                <w:color w:val="auto"/>
              </w:rPr>
            </w:pPr>
          </w:p>
        </w:tc>
        <w:tc>
          <w:tcPr>
            <w:tcW w:w="1100" w:type="dxa"/>
            <w:vAlign w:val="bottom"/>
          </w:tcPr>
          <w:p>
            <w:pPr>
              <w:jc w:val="center"/>
              <w:ind w:right="165"/>
              <w:spacing w:after="0"/>
              <w:rPr>
                <w:sz w:val="20"/>
                <w:szCs w:val="20"/>
                <w:color w:val="auto"/>
              </w:rPr>
            </w:pPr>
            <w:r>
              <w:rPr>
                <w:rFonts w:ascii="Arial" w:cs="Arial" w:eastAsia="Arial" w:hAnsi="Arial"/>
                <w:sz w:val="14"/>
                <w:szCs w:val="14"/>
                <w:b w:val="1"/>
                <w:bCs w:val="1"/>
                <w:color w:val="auto"/>
              </w:rPr>
              <w:t>markets</w:t>
            </w:r>
          </w:p>
        </w:tc>
        <w:tc>
          <w:tcPr>
            <w:tcW w:w="280" w:type="dxa"/>
            <w:vAlign w:val="bottom"/>
          </w:tcPr>
          <w:p>
            <w:pPr>
              <w:spacing w:after="0"/>
              <w:rPr>
                <w:sz w:val="15"/>
                <w:szCs w:val="15"/>
                <w:color w:val="auto"/>
              </w:rPr>
            </w:pPr>
          </w:p>
        </w:tc>
        <w:tc>
          <w:tcPr>
            <w:tcW w:w="1160" w:type="dxa"/>
            <w:vAlign w:val="bottom"/>
          </w:tcPr>
          <w:p>
            <w:pPr>
              <w:jc w:val="center"/>
              <w:ind w:right="125"/>
              <w:spacing w:after="0"/>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1"/>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07"/>
        </w:trPr>
        <w:tc>
          <w:tcPr>
            <w:tcW w:w="5600" w:type="dxa"/>
            <w:vAlign w:val="bottom"/>
          </w:tcPr>
          <w:p>
            <w:pPr>
              <w:ind w:left="20"/>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00" w:type="dxa"/>
            <w:vAlign w:val="bottom"/>
          </w:tcPr>
          <w:p>
            <w:pPr>
              <w:ind w:left="120"/>
              <w:spacing w:after="0"/>
              <w:rPr>
                <w:sz w:val="20"/>
                <w:szCs w:val="20"/>
                <w:color w:val="auto"/>
              </w:rPr>
            </w:pPr>
            <w:r>
              <w:rPr>
                <w:rFonts w:ascii="Arial" w:cs="Arial" w:eastAsia="Arial" w:hAnsi="Arial"/>
                <w:sz w:val="16"/>
                <w:szCs w:val="16"/>
                <w:color w:val="auto"/>
              </w:rPr>
              <w:t>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28,705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ind w:left="8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16,375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600" w:type="dxa"/>
            <w:vAlign w:val="bottom"/>
          </w:tcPr>
          <w:p>
            <w:pPr>
              <w:ind w:left="12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00" w:type="dxa"/>
            <w:vAlign w:val="bottom"/>
          </w:tcPr>
          <w:p>
            <w:pPr>
              <w:ind w:left="120"/>
              <w:spacing w:after="0"/>
              <w:rPr>
                <w:sz w:val="20"/>
                <w:szCs w:val="20"/>
                <w:color w:val="auto"/>
              </w:rPr>
            </w:pPr>
            <w:r>
              <w:rPr>
                <w:rFonts w:ascii="Arial" w:cs="Arial" w:eastAsia="Arial" w:hAnsi="Arial"/>
                <w:sz w:val="16"/>
                <w:szCs w:val="16"/>
                <w:color w:val="auto"/>
              </w:rPr>
              <w:t>Common stock of unaffiliated foreign public company (a)</w:t>
            </w:r>
          </w:p>
        </w:tc>
        <w:tc>
          <w:tcPr>
            <w:tcW w:w="220" w:type="dxa"/>
            <w:vAlign w:val="bottom"/>
          </w:tcPr>
          <w:p>
            <w:pPr>
              <w:spacing w:after="0"/>
              <w:rPr>
                <w:sz w:val="18"/>
                <w:szCs w:val="18"/>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872</w:t>
            </w:r>
          </w:p>
        </w:tc>
        <w:tc>
          <w:tcPr>
            <w:tcW w:w="300" w:type="dxa"/>
            <w:vAlign w:val="bottom"/>
          </w:tcPr>
          <w:p>
            <w:pPr>
              <w:spacing w:after="0"/>
              <w:rPr>
                <w:sz w:val="18"/>
                <w:szCs w:val="18"/>
                <w:color w:val="auto"/>
              </w:rPr>
            </w:pPr>
          </w:p>
        </w:tc>
        <w:tc>
          <w:tcPr>
            <w:tcW w:w="1200" w:type="dxa"/>
            <w:vAlign w:val="bottom"/>
          </w:tcPr>
          <w:p>
            <w:pPr>
              <w:ind w:left="8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839</w:t>
            </w:r>
          </w:p>
        </w:tc>
        <w:tc>
          <w:tcPr>
            <w:tcW w:w="28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ind w:left="120"/>
              <w:spacing w:after="0"/>
              <w:rPr>
                <w:sz w:val="20"/>
                <w:szCs w:val="20"/>
                <w:color w:val="auto"/>
              </w:rPr>
            </w:pPr>
            <w:r>
              <w:rPr>
                <w:rFonts w:ascii="Arial" w:cs="Arial" w:eastAsia="Arial" w:hAnsi="Arial"/>
                <w:sz w:val="16"/>
                <w:szCs w:val="16"/>
                <w:i w:val="1"/>
                <w:iCs w:val="1"/>
                <w:color w:val="auto"/>
              </w:rPr>
              <w:t>Other noncurrent liabilities: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restart"/>
          </w:tcPr>
          <w:p>
            <w:pPr>
              <w:ind w:left="460"/>
              <w:spacing w:after="0"/>
              <w:rPr>
                <w:sz w:val="20"/>
                <w:szCs w:val="20"/>
                <w:color w:val="auto"/>
              </w:rPr>
            </w:pPr>
            <w:r>
              <w:rPr>
                <w:rFonts w:ascii="Arial" w:cs="Arial" w:eastAsia="Arial" w:hAnsi="Arial"/>
                <w:sz w:val="16"/>
                <w:szCs w:val="16"/>
                <w:color w:val="auto"/>
              </w:rPr>
              <w:t>(14,357)ᵇ</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restart"/>
          </w:tcPr>
          <w:p>
            <w:pPr>
              <w:ind w:left="560"/>
              <w:spacing w:after="0"/>
              <w:rPr>
                <w:sz w:val="20"/>
                <w:szCs w:val="20"/>
                <w:color w:val="auto"/>
              </w:rPr>
            </w:pPr>
            <w:r>
              <w:rPr>
                <w:rFonts w:ascii="Arial" w:cs="Arial" w:eastAsia="Arial" w:hAnsi="Arial"/>
                <w:sz w:val="16"/>
                <w:szCs w:val="16"/>
                <w:color w:val="auto"/>
              </w:rPr>
              <w:t>(5,518)ᶜ</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Interest rate swaps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Original cost basis $0.5 million.</w:t>
      </w:r>
    </w:p>
    <w:p>
      <w:pPr>
        <w:spacing w:after="0" w:line="31"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$1.2 million receivable floating leg and $15.6 million liability fixed leg.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of $15.2 million receivable floating leg and $20.7 million liability fixed leg.</w:t>
      </w:r>
    </w:p>
    <w:p>
      <w:pPr>
        <w:spacing w:after="0" w:line="360"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3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55"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67"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cash, intercompany (recorded in Other (income)/expense, net) or third-party trade (recorded in selling, general and administrative expenses) receivable or payable balances in a currency other than their local reporting (or functional) currency.</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September 30, 2020,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(income)/expense related to payments under the active swap agreements totaled $3.7 million for the nine month period ended September 30, 2020, and $(0.8) million for the nine month period ended September 30, 2019. Additionally, non-cash interest income related to the amortization of swap buyouts totaled $0.9 million for the nine month period ended September 30, 2020 and $0.3 million for the nine month period ended September 30, 2019.</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00" w:type="dxa"/>
            <w:vAlign w:val="bottom"/>
            <w:tcBorders>
              <w:top w:val="single" w:sz="8" w:color="auto"/>
            </w:tcBorders>
          </w:tcPr>
          <w:p>
            <w:pPr>
              <w:spacing w:after="0"/>
              <w:rPr>
                <w:sz w:val="17"/>
                <w:szCs w:val="17"/>
                <w:color w:val="auto"/>
              </w:rPr>
            </w:pPr>
          </w:p>
        </w:tc>
        <w:tc>
          <w:tcPr>
            <w:tcW w:w="2700" w:type="dxa"/>
            <w:vAlign w:val="bottom"/>
            <w:tcBorders>
              <w:top w:val="single" w:sz="8" w:color="auto"/>
              <w:bottom w:val="single" w:sz="8" w:color="auto"/>
            </w:tcBorders>
            <w:gridSpan w:val="5"/>
          </w:tcPr>
          <w:p>
            <w:pPr>
              <w:jc w:val="right"/>
              <w:ind w:right="64"/>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4"/>
          </w:tcPr>
          <w:p>
            <w:pPr>
              <w:jc w:val="right"/>
              <w:ind w:right="124"/>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5"/>
        </w:trPr>
        <w:tc>
          <w:tcPr>
            <w:tcW w:w="510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940" w:type="dxa"/>
            <w:vAlign w:val="bottom"/>
            <w:vMerge w:val="restart"/>
          </w:tcPr>
          <w:p>
            <w:pPr>
              <w:jc w:val="right"/>
              <w:ind w:right="765"/>
              <w:spacing w:after="0"/>
              <w:rPr>
                <w:sz w:val="20"/>
                <w:szCs w:val="20"/>
                <w:color w:val="auto"/>
              </w:rPr>
            </w:pPr>
            <w:r>
              <w:rPr>
                <w:rFonts w:ascii="Arial" w:cs="Arial" w:eastAsia="Arial" w:hAnsi="Arial"/>
                <w:sz w:val="16"/>
                <w:szCs w:val="16"/>
                <w:b w:val="1"/>
                <w:bCs w:val="1"/>
                <w:color w:val="auto"/>
                <w:w w:val="89"/>
              </w:rPr>
              <w:t>$</w:t>
            </w:r>
          </w:p>
        </w:tc>
        <w:tc>
          <w:tcPr>
            <w:tcW w:w="76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240" w:type="dxa"/>
            <w:vAlign w:val="bottom"/>
            <w:gridSpan w:val="3"/>
            <w:vMerge w:val="restart"/>
          </w:tcPr>
          <w:p>
            <w:pPr>
              <w:ind w:left="7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00" w:type="dxa"/>
            <w:vAlign w:val="bottom"/>
          </w:tcPr>
          <w:p>
            <w:pPr>
              <w:ind w:left="20"/>
              <w:spacing w:after="0"/>
              <w:rPr>
                <w:sz w:val="20"/>
                <w:szCs w:val="20"/>
                <w:color w:val="auto"/>
              </w:rPr>
            </w:pPr>
            <w:r>
              <w:rPr>
                <w:rFonts w:ascii="Arial" w:cs="Arial" w:eastAsia="Arial" w:hAnsi="Arial"/>
                <w:sz w:val="16"/>
                <w:szCs w:val="16"/>
                <w:color w:val="auto"/>
              </w:rPr>
              <w:t>Foreign currency options gains/(losses)</w:t>
            </w:r>
          </w:p>
        </w:tc>
        <w:tc>
          <w:tcPr>
            <w:tcW w:w="940" w:type="dxa"/>
            <w:vAlign w:val="bottom"/>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9560" w:firstLine="8"/>
        <w:spacing w:after="0" w:line="426" w:lineRule="auto"/>
        <w:tabs>
          <w:tab w:leader="none" w:pos="3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3,616 claims as of September 30, 2020.</w:t>
      </w:r>
    </w:p>
    <w:p>
      <w:pPr>
        <w:spacing w:after="0" w:line="11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062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Claims</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3060" w:type="dxa"/>
            <w:vAlign w:val="bottom"/>
          </w:tcPr>
          <w:p>
            <w:pPr>
              <w:spacing w:after="0"/>
              <w:rPr>
                <w:sz w:val="14"/>
                <w:szCs w:val="14"/>
                <w:color w:val="auto"/>
              </w:rPr>
            </w:pPr>
          </w:p>
        </w:tc>
        <w:tc>
          <w:tcPr>
            <w:tcW w:w="2280" w:type="dxa"/>
            <w:vAlign w:val="bottom"/>
          </w:tcPr>
          <w:p>
            <w:pPr>
              <w:jc w:val="center"/>
              <w:ind w:left="422"/>
              <w:spacing w:after="0"/>
              <w:rPr>
                <w:sz w:val="20"/>
                <w:szCs w:val="20"/>
                <w:color w:val="auto"/>
              </w:rPr>
            </w:pPr>
            <w:r>
              <w:rPr>
                <w:rFonts w:ascii="Arial" w:cs="Arial" w:eastAsia="Arial" w:hAnsi="Arial"/>
                <w:sz w:val="14"/>
                <w:szCs w:val="14"/>
                <w:b w:val="1"/>
                <w:bCs w:val="1"/>
                <w:color w:val="auto"/>
              </w:rPr>
              <w:t>Opening</w:t>
            </w: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Dismissed,</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rPr>
              <w:t>Closing</w:t>
            </w:r>
          </w:p>
        </w:tc>
        <w:tc>
          <w:tcPr>
            <w:tcW w:w="200" w:type="dxa"/>
            <w:vAlign w:val="bottom"/>
          </w:tcPr>
          <w:p>
            <w:pPr>
              <w:spacing w:after="0"/>
              <w:rPr>
                <w:sz w:val="14"/>
                <w:szCs w:val="14"/>
                <w:color w:val="auto"/>
              </w:rPr>
            </w:pPr>
          </w:p>
        </w:tc>
        <w:tc>
          <w:tcPr>
            <w:tcW w:w="1340" w:type="dxa"/>
            <w:vAlign w:val="bottom"/>
          </w:tcPr>
          <w:p>
            <w:pPr>
              <w:jc w:val="center"/>
              <w:ind w:right="103"/>
              <w:spacing w:after="0"/>
              <w:rPr>
                <w:sz w:val="20"/>
                <w:szCs w:val="20"/>
                <w:color w:val="auto"/>
              </w:rPr>
            </w:pPr>
            <w:r>
              <w:rPr>
                <w:rFonts w:ascii="Arial" w:cs="Arial" w:eastAsia="Arial" w:hAnsi="Arial"/>
                <w:sz w:val="14"/>
                <w:szCs w:val="14"/>
                <w:b w:val="1"/>
                <w:bCs w:val="1"/>
                <w:color w:val="auto"/>
              </w:rPr>
              <w:t>(thousands) to</w:t>
            </w:r>
          </w:p>
        </w:tc>
      </w:tr>
      <w:tr>
        <w:trPr>
          <w:trHeight w:val="162"/>
        </w:trPr>
        <w:tc>
          <w:tcPr>
            <w:tcW w:w="3060" w:type="dxa"/>
            <w:vAlign w:val="bottom"/>
          </w:tcPr>
          <w:p>
            <w:pPr>
              <w:spacing w:after="0"/>
              <w:rPr>
                <w:sz w:val="14"/>
                <w:szCs w:val="14"/>
                <w:color w:val="auto"/>
              </w:rPr>
            </w:pPr>
          </w:p>
        </w:tc>
        <w:tc>
          <w:tcPr>
            <w:tcW w:w="2280" w:type="dxa"/>
            <w:vAlign w:val="bottom"/>
          </w:tcPr>
          <w:p>
            <w:pPr>
              <w:jc w:val="center"/>
              <w:ind w:left="402"/>
              <w:spacing w:after="0"/>
              <w:rPr>
                <w:sz w:val="20"/>
                <w:szCs w:val="20"/>
                <w:color w:val="auto"/>
              </w:rPr>
            </w:pPr>
            <w:r>
              <w:rPr>
                <w:rFonts w:ascii="Arial" w:cs="Arial" w:eastAsia="Arial" w:hAnsi="Arial"/>
                <w:sz w:val="14"/>
                <w:szCs w:val="14"/>
                <w:b w:val="1"/>
                <w:bCs w:val="1"/>
                <w:color w:val="auto"/>
              </w:rPr>
              <w:t>Number of</w:t>
            </w:r>
          </w:p>
        </w:tc>
        <w:tc>
          <w:tcPr>
            <w:tcW w:w="1000" w:type="dxa"/>
            <w:vAlign w:val="bottom"/>
          </w:tcPr>
          <w:p>
            <w:pPr>
              <w:jc w:val="center"/>
              <w:ind w:left="128"/>
              <w:spacing w:after="0"/>
              <w:rPr>
                <w:sz w:val="20"/>
                <w:szCs w:val="20"/>
                <w:color w:val="auto"/>
              </w:rPr>
            </w:pPr>
            <w:r>
              <w:rPr>
                <w:rFonts w:ascii="Arial" w:cs="Arial" w:eastAsia="Arial" w:hAnsi="Arial"/>
                <w:sz w:val="14"/>
                <w:szCs w:val="14"/>
                <w:b w:val="1"/>
                <w:bCs w:val="1"/>
                <w:color w:val="auto"/>
              </w:rPr>
              <w:t>Settled, or</w:t>
            </w: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tcPr>
          <w:p>
            <w:pPr>
              <w:jc w:val="center"/>
              <w:ind w:right="42"/>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40" w:type="dxa"/>
            <w:vAlign w:val="bottom"/>
          </w:tcPr>
          <w:p>
            <w:pPr>
              <w:jc w:val="center"/>
              <w:ind w:right="83"/>
              <w:spacing w:after="0"/>
              <w:rPr>
                <w:sz w:val="20"/>
                <w:szCs w:val="20"/>
                <w:color w:val="auto"/>
              </w:rPr>
            </w:pPr>
            <w:r>
              <w:rPr>
                <w:rFonts w:ascii="Arial" w:cs="Arial" w:eastAsia="Arial" w:hAnsi="Arial"/>
                <w:sz w:val="14"/>
                <w:szCs w:val="14"/>
                <w:b w:val="1"/>
                <w:bCs w:val="1"/>
                <w:color w:val="auto"/>
              </w:rPr>
              <w:t>Settle or</w:t>
            </w:r>
          </w:p>
        </w:tc>
      </w:tr>
      <w:tr>
        <w:trPr>
          <w:trHeight w:val="204"/>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280" w:type="dxa"/>
            <w:vAlign w:val="bottom"/>
            <w:tcBorders>
              <w:bottom w:val="single" w:sz="8" w:color="auto"/>
            </w:tcBorders>
          </w:tcPr>
          <w:p>
            <w:pPr>
              <w:jc w:val="center"/>
              <w:ind w:left="402"/>
              <w:spacing w:after="0"/>
              <w:rPr>
                <w:sz w:val="20"/>
                <w:szCs w:val="20"/>
                <w:color w:val="auto"/>
              </w:rPr>
            </w:pPr>
            <w:r>
              <w:rPr>
                <w:rFonts w:ascii="Arial" w:cs="Arial" w:eastAsia="Arial" w:hAnsi="Arial"/>
                <w:sz w:val="14"/>
                <w:szCs w:val="14"/>
                <w:b w:val="1"/>
                <w:bCs w:val="1"/>
                <w:color w:val="auto"/>
              </w:rPr>
              <w:t>Claims</w:t>
            </w:r>
          </w:p>
        </w:tc>
        <w:tc>
          <w:tcPr>
            <w:tcW w:w="10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Resolved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New Claims</w:t>
            </w: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Claims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Resolve</w:t>
            </w:r>
          </w:p>
        </w:tc>
      </w:tr>
      <w:tr>
        <w:trPr>
          <w:trHeight w:val="205"/>
        </w:trPr>
        <w:tc>
          <w:tcPr>
            <w:tcW w:w="3060" w:type="dxa"/>
            <w:vAlign w:val="bottom"/>
          </w:tcPr>
          <w:p>
            <w:pPr>
              <w:ind w:left="20"/>
              <w:spacing w:after="0"/>
              <w:rPr>
                <w:sz w:val="20"/>
                <w:szCs w:val="20"/>
                <w:color w:val="auto"/>
              </w:rPr>
            </w:pPr>
            <w:r>
              <w:rPr>
                <w:rFonts w:ascii="Arial" w:cs="Arial" w:eastAsia="Arial" w:hAnsi="Arial"/>
                <w:sz w:val="16"/>
                <w:szCs w:val="16"/>
                <w:color w:val="auto"/>
              </w:rPr>
              <w:t>2015</w:t>
            </w:r>
          </w:p>
        </w:tc>
        <w:tc>
          <w:tcPr>
            <w:tcW w:w="2280" w:type="dxa"/>
            <w:vAlign w:val="bottom"/>
          </w:tcPr>
          <w:p>
            <w:pPr>
              <w:jc w:val="right"/>
              <w:ind w:right="142"/>
              <w:spacing w:after="0"/>
              <w:rPr>
                <w:sz w:val="20"/>
                <w:szCs w:val="20"/>
                <w:color w:val="auto"/>
              </w:rPr>
            </w:pPr>
            <w:r>
              <w:rPr>
                <w:rFonts w:ascii="Arial" w:cs="Arial" w:eastAsia="Arial" w:hAnsi="Arial"/>
                <w:sz w:val="16"/>
                <w:szCs w:val="16"/>
                <w:color w:val="auto"/>
              </w:rPr>
              <w:t>3,821</w:t>
            </w:r>
          </w:p>
        </w:tc>
        <w:tc>
          <w:tcPr>
            <w:tcW w:w="1000" w:type="dxa"/>
            <w:vAlign w:val="bottom"/>
          </w:tcPr>
          <w:p>
            <w:pPr>
              <w:spacing w:after="0"/>
              <w:rPr>
                <w:sz w:val="17"/>
                <w:szCs w:val="17"/>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w w:val="97"/>
              </w:rPr>
              <w:t>116</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86</w:t>
            </w:r>
          </w:p>
        </w:tc>
        <w:tc>
          <w:tcPr>
            <w:tcW w:w="1320" w:type="dxa"/>
            <w:vAlign w:val="bottom"/>
          </w:tcPr>
          <w:p>
            <w:pPr>
              <w:jc w:val="right"/>
              <w:spacing w:after="0"/>
              <w:rPr>
                <w:sz w:val="20"/>
                <w:szCs w:val="20"/>
                <w:color w:val="auto"/>
              </w:rPr>
            </w:pPr>
            <w:r>
              <w:rPr>
                <w:rFonts w:ascii="Arial" w:cs="Arial" w:eastAsia="Arial" w:hAnsi="Arial"/>
                <w:sz w:val="16"/>
                <w:szCs w:val="16"/>
                <w:color w:val="auto"/>
              </w:rPr>
              <w:t>3,791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164</w:t>
            </w: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2016</w:t>
            </w:r>
          </w:p>
        </w:tc>
        <w:tc>
          <w:tcPr>
            <w:tcW w:w="2280" w:type="dxa"/>
            <w:vAlign w:val="bottom"/>
          </w:tcPr>
          <w:p>
            <w:pPr>
              <w:jc w:val="right"/>
              <w:ind w:right="142"/>
              <w:spacing w:after="0"/>
              <w:rPr>
                <w:sz w:val="20"/>
                <w:szCs w:val="20"/>
                <w:color w:val="auto"/>
              </w:rPr>
            </w:pPr>
            <w:r>
              <w:rPr>
                <w:rFonts w:ascii="Arial" w:cs="Arial" w:eastAsia="Arial" w:hAnsi="Arial"/>
                <w:sz w:val="16"/>
                <w:szCs w:val="16"/>
                <w:color w:val="auto"/>
              </w:rPr>
              <w:t>3,791</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w w:val="97"/>
              </w:rPr>
              <w:t>148</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w w:val="97"/>
              </w:rPr>
              <w:t>102</w:t>
            </w:r>
          </w:p>
        </w:tc>
        <w:tc>
          <w:tcPr>
            <w:tcW w:w="1320" w:type="dxa"/>
            <w:vAlign w:val="bottom"/>
          </w:tcPr>
          <w:p>
            <w:pPr>
              <w:jc w:val="right"/>
              <w:spacing w:after="0"/>
              <w:rPr>
                <w:sz w:val="20"/>
                <w:szCs w:val="20"/>
                <w:color w:val="auto"/>
              </w:rPr>
            </w:pPr>
            <w:r>
              <w:rPr>
                <w:rFonts w:ascii="Arial" w:cs="Arial" w:eastAsia="Arial" w:hAnsi="Arial"/>
                <w:sz w:val="16"/>
                <w:szCs w:val="16"/>
                <w:color w:val="auto"/>
              </w:rPr>
              <w:t>3,745</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758</w:t>
            </w: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2017</w:t>
            </w:r>
          </w:p>
        </w:tc>
        <w:tc>
          <w:tcPr>
            <w:tcW w:w="2280" w:type="dxa"/>
            <w:vAlign w:val="bottom"/>
          </w:tcPr>
          <w:p>
            <w:pPr>
              <w:jc w:val="right"/>
              <w:ind w:right="142"/>
              <w:spacing w:after="0"/>
              <w:rPr>
                <w:sz w:val="20"/>
                <w:szCs w:val="20"/>
                <w:color w:val="auto"/>
              </w:rPr>
            </w:pPr>
            <w:r>
              <w:rPr>
                <w:rFonts w:ascii="Arial" w:cs="Arial" w:eastAsia="Arial" w:hAnsi="Arial"/>
                <w:sz w:val="16"/>
                <w:szCs w:val="16"/>
                <w:color w:val="auto"/>
              </w:rPr>
              <w:t>3,745</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w w:val="97"/>
              </w:rPr>
              <w:t>105</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1320" w:type="dxa"/>
            <w:vAlign w:val="bottom"/>
          </w:tcPr>
          <w:p>
            <w:pPr>
              <w:jc w:val="right"/>
              <w:spacing w:after="0"/>
              <w:rPr>
                <w:sz w:val="20"/>
                <w:szCs w:val="20"/>
                <w:color w:val="auto"/>
              </w:rPr>
            </w:pPr>
            <w:r>
              <w:rPr>
                <w:rFonts w:ascii="Arial" w:cs="Arial" w:eastAsia="Arial" w:hAnsi="Arial"/>
                <w:sz w:val="16"/>
                <w:szCs w:val="16"/>
                <w:color w:val="auto"/>
              </w:rPr>
              <w:t>3,730</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55</w:t>
            </w: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color w:val="auto"/>
              </w:rPr>
              <w:t>2018</w:t>
            </w:r>
          </w:p>
        </w:tc>
        <w:tc>
          <w:tcPr>
            <w:tcW w:w="2280" w:type="dxa"/>
            <w:vAlign w:val="bottom"/>
          </w:tcPr>
          <w:p>
            <w:pPr>
              <w:jc w:val="right"/>
              <w:ind w:right="142"/>
              <w:spacing w:after="0"/>
              <w:rPr>
                <w:sz w:val="20"/>
                <w:szCs w:val="20"/>
                <w:color w:val="auto"/>
              </w:rPr>
            </w:pPr>
            <w:r>
              <w:rPr>
                <w:rFonts w:ascii="Arial" w:cs="Arial" w:eastAsia="Arial" w:hAnsi="Arial"/>
                <w:sz w:val="16"/>
                <w:szCs w:val="16"/>
                <w:color w:val="auto"/>
              </w:rPr>
              <w:t>3,730</w:t>
            </w:r>
          </w:p>
        </w:tc>
        <w:tc>
          <w:tcPr>
            <w:tcW w:w="1000" w:type="dxa"/>
            <w:vAlign w:val="bottom"/>
          </w:tcPr>
          <w:p>
            <w:pPr>
              <w:spacing w:after="0"/>
              <w:rPr>
                <w:sz w:val="18"/>
                <w:szCs w:val="18"/>
                <w:color w:val="auto"/>
              </w:rPr>
            </w:pPr>
          </w:p>
        </w:tc>
        <w:tc>
          <w:tcPr>
            <w:tcW w:w="1500" w:type="dxa"/>
            <w:vAlign w:val="bottom"/>
          </w:tcPr>
          <w:p>
            <w:pPr>
              <w:jc w:val="right"/>
              <w:ind w:right="1140"/>
              <w:spacing w:after="0"/>
              <w:rPr>
                <w:sz w:val="20"/>
                <w:szCs w:val="20"/>
                <w:color w:val="auto"/>
              </w:rPr>
            </w:pPr>
            <w:r>
              <w:rPr>
                <w:rFonts w:ascii="Arial" w:cs="Arial" w:eastAsia="Arial" w:hAnsi="Arial"/>
                <w:sz w:val="16"/>
                <w:szCs w:val="16"/>
                <w:color w:val="auto"/>
                <w:w w:val="97"/>
              </w:rPr>
              <w:t>152</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w w:val="97"/>
              </w:rPr>
              <w:t>106</w:t>
            </w:r>
          </w:p>
        </w:tc>
        <w:tc>
          <w:tcPr>
            <w:tcW w:w="1320" w:type="dxa"/>
            <w:vAlign w:val="bottom"/>
          </w:tcPr>
          <w:p>
            <w:pPr>
              <w:jc w:val="right"/>
              <w:spacing w:after="0"/>
              <w:rPr>
                <w:sz w:val="20"/>
                <w:szCs w:val="20"/>
                <w:color w:val="auto"/>
              </w:rPr>
            </w:pPr>
            <w:r>
              <w:rPr>
                <w:rFonts w:ascii="Arial" w:cs="Arial" w:eastAsia="Arial" w:hAnsi="Arial"/>
                <w:sz w:val="16"/>
                <w:szCs w:val="16"/>
                <w:color w:val="auto"/>
              </w:rPr>
              <w:t>3,684</w:t>
            </w:r>
          </w:p>
        </w:tc>
        <w:tc>
          <w:tcPr>
            <w:tcW w:w="200" w:type="dxa"/>
            <w:vAlign w:val="bottom"/>
          </w:tcPr>
          <w:p>
            <w:pPr>
              <w:spacing w:after="0"/>
              <w:rPr>
                <w:sz w:val="18"/>
                <w:szCs w:val="18"/>
                <w:color w:val="auto"/>
              </w:rPr>
            </w:pP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100</w:t>
            </w:r>
          </w:p>
        </w:tc>
      </w:tr>
      <w:tr>
        <w:trPr>
          <w:trHeight w:val="22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2019</w:t>
            </w:r>
          </w:p>
        </w:tc>
        <w:tc>
          <w:tcPr>
            <w:tcW w:w="2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3,684</w:t>
            </w:r>
          </w:p>
        </w:tc>
        <w:tc>
          <w:tcPr>
            <w:tcW w:w="1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40"/>
              <w:spacing w:after="0"/>
              <w:rPr>
                <w:sz w:val="20"/>
                <w:szCs w:val="20"/>
                <w:color w:val="auto"/>
              </w:rPr>
            </w:pPr>
            <w:r>
              <w:rPr>
                <w:rFonts w:ascii="Arial" w:cs="Arial" w:eastAsia="Arial" w:hAnsi="Arial"/>
                <w:sz w:val="16"/>
                <w:szCs w:val="16"/>
                <w:color w:val="auto"/>
              </w:rPr>
              <w:t>51</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w:t>
            </w:r>
          </w:p>
        </w:tc>
      </w:tr>
      <w:tr>
        <w:trPr>
          <w:trHeight w:val="21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 (As of September 30)</w:t>
            </w:r>
          </w:p>
        </w:tc>
        <w:tc>
          <w:tcPr>
            <w:tcW w:w="22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3,708</w:t>
            </w:r>
          </w:p>
        </w:tc>
        <w:tc>
          <w:tcPr>
            <w:tcW w:w="10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40"/>
              <w:spacing w:after="0"/>
              <w:rPr>
                <w:sz w:val="20"/>
                <w:szCs w:val="20"/>
                <w:color w:val="auto"/>
              </w:rPr>
            </w:pPr>
            <w:r>
              <w:rPr>
                <w:rFonts w:ascii="Arial" w:cs="Arial" w:eastAsia="Arial" w:hAnsi="Arial"/>
                <w:sz w:val="16"/>
                <w:szCs w:val="16"/>
                <w:b w:val="1"/>
                <w:bCs w:val="1"/>
                <w:color w:val="auto"/>
                <w:w w:val="97"/>
              </w:rPr>
              <w:t>133</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57</w:t>
            </w: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6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September 30, 2020, we had resolved, by means of settlement or dismissal, 37,930 claims. The total cost of resolving all claims was $10.4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7,710 claims as of September 30, 2020, only twelve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6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69"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2019 to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20" w:type="dxa"/>
            <w:vAlign w:val="bottom"/>
          </w:tcPr>
          <w:p>
            <w:pPr>
              <w:spacing w:after="0"/>
              <w:rPr>
                <w:sz w:val="10"/>
                <w:szCs w:val="10"/>
                <w:color w:val="auto"/>
              </w:rPr>
            </w:pPr>
          </w:p>
        </w:tc>
        <w:tc>
          <w:tcPr>
            <w:tcW w:w="1440" w:type="dxa"/>
            <w:vAlign w:val="bottom"/>
            <w:gridSpan w:val="3"/>
          </w:tcPr>
          <w:p>
            <w:pPr>
              <w:jc w:val="right"/>
              <w:ind w:right="506"/>
              <w:spacing w:after="0"/>
              <w:rPr>
                <w:sz w:val="20"/>
                <w:szCs w:val="20"/>
                <w:color w:val="auto"/>
              </w:rPr>
            </w:pPr>
            <w:r>
              <w:rPr>
                <w:rFonts w:ascii="Arial" w:cs="Arial" w:eastAsia="Arial" w:hAnsi="Arial"/>
                <w:sz w:val="11"/>
                <w:szCs w:val="11"/>
                <w:b w:val="1"/>
                <w:bCs w:val="1"/>
                <w:color w:val="auto"/>
              </w:rPr>
              <w:t>Class A</w:t>
            </w:r>
          </w:p>
        </w:tc>
        <w:tc>
          <w:tcPr>
            <w:tcW w:w="132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Class B</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Class A</w:t>
            </w: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306"/>
              <w:spacing w:after="0"/>
              <w:rPr>
                <w:sz w:val="20"/>
                <w:szCs w:val="20"/>
                <w:color w:val="auto"/>
              </w:rPr>
            </w:pPr>
            <w:r>
              <w:rPr>
                <w:rFonts w:ascii="Arial" w:cs="Arial" w:eastAsia="Arial" w:hAnsi="Arial"/>
                <w:sz w:val="11"/>
                <w:szCs w:val="11"/>
                <w:b w:val="1"/>
                <w:bCs w:val="1"/>
                <w:color w:val="auto"/>
              </w:rPr>
              <w:t>Common Stock</w:t>
            </w:r>
          </w:p>
        </w:tc>
        <w:tc>
          <w:tcPr>
            <w:tcW w:w="1320" w:type="dxa"/>
            <w:vAlign w:val="bottom"/>
            <w:tcBorders>
              <w:bottom w:val="single" w:sz="8" w:color="auto"/>
            </w:tcBorders>
            <w:gridSpan w:val="3"/>
          </w:tcPr>
          <w:p>
            <w:pPr>
              <w:jc w:val="right"/>
              <w:ind w:right="246"/>
              <w:spacing w:after="0"/>
              <w:rPr>
                <w:sz w:val="20"/>
                <w:szCs w:val="20"/>
                <w:color w:val="auto"/>
              </w:rPr>
            </w:pPr>
            <w:r>
              <w:rPr>
                <w:rFonts w:ascii="Arial" w:cs="Arial" w:eastAsia="Arial" w:hAnsi="Arial"/>
                <w:sz w:val="11"/>
                <w:szCs w:val="11"/>
                <w:b w:val="1"/>
                <w:bCs w:val="1"/>
                <w:color w:val="auto"/>
              </w:rPr>
              <w:t>Common Stock</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Accumulated items of</w:t>
            </w: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8"/>
              </w:rPr>
              <w:t>Treasury Stock</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Additional paid-</w:t>
            </w: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19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6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9"/>
                <w:szCs w:val="9"/>
                <w:color w:val="auto"/>
              </w:rPr>
            </w:pPr>
          </w:p>
        </w:tc>
        <w:tc>
          <w:tcPr>
            <w:tcW w:w="64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9"/>
                <w:szCs w:val="9"/>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8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other</w:t>
            </w:r>
          </w:p>
        </w:tc>
        <w:tc>
          <w:tcPr>
            <w:tcW w:w="760" w:type="dxa"/>
            <w:vAlign w:val="bottom"/>
          </w:tcPr>
          <w:p>
            <w:pPr>
              <w:spacing w:after="0"/>
              <w:rPr>
                <w:sz w:val="9"/>
                <w:szCs w:val="9"/>
                <w:color w:val="auto"/>
              </w:rPr>
            </w:pPr>
          </w:p>
        </w:tc>
        <w:tc>
          <w:tcPr>
            <w:tcW w:w="6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9"/>
                <w:szCs w:val="9"/>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20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Noncontrolling Interest Total Equity</w:t>
            </w:r>
          </w:p>
        </w:tc>
        <w:tc>
          <w:tcPr>
            <w:tcW w:w="0" w:type="dxa"/>
            <w:vAlign w:val="bottom"/>
          </w:tcPr>
          <w:p>
            <w:pPr>
              <w:spacing w:after="0"/>
              <w:rPr>
                <w:sz w:val="1"/>
                <w:szCs w:val="1"/>
                <w:color w:val="auto"/>
              </w:rPr>
            </w:pPr>
          </w:p>
        </w:tc>
      </w:tr>
      <w:tr>
        <w:trPr>
          <w:trHeight w:val="157"/>
        </w:trPr>
        <w:tc>
          <w:tcPr>
            <w:tcW w:w="192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in capital</w:t>
            </w:r>
          </w:p>
        </w:tc>
        <w:tc>
          <w:tcPr>
            <w:tcW w:w="230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Retained earnings comprehensive income</w:t>
            </w:r>
          </w:p>
        </w:tc>
        <w:tc>
          <w:tcPr>
            <w:tcW w:w="60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December 31, 2019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39,099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432,518</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698,496</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(175,981)</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8,409</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(256,391)</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4,006</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702,689</w:t>
            </w:r>
          </w:p>
        </w:tc>
        <w:tc>
          <w:tcPr>
            <w:tcW w:w="0" w:type="dxa"/>
            <w:vAlign w:val="bottom"/>
          </w:tcPr>
          <w:p>
            <w:pPr>
              <w:spacing w:after="0"/>
              <w:rPr>
                <w:sz w:val="1"/>
                <w:szCs w:val="1"/>
                <w:color w:val="auto"/>
              </w:rPr>
            </w:pPr>
          </w:p>
        </w:tc>
      </w:tr>
      <w:tr>
        <w:trPr>
          <w:trHeight w:val="144"/>
        </w:trPr>
        <w:tc>
          <w:tcPr>
            <w:tcW w:w="1920" w:type="dxa"/>
            <w:vAlign w:val="bottom"/>
          </w:tcPr>
          <w:p>
            <w:pPr>
              <w:ind w:left="20"/>
              <w:spacing w:after="0"/>
              <w:rPr>
                <w:sz w:val="20"/>
                <w:szCs w:val="20"/>
                <w:color w:val="auto"/>
              </w:rPr>
            </w:pPr>
            <w:r>
              <w:rPr>
                <w:rFonts w:ascii="Arial" w:cs="Arial" w:eastAsia="Arial" w:hAnsi="Arial"/>
                <w:sz w:val="11"/>
                <w:szCs w:val="11"/>
                <w:color w:val="auto"/>
              </w:rPr>
              <w:t>Adoption of accounting standards (a)</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(1,443)</w:t>
            </w:r>
          </w:p>
        </w:tc>
        <w:tc>
          <w:tcPr>
            <w:tcW w:w="56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(1,443)</w:t>
            </w:r>
          </w:p>
        </w:tc>
        <w:tc>
          <w:tcPr>
            <w:tcW w:w="0" w:type="dxa"/>
            <w:vAlign w:val="bottom"/>
          </w:tcPr>
          <w:p>
            <w:pPr>
              <w:spacing w:after="0"/>
              <w:rPr>
                <w:sz w:val="1"/>
                <w:szCs w:val="1"/>
                <w:color w:val="auto"/>
              </w:rPr>
            </w:pPr>
          </w:p>
        </w:tc>
      </w:tr>
      <w:tr>
        <w:trPr>
          <w:trHeight w:val="158"/>
        </w:trPr>
        <w:tc>
          <w:tcPr>
            <w:tcW w:w="19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9,109</w:t>
            </w:r>
          </w:p>
        </w:tc>
        <w:tc>
          <w:tcPr>
            <w:tcW w:w="56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(1,515)</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7,594</w:t>
            </w: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rPr>
                <w:sz w:val="20"/>
                <w:szCs w:val="20"/>
                <w:color w:val="auto"/>
              </w:rPr>
            </w:pPr>
            <w:r>
              <w:rPr>
                <w:rFonts w:ascii="Arial" w:cs="Arial" w:eastAsia="Arial" w:hAnsi="Arial"/>
                <w:sz w:val="11"/>
                <w:szCs w:val="11"/>
                <w:color w:val="auto"/>
              </w:rPr>
              <w:t>Compensation and benefits paid or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(682)</w:t>
            </w:r>
          </w:p>
        </w:tc>
        <w:tc>
          <w:tcPr>
            <w:tcW w:w="30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(682)</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payable in shares</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rPr>
                <w:sz w:val="20"/>
                <w:szCs w:val="20"/>
                <w:color w:val="auto"/>
              </w:rPr>
            </w:pPr>
            <w:r>
              <w:rPr>
                <w:rFonts w:ascii="Arial" w:cs="Arial" w:eastAsia="Arial" w:hAnsi="Arial"/>
                <w:sz w:val="11"/>
                <w:szCs w:val="11"/>
                <w:color w:val="auto"/>
              </w:rPr>
              <w:t>Class A Common Stock, $0.19 per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(5,834)</w:t>
            </w:r>
          </w:p>
        </w:tc>
        <w:tc>
          <w:tcPr>
            <w:tcW w:w="560" w:type="dxa"/>
            <w:vAlign w:val="bottom"/>
          </w:tcPr>
          <w:p>
            <w:pPr>
              <w:spacing w:after="0"/>
              <w:rPr>
                <w:sz w:val="11"/>
                <w:szCs w:val="11"/>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(5,834)</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share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20" w:type="dxa"/>
            <w:vAlign w:val="bottom"/>
          </w:tcPr>
          <w:p>
            <w:pPr>
              <w:ind w:left="20"/>
              <w:spacing w:after="0" w:line="124" w:lineRule="exact"/>
              <w:rPr>
                <w:sz w:val="20"/>
                <w:szCs w:val="20"/>
                <w:color w:val="auto"/>
              </w:rPr>
            </w:pPr>
            <w:r>
              <w:rPr>
                <w:rFonts w:ascii="Arial" w:cs="Arial" w:eastAsia="Arial" w:hAnsi="Arial"/>
                <w:sz w:val="11"/>
                <w:szCs w:val="11"/>
                <w:color w:val="auto"/>
              </w:rPr>
              <w:t>Class B Common Stock, $0.19 per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(307)</w:t>
            </w:r>
          </w:p>
        </w:tc>
        <w:tc>
          <w:tcPr>
            <w:tcW w:w="560" w:type="dxa"/>
            <w:vAlign w:val="bottom"/>
          </w:tcPr>
          <w:p>
            <w:pPr>
              <w:spacing w:after="0"/>
              <w:rPr>
                <w:sz w:val="10"/>
                <w:szCs w:val="10"/>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share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(25,747)</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109</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(25,638)</w:t>
            </w: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890</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890</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Derivative valuation adjustment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(7,708)</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(7,708)</w:t>
            </w:r>
          </w:p>
        </w:tc>
        <w:tc>
          <w:tcPr>
            <w:tcW w:w="0" w:type="dxa"/>
            <w:vAlign w:val="bottom"/>
          </w:tcPr>
          <w:p>
            <w:pPr>
              <w:spacing w:after="0"/>
              <w:rPr>
                <w:sz w:val="1"/>
                <w:szCs w:val="1"/>
                <w:color w:val="auto"/>
              </w:rPr>
            </w:pPr>
          </w:p>
        </w:tc>
      </w:tr>
      <w:tr>
        <w:trPr>
          <w:trHeight w:val="15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39,112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431,836</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700,021</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(208,546)</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8,409</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(256,391)</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2,600</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669,561</w:t>
            </w:r>
          </w:p>
        </w:tc>
        <w:tc>
          <w:tcPr>
            <w:tcW w:w="0" w:type="dxa"/>
            <w:vAlign w:val="bottom"/>
          </w:tcPr>
          <w:p>
            <w:pPr>
              <w:spacing w:after="0"/>
              <w:rPr>
                <w:sz w:val="1"/>
                <w:szCs w:val="1"/>
                <w:color w:val="auto"/>
              </w:rPr>
            </w:pPr>
          </w:p>
        </w:tc>
      </w:tr>
      <w:tr>
        <w:trPr>
          <w:trHeight w:val="144"/>
        </w:trPr>
        <w:tc>
          <w:tcPr>
            <w:tcW w:w="19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32,354</w:t>
            </w:r>
          </w:p>
        </w:tc>
        <w:tc>
          <w:tcPr>
            <w:tcW w:w="56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95</w:t>
            </w:r>
          </w:p>
        </w:tc>
        <w:tc>
          <w:tcPr>
            <w:tcW w:w="2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32,449</w:t>
            </w:r>
          </w:p>
        </w:tc>
        <w:tc>
          <w:tcPr>
            <w:tcW w:w="0" w:type="dxa"/>
            <w:vAlign w:val="bottom"/>
          </w:tcPr>
          <w:p>
            <w:pPr>
              <w:spacing w:after="0"/>
              <w:rPr>
                <w:sz w:val="1"/>
                <w:szCs w:val="1"/>
                <w:color w:val="auto"/>
              </w:rPr>
            </w:pPr>
          </w:p>
        </w:tc>
      </w:tr>
      <w:tr>
        <w:trPr>
          <w:trHeight w:val="124"/>
        </w:trPr>
        <w:tc>
          <w:tcPr>
            <w:tcW w:w="1920" w:type="dxa"/>
            <w:vAlign w:val="bottom"/>
          </w:tcPr>
          <w:p>
            <w:pPr>
              <w:ind w:left="20"/>
              <w:spacing w:after="0" w:line="124" w:lineRule="exact"/>
              <w:rPr>
                <w:sz w:val="20"/>
                <w:szCs w:val="20"/>
                <w:color w:val="auto"/>
              </w:rPr>
            </w:pPr>
            <w:r>
              <w:rPr>
                <w:rFonts w:ascii="Arial" w:cs="Arial" w:eastAsia="Arial" w:hAnsi="Arial"/>
                <w:sz w:val="11"/>
                <w:szCs w:val="11"/>
                <w:color w:val="auto"/>
              </w:rPr>
              <w:t>Compensation and benefits paid or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466</w:t>
            </w:r>
          </w:p>
        </w:tc>
        <w:tc>
          <w:tcPr>
            <w:tcW w:w="300" w:type="dxa"/>
            <w:vAlign w:val="bottom"/>
          </w:tcPr>
          <w:p>
            <w:pPr>
              <w:spacing w:after="0"/>
              <w:rPr>
                <w:sz w:val="10"/>
                <w:szCs w:val="10"/>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0"/>
                <w:szCs w:val="10"/>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317</w:t>
            </w:r>
          </w:p>
        </w:tc>
        <w:tc>
          <w:tcPr>
            <w:tcW w:w="4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783</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payable in shares</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68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416</w:t>
            </w:r>
          </w:p>
        </w:tc>
        <w:tc>
          <w:tcPr>
            <w:tcW w:w="3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416</w:t>
            </w: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rPr>
                <w:sz w:val="20"/>
                <w:szCs w:val="20"/>
                <w:color w:val="auto"/>
              </w:rPr>
            </w:pPr>
            <w:r>
              <w:rPr>
                <w:rFonts w:ascii="Arial" w:cs="Arial" w:eastAsia="Arial" w:hAnsi="Arial"/>
                <w:sz w:val="11"/>
                <w:szCs w:val="11"/>
                <w:color w:val="auto"/>
              </w:rPr>
              <w:t>Class A Common Stock, $0.19 per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(5,835)</w:t>
            </w:r>
          </w:p>
        </w:tc>
        <w:tc>
          <w:tcPr>
            <w:tcW w:w="560" w:type="dxa"/>
            <w:vAlign w:val="bottom"/>
          </w:tcPr>
          <w:p>
            <w:pPr>
              <w:spacing w:after="0"/>
              <w:rPr>
                <w:sz w:val="11"/>
                <w:szCs w:val="11"/>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(5,835)</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share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20" w:type="dxa"/>
            <w:vAlign w:val="bottom"/>
          </w:tcPr>
          <w:p>
            <w:pPr>
              <w:ind w:left="20"/>
              <w:spacing w:after="0" w:line="124" w:lineRule="exact"/>
              <w:rPr>
                <w:sz w:val="20"/>
                <w:szCs w:val="20"/>
                <w:color w:val="auto"/>
              </w:rPr>
            </w:pPr>
            <w:r>
              <w:rPr>
                <w:rFonts w:ascii="Arial" w:cs="Arial" w:eastAsia="Arial" w:hAnsi="Arial"/>
                <w:sz w:val="11"/>
                <w:szCs w:val="11"/>
                <w:color w:val="auto"/>
              </w:rPr>
              <w:t>Class B Common Stock, $0.19 per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(307)</w:t>
            </w:r>
          </w:p>
        </w:tc>
        <w:tc>
          <w:tcPr>
            <w:tcW w:w="560" w:type="dxa"/>
            <w:vAlign w:val="bottom"/>
          </w:tcPr>
          <w:p>
            <w:pPr>
              <w:spacing w:after="0"/>
              <w:rPr>
                <w:sz w:val="10"/>
                <w:szCs w:val="10"/>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share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8,964</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152</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9,116</w:t>
            </w: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142</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Derivative valuation adjustment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5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June 30, 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39,113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432,738</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726,233</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(199,627)</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8,394</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(256,074)</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2,847</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706,158</w:t>
            </w:r>
          </w:p>
        </w:tc>
        <w:tc>
          <w:tcPr>
            <w:tcW w:w="0" w:type="dxa"/>
            <w:vAlign w:val="bottom"/>
          </w:tcPr>
          <w:p>
            <w:pPr>
              <w:spacing w:after="0"/>
              <w:rPr>
                <w:sz w:val="1"/>
                <w:szCs w:val="1"/>
                <w:color w:val="auto"/>
              </w:rPr>
            </w:pPr>
          </w:p>
        </w:tc>
      </w:tr>
      <w:tr>
        <w:trPr>
          <w:trHeight w:val="144"/>
        </w:trPr>
        <w:tc>
          <w:tcPr>
            <w:tcW w:w="192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29,589</w:t>
            </w:r>
          </w:p>
        </w:tc>
        <w:tc>
          <w:tcPr>
            <w:tcW w:w="560" w:type="dxa"/>
            <w:vAlign w:val="bottom"/>
          </w:tcPr>
          <w:p>
            <w:pPr>
              <w:spacing w:after="0"/>
              <w:rPr>
                <w:sz w:val="12"/>
                <w:szCs w:val="12"/>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29,590</w:t>
            </w:r>
          </w:p>
        </w:tc>
        <w:tc>
          <w:tcPr>
            <w:tcW w:w="0" w:type="dxa"/>
            <w:vAlign w:val="bottom"/>
          </w:tcPr>
          <w:p>
            <w:pPr>
              <w:spacing w:after="0"/>
              <w:rPr>
                <w:sz w:val="1"/>
                <w:szCs w:val="1"/>
                <w:color w:val="auto"/>
              </w:rPr>
            </w:pPr>
          </w:p>
        </w:tc>
      </w:tr>
      <w:tr>
        <w:trPr>
          <w:trHeight w:val="124"/>
        </w:trPr>
        <w:tc>
          <w:tcPr>
            <w:tcW w:w="1920" w:type="dxa"/>
            <w:vAlign w:val="bottom"/>
          </w:tcPr>
          <w:p>
            <w:pPr>
              <w:ind w:left="20"/>
              <w:spacing w:after="0" w:line="124" w:lineRule="exact"/>
              <w:rPr>
                <w:sz w:val="20"/>
                <w:szCs w:val="20"/>
                <w:color w:val="auto"/>
              </w:rPr>
            </w:pPr>
            <w:r>
              <w:rPr>
                <w:rFonts w:ascii="Arial" w:cs="Arial" w:eastAsia="Arial" w:hAnsi="Arial"/>
                <w:sz w:val="11"/>
                <w:szCs w:val="11"/>
                <w:color w:val="auto"/>
              </w:rPr>
              <w:t>Compensation and benefits paid or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80</w:t>
            </w:r>
          </w:p>
        </w:tc>
        <w:tc>
          <w:tcPr>
            <w:tcW w:w="300" w:type="dxa"/>
            <w:vAlign w:val="bottom"/>
          </w:tcPr>
          <w:p>
            <w:pPr>
              <w:spacing w:after="0"/>
              <w:rPr>
                <w:sz w:val="10"/>
                <w:szCs w:val="10"/>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0"/>
                <w:szCs w:val="10"/>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80</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payable in shares</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rPr>
                <w:sz w:val="20"/>
                <w:szCs w:val="20"/>
                <w:color w:val="auto"/>
              </w:rPr>
            </w:pPr>
            <w:r>
              <w:rPr>
                <w:rFonts w:ascii="Arial" w:cs="Arial" w:eastAsia="Arial" w:hAnsi="Arial"/>
                <w:sz w:val="11"/>
                <w:szCs w:val="11"/>
                <w:color w:val="auto"/>
              </w:rPr>
              <w:t>Class A Common Stock, $0.19 per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(5,837)</w:t>
            </w:r>
          </w:p>
        </w:tc>
        <w:tc>
          <w:tcPr>
            <w:tcW w:w="560" w:type="dxa"/>
            <w:vAlign w:val="bottom"/>
          </w:tcPr>
          <w:p>
            <w:pPr>
              <w:spacing w:after="0"/>
              <w:rPr>
                <w:sz w:val="11"/>
                <w:szCs w:val="11"/>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(5,837)</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share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20" w:type="dxa"/>
            <w:vAlign w:val="bottom"/>
          </w:tcPr>
          <w:p>
            <w:pPr>
              <w:ind w:left="20"/>
              <w:spacing w:after="0" w:line="124" w:lineRule="exact"/>
              <w:rPr>
                <w:sz w:val="20"/>
                <w:szCs w:val="20"/>
                <w:color w:val="auto"/>
              </w:rPr>
            </w:pPr>
            <w:r>
              <w:rPr>
                <w:rFonts w:ascii="Arial" w:cs="Arial" w:eastAsia="Arial" w:hAnsi="Arial"/>
                <w:sz w:val="11"/>
                <w:szCs w:val="11"/>
                <w:color w:val="auto"/>
              </w:rPr>
              <w:t>Class B Common Stock, $0.19 per</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(307)</w:t>
            </w:r>
          </w:p>
        </w:tc>
        <w:tc>
          <w:tcPr>
            <w:tcW w:w="560" w:type="dxa"/>
            <w:vAlign w:val="bottom"/>
          </w:tcPr>
          <w:p>
            <w:pPr>
              <w:spacing w:after="0"/>
              <w:rPr>
                <w:sz w:val="10"/>
                <w:szCs w:val="10"/>
                <w:color w:val="auto"/>
              </w:rPr>
            </w:pPr>
          </w:p>
        </w:tc>
        <w:tc>
          <w:tcPr>
            <w:tcW w:w="76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(307)</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share</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2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19,821</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201</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20,022</w:t>
            </w:r>
          </w:p>
        </w:tc>
        <w:tc>
          <w:tcPr>
            <w:tcW w:w="0" w:type="dxa"/>
            <w:vAlign w:val="bottom"/>
          </w:tcPr>
          <w:p>
            <w:pPr>
              <w:spacing w:after="0"/>
              <w:rPr>
                <w:sz w:val="1"/>
                <w:szCs w:val="1"/>
                <w:color w:val="auto"/>
              </w:rPr>
            </w:pPr>
          </w:p>
        </w:tc>
      </w:tr>
      <w:tr>
        <w:trPr>
          <w:trHeight w:val="128"/>
        </w:trPr>
        <w:tc>
          <w:tcPr>
            <w:tcW w:w="192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(474)</w:t>
            </w: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46"/>
        </w:trPr>
        <w:tc>
          <w:tcPr>
            <w:tcW w:w="192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Derivative valuation adjustment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621</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621</w:t>
            </w:r>
          </w:p>
        </w:tc>
        <w:tc>
          <w:tcPr>
            <w:tcW w:w="0" w:type="dxa"/>
            <w:vAlign w:val="bottom"/>
          </w:tcPr>
          <w:p>
            <w:pPr>
              <w:spacing w:after="0"/>
              <w:rPr>
                <w:sz w:val="1"/>
                <w:szCs w:val="1"/>
                <w:color w:val="auto"/>
              </w:rPr>
            </w:pPr>
          </w:p>
        </w:tc>
      </w:tr>
      <w:tr>
        <w:trPr>
          <w:trHeight w:val="157"/>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39,113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39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432,823</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749,678</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(179,659)</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8,394</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(256,074)</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3,049</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749,858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2018 to September 30,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1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right"/>
              <w:ind w:right="386"/>
              <w:spacing w:after="0" w:line="122" w:lineRule="exact"/>
              <w:rPr>
                <w:sz w:val="20"/>
                <w:szCs w:val="20"/>
                <w:color w:val="auto"/>
              </w:rPr>
            </w:pPr>
            <w:r>
              <w:rPr>
                <w:rFonts w:ascii="Arial" w:cs="Arial" w:eastAsia="Arial" w:hAnsi="Arial"/>
                <w:sz w:val="11"/>
                <w:szCs w:val="11"/>
                <w:b w:val="1"/>
                <w:bCs w:val="1"/>
                <w:color w:val="auto"/>
              </w:rPr>
              <w:t>Class A</w:t>
            </w:r>
          </w:p>
        </w:tc>
        <w:tc>
          <w:tcPr>
            <w:tcW w:w="1120" w:type="dxa"/>
            <w:vAlign w:val="bottom"/>
            <w:tcBorders>
              <w:top w:val="single" w:sz="8" w:color="auto"/>
            </w:tcBorders>
            <w:gridSpan w:val="3"/>
          </w:tcPr>
          <w:p>
            <w:pPr>
              <w:jc w:val="center"/>
              <w:spacing w:after="0" w:line="122" w:lineRule="exact"/>
              <w:rPr>
                <w:sz w:val="20"/>
                <w:szCs w:val="20"/>
                <w:color w:val="auto"/>
              </w:rPr>
            </w:pPr>
            <w:r>
              <w:rPr>
                <w:rFonts w:ascii="Arial" w:cs="Arial" w:eastAsia="Arial" w:hAnsi="Arial"/>
                <w:sz w:val="11"/>
                <w:szCs w:val="11"/>
                <w:b w:val="1"/>
                <w:bCs w:val="1"/>
                <w:color w:val="auto"/>
                <w:w w:val="99"/>
              </w:rPr>
              <w:t>Class B</w:t>
            </w:r>
          </w:p>
        </w:tc>
        <w:tc>
          <w:tcPr>
            <w:tcW w:w="5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spacing w:after="0" w:line="122" w:lineRule="exact"/>
              <w:rPr>
                <w:sz w:val="20"/>
                <w:szCs w:val="20"/>
                <w:color w:val="auto"/>
              </w:rPr>
            </w:pPr>
            <w:r>
              <w:rPr>
                <w:rFonts w:ascii="Arial" w:cs="Arial" w:eastAsia="Arial" w:hAnsi="Arial"/>
                <w:sz w:val="11"/>
                <w:szCs w:val="11"/>
                <w:b w:val="1"/>
                <w:bCs w:val="1"/>
                <w:color w:val="auto"/>
                <w:w w:val="99"/>
              </w:rPr>
              <w:t>Class A</w:t>
            </w:r>
          </w:p>
        </w:tc>
        <w:tc>
          <w:tcPr>
            <w:tcW w:w="5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Common Stock</w:t>
            </w: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9"/>
              </w:rPr>
              <w:t>Common Stock</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1"/>
                <w:szCs w:val="11"/>
                <w:b w:val="1"/>
                <w:bCs w:val="1"/>
                <w:color w:val="auto"/>
              </w:rPr>
              <w:t>Accumulated items of</w:t>
            </w: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8"/>
              </w:rPr>
              <w:t>Treasury Stock</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58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58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w w:val="96"/>
              </w:rPr>
              <w:t>Amount</w:t>
            </w:r>
          </w:p>
        </w:tc>
        <w:tc>
          <w:tcPr>
            <w:tcW w:w="50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Amount</w:t>
            </w:r>
          </w:p>
        </w:tc>
        <w:tc>
          <w:tcPr>
            <w:tcW w:w="104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Additional paid-</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other</w:t>
            </w:r>
          </w:p>
        </w:tc>
        <w:tc>
          <w:tcPr>
            <w:tcW w:w="740" w:type="dxa"/>
            <w:vAlign w:val="bottom"/>
          </w:tcPr>
          <w:p>
            <w:pPr>
              <w:spacing w:after="0"/>
              <w:rPr>
                <w:sz w:val="7"/>
                <w:szCs w:val="7"/>
                <w:color w:val="auto"/>
              </w:rPr>
            </w:pP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7"/>
                <w:szCs w:val="7"/>
                <w:color w:val="auto"/>
              </w:rPr>
            </w:pPr>
          </w:p>
        </w:tc>
        <w:tc>
          <w:tcPr>
            <w:tcW w:w="580" w:type="dxa"/>
            <w:vAlign w:val="bottom"/>
            <w:vMerge w:val="restart"/>
          </w:tcPr>
          <w:p>
            <w:pPr>
              <w:jc w:val="right"/>
              <w:ind w:right="86"/>
              <w:spacing w:after="0"/>
              <w:rPr>
                <w:sz w:val="20"/>
                <w:szCs w:val="20"/>
                <w:color w:val="auto"/>
              </w:rPr>
            </w:pPr>
            <w:r>
              <w:rPr>
                <w:rFonts w:ascii="Arial" w:cs="Arial" w:eastAsia="Arial" w:hAnsi="Arial"/>
                <w:sz w:val="11"/>
                <w:szCs w:val="11"/>
                <w:b w:val="1"/>
                <w:bCs w:val="1"/>
                <w:color w:val="auto"/>
              </w:rPr>
              <w:t>Amount</w:t>
            </w:r>
          </w:p>
        </w:tc>
        <w:tc>
          <w:tcPr>
            <w:tcW w:w="20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Noncontrolling Interest Total Equity</w:t>
            </w:r>
          </w:p>
        </w:tc>
        <w:tc>
          <w:tcPr>
            <w:tcW w:w="0" w:type="dxa"/>
            <w:vAlign w:val="bottom"/>
          </w:tcPr>
          <w:p>
            <w:pPr>
              <w:spacing w:after="0"/>
              <w:rPr>
                <w:sz w:val="1"/>
                <w:szCs w:val="1"/>
                <w:color w:val="auto"/>
              </w:rPr>
            </w:pPr>
          </w:p>
        </w:tc>
      </w:tr>
      <w:tr>
        <w:trPr>
          <w:trHeight w:val="157"/>
        </w:trPr>
        <w:tc>
          <w:tcPr>
            <w:tcW w:w="216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capital</w:t>
            </w:r>
          </w:p>
        </w:tc>
        <w:tc>
          <w:tcPr>
            <w:tcW w:w="5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Retained earnings comprehensive income</w:t>
            </w:r>
          </w:p>
        </w:tc>
        <w:tc>
          <w:tcPr>
            <w:tcW w:w="6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2080" w:type="dxa"/>
            <w:vAlign w:val="bottom"/>
            <w:tcBorders>
              <w:bottom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December 31, 2018</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37,450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37</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3,234</w:t>
            </w: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430,555</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589,645</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(158,388)</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8,419</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(256,603)</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3,031</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608,280</w:t>
            </w:r>
          </w:p>
        </w:tc>
        <w:tc>
          <w:tcPr>
            <w:tcW w:w="0" w:type="dxa"/>
            <w:vAlign w:val="bottom"/>
          </w:tcPr>
          <w:p>
            <w:pPr>
              <w:spacing w:after="0"/>
              <w:rPr>
                <w:sz w:val="1"/>
                <w:szCs w:val="1"/>
                <w:color w:val="auto"/>
              </w:rPr>
            </w:pPr>
          </w:p>
        </w:tc>
      </w:tr>
      <w:tr>
        <w:trPr>
          <w:trHeight w:val="144"/>
        </w:trPr>
        <w:tc>
          <w:tcPr>
            <w:tcW w:w="2160" w:type="dxa"/>
            <w:vAlign w:val="bottom"/>
          </w:tcPr>
          <w:p>
            <w:pPr>
              <w:ind w:left="20"/>
              <w:spacing w:after="0"/>
              <w:rPr>
                <w:sz w:val="20"/>
                <w:szCs w:val="20"/>
                <w:color w:val="auto"/>
              </w:rPr>
            </w:pPr>
            <w:r>
              <w:rPr>
                <w:rFonts w:ascii="Arial" w:cs="Arial" w:eastAsia="Arial" w:hAnsi="Arial"/>
                <w:sz w:val="11"/>
                <w:szCs w:val="11"/>
                <w:color w:val="auto"/>
              </w:rPr>
              <w:t>Adoption of accounting standards (b)</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5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58"/>
        </w:trPr>
        <w:tc>
          <w:tcPr>
            <w:tcW w:w="21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29,190</w:t>
            </w:r>
          </w:p>
        </w:tc>
        <w:tc>
          <w:tcPr>
            <w:tcW w:w="5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218</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29,408</w:t>
            </w:r>
          </w:p>
        </w:tc>
        <w:tc>
          <w:tcPr>
            <w:tcW w:w="0" w:type="dxa"/>
            <w:vAlign w:val="bottom"/>
          </w:tcPr>
          <w:p>
            <w:pPr>
              <w:spacing w:after="0"/>
              <w:rPr>
                <w:sz w:val="1"/>
                <w:szCs w:val="1"/>
                <w:color w:val="auto"/>
              </w:rPr>
            </w:pPr>
          </w:p>
        </w:tc>
      </w:tr>
      <w:tr>
        <w:trPr>
          <w:trHeight w:val="128"/>
        </w:trPr>
        <w:tc>
          <w:tcPr>
            <w:tcW w:w="2160" w:type="dxa"/>
            <w:vAlign w:val="bottom"/>
          </w:tcPr>
          <w:p>
            <w:pPr>
              <w:ind w:left="20"/>
              <w:spacing w:after="0"/>
              <w:rPr>
                <w:sz w:val="20"/>
                <w:szCs w:val="20"/>
                <w:color w:val="auto"/>
              </w:rPr>
            </w:pPr>
            <w:r>
              <w:rPr>
                <w:rFonts w:ascii="Arial" w:cs="Arial" w:eastAsia="Arial" w:hAnsi="Arial"/>
                <w:sz w:val="11"/>
                <w:szCs w:val="11"/>
                <w:color w:val="auto"/>
                <w:w w:val="99"/>
              </w:rPr>
              <w:t>Compensation and benefits paid or payable</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1"/>
                <w:szCs w:val="11"/>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(547)</w:t>
            </w:r>
          </w:p>
        </w:tc>
        <w:tc>
          <w:tcPr>
            <w:tcW w:w="32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(547)</w:t>
            </w: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rPr>
                <w:sz w:val="20"/>
                <w:szCs w:val="20"/>
                <w:color w:val="auto"/>
              </w:rPr>
            </w:pPr>
            <w:r>
              <w:rPr>
                <w:rFonts w:ascii="Arial" w:cs="Arial" w:eastAsia="Arial" w:hAnsi="Arial"/>
                <w:sz w:val="11"/>
                <w:szCs w:val="11"/>
                <w:color w:val="auto"/>
              </w:rPr>
              <w:t>in shares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44</w:t>
            </w:r>
          </w:p>
        </w:tc>
        <w:tc>
          <w:tcPr>
            <w:tcW w:w="3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Class A Common Stock, $0.18 per share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(5,231)</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(5,231)</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Class B Common Stock, $0.18 per share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(582)</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(582)</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(654)</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(662)</w:t>
            </w:r>
          </w:p>
        </w:tc>
        <w:tc>
          <w:tcPr>
            <w:tcW w:w="0" w:type="dxa"/>
            <w:vAlign w:val="bottom"/>
          </w:tcPr>
          <w:p>
            <w:pPr>
              <w:spacing w:after="0"/>
              <w:rPr>
                <w:sz w:val="1"/>
                <w:szCs w:val="1"/>
                <w:color w:val="auto"/>
              </w:rPr>
            </w:pPr>
          </w:p>
        </w:tc>
      </w:tr>
      <w:tr>
        <w:trPr>
          <w:trHeight w:val="128"/>
        </w:trPr>
        <w:tc>
          <w:tcPr>
            <w:tcW w:w="216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(1,487)</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(1,487)</w:t>
            </w: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Derivative valuation adjustment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(2,851)</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(2,851)</w:t>
            </w:r>
          </w:p>
        </w:tc>
        <w:tc>
          <w:tcPr>
            <w:tcW w:w="0" w:type="dxa"/>
            <w:vAlign w:val="bottom"/>
          </w:tcPr>
          <w:p>
            <w:pPr>
              <w:spacing w:after="0"/>
              <w:rPr>
                <w:sz w:val="1"/>
                <w:szCs w:val="1"/>
                <w:color w:val="auto"/>
              </w:rPr>
            </w:pPr>
          </w:p>
        </w:tc>
      </w:tr>
      <w:tr>
        <w:trPr>
          <w:trHeight w:val="15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March 31, 2019</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37,478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37</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3,234</w:t>
            </w: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430,052</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613,057</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(163,380)</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8,419</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(256,603)</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3,241</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626,407</w:t>
            </w:r>
          </w:p>
        </w:tc>
        <w:tc>
          <w:tcPr>
            <w:tcW w:w="0" w:type="dxa"/>
            <w:vAlign w:val="bottom"/>
          </w:tcPr>
          <w:p>
            <w:pPr>
              <w:spacing w:after="0"/>
              <w:rPr>
                <w:sz w:val="1"/>
                <w:szCs w:val="1"/>
                <w:color w:val="auto"/>
              </w:rPr>
            </w:pPr>
          </w:p>
        </w:tc>
      </w:tr>
      <w:tr>
        <w:trPr>
          <w:trHeight w:val="144"/>
        </w:trPr>
        <w:tc>
          <w:tcPr>
            <w:tcW w:w="21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34,054</w:t>
            </w:r>
          </w:p>
        </w:tc>
        <w:tc>
          <w:tcPr>
            <w:tcW w:w="5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205</w:t>
            </w:r>
          </w:p>
        </w:tc>
        <w:tc>
          <w:tcPr>
            <w:tcW w:w="2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34,259</w:t>
            </w:r>
          </w:p>
        </w:tc>
        <w:tc>
          <w:tcPr>
            <w:tcW w:w="0" w:type="dxa"/>
            <w:vAlign w:val="bottom"/>
          </w:tcPr>
          <w:p>
            <w:pPr>
              <w:spacing w:after="0"/>
              <w:rPr>
                <w:sz w:val="1"/>
                <w:szCs w:val="1"/>
                <w:color w:val="auto"/>
              </w:rPr>
            </w:pPr>
          </w:p>
        </w:tc>
      </w:tr>
      <w:tr>
        <w:trPr>
          <w:trHeight w:val="124"/>
        </w:trPr>
        <w:tc>
          <w:tcPr>
            <w:tcW w:w="2160" w:type="dxa"/>
            <w:vAlign w:val="bottom"/>
          </w:tcPr>
          <w:p>
            <w:pPr>
              <w:ind w:left="20"/>
              <w:spacing w:after="0" w:line="124" w:lineRule="exact"/>
              <w:rPr>
                <w:sz w:val="20"/>
                <w:szCs w:val="20"/>
                <w:color w:val="auto"/>
              </w:rPr>
            </w:pPr>
            <w:r>
              <w:rPr>
                <w:rFonts w:ascii="Arial" w:cs="Arial" w:eastAsia="Arial" w:hAnsi="Arial"/>
                <w:sz w:val="11"/>
                <w:szCs w:val="11"/>
                <w:color w:val="auto"/>
                <w:w w:val="99"/>
              </w:rPr>
              <w:t>Compensation and benefits paid or payable</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958</w:t>
            </w:r>
          </w:p>
        </w:tc>
        <w:tc>
          <w:tcPr>
            <w:tcW w:w="320" w:type="dxa"/>
            <w:vAlign w:val="bottom"/>
          </w:tcPr>
          <w:p>
            <w:pPr>
              <w:spacing w:after="0"/>
              <w:rPr>
                <w:sz w:val="10"/>
                <w:szCs w:val="10"/>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212</w:t>
            </w:r>
          </w:p>
        </w:tc>
        <w:tc>
          <w:tcPr>
            <w:tcW w:w="5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1,170</w:t>
            </w: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rPr>
                <w:sz w:val="20"/>
                <w:szCs w:val="20"/>
                <w:color w:val="auto"/>
              </w:rPr>
            </w:pPr>
            <w:r>
              <w:rPr>
                <w:rFonts w:ascii="Arial" w:cs="Arial" w:eastAsia="Arial" w:hAnsi="Arial"/>
                <w:sz w:val="11"/>
                <w:szCs w:val="11"/>
                <w:color w:val="auto"/>
              </w:rPr>
              <w:t>in shares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28</w:t>
            </w:r>
          </w:p>
        </w:tc>
        <w:tc>
          <w:tcPr>
            <w:tcW w:w="3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Class A Common Stock, $0.18 per share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(5,523)</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(5,523)</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Class B Common Stock, $0.18 per share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(291)</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128"/>
        </w:trPr>
        <w:tc>
          <w:tcPr>
            <w:tcW w:w="2160" w:type="dxa"/>
            <w:vAlign w:val="bottom"/>
          </w:tcPr>
          <w:p>
            <w:pPr>
              <w:ind w:left="20"/>
              <w:spacing w:after="0"/>
              <w:rPr>
                <w:sz w:val="20"/>
                <w:szCs w:val="20"/>
                <w:color w:val="auto"/>
              </w:rPr>
            </w:pPr>
            <w:r>
              <w:rPr>
                <w:rFonts w:ascii="Arial" w:cs="Arial" w:eastAsia="Arial" w:hAnsi="Arial"/>
                <w:sz w:val="11"/>
                <w:szCs w:val="11"/>
                <w:color w:val="auto"/>
              </w:rPr>
              <w:t>Conversion of Class B shares to Class A</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1,616</w:t>
            </w:r>
          </w:p>
        </w:tc>
        <w:tc>
          <w:tcPr>
            <w:tcW w:w="80" w:type="dxa"/>
            <w:vAlign w:val="bottom"/>
          </w:tcPr>
          <w:p>
            <w:pPr>
              <w:spacing w:after="0"/>
              <w:rPr>
                <w:sz w:val="11"/>
                <w:szCs w:val="11"/>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w:t>
            </w: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(1,616)</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5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32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rPr>
                <w:sz w:val="20"/>
                <w:szCs w:val="20"/>
                <w:color w:val="auto"/>
              </w:rPr>
            </w:pPr>
            <w:r>
              <w:rPr>
                <w:rFonts w:ascii="Arial" w:cs="Arial" w:eastAsia="Arial" w:hAnsi="Arial"/>
                <w:sz w:val="11"/>
                <w:szCs w:val="11"/>
                <w:color w:val="auto"/>
              </w:rPr>
              <w:t>shares, rounding</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6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8"/>
        </w:trPr>
        <w:tc>
          <w:tcPr>
            <w:tcW w:w="216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Derivative valuation adjustment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(4,695)</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(4,695)</w:t>
            </w:r>
          </w:p>
        </w:tc>
        <w:tc>
          <w:tcPr>
            <w:tcW w:w="0" w:type="dxa"/>
            <w:vAlign w:val="bottom"/>
          </w:tcPr>
          <w:p>
            <w:pPr>
              <w:spacing w:after="0"/>
              <w:rPr>
                <w:sz w:val="1"/>
                <w:szCs w:val="1"/>
                <w:color w:val="auto"/>
              </w:rPr>
            </w:pPr>
          </w:p>
        </w:tc>
      </w:tr>
      <w:tr>
        <w:trPr>
          <w:trHeight w:val="15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June 30, 2019</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39,096</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39</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1,618</w:t>
            </w: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431,037</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641,297</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(168,116)</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8,409</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(256,391)</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3,448</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651,316</w:t>
            </w:r>
          </w:p>
        </w:tc>
        <w:tc>
          <w:tcPr>
            <w:tcW w:w="0" w:type="dxa"/>
            <w:vAlign w:val="bottom"/>
          </w:tcPr>
          <w:p>
            <w:pPr>
              <w:spacing w:after="0"/>
              <w:rPr>
                <w:sz w:val="1"/>
                <w:szCs w:val="1"/>
                <w:color w:val="auto"/>
              </w:rPr>
            </w:pPr>
          </w:p>
        </w:tc>
      </w:tr>
      <w:tr>
        <w:trPr>
          <w:trHeight w:val="144"/>
        </w:trPr>
        <w:tc>
          <w:tcPr>
            <w:tcW w:w="21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40,009</w:t>
            </w:r>
          </w:p>
        </w:tc>
        <w:tc>
          <w:tcPr>
            <w:tcW w:w="52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116</w:t>
            </w:r>
          </w:p>
        </w:tc>
        <w:tc>
          <w:tcPr>
            <w:tcW w:w="2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40,125</w:t>
            </w:r>
          </w:p>
        </w:tc>
        <w:tc>
          <w:tcPr>
            <w:tcW w:w="0" w:type="dxa"/>
            <w:vAlign w:val="bottom"/>
          </w:tcPr>
          <w:p>
            <w:pPr>
              <w:spacing w:after="0"/>
              <w:rPr>
                <w:sz w:val="1"/>
                <w:szCs w:val="1"/>
                <w:color w:val="auto"/>
              </w:rPr>
            </w:pPr>
          </w:p>
        </w:tc>
      </w:tr>
      <w:tr>
        <w:trPr>
          <w:trHeight w:val="124"/>
        </w:trPr>
        <w:tc>
          <w:tcPr>
            <w:tcW w:w="2160" w:type="dxa"/>
            <w:vAlign w:val="bottom"/>
          </w:tcPr>
          <w:p>
            <w:pPr>
              <w:ind w:left="20"/>
              <w:spacing w:after="0" w:line="124" w:lineRule="exact"/>
              <w:rPr>
                <w:sz w:val="20"/>
                <w:szCs w:val="20"/>
                <w:color w:val="auto"/>
              </w:rPr>
            </w:pPr>
            <w:r>
              <w:rPr>
                <w:rFonts w:ascii="Arial" w:cs="Arial" w:eastAsia="Arial" w:hAnsi="Arial"/>
                <w:sz w:val="11"/>
                <w:szCs w:val="11"/>
                <w:color w:val="auto"/>
                <w:w w:val="99"/>
              </w:rPr>
              <w:t>Compensation and benefits paid or payable</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790</w:t>
            </w:r>
          </w:p>
        </w:tc>
        <w:tc>
          <w:tcPr>
            <w:tcW w:w="320" w:type="dxa"/>
            <w:vAlign w:val="bottom"/>
          </w:tcPr>
          <w:p>
            <w:pPr>
              <w:spacing w:after="0"/>
              <w:rPr>
                <w:sz w:val="10"/>
                <w:szCs w:val="10"/>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0"/>
                <w:szCs w:val="10"/>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790</w:t>
            </w: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rPr>
                <w:sz w:val="20"/>
                <w:szCs w:val="20"/>
                <w:color w:val="auto"/>
              </w:rPr>
            </w:pPr>
            <w:r>
              <w:rPr>
                <w:rFonts w:ascii="Arial" w:cs="Arial" w:eastAsia="Arial" w:hAnsi="Arial"/>
                <w:sz w:val="11"/>
                <w:szCs w:val="11"/>
                <w:color w:val="auto"/>
              </w:rPr>
              <w:t>in shares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60" w:type="dxa"/>
            <w:vAlign w:val="bottom"/>
          </w:tcPr>
          <w:p>
            <w:pPr>
              <w:ind w:left="20"/>
              <w:spacing w:after="0"/>
              <w:rPr>
                <w:sz w:val="20"/>
                <w:szCs w:val="20"/>
                <w:color w:val="auto"/>
              </w:rPr>
            </w:pPr>
            <w:r>
              <w:rPr>
                <w:rFonts w:ascii="Arial" w:cs="Arial" w:eastAsia="Arial" w:hAnsi="Arial"/>
                <w:sz w:val="11"/>
                <w:szCs w:val="11"/>
                <w:color w:val="auto"/>
              </w:rPr>
              <w:t>Options exercised</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33</w:t>
            </w:r>
          </w:p>
        </w:tc>
        <w:tc>
          <w:tcPr>
            <w:tcW w:w="3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Shares issued to Directors</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Class A Common Stock, $0.18 per share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(5,524)</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(5,524)</w:t>
            </w:r>
          </w:p>
        </w:tc>
        <w:tc>
          <w:tcPr>
            <w:tcW w:w="0" w:type="dxa"/>
            <w:vAlign w:val="bottom"/>
          </w:tcPr>
          <w:p>
            <w:pPr>
              <w:spacing w:after="0"/>
              <w:rPr>
                <w:sz w:val="1"/>
                <w:szCs w:val="1"/>
                <w:color w:val="auto"/>
              </w:rPr>
            </w:pPr>
          </w:p>
        </w:tc>
      </w:tr>
      <w:tr>
        <w:trPr>
          <w:trHeight w:val="162"/>
        </w:trPr>
        <w:tc>
          <w:tcPr>
            <w:tcW w:w="2160" w:type="dxa"/>
            <w:vAlign w:val="bottom"/>
          </w:tcPr>
          <w:p>
            <w:pPr>
              <w:ind w:left="20"/>
              <w:spacing w:after="0"/>
              <w:rPr>
                <w:sz w:val="20"/>
                <w:szCs w:val="20"/>
                <w:color w:val="auto"/>
              </w:rPr>
            </w:pPr>
            <w:r>
              <w:rPr>
                <w:rFonts w:ascii="Arial" w:cs="Arial" w:eastAsia="Arial" w:hAnsi="Arial"/>
                <w:sz w:val="11"/>
                <w:szCs w:val="11"/>
                <w:color w:val="auto"/>
              </w:rPr>
              <w:t>Class B Common Stock, $0.18 per share</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(291)</w:t>
            </w:r>
          </w:p>
        </w:tc>
        <w:tc>
          <w:tcPr>
            <w:tcW w:w="5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(291)</w:t>
            </w:r>
          </w:p>
        </w:tc>
        <w:tc>
          <w:tcPr>
            <w:tcW w:w="0" w:type="dxa"/>
            <w:vAlign w:val="bottom"/>
          </w:tcPr>
          <w:p>
            <w:pPr>
              <w:spacing w:after="0"/>
              <w:rPr>
                <w:sz w:val="1"/>
                <w:szCs w:val="1"/>
                <w:color w:val="auto"/>
              </w:rPr>
            </w:pPr>
          </w:p>
        </w:tc>
      </w:tr>
      <w:tr>
        <w:trPr>
          <w:trHeight w:val="128"/>
        </w:trPr>
        <w:tc>
          <w:tcPr>
            <w:tcW w:w="2160" w:type="dxa"/>
            <w:vAlign w:val="bottom"/>
          </w:tcPr>
          <w:p>
            <w:pPr>
              <w:ind w:left="20"/>
              <w:spacing w:after="0"/>
              <w:rPr>
                <w:sz w:val="20"/>
                <w:szCs w:val="20"/>
                <w:color w:val="auto"/>
              </w:rPr>
            </w:pPr>
            <w:r>
              <w:rPr>
                <w:rFonts w:ascii="Arial" w:cs="Arial" w:eastAsia="Arial" w:hAnsi="Arial"/>
                <w:sz w:val="11"/>
                <w:szCs w:val="11"/>
                <w:color w:val="auto"/>
              </w:rPr>
              <w:t>Conversion of Class B shares to Class A</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rPr>
                <w:sz w:val="20"/>
                <w:szCs w:val="20"/>
                <w:color w:val="auto"/>
              </w:rPr>
            </w:pPr>
            <w:r>
              <w:rPr>
                <w:rFonts w:ascii="Arial" w:cs="Arial" w:eastAsia="Arial" w:hAnsi="Arial"/>
                <w:sz w:val="11"/>
                <w:szCs w:val="11"/>
                <w:color w:val="auto"/>
              </w:rPr>
              <w:t>shares, rounding</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60" w:type="dxa"/>
            <w:vAlign w:val="bottom"/>
          </w:tcPr>
          <w:p>
            <w:pPr>
              <w:ind w:left="20"/>
              <w:spacing w:after="0"/>
              <w:rPr>
                <w:sz w:val="20"/>
                <w:szCs w:val="20"/>
                <w:color w:val="auto"/>
              </w:rPr>
            </w:pPr>
            <w:r>
              <w:rPr>
                <w:rFonts w:ascii="Arial" w:cs="Arial" w:eastAsia="Arial" w:hAnsi="Arial"/>
                <w:sz w:val="11"/>
                <w:szCs w:val="11"/>
                <w:color w:val="auto"/>
              </w:rPr>
              <w:t>Cumulative translation adjustments</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(22,522)</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w:t>
            </w:r>
          </w:p>
        </w:tc>
        <w:tc>
          <w:tcPr>
            <w:tcW w:w="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(22,535)</w:t>
            </w:r>
          </w:p>
        </w:tc>
        <w:tc>
          <w:tcPr>
            <w:tcW w:w="0" w:type="dxa"/>
            <w:vAlign w:val="bottom"/>
          </w:tcPr>
          <w:p>
            <w:pPr>
              <w:spacing w:after="0"/>
              <w:rPr>
                <w:sz w:val="1"/>
                <w:szCs w:val="1"/>
                <w:color w:val="auto"/>
              </w:rPr>
            </w:pPr>
          </w:p>
        </w:tc>
      </w:tr>
      <w:tr>
        <w:trPr>
          <w:trHeight w:val="128"/>
        </w:trPr>
        <w:tc>
          <w:tcPr>
            <w:tcW w:w="2160" w:type="dxa"/>
            <w:vAlign w:val="bottom"/>
          </w:tcPr>
          <w:p>
            <w:pPr>
              <w:ind w:left="20"/>
              <w:spacing w:after="0"/>
              <w:rPr>
                <w:sz w:val="20"/>
                <w:szCs w:val="20"/>
                <w:color w:val="auto"/>
              </w:rPr>
            </w:pPr>
            <w:r>
              <w:rPr>
                <w:rFonts w:ascii="Arial" w:cs="Arial" w:eastAsia="Arial" w:hAnsi="Arial"/>
                <w:sz w:val="11"/>
                <w:szCs w:val="11"/>
                <w:color w:val="auto"/>
              </w:rPr>
              <w:t>Pension and postretirement liability</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1"/>
                <w:szCs w:val="11"/>
                <w:color w:val="auto"/>
              </w:rPr>
            </w:pPr>
          </w:p>
        </w:tc>
        <w:tc>
          <w:tcPr>
            <w:tcW w:w="740" w:type="dxa"/>
            <w:vAlign w:val="bottom"/>
            <w:vMerge w:val="restart"/>
          </w:tcPr>
          <w:p>
            <w:pPr>
              <w:jc w:val="right"/>
              <w:ind w:right="6"/>
              <w:spacing w:after="0"/>
              <w:rPr>
                <w:sz w:val="20"/>
                <w:szCs w:val="20"/>
                <w:color w:val="auto"/>
              </w:rPr>
            </w:pPr>
            <w:r>
              <w:rPr>
                <w:rFonts w:ascii="Arial" w:cs="Arial" w:eastAsia="Arial" w:hAnsi="Arial"/>
                <w:sz w:val="11"/>
                <w:szCs w:val="11"/>
                <w:color w:val="auto"/>
              </w:rPr>
              <w:t>490</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Derivative valuation adjustment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(1,323)</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(1,323)</w:t>
            </w:r>
          </w:p>
        </w:tc>
        <w:tc>
          <w:tcPr>
            <w:tcW w:w="0" w:type="dxa"/>
            <w:vAlign w:val="bottom"/>
          </w:tcPr>
          <w:p>
            <w:pPr>
              <w:spacing w:after="0"/>
              <w:rPr>
                <w:sz w:val="1"/>
                <w:szCs w:val="1"/>
                <w:color w:val="auto"/>
              </w:rPr>
            </w:pPr>
          </w:p>
        </w:tc>
      </w:tr>
      <w:tr>
        <w:trPr>
          <w:trHeight w:val="15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September 30, 2019</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39,098</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39</w:t>
            </w: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1,618</w:t>
            </w: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431,860</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675,491</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(191,471)</w:t>
            </w:r>
          </w:p>
        </w:tc>
        <w:tc>
          <w:tcPr>
            <w:tcW w:w="6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8,409</w:t>
            </w: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(256,391)</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3,551</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663,081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0" w:hanging="332"/>
        <w:spacing w:after="0" w:line="263" w:lineRule="auto"/>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described in Note 1, the Company adopted the provisions of ASC 326, Current Expected Credit Losses (CECL) effective January 1, 2020, which resulted in a decrease to Retained earnings of $1.4 million.</w:t>
      </w:r>
    </w:p>
    <w:p>
      <w:pPr>
        <w:ind w:left="340" w:right="20" w:hanging="332"/>
        <w:spacing w:after="0" w:line="266" w:lineRule="auto"/>
        <w:tabs>
          <w:tab w:leader="none" w:pos="33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effective January 1, 2019, which resulted in an increase to Retained earnings of less than $0.1 million.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Recent Accounting Pronouncements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We are required to adopt this update for our 2020 annual filing which will result in minor changes to footnote disclosures in future filings.</w:t>
      </w:r>
    </w:p>
    <w:p>
      <w:pPr>
        <w:spacing w:after="0" w:line="5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2019, an accounting update was issued which removes certain exceptions for recognizing deferred taxes for investments and performing intra-period tax allocations. The update also adds guidance to reduce complexity in certain areas, including recognizing deferred taxes for tax goodwill and allocating taxes to members of a consolidated group. We plan to adopt the new standard as of January 1, 2021 and we are assessing the potential impact on our financial statements.</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2020, an accounting update was issued which provides optional guidance for a limited time to ease the potential accounting burden associated with transitioning away from reference rates such as LIBOR. The expedients and exceptions provided by this update will not be available after December 31, 2022, other than for certain hedging relationships entered into prior. We are currently assessing the potential impact on our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6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36" w:lineRule="exact"/>
        <w:rPr>
          <w:sz w:val="20"/>
          <w:szCs w:val="20"/>
          <w:color w:val="auto"/>
        </w:rPr>
      </w:pPr>
    </w:p>
    <w:p>
      <w:pPr>
        <w:ind w:left="980" w:hanging="324"/>
        <w:spacing w:after="0" w:line="292"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36" w:lineRule="exact"/>
        <w:rPr>
          <w:rFonts w:ascii="Arial" w:cs="Arial" w:eastAsia="Arial" w:hAnsi="Arial"/>
          <w:sz w:val="18"/>
          <w:szCs w:val="18"/>
          <w:color w:val="auto"/>
        </w:rPr>
      </w:pPr>
    </w:p>
    <w:p>
      <w:pPr>
        <w:ind w:left="980" w:right="20" w:hanging="324"/>
        <w:spacing w:after="0" w:line="292"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 and continuation of coronavirus effects for an extended period;</w:t>
      </w:r>
    </w:p>
    <w:p>
      <w:pPr>
        <w:spacing w:after="0" w:line="36" w:lineRule="exact"/>
        <w:rPr>
          <w:rFonts w:ascii="Arial" w:cs="Arial" w:eastAsia="Arial" w:hAnsi="Arial"/>
          <w:sz w:val="18"/>
          <w:szCs w:val="18"/>
          <w:color w:val="auto"/>
        </w:rPr>
      </w:pPr>
    </w:p>
    <w:p>
      <w:pPr>
        <w:jc w:val="both"/>
        <w:ind w:left="980" w:hanging="324"/>
        <w:spacing w:after="0" w:line="271"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Albany Engineered Composites segment, extended weakness in commercial aerospace activity, further delays in the Boeing 737 MAX return to service, or unanticipated reductions in demand, delays, technical difficulties, or delays/cancellations in other aerospace programs;</w:t>
      </w:r>
    </w:p>
    <w:p>
      <w:pPr>
        <w:spacing w:after="0" w:line="5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6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17" w:lineRule="exact"/>
        <w:rPr>
          <w:sz w:val="20"/>
          <w:szCs w:val="20"/>
          <w:color w:val="auto"/>
        </w:rPr>
      </w:pPr>
    </w:p>
    <w:p>
      <w:pPr>
        <w:jc w:val="both"/>
        <w:ind w:right="20" w:firstLine="324"/>
        <w:spacing w:after="0" w:line="292"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36"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suffered from well-documented declines in publication grades in the Company’s traditional markets, the paper and paperboard industry has stabilized in recent years, driven by demand for packaging and tissue grades, as well as the expansion of paper consumption and production in Asia and South America. We feel we are now well-positioned in key markets, with high-quality, low-cost production in growth markets, substantially lower fixed costs in mature markets, and continued strength in new product development, technical product support, and manufacturing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technology. Because of pricing pressures and industry overcapacity, the machine clothing and paper industries will continue to face top line pressure. Despite continued market pressure on revenue, the business retains the potential for maintaining stable earnings in the future. It has been a significant generator of cash, and we seek to maintain the cash-generating potential of this business by maintaining the low costs that we achieved through continuous focus on cost reduction initiatives, and competing vigorously by using our differentiated and technically superior products to reduce our customers’ total cost of operation and improve their paper quality.</w:t>
      </w:r>
    </w:p>
    <w:p>
      <w:pPr>
        <w:spacing w:after="0" w:line="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AEC segment provides long-term growth potential for our Company.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22 percent of the Company’s consolidated Net sales in 2019.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2019, approximately 25 percent of AEC sales were related to U.S. government contracts or programs.</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number of countries, including the United States, have issued orders grounding Boeing 737 MAX aircraft. If these groundings cause a further decrease in demand in production for this aircraft, it could have an adverse impact on demand for LEAP engines, which, in turn, could have an adverse impact on demand for our LEAP engine parts. The Company is continuing to monitor developments with our customer. Considerable uncertainty exists with respect to the return-to-service of the 737-MAX and the subsequent ramp-up in our production of LEAP-1B components, which may lead to additional impacts to our revenues from LEAP-1B components in 2020 and future periods. The nature of our cost-plus fee arrangement, however, should somewhat mitigate the impact of such factors on gross margin rate in such future periods. In April 2020, the Company announced the temporary closure of all three of its LEAP production facilities, resulting from depressed demand, due to the ongoing Boeing 737 MAX situation and a pause in production of the Airbus A320neo family. As a result, the year-over-year comparisons for LEAP revenue in the fourth quarter are expected to continue to be unfavorable.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80" w:type="dxa"/>
            <w:vAlign w:val="bottom"/>
            <w:tcBorders>
              <w:top w:val="single" w:sz="8" w:color="auto"/>
              <w:bottom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rPr>
              <w:t>Three months ended September 30,</w:t>
            </w:r>
          </w:p>
        </w:tc>
        <w:tc>
          <w:tcPr>
            <w:tcW w:w="1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jc w:val="right"/>
              <w:ind w:right="201"/>
              <w:spacing w:after="0"/>
              <w:rPr>
                <w:sz w:val="20"/>
                <w:szCs w:val="20"/>
                <w:color w:val="auto"/>
              </w:rPr>
            </w:pPr>
            <w:r>
              <w:rPr>
                <w:rFonts w:ascii="Arial" w:cs="Arial" w:eastAsia="Arial" w:hAnsi="Arial"/>
                <w:sz w:val="14"/>
                <w:szCs w:val="14"/>
                <w:b w:val="1"/>
                <w:bCs w:val="1"/>
                <w:color w:val="auto"/>
              </w:rPr>
              <w:t>Nine months ended September 30,</w:t>
            </w:r>
          </w:p>
        </w:tc>
        <w:tc>
          <w:tcPr>
            <w:tcW w:w="1260" w:type="dxa"/>
            <w:vAlign w:val="bottom"/>
            <w:tcBorders>
              <w:top w:val="single" w:sz="8" w:color="auto"/>
              <w:bottom w:val="single" w:sz="8" w:color="auto"/>
            </w:tcBorders>
          </w:tcPr>
          <w:p>
            <w:pPr>
              <w:spacing w:after="0"/>
              <w:rPr>
                <w:sz w:val="17"/>
                <w:szCs w:val="17"/>
                <w:color w:val="auto"/>
              </w:rPr>
            </w:pPr>
          </w:p>
        </w:tc>
      </w:tr>
      <w:tr>
        <w:trPr>
          <w:trHeight w:val="18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03"/>
        </w:trPr>
        <w:tc>
          <w:tcPr>
            <w:tcW w:w="32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138,747</w:t>
            </w:r>
          </w:p>
        </w:tc>
        <w:tc>
          <w:tcPr>
            <w:tcW w:w="3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151,324</w:t>
            </w:r>
          </w:p>
        </w:tc>
        <w:tc>
          <w:tcPr>
            <w:tcW w:w="120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428,782</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1"/>
              <w:spacing w:after="0"/>
              <w:rPr>
                <w:sz w:val="20"/>
                <w:szCs w:val="20"/>
                <w:color w:val="auto"/>
              </w:rPr>
            </w:pPr>
            <w:r>
              <w:rPr>
                <w:rFonts w:ascii="Arial" w:cs="Arial" w:eastAsia="Arial" w:hAnsi="Arial"/>
                <w:sz w:val="16"/>
                <w:szCs w:val="16"/>
                <w:color w:val="auto"/>
              </w:rPr>
              <w:t>450,673</w:t>
            </w:r>
          </w:p>
        </w:tc>
        <w:tc>
          <w:tcPr>
            <w:tcW w:w="12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2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73,252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119,809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244,971</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345,781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09"/>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211,999</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271,133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673,753</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796,454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2020 Net sales, excluding the impact of currency translation effects, to 2019 Net sales: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Increase due to</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Q3 2020 sales on</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Net sales as</w:t>
            </w:r>
          </w:p>
        </w:tc>
        <w:tc>
          <w:tcPr>
            <w:tcW w:w="1540" w:type="dxa"/>
            <w:vAlign w:val="bottom"/>
            <w:gridSpan w:val="2"/>
            <w:vMerge w:val="continue"/>
          </w:tcPr>
          <w:p>
            <w:pPr>
              <w:spacing w:after="0"/>
              <w:rPr>
                <w:sz w:val="11"/>
                <w:szCs w:val="11"/>
                <w:color w:val="auto"/>
              </w:rPr>
            </w:pPr>
          </w:p>
        </w:tc>
        <w:tc>
          <w:tcPr>
            <w:tcW w:w="14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same basis as Q3</w:t>
            </w: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sales as</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40" w:type="dxa"/>
            <w:vAlign w:val="bottom"/>
            <w:gridSpan w:val="2"/>
            <w:vMerge w:val="continue"/>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changes in currency</w:t>
            </w:r>
          </w:p>
        </w:tc>
        <w:tc>
          <w:tcPr>
            <w:tcW w:w="14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2019 currency</w:t>
            </w:r>
          </w:p>
        </w:tc>
        <w:tc>
          <w:tcPr>
            <w:tcW w:w="1500" w:type="dxa"/>
            <w:vAlign w:val="bottom"/>
            <w:gridSpan w:val="2"/>
            <w:vMerge w:val="continue"/>
          </w:tcPr>
          <w:p>
            <w:pPr>
              <w:spacing w:after="0"/>
              <w:rPr>
                <w:sz w:val="11"/>
                <w:szCs w:val="11"/>
                <w:color w:val="auto"/>
              </w:rPr>
            </w:pPr>
          </w:p>
        </w:tc>
        <w:tc>
          <w:tcPr>
            <w:tcW w:w="164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to Q3 2019, excluding</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20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reported, Q3 2020</w:t>
            </w: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translation rates</w:t>
            </w: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translation rates</w:t>
            </w: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reported, Q3 2019</w:t>
            </w: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040" w:type="dxa"/>
            <w:vAlign w:val="bottom"/>
          </w:tcPr>
          <w:p>
            <w:pPr>
              <w:ind w:left="6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138,747</w:t>
            </w:r>
          </w:p>
        </w:tc>
        <w:tc>
          <w:tcPr>
            <w:tcW w:w="5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1,837</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136,910</w:t>
            </w:r>
          </w:p>
        </w:tc>
        <w:tc>
          <w:tcPr>
            <w:tcW w:w="50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151,324</w:t>
            </w:r>
          </w:p>
        </w:tc>
        <w:tc>
          <w:tcPr>
            <w:tcW w:w="16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0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73,252</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72,902</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119,809</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04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211,999</w:t>
            </w: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2,187</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209,812</w:t>
            </w: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271,133</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344"/>
        </w:trPr>
        <w:tc>
          <w:tcPr>
            <w:tcW w:w="3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Decrease due to</w:t>
            </w: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YTD 2020 sales on</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 compared</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0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Net sales as</w:t>
            </w:r>
          </w:p>
        </w:tc>
        <w:tc>
          <w:tcPr>
            <w:tcW w:w="1540" w:type="dxa"/>
            <w:vAlign w:val="bottom"/>
            <w:gridSpan w:val="2"/>
            <w:vMerge w:val="continue"/>
          </w:tcPr>
          <w:p>
            <w:pPr>
              <w:spacing w:after="0"/>
              <w:rPr>
                <w:sz w:val="11"/>
                <w:szCs w:val="11"/>
                <w:color w:val="auto"/>
              </w:rPr>
            </w:pPr>
          </w:p>
        </w:tc>
        <w:tc>
          <w:tcPr>
            <w:tcW w:w="14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same basis as 2019</w:t>
            </w: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sales as</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40" w:type="dxa"/>
            <w:vAlign w:val="bottom"/>
            <w:gridSpan w:val="2"/>
            <w:vMerge w:val="continue"/>
          </w:tcPr>
          <w:p>
            <w:pPr>
              <w:spacing w:after="0"/>
              <w:rPr>
                <w:sz w:val="11"/>
                <w:szCs w:val="11"/>
                <w:color w:val="auto"/>
              </w:rPr>
            </w:pPr>
          </w:p>
        </w:tc>
        <w:tc>
          <w:tcPr>
            <w:tcW w:w="15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changes in currency</w:t>
            </w:r>
          </w:p>
        </w:tc>
        <w:tc>
          <w:tcPr>
            <w:tcW w:w="14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currency translation</w:t>
            </w:r>
          </w:p>
        </w:tc>
        <w:tc>
          <w:tcPr>
            <w:tcW w:w="1500" w:type="dxa"/>
            <w:vAlign w:val="bottom"/>
            <w:gridSpan w:val="2"/>
            <w:vMerge w:val="continue"/>
          </w:tcPr>
          <w:p>
            <w:pPr>
              <w:spacing w:after="0"/>
              <w:rPr>
                <w:sz w:val="11"/>
                <w:szCs w:val="11"/>
                <w:color w:val="auto"/>
              </w:rPr>
            </w:pPr>
          </w:p>
        </w:tc>
        <w:tc>
          <w:tcPr>
            <w:tcW w:w="1640" w:type="dxa"/>
            <w:vAlign w:val="bottom"/>
          </w:tcPr>
          <w:p>
            <w:pPr>
              <w:ind w:left="40"/>
              <w:spacing w:after="0" w:line="135" w:lineRule="exact"/>
              <w:rPr>
                <w:sz w:val="20"/>
                <w:szCs w:val="20"/>
                <w:color w:val="auto"/>
              </w:rPr>
            </w:pPr>
            <w:r>
              <w:rPr>
                <w:rFonts w:ascii="Arial" w:cs="Arial" w:eastAsia="Arial" w:hAnsi="Arial"/>
                <w:sz w:val="14"/>
                <w:szCs w:val="14"/>
                <w:b w:val="1"/>
                <w:bCs w:val="1"/>
                <w:color w:val="auto"/>
              </w:rPr>
              <w:t>to 2019, excluding</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204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reported, YTD 2020</w:t>
            </w: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translation rates</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rates</w:t>
            </w:r>
          </w:p>
        </w:tc>
        <w:tc>
          <w:tcPr>
            <w:tcW w:w="8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reported, YTD 2019</w:t>
            </w:r>
          </w:p>
        </w:tc>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 rate effects</w:t>
            </w: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040" w:type="dxa"/>
            <w:vAlign w:val="bottom"/>
          </w:tcPr>
          <w:p>
            <w:pPr>
              <w:ind w:left="6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428,782</w:t>
            </w:r>
          </w:p>
        </w:tc>
        <w:tc>
          <w:tcPr>
            <w:tcW w:w="580" w:type="dxa"/>
            <w:vAlign w:val="bottom"/>
          </w:tcPr>
          <w:p>
            <w:pPr>
              <w:ind w:lef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(1,287)</w:t>
            </w: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430,069</w:t>
            </w:r>
          </w:p>
        </w:tc>
        <w:tc>
          <w:tcPr>
            <w:tcW w:w="50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450,673</w:t>
            </w:r>
          </w:p>
        </w:tc>
        <w:tc>
          <w:tcPr>
            <w:tcW w:w="164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0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244,971</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245,107</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345,781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04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673,753</w:t>
            </w: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(1,423)</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675,176</w:t>
            </w: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796,454</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9" w:lineRule="exact"/>
        <w:rPr>
          <w:sz w:val="20"/>
          <w:szCs w:val="20"/>
          <w:color w:val="auto"/>
        </w:rPr>
      </w:pPr>
    </w:p>
    <w:p>
      <w:pPr>
        <w:ind w:left="980" w:hanging="324"/>
        <w:spacing w:after="0" w:line="292"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increasing Net sales by $2.2 million during the third quarter of 2020, as compared to 2019, principally due to the stronger euro in 2020.</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decreased 22.6% compared to the same period in 2019.</w:t>
      </w:r>
    </w:p>
    <w:p>
      <w:pPr>
        <w:spacing w:after="0" w:line="35"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20"/>
          <w:szCs w:val="20"/>
          <w:color w:val="auto"/>
        </w:rPr>
      </w:pPr>
      <w:r>
        <w:rPr>
          <w:rFonts w:ascii="Arial" w:cs="Arial" w:eastAsia="Arial" w:hAnsi="Arial"/>
          <w:sz w:val="18"/>
          <w:szCs w:val="18"/>
          <w:color w:val="auto"/>
        </w:rPr>
        <w:t>Net sales in MC decreased 9.5% compared to the third quarter of 2019, driven by declines across all major product grades.</w:t>
      </w:r>
    </w:p>
    <w:p>
      <w:pPr>
        <w:spacing w:after="0" w:line="67" w:lineRule="exact"/>
        <w:rPr>
          <w:rFonts w:ascii="Arial" w:cs="Arial" w:eastAsia="Arial" w:hAnsi="Arial"/>
          <w:sz w:val="20"/>
          <w:szCs w:val="20"/>
          <w:color w:val="auto"/>
        </w:rPr>
      </w:pPr>
    </w:p>
    <w:p>
      <w:pPr>
        <w:ind w:left="1300" w:right="20" w:hanging="320"/>
        <w:spacing w:after="0" w:line="292" w:lineRule="auto"/>
        <w:tabs>
          <w:tab w:leader="none" w:pos="1295" w:val="left"/>
        </w:tabs>
        <w:numPr>
          <w:ilvl w:val="1"/>
          <w:numId w:val="11"/>
        </w:numPr>
        <w:rPr>
          <w:rFonts w:ascii="Arial" w:cs="Arial" w:eastAsia="Arial" w:hAnsi="Arial"/>
          <w:sz w:val="18"/>
          <w:szCs w:val="18"/>
          <w:color w:val="auto"/>
        </w:rPr>
      </w:pPr>
      <w:r>
        <w:rPr>
          <w:rFonts w:ascii="Arial" w:cs="Arial" w:eastAsia="Arial" w:hAnsi="Arial"/>
          <w:sz w:val="18"/>
          <w:szCs w:val="18"/>
          <w:color w:val="auto"/>
        </w:rPr>
        <w:t>Net sales in AEC decreased 39.2% primarily driven by a significant decline in the LEAP program. Net sales also decreased in the Boeing 787 program. Those declines were partially offset by growth in the F-35 and CH53K platforms.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19" w:lineRule="exact"/>
        <w:rPr>
          <w:sz w:val="20"/>
          <w:szCs w:val="20"/>
          <w:color w:val="auto"/>
        </w:rPr>
      </w:pPr>
    </w:p>
    <w:p>
      <w:pPr>
        <w:ind w:left="980" w:hanging="324"/>
        <w:spacing w:after="0" w:line="292"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$1.4 million during the first nine months of 2020, as compared to 2019, principally due to the weaker Chinese renminbi in 2020.</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Net sales decreased 15.2% compared to the same period in 2019.</w:t>
      </w:r>
    </w:p>
    <w:p>
      <w:pPr>
        <w:spacing w:after="0" w:line="35" w:lineRule="exact"/>
        <w:rPr>
          <w:rFonts w:ascii="Arial" w:cs="Arial" w:eastAsia="Arial" w:hAnsi="Arial"/>
          <w:sz w:val="18"/>
          <w:szCs w:val="18"/>
          <w:color w:val="auto"/>
        </w:rPr>
      </w:pPr>
    </w:p>
    <w:p>
      <w:pPr>
        <w:ind w:left="1300" w:right="60" w:hanging="320"/>
        <w:spacing w:after="0" w:line="237" w:lineRule="auto"/>
        <w:tabs>
          <w:tab w:leader="none" w:pos="1288" w:val="left"/>
        </w:tabs>
        <w:numPr>
          <w:ilvl w:val="1"/>
          <w:numId w:val="12"/>
        </w:numPr>
        <w:rPr>
          <w:rFonts w:ascii="Arial" w:cs="Arial" w:eastAsia="Arial" w:hAnsi="Arial"/>
          <w:sz w:val="20"/>
          <w:szCs w:val="20"/>
          <w:color w:val="auto"/>
        </w:rPr>
      </w:pPr>
      <w:r>
        <w:rPr>
          <w:rFonts w:ascii="Arial" w:cs="Arial" w:eastAsia="Arial" w:hAnsi="Arial"/>
          <w:sz w:val="18"/>
          <w:szCs w:val="18"/>
          <w:color w:val="auto"/>
        </w:rPr>
        <w:t>Net sales in MC decreased 4.6% compared to the first nine months of 2019. A decline in sales for the publication, tissue and pulp grades sales was partially offset by an increase in packaging grades.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00" w:right="20" w:hanging="320"/>
        <w:spacing w:after="0" w:line="292"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in AEC decreased 29.1% primarily driven by declines in the LEAP and Boeing 787 program sales partially offset by growth on the F-35 and CH-53K platforms.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bottom w:val="single" w:sz="8" w:color="auto"/>
            </w:tcBorders>
          </w:tcPr>
          <w:p>
            <w:pPr>
              <w:spacing w:after="0"/>
              <w:rPr>
                <w:sz w:val="17"/>
                <w:szCs w:val="17"/>
                <w:color w:val="auto"/>
              </w:rPr>
            </w:pPr>
          </w:p>
        </w:tc>
        <w:tc>
          <w:tcPr>
            <w:tcW w:w="3080" w:type="dxa"/>
            <w:vAlign w:val="bottom"/>
            <w:tcBorders>
              <w:top w:val="single" w:sz="8" w:color="auto"/>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2019</w:t>
            </w: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42"/>
              <w:spacing w:after="0"/>
              <w:rPr>
                <w:sz w:val="20"/>
                <w:szCs w:val="20"/>
                <w:color w:val="auto"/>
              </w:rPr>
            </w:pPr>
            <w:r>
              <w:rPr>
                <w:rFonts w:ascii="Arial" w:cs="Arial" w:eastAsia="Arial" w:hAnsi="Arial"/>
                <w:sz w:val="16"/>
                <w:szCs w:val="16"/>
                <w:b w:val="1"/>
                <w:bCs w:val="1"/>
                <w:color w:val="auto"/>
              </w:rPr>
              <w:t>71,471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79,225</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122"/>
              <w:spacing w:after="0"/>
              <w:rPr>
                <w:sz w:val="20"/>
                <w:szCs w:val="20"/>
                <w:color w:val="auto"/>
              </w:rPr>
            </w:pPr>
            <w:r>
              <w:rPr>
                <w:rFonts w:ascii="Arial" w:cs="Arial" w:eastAsia="Arial" w:hAnsi="Arial"/>
                <w:sz w:val="16"/>
                <w:szCs w:val="16"/>
                <w:b w:val="1"/>
                <w:bCs w:val="1"/>
                <w:color w:val="auto"/>
              </w:rPr>
              <w:t>227,734</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234,040</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15,831</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24,882</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52,020</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67,020</w:t>
            </w:r>
          </w:p>
        </w:tc>
      </w:tr>
      <w:tr>
        <w:trPr>
          <w:trHeight w:val="20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87,302</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104,107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279,754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301,060</w:t>
            </w:r>
          </w:p>
        </w:tc>
      </w:tr>
      <w:tr>
        <w:trPr>
          <w:trHeight w:val="21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41.2 %</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38.4 %</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41.5 %</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37.8 %</w:t>
            </w: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decrease in 2020 Gross profit, as compared to the same period in 2019, was principally due to the effect of lower Net sales in AEC, partially offset by an increase in gross profit as a percentage of sales. Gross profit as a percentage of sales:</w:t>
      </w:r>
    </w:p>
    <w:p>
      <w:pPr>
        <w:spacing w:after="0" w:line="1" w:lineRule="exact"/>
        <w:rPr>
          <w:sz w:val="20"/>
          <w:szCs w:val="20"/>
          <w:color w:val="auto"/>
        </w:rPr>
      </w:pPr>
    </w:p>
    <w:p>
      <w:pPr>
        <w:ind w:left="980" w:right="280" w:hanging="324"/>
        <w:spacing w:after="0" w:line="238" w:lineRule="auto"/>
        <w:tabs>
          <w:tab w:leader="none" w:pos="968" w:val="left"/>
        </w:tabs>
        <w:numPr>
          <w:ilvl w:val="0"/>
          <w:numId w:val="14"/>
        </w:numPr>
        <w:rPr>
          <w:rFonts w:ascii="Arial" w:cs="Arial" w:eastAsia="Arial" w:hAnsi="Arial"/>
          <w:sz w:val="20"/>
          <w:szCs w:val="20"/>
          <w:color w:val="auto"/>
        </w:rPr>
      </w:pPr>
      <w:r>
        <w:rPr>
          <w:rFonts w:ascii="Arial" w:cs="Arial" w:eastAsia="Arial" w:hAnsi="Arial"/>
          <w:sz w:val="18"/>
          <w:szCs w:val="18"/>
          <w:color w:val="auto"/>
        </w:rPr>
        <w:t>Decreased from 52.4% in 2019 to 51.5% in 2020 in Machine Clothing, principally due to lower absorption of fixed costs due to the lower Net sales, partially offset by favorable foreign currency exchange rates (Brazilian real and Mexican peso).</w:t>
      </w:r>
    </w:p>
    <w:p>
      <w:pPr>
        <w:spacing w:after="0" w:line="1" w:lineRule="exact"/>
        <w:rPr>
          <w:rFonts w:ascii="Arial" w:cs="Arial" w:eastAsia="Arial" w:hAnsi="Arial"/>
          <w:sz w:val="20"/>
          <w:szCs w:val="20"/>
          <w:color w:val="auto"/>
        </w:rPr>
      </w:pPr>
    </w:p>
    <w:p>
      <w:pPr>
        <w:ind w:left="980" w:right="380" w:hanging="324"/>
        <w:spacing w:after="0" w:line="233" w:lineRule="auto"/>
        <w:tabs>
          <w:tab w:leader="none" w:pos="968" w:val="left"/>
        </w:tabs>
        <w:numPr>
          <w:ilvl w:val="0"/>
          <w:numId w:val="14"/>
        </w:numPr>
        <w:rPr>
          <w:rFonts w:ascii="Arial" w:cs="Arial" w:eastAsia="Arial" w:hAnsi="Arial"/>
          <w:sz w:val="20"/>
          <w:szCs w:val="20"/>
          <w:color w:val="auto"/>
        </w:rPr>
      </w:pPr>
      <w:r>
        <w:rPr>
          <w:rFonts w:ascii="Arial" w:cs="Arial" w:eastAsia="Arial" w:hAnsi="Arial"/>
          <w:sz w:val="18"/>
          <w:szCs w:val="18"/>
          <w:color w:val="auto"/>
        </w:rPr>
        <w:t>Increased from 20.8% in 2019 to 21.6% in 2020 in AEC, driven by a favorable mix in program revenue and an increase in favorable adjustments to the estimated profitability of long-term contracts, which increased third quarter 2020 Gross profit by $3.5 million, compared to $3.3 million in the third quarter of 2019.</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19"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decrease in 2020 Gross profit, as compared to the same period in 2019, was principally due to the effect of lower Net sales in AEC, partially offset by an increase in gross profit as a percentage of sales. Gross profit as a percentage of sales:</w:t>
      </w:r>
    </w:p>
    <w:p>
      <w:pPr>
        <w:ind w:left="980" w:right="24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from 51.9% in 2019 to 53.1% in 2020 in Machine Clothing, principally due to lower depreciation expense. The gross profit margin in 2020 was also favorably impacted by a weaker Brazilian real and Mexican peso.</w:t>
      </w:r>
    </w:p>
    <w:p>
      <w:pPr>
        <w:spacing w:after="0" w:line="5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from 19.4% in 2019 to 21.2% in 2020 in AEC, principally due to a favorable shift in the mix of program revenue.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top w:val="single" w:sz="8" w:color="auto"/>
              <w:bottom w:val="single" w:sz="8" w:color="auto"/>
            </w:tcBorders>
          </w:tcPr>
          <w:p>
            <w:pPr>
              <w:spacing w:after="0"/>
              <w:rPr>
                <w:sz w:val="17"/>
                <w:szCs w:val="17"/>
                <w:color w:val="auto"/>
              </w:rPr>
            </w:pPr>
          </w:p>
        </w:tc>
        <w:tc>
          <w:tcPr>
            <w:tcW w:w="3080" w:type="dxa"/>
            <w:vAlign w:val="bottom"/>
            <w:tcBorders>
              <w:top w:val="single" w:sz="8" w:color="auto"/>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2019</w:t>
            </w: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42"/>
              <w:spacing w:after="0"/>
              <w:rPr>
                <w:sz w:val="20"/>
                <w:szCs w:val="20"/>
                <w:color w:val="auto"/>
              </w:rPr>
            </w:pPr>
            <w:r>
              <w:rPr>
                <w:rFonts w:ascii="Arial" w:cs="Arial" w:eastAsia="Arial" w:hAnsi="Arial"/>
                <w:sz w:val="16"/>
                <w:szCs w:val="16"/>
                <w:b w:val="1"/>
                <w:bCs w:val="1"/>
                <w:color w:val="auto"/>
              </w:rPr>
              <w:t>25,386</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27,529</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122"/>
              <w:spacing w:after="0"/>
              <w:rPr>
                <w:sz w:val="20"/>
                <w:szCs w:val="20"/>
                <w:color w:val="auto"/>
              </w:rPr>
            </w:pPr>
            <w:r>
              <w:rPr>
                <w:rFonts w:ascii="Arial" w:cs="Arial" w:eastAsia="Arial" w:hAnsi="Arial"/>
                <w:sz w:val="16"/>
                <w:szCs w:val="16"/>
                <w:b w:val="1"/>
                <w:bCs w:val="1"/>
                <w:color w:val="auto"/>
              </w:rPr>
              <w:t>76,903</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87,227</w:t>
            </w:r>
          </w:p>
        </w:tc>
      </w:tr>
      <w:tr>
        <w:trPr>
          <w:trHeight w:val="216"/>
        </w:trPr>
        <w:tc>
          <w:tcPr>
            <w:tcW w:w="50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60" w:type="dxa"/>
            <w:vAlign w:val="bottom"/>
          </w:tcPr>
          <w:p>
            <w:pPr>
              <w:spacing w:after="0"/>
              <w:rPr>
                <w:sz w:val="18"/>
                <w:szCs w:val="18"/>
                <w:color w:val="auto"/>
              </w:rPr>
            </w:pPr>
          </w:p>
        </w:tc>
        <w:tc>
          <w:tcPr>
            <w:tcW w:w="1260" w:type="dxa"/>
            <w:vAlign w:val="bottom"/>
          </w:tcPr>
          <w:p>
            <w:pPr>
              <w:jc w:val="right"/>
              <w:ind w:right="142"/>
              <w:spacing w:after="0"/>
              <w:rPr>
                <w:sz w:val="20"/>
                <w:szCs w:val="20"/>
                <w:color w:val="auto"/>
              </w:rPr>
            </w:pPr>
            <w:r>
              <w:rPr>
                <w:rFonts w:ascii="Arial" w:cs="Arial" w:eastAsia="Arial" w:hAnsi="Arial"/>
                <w:sz w:val="16"/>
                <w:szCs w:val="16"/>
                <w:b w:val="1"/>
                <w:bCs w:val="1"/>
                <w:color w:val="auto"/>
              </w:rPr>
              <w:t>8,646</w:t>
            </w: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7,572</w:t>
            </w:r>
          </w:p>
        </w:tc>
        <w:tc>
          <w:tcPr>
            <w:tcW w:w="320" w:type="dxa"/>
            <w:vAlign w:val="bottom"/>
          </w:tcPr>
          <w:p>
            <w:pPr>
              <w:spacing w:after="0"/>
              <w:rPr>
                <w:sz w:val="18"/>
                <w:szCs w:val="18"/>
                <w:color w:val="auto"/>
              </w:rPr>
            </w:pPr>
          </w:p>
        </w:tc>
        <w:tc>
          <w:tcPr>
            <w:tcW w:w="1380" w:type="dxa"/>
            <w:vAlign w:val="bottom"/>
          </w:tcPr>
          <w:p>
            <w:pPr>
              <w:jc w:val="right"/>
              <w:ind w:right="122"/>
              <w:spacing w:after="0"/>
              <w:rPr>
                <w:sz w:val="20"/>
                <w:szCs w:val="20"/>
                <w:color w:val="auto"/>
              </w:rPr>
            </w:pPr>
            <w:r>
              <w:rPr>
                <w:rFonts w:ascii="Arial" w:cs="Arial" w:eastAsia="Arial" w:hAnsi="Arial"/>
                <w:sz w:val="16"/>
                <w:szCs w:val="16"/>
                <w:b w:val="1"/>
                <w:bCs w:val="1"/>
                <w:color w:val="auto"/>
              </w:rPr>
              <w:t>26,664</w:t>
            </w:r>
          </w:p>
        </w:tc>
        <w:tc>
          <w:tcPr>
            <w:tcW w:w="40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22,404</w:t>
            </w:r>
          </w:p>
        </w:tc>
      </w:tr>
      <w:tr>
        <w:trPr>
          <w:trHeight w:val="22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13,787</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13,572</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40,904</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40,294</w:t>
            </w:r>
          </w:p>
        </w:tc>
      </w:tr>
      <w:tr>
        <w:trPr>
          <w:trHeight w:val="20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47,819</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48,673</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144,471</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149,925</w:t>
            </w:r>
          </w:p>
        </w:tc>
      </w:tr>
      <w:tr>
        <w:trPr>
          <w:trHeight w:val="21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22.6 %</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18.0 %</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21.4 %</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9"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The overall decrease in STG&amp;R expenses in the third quarter of 2020, compared to the same period in 2019, was principally due to the net effect of the following individually significant items:</w:t>
      </w:r>
    </w:p>
    <w:p>
      <w:pPr>
        <w:spacing w:after="0" w:line="293" w:lineRule="exact"/>
        <w:rPr>
          <w:sz w:val="20"/>
          <w:szCs w:val="20"/>
          <w:color w:val="auto"/>
        </w:rPr>
      </w:pPr>
    </w:p>
    <w:p>
      <w:pPr>
        <w:ind w:left="980" w:right="780" w:hanging="324"/>
        <w:spacing w:after="0" w:line="278" w:lineRule="auto"/>
        <w:tabs>
          <w:tab w:leader="none" w:pos="968" w:val="left"/>
        </w:tabs>
        <w:numPr>
          <w:ilvl w:val="0"/>
          <w:numId w:val="16"/>
        </w:numPr>
        <w:rPr>
          <w:rFonts w:ascii="Arial" w:cs="Arial" w:eastAsia="Arial" w:hAnsi="Arial"/>
          <w:sz w:val="19"/>
          <w:szCs w:val="19"/>
          <w:color w:val="auto"/>
        </w:rPr>
      </w:pPr>
      <w:r>
        <w:rPr>
          <w:rFonts w:ascii="Arial" w:cs="Arial" w:eastAsia="Arial" w:hAnsi="Arial"/>
          <w:sz w:val="17"/>
          <w:szCs w:val="17"/>
          <w:color w:val="auto"/>
        </w:rPr>
        <w:t>In MC, revaluation of nonfunctional currency assets and liabilities resulted in third-quarter losses of $1.3 million in 2020, compared to gains of $1.0 million in 2019. That effect was offset by lower travel and incentive compensation expense.</w:t>
      </w:r>
    </w:p>
    <w:p>
      <w:pPr>
        <w:spacing w:after="0" w:line="33" w:lineRule="exact"/>
        <w:rPr>
          <w:rFonts w:ascii="Arial" w:cs="Arial" w:eastAsia="Arial" w:hAnsi="Arial"/>
          <w:sz w:val="19"/>
          <w:szCs w:val="19"/>
          <w:color w:val="auto"/>
        </w:rPr>
      </w:pPr>
    </w:p>
    <w:p>
      <w:pPr>
        <w:ind w:left="980" w:right="20" w:hanging="324"/>
        <w:spacing w:after="0" w:line="292"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AEC, STG&amp;R expenses increased $1.1 million, principally due STG&amp;R costs of CirComp, which the Company acquired in November 2019.</w:t>
      </w:r>
    </w:p>
    <w:p>
      <w:pPr>
        <w:spacing w:after="0" w:line="49" w:lineRule="exact"/>
        <w:rPr>
          <w:rFonts w:ascii="Arial" w:cs="Arial" w:eastAsia="Arial" w:hAnsi="Arial"/>
          <w:sz w:val="18"/>
          <w:szCs w:val="18"/>
          <w:color w:val="auto"/>
        </w:rPr>
      </w:pPr>
    </w:p>
    <w:p>
      <w:pPr>
        <w:ind w:left="980" w:hanging="324"/>
        <w:spacing w:after="0" w:line="265" w:lineRule="auto"/>
        <w:tabs>
          <w:tab w:leader="none" w:pos="968" w:val="left"/>
        </w:tabs>
        <w:numPr>
          <w:ilvl w:val="0"/>
          <w:numId w:val="16"/>
        </w:numPr>
        <w:rPr>
          <w:rFonts w:ascii="Arial" w:cs="Arial" w:eastAsia="Arial" w:hAnsi="Arial"/>
          <w:sz w:val="20"/>
          <w:szCs w:val="20"/>
          <w:color w:val="auto"/>
        </w:rPr>
      </w:pPr>
      <w:r>
        <w:rPr>
          <w:rFonts w:ascii="Arial" w:cs="Arial" w:eastAsia="Arial" w:hAnsi="Arial"/>
          <w:sz w:val="18"/>
          <w:szCs w:val="18"/>
          <w:color w:val="auto"/>
        </w:rPr>
        <w:t>Corporate expenses increased in 2020 due to higher incentive compensation expense, partially offset by lower travel expenses as a result of the COVID-19 pandemic.</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19" w:lineRule="exact"/>
        <w:rPr>
          <w:sz w:val="20"/>
          <w:szCs w:val="20"/>
          <w:color w:val="auto"/>
        </w:rPr>
      </w:pPr>
    </w:p>
    <w:p>
      <w:pPr>
        <w:ind w:right="20" w:firstLine="648"/>
        <w:spacing w:after="0" w:line="292" w:lineRule="auto"/>
        <w:rPr>
          <w:sz w:val="20"/>
          <w:szCs w:val="20"/>
          <w:color w:val="auto"/>
        </w:rPr>
      </w:pPr>
      <w:r>
        <w:rPr>
          <w:rFonts w:ascii="Arial" w:cs="Arial" w:eastAsia="Arial" w:hAnsi="Arial"/>
          <w:sz w:val="18"/>
          <w:szCs w:val="18"/>
          <w:color w:val="auto"/>
        </w:rPr>
        <w:t>The overall decrease in STG&amp;R expenses in the first nine months of 2020, compared to the same period in 2019, was principally due to the net effect of the following individually significant items:</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MC, the following items impacted STG&amp;R expenses</w:t>
      </w:r>
    </w:p>
    <w:p>
      <w:pPr>
        <w:spacing w:after="0" w:line="17" w:lineRule="exact"/>
        <w:rPr>
          <w:rFonts w:ascii="Arial" w:cs="Arial" w:eastAsia="Arial" w:hAnsi="Arial"/>
          <w:sz w:val="18"/>
          <w:szCs w:val="18"/>
          <w:color w:val="auto"/>
        </w:rPr>
      </w:pPr>
    </w:p>
    <w:p>
      <w:pPr>
        <w:ind w:left="1300" w:right="140" w:hanging="320"/>
        <w:spacing w:after="0" w:line="234"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Revaluation of nonfunctional currency assets and liabilities resulted in a gain of $1.3 million in the first nine months of 2020, compared to a gain of $0.7 million in 2019.</w:t>
      </w:r>
    </w:p>
    <w:p>
      <w:pPr>
        <w:spacing w:after="0" w:line="1"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Travel expenses were significantly lower in 2020, as a result of the COVID-19 pandemic.</w:t>
      </w:r>
    </w:p>
    <w:p>
      <w:pPr>
        <w:ind w:left="1300" w:hanging="320"/>
        <w:spacing w:after="0" w:line="23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STG&amp;R by $1.5 million.</w:t>
      </w:r>
    </w:p>
    <w:p>
      <w:pPr>
        <w:ind w:left="1300" w:right="260" w:hanging="320"/>
        <w:spacing w:after="0" w:line="250" w:lineRule="auto"/>
        <w:tabs>
          <w:tab w:leader="none" w:pos="129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factors above were partially offset by a charge of $1.0 million in the first quarter of 2020 for additional estimated credit losses recognized in accordance with ASC 326.</w:t>
      </w:r>
    </w:p>
    <w:p>
      <w:pPr>
        <w:spacing w:after="0" w:line="194" w:lineRule="exact"/>
        <w:rPr>
          <w:rFonts w:ascii="Arial" w:cs="Arial" w:eastAsia="Arial" w:hAnsi="Arial"/>
          <w:sz w:val="18"/>
          <w:szCs w:val="18"/>
          <w:color w:val="auto"/>
        </w:rPr>
      </w:pPr>
    </w:p>
    <w:p>
      <w:pPr>
        <w:ind w:left="660" w:right="20" w:hanging="328"/>
        <w:spacing w:after="0" w:line="27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AEC, STG&amp;R expenses increased due to expenses at CirComp, which the Company acquired in November 2019, and a charge of $0.5 million in the first quarter of 2020 for additional estimated credit losses recognized in accordance with ASC 326.</w:t>
      </w:r>
    </w:p>
    <w:p>
      <w:pPr>
        <w:spacing w:after="0" w:line="185" w:lineRule="exact"/>
        <w:rPr>
          <w:rFonts w:ascii="Arial" w:cs="Arial" w:eastAsia="Arial" w:hAnsi="Arial"/>
          <w:sz w:val="18"/>
          <w:szCs w:val="18"/>
          <w:color w:val="auto"/>
        </w:rPr>
      </w:pPr>
    </w:p>
    <w:p>
      <w:pPr>
        <w:ind w:left="660" w:right="100" w:hanging="328"/>
        <w:spacing w:after="0" w:line="249"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18"/>
          <w:szCs w:val="18"/>
          <w:color w:val="auto"/>
        </w:rPr>
        <w:t>Corporate STG&amp;R expenses increased principally due to former CEO termination costs and higher incentive compensation expense partially offset by lower professional fees and travel expenses.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19" w:lineRule="exact"/>
        <w:rPr>
          <w:sz w:val="20"/>
          <w:szCs w:val="20"/>
          <w:color w:val="auto"/>
        </w:rPr>
      </w:pPr>
    </w:p>
    <w:p>
      <w:pPr>
        <w:ind w:right="20" w:firstLine="324"/>
        <w:spacing w:after="0" w:line="292"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$4.2 million in the first nine months of 2020, compared to $1.1 million for the same period of 2019.</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restructuring expenses by business segment: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r>
      <w:tr>
        <w:trPr>
          <w:trHeight w:val="203"/>
        </w:trPr>
        <w:tc>
          <w:tcPr>
            <w:tcW w:w="53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(211)</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1,414</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1,125</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2,606</w:t>
            </w:r>
          </w:p>
        </w:tc>
        <w:tc>
          <w:tcPr>
            <w:tcW w:w="4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18</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4,189</w:t>
            </w:r>
          </w:p>
        </w:tc>
        <w:tc>
          <w:tcPr>
            <w:tcW w:w="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1,139</w:t>
            </w:r>
          </w:p>
        </w:tc>
      </w:tr>
    </w:tbl>
    <w:p>
      <w:pPr>
        <w:spacing w:after="0" w:line="328" w:lineRule="exact"/>
        <w:rPr>
          <w:sz w:val="20"/>
          <w:szCs w:val="20"/>
          <w:color w:val="auto"/>
        </w:rPr>
      </w:pPr>
    </w:p>
    <w:p>
      <w:pPr>
        <w:jc w:val="both"/>
        <w:ind w:right="180" w:firstLine="324"/>
        <w:spacing w:after="0" w:line="255" w:lineRule="auto"/>
        <w:rPr>
          <w:sz w:val="20"/>
          <w:szCs w:val="20"/>
          <w:color w:val="auto"/>
        </w:rPr>
      </w:pPr>
      <w:r>
        <w:rPr>
          <w:rFonts w:ascii="Arial" w:cs="Arial" w:eastAsia="Arial" w:hAnsi="Arial"/>
          <w:sz w:val="18"/>
          <w:szCs w:val="18"/>
          <w:color w:val="auto"/>
        </w:rPr>
        <w:t>In 2020, AEC reduced its workforce at various locations, principally in the United States, leading to restructuring charges of $2.6 million for the first three quarters of 2020. As a result of these actions, annual cost savings associated with this action will principally lower Cost of goods sold and Selling, general, and administrative expenses in 2020.</w:t>
      </w:r>
    </w:p>
    <w:p>
      <w:pPr>
        <w:spacing w:after="0" w:line="191" w:lineRule="exact"/>
        <w:rPr>
          <w:sz w:val="20"/>
          <w:szCs w:val="20"/>
          <w:color w:val="auto"/>
        </w:rPr>
      </w:pPr>
    </w:p>
    <w:p>
      <w:pPr>
        <w:jc w:val="both"/>
        <w:ind w:right="80" w:firstLine="324"/>
        <w:spacing w:after="0" w:line="255" w:lineRule="auto"/>
        <w:rPr>
          <w:sz w:val="20"/>
          <w:szCs w:val="20"/>
          <w:color w:val="auto"/>
        </w:rPr>
      </w:pPr>
      <w:r>
        <w:rPr>
          <w:rFonts w:ascii="Arial" w:cs="Arial" w:eastAsia="Arial" w:hAnsi="Arial"/>
          <w:sz w:val="18"/>
          <w:szCs w:val="18"/>
          <w:color w:val="auto"/>
        </w:rPr>
        <w:t>Machine Clothing restructuring charges for the first nine months of 2020 and 2019 were principally related to dthe plant closure of its MC production facility in Sélestat, France that was announced in 2017. The restructuring program was driven by the Company’s need to balance manufacturing capacity with demand. Since 2017, we have recorded $13.3 million of restructuring charges related to this action.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r>
      <w:tr>
        <w:trPr>
          <w:trHeight w:val="203"/>
        </w:trPr>
        <w:tc>
          <w:tcPr>
            <w:tcW w:w="53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45,699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left="301"/>
              <w:spacing w:after="0"/>
              <w:rPr>
                <w:sz w:val="20"/>
                <w:szCs w:val="20"/>
                <w:color w:val="auto"/>
              </w:rPr>
            </w:pPr>
            <w:r>
              <w:rPr>
                <w:rFonts w:ascii="Arial" w:cs="Arial" w:eastAsia="Arial" w:hAnsi="Arial"/>
                <w:sz w:val="16"/>
                <w:szCs w:val="16"/>
                <w:color w:val="auto"/>
              </w:rPr>
              <w:t>51,906</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149,418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145,688</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6,828</w:t>
            </w:r>
          </w:p>
        </w:tc>
        <w:tc>
          <w:tcPr>
            <w:tcW w:w="300" w:type="dxa"/>
            <w:vAlign w:val="bottom"/>
          </w:tcPr>
          <w:p>
            <w:pPr>
              <w:spacing w:after="0"/>
              <w:rPr>
                <w:sz w:val="18"/>
                <w:szCs w:val="18"/>
                <w:color w:val="auto"/>
              </w:rPr>
            </w:pPr>
          </w:p>
        </w:tc>
        <w:tc>
          <w:tcPr>
            <w:tcW w:w="1000" w:type="dxa"/>
            <w:vAlign w:val="bottom"/>
          </w:tcPr>
          <w:p>
            <w:pPr>
              <w:jc w:val="center"/>
              <w:ind w:left="301"/>
              <w:spacing w:after="0"/>
              <w:rPr>
                <w:sz w:val="20"/>
                <w:szCs w:val="20"/>
                <w:color w:val="auto"/>
              </w:rPr>
            </w:pPr>
            <w:r>
              <w:rPr>
                <w:rFonts w:ascii="Arial" w:cs="Arial" w:eastAsia="Arial" w:hAnsi="Arial"/>
                <w:sz w:val="16"/>
                <w:szCs w:val="16"/>
                <w:color w:val="auto"/>
              </w:rPr>
              <w:t>17,345</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22,749</w:t>
            </w: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44,598</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(13,754)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color w:val="auto"/>
              </w:rPr>
              <w:t>(13,573)</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(41,073)</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(40,290)</w:t>
            </w:r>
          </w:p>
        </w:tc>
      </w:tr>
      <w:tr>
        <w:trPr>
          <w:trHeight w:val="20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38,773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center"/>
              <w:ind w:left="301"/>
              <w:spacing w:after="0"/>
              <w:rPr>
                <w:sz w:val="20"/>
                <w:szCs w:val="20"/>
                <w:color w:val="auto"/>
              </w:rPr>
            </w:pPr>
            <w:r>
              <w:rPr>
                <w:rFonts w:ascii="Arial" w:cs="Arial" w:eastAsia="Arial" w:hAnsi="Arial"/>
                <w:sz w:val="16"/>
                <w:szCs w:val="16"/>
                <w:color w:val="auto"/>
              </w:rPr>
              <w:t>55,678</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131,094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149,996</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Borders>
              <w:top w:val="single" w:sz="8" w:color="auto"/>
            </w:tcBorders>
          </w:tcPr>
          <w:p>
            <w:pPr>
              <w:spacing w:after="0"/>
              <w:rPr>
                <w:sz w:val="17"/>
                <w:szCs w:val="17"/>
                <w:color w:val="auto"/>
              </w:rPr>
            </w:pPr>
          </w:p>
        </w:tc>
        <w:tc>
          <w:tcPr>
            <w:tcW w:w="260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top w:val="single" w:sz="8" w:color="auto"/>
              <w:bottom w:val="single" w:sz="8" w:color="auto"/>
            </w:tcBorders>
          </w:tcPr>
          <w:p>
            <w:pPr>
              <w:spacing w:after="0"/>
              <w:rPr>
                <w:sz w:val="17"/>
                <w:szCs w:val="17"/>
                <w:color w:val="auto"/>
              </w:rPr>
            </w:pPr>
          </w:p>
        </w:tc>
        <w:tc>
          <w:tcPr>
            <w:tcW w:w="2980" w:type="dxa"/>
            <w:vAlign w:val="bottom"/>
            <w:tcBorders>
              <w:top w:val="single" w:sz="8" w:color="auto"/>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2019</w:t>
            </w:r>
          </w:p>
        </w:tc>
      </w:tr>
      <w:tr>
        <w:trPr>
          <w:trHeight w:val="203"/>
        </w:trPr>
        <w:tc>
          <w:tcPr>
            <w:tcW w:w="53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jc w:val="right"/>
              <w:ind w:right="124"/>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2,242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3,987</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10,042</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13,035</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Other expense/(income),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(2,745)</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(1,628)</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13,915</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(1,906)</w:t>
            </w:r>
          </w:p>
        </w:tc>
      </w:tr>
      <w:tr>
        <w:trPr>
          <w:trHeight w:val="216"/>
        </w:trPr>
        <w:tc>
          <w:tcPr>
            <w:tcW w:w="53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9,686</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13,194</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37,504</w:t>
            </w:r>
          </w:p>
        </w:tc>
        <w:tc>
          <w:tcPr>
            <w:tcW w:w="3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35,075</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(1,419)</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539</w:t>
            </w: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Year-to-date 2020 Interest expense, net, was lower as compared to 2019 due to lower average debt and lower interest rate. The successful resolution of a claim for rebate of foreign sales tax paid reduced interest expense,net by $0.9 million. See the Capital Resources section for further discussion of borrowings and interest rates.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Other (income)/expense, net included the following individually significant items:</w:t>
      </w:r>
    </w:p>
    <w:p>
      <w:pPr>
        <w:spacing w:after="0" w:line="374" w:lineRule="exact"/>
        <w:rPr>
          <w:sz w:val="20"/>
          <w:szCs w:val="20"/>
          <w:color w:val="auto"/>
        </w:rPr>
      </w:pPr>
    </w:p>
    <w:p>
      <w:pPr>
        <w:ind w:left="980" w:right="200" w:hanging="324"/>
        <w:spacing w:after="0" w:line="249" w:lineRule="auto"/>
        <w:tabs>
          <w:tab w:leader="none" w:pos="968" w:val="left"/>
        </w:tabs>
        <w:numPr>
          <w:ilvl w:val="0"/>
          <w:numId w:val="18"/>
        </w:numPr>
        <w:rPr>
          <w:rFonts w:ascii="Arial" w:cs="Arial" w:eastAsia="Arial" w:hAnsi="Arial"/>
          <w:sz w:val="20"/>
          <w:szCs w:val="20"/>
          <w:color w:val="auto"/>
        </w:rPr>
      </w:pPr>
      <w:r>
        <w:rPr>
          <w:rFonts w:ascii="Arial" w:cs="Arial" w:eastAsia="Arial" w:hAnsi="Arial"/>
          <w:sz w:val="18"/>
          <w:szCs w:val="18"/>
          <w:color w:val="auto"/>
        </w:rPr>
        <w:t>The revaluation of nonfunctional currency cash and intercompany balances resulted in a gain of $2.0 million in the third quarter of 2019 compared to a gain of $0.1 million for the same period of 2020.</w:t>
      </w:r>
    </w:p>
    <w:p>
      <w:pPr>
        <w:spacing w:after="0" w:line="208" w:lineRule="exact"/>
        <w:rPr>
          <w:rFonts w:ascii="Arial" w:cs="Arial" w:eastAsia="Arial" w:hAnsi="Arial"/>
          <w:sz w:val="20"/>
          <w:szCs w:val="20"/>
          <w:color w:val="auto"/>
        </w:rPr>
      </w:pPr>
    </w:p>
    <w:p>
      <w:pPr>
        <w:jc w:val="both"/>
        <w:ind w:left="980" w:right="300" w:hanging="324"/>
        <w:spacing w:after="0" w:line="242" w:lineRule="auto"/>
        <w:tabs>
          <w:tab w:leader="none" w:pos="968" w:val="left"/>
        </w:tabs>
        <w:numPr>
          <w:ilvl w:val="0"/>
          <w:numId w:val="18"/>
        </w:numPr>
        <w:rPr>
          <w:rFonts w:ascii="Arial" w:cs="Arial" w:eastAsia="Arial" w:hAnsi="Arial"/>
          <w:sz w:val="20"/>
          <w:szCs w:val="20"/>
          <w:color w:val="auto"/>
        </w:rPr>
      </w:pPr>
      <w:r>
        <w:rPr>
          <w:rFonts w:ascii="Arial" w:cs="Arial" w:eastAsia="Arial" w:hAnsi="Arial"/>
          <w:sz w:val="18"/>
          <w:szCs w:val="18"/>
          <w:color w:val="auto"/>
        </w:rPr>
        <w:t>For the first nine months of 2020, revaluation of nonfunctional currency cash and intercompany balances resulted in a loss of $14.7 million, compared to a net gain of $3.7 million in 2019. The loss in 2020 principally resulted from intercompany demand loans payable by Mexican subsidiaries, combined with the effects of a much weaker peso in 2020.</w:t>
      </w:r>
    </w:p>
    <w:p>
      <w:pPr>
        <w:spacing w:after="0" w:line="201" w:lineRule="exact"/>
        <w:rPr>
          <w:rFonts w:ascii="Arial" w:cs="Arial" w:eastAsia="Arial" w:hAnsi="Arial"/>
          <w:sz w:val="20"/>
          <w:szCs w:val="20"/>
          <w:color w:val="auto"/>
        </w:rPr>
      </w:pPr>
    </w:p>
    <w:p>
      <w:pPr>
        <w:ind w:left="980" w:right="220" w:hanging="324"/>
        <w:spacing w:after="0" w:line="276"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third quarter of 2020, the Company successfully resolved a claim for a rebate of foreign sales tax paid in previous years, resulting in a gain of $2.6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4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241" w:lineRule="exact"/>
        <w:rPr>
          <w:sz w:val="20"/>
          <w:szCs w:val="20"/>
          <w:color w:val="auto"/>
        </w:rPr>
      </w:pPr>
    </w:p>
    <w:p>
      <w:pPr>
        <w:ind w:right="220" w:firstLine="324"/>
        <w:spacing w:after="0" w:line="248" w:lineRule="auto"/>
        <w:rPr>
          <w:sz w:val="20"/>
          <w:szCs w:val="20"/>
          <w:color w:val="auto"/>
        </w:rPr>
      </w:pPr>
      <w:r>
        <w:rPr>
          <w:rFonts w:ascii="Arial" w:cs="Arial" w:eastAsia="Arial" w:hAnsi="Arial"/>
          <w:sz w:val="18"/>
          <w:szCs w:val="18"/>
          <w:color w:val="auto"/>
        </w:rPr>
        <w:t>The Company’s effective tax rates for the third quarter of 2020 and 2019 were 24.7% and 24.7%, respectively, and for the first three quarters of 2020 and 2019, were 35.0% and 25.3%,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197" w:lineRule="exact"/>
        <w:rPr>
          <w:sz w:val="20"/>
          <w:szCs w:val="20"/>
          <w:color w:val="auto"/>
        </w:rPr>
      </w:pPr>
    </w:p>
    <w:p>
      <w:pPr>
        <w:ind w:right="40" w:firstLine="324"/>
        <w:spacing w:after="0" w:line="276" w:lineRule="auto"/>
        <w:rPr>
          <w:sz w:val="20"/>
          <w:szCs w:val="20"/>
          <w:color w:val="auto"/>
        </w:rPr>
      </w:pPr>
      <w:r>
        <w:rPr>
          <w:rFonts w:ascii="Arial" w:cs="Arial" w:eastAsia="Arial" w:hAnsi="Arial"/>
          <w:sz w:val="18"/>
          <w:szCs w:val="18"/>
          <w:color w:val="auto"/>
        </w:rPr>
        <w:t>Significant items that impacted the effective tax rate in the third quarters of 2020 and 2019 included the following (percentages reflect the effect of each item as a percentage of income before income taxes):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244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440" w:type="dxa"/>
            <w:vAlign w:val="bottom"/>
            <w:tcBorders>
              <w:bottom w:val="single" w:sz="8" w:color="auto"/>
            </w:tcBorders>
            <w:gridSpan w:val="4"/>
            <w:vMerge w:val="continue"/>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5"/>
                <w:szCs w:val="15"/>
                <w:color w:val="auto"/>
              </w:rPr>
            </w:pPr>
          </w:p>
        </w:tc>
        <w:tc>
          <w:tcPr>
            <w:tcW w:w="600" w:type="dxa"/>
            <w:vAlign w:val="bottom"/>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40" w:type="dxa"/>
            <w:vAlign w:val="bottom"/>
          </w:tcPr>
          <w:p>
            <w:pPr>
              <w:spacing w:after="0"/>
              <w:rPr>
                <w:sz w:val="15"/>
                <w:szCs w:val="15"/>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line="168" w:lineRule="exact"/>
              <w:rPr>
                <w:sz w:val="20"/>
                <w:szCs w:val="20"/>
                <w:color w:val="auto"/>
              </w:rPr>
            </w:pPr>
            <w:r>
              <w:rPr>
                <w:rFonts w:ascii="Arial" w:cs="Arial" w:eastAsia="Arial" w:hAnsi="Arial"/>
                <w:sz w:val="16"/>
                <w:szCs w:val="16"/>
                <w:color w:val="auto"/>
              </w:rPr>
              <w:t>(in thousands, except</w:t>
            </w:r>
          </w:p>
        </w:tc>
        <w:tc>
          <w:tcPr>
            <w:tcW w:w="120" w:type="dxa"/>
            <w:vAlign w:val="bottom"/>
          </w:tcPr>
          <w:p>
            <w:pPr>
              <w:spacing w:after="0"/>
              <w:rPr>
                <w:sz w:val="14"/>
                <w:szCs w:val="14"/>
                <w:color w:val="auto"/>
              </w:rPr>
            </w:pPr>
          </w:p>
        </w:tc>
        <w:tc>
          <w:tcPr>
            <w:tcW w:w="720" w:type="dxa"/>
            <w:vAlign w:val="bottom"/>
          </w:tcPr>
          <w:p>
            <w:pPr>
              <w:jc w:val="right"/>
              <w:ind w:right="61"/>
              <w:spacing w:after="0" w:line="168" w:lineRule="exact"/>
              <w:rPr>
                <w:sz w:val="20"/>
                <w:szCs w:val="20"/>
                <w:color w:val="auto"/>
              </w:rPr>
            </w:pPr>
            <w:r>
              <w:rPr>
                <w:rFonts w:ascii="Arial" w:cs="Arial" w:eastAsia="Arial" w:hAnsi="Arial"/>
                <w:sz w:val="16"/>
                <w:szCs w:val="16"/>
                <w:b w:val="1"/>
                <w:bCs w:val="1"/>
                <w:color w:val="auto"/>
              </w:rPr>
              <w:t>Tax</w:t>
            </w:r>
          </w:p>
        </w:tc>
        <w:tc>
          <w:tcPr>
            <w:tcW w:w="760" w:type="dxa"/>
            <w:vAlign w:val="bottom"/>
            <w:vMerge w:val="restart"/>
          </w:tcPr>
          <w:p>
            <w:pPr>
              <w:jc w:val="center"/>
              <w:ind w:right="1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68" w:lineRule="exact"/>
              <w:rPr>
                <w:sz w:val="20"/>
                <w:szCs w:val="20"/>
                <w:color w:val="auto"/>
              </w:rPr>
            </w:pPr>
            <w:r>
              <w:rPr>
                <w:rFonts w:ascii="Arial" w:cs="Arial" w:eastAsia="Arial" w:hAnsi="Arial"/>
                <w:sz w:val="16"/>
                <w:szCs w:val="16"/>
                <w:color w:val="auto"/>
              </w:rPr>
              <w:t>Tax</w:t>
            </w:r>
          </w:p>
        </w:tc>
        <w:tc>
          <w:tcPr>
            <w:tcW w:w="78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tcPr>
          <w:p>
            <w:pPr>
              <w:jc w:val="right"/>
              <w:ind w:right="60"/>
              <w:spacing w:after="0" w:line="168" w:lineRule="exact"/>
              <w:rPr>
                <w:sz w:val="20"/>
                <w:szCs w:val="20"/>
                <w:color w:val="auto"/>
              </w:rPr>
            </w:pPr>
            <w:r>
              <w:rPr>
                <w:rFonts w:ascii="Arial" w:cs="Arial" w:eastAsia="Arial" w:hAnsi="Arial"/>
                <w:sz w:val="16"/>
                <w:szCs w:val="16"/>
                <w:b w:val="1"/>
                <w:bCs w:val="1"/>
                <w:color w:val="auto"/>
              </w:rPr>
              <w:t>Tax</w:t>
            </w:r>
          </w:p>
        </w:tc>
        <w:tc>
          <w:tcPr>
            <w:tcW w:w="840" w:type="dxa"/>
            <w:vAlign w:val="bottom"/>
            <w:vMerge w:val="restart"/>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68" w:lineRule="exact"/>
              <w:rPr>
                <w:sz w:val="20"/>
                <w:szCs w:val="20"/>
                <w:color w:val="auto"/>
              </w:rPr>
            </w:pPr>
            <w:r>
              <w:rPr>
                <w:rFonts w:ascii="Arial" w:cs="Arial" w:eastAsia="Arial" w:hAnsi="Arial"/>
                <w:sz w:val="16"/>
                <w:szCs w:val="16"/>
                <w:color w:val="auto"/>
              </w:rPr>
              <w:t>Tax</w:t>
            </w:r>
          </w:p>
        </w:tc>
        <w:tc>
          <w:tcPr>
            <w:tcW w:w="720" w:type="dxa"/>
            <w:vAlign w:val="bottom"/>
            <w:vMerge w:val="restart"/>
          </w:tcPr>
          <w:p>
            <w:pPr>
              <w:jc w:val="right"/>
              <w:ind w:right="19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percentages)</w:t>
            </w:r>
          </w:p>
        </w:tc>
        <w:tc>
          <w:tcPr>
            <w:tcW w:w="84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6"/>
                <w:szCs w:val="16"/>
                <w:b w:val="1"/>
                <w:bCs w:val="1"/>
                <w:color w:val="auto"/>
              </w:rPr>
              <w:t>Amount</w:t>
            </w:r>
          </w:p>
        </w:tc>
        <w:tc>
          <w:tcPr>
            <w:tcW w:w="76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7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Amount</w:t>
            </w:r>
          </w:p>
        </w:tc>
        <w:tc>
          <w:tcPr>
            <w:tcW w:w="8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line="155" w:lineRule="exact"/>
              <w:rPr>
                <w:sz w:val="20"/>
                <w:szCs w:val="20"/>
                <w:color w:val="auto"/>
              </w:rPr>
            </w:pPr>
            <w:r>
              <w:rPr>
                <w:rFonts w:ascii="Arial" w:cs="Arial" w:eastAsia="Arial" w:hAnsi="Arial"/>
                <w:sz w:val="16"/>
                <w:szCs w:val="16"/>
                <w:color w:val="auto"/>
              </w:rPr>
              <w:t>Continuing Operations</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12,666</w:t>
            </w: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 xml:space="preserve">32.2 % </w:t>
            </w:r>
            <w:r>
              <w:rPr>
                <w:rFonts w:ascii="Arial" w:cs="Arial" w:eastAsia="Arial" w:hAnsi="Arial"/>
                <w:sz w:val="16"/>
                <w:szCs w:val="16"/>
                <w:color w:val="auto"/>
              </w:rPr>
              <w:t>$ 14,662</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color w:val="auto"/>
              </w:rPr>
              <w:t xml:space="preserve">27.5 % </w:t>
            </w:r>
            <w:r>
              <w:rPr>
                <w:rFonts w:ascii="Arial" w:cs="Arial" w:eastAsia="Arial" w:hAnsi="Arial"/>
                <w:sz w:val="16"/>
                <w:szCs w:val="16"/>
                <w:b w:val="1"/>
                <w:bCs w:val="1"/>
                <w:color w:val="auto"/>
              </w:rPr>
              <w:t>$</w:t>
            </w: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34,550</w:t>
            </w: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32.2 % </w:t>
            </w: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38,256</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22"/>
        </w:trPr>
        <w:tc>
          <w:tcPr>
            <w:tcW w:w="2040" w:type="dxa"/>
            <w:vAlign w:val="bottom"/>
          </w:tcPr>
          <w:p>
            <w:pPr>
              <w:ind w:left="20"/>
              <w:spacing w:after="0"/>
              <w:rPr>
                <w:sz w:val="20"/>
                <w:szCs w:val="20"/>
                <w:color w:val="auto"/>
              </w:rPr>
            </w:pPr>
            <w:r>
              <w:rPr>
                <w:rFonts w:ascii="Arial" w:cs="Arial" w:eastAsia="Arial" w:hAnsi="Arial"/>
                <w:sz w:val="16"/>
                <w:szCs w:val="16"/>
                <w:color w:val="auto"/>
              </w:rPr>
              <w:t>(excluding discrete items)</w:t>
            </w:r>
          </w:p>
        </w:tc>
        <w:tc>
          <w:tcPr>
            <w:tcW w:w="1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40" w:type="dxa"/>
            <w:vAlign w:val="bottom"/>
          </w:tcPr>
          <w:p>
            <w:pPr>
              <w:ind w:left="20"/>
              <w:spacing w:after="0"/>
              <w:rPr>
                <w:sz w:val="20"/>
                <w:szCs w:val="20"/>
                <w:color w:val="auto"/>
              </w:rPr>
            </w:pPr>
            <w:r>
              <w:rPr>
                <w:rFonts w:ascii="Arial" w:cs="Arial" w:eastAsia="Arial" w:hAnsi="Arial"/>
                <w:sz w:val="16"/>
                <w:szCs w:val="16"/>
                <w:color w:val="auto"/>
              </w:rPr>
              <w:t>Audit settlements</w:t>
            </w:r>
          </w:p>
        </w:tc>
        <w:tc>
          <w:tcPr>
            <w:tcW w:w="120" w:type="dxa"/>
            <w:vAlign w:val="bottom"/>
          </w:tcPr>
          <w:p>
            <w:pPr>
              <w:spacing w:after="0"/>
              <w:rPr>
                <w:sz w:val="24"/>
                <w:szCs w:val="24"/>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b w:val="1"/>
                <w:bCs w:val="1"/>
                <w:color w:val="auto"/>
              </w:rPr>
              <w:t>(8)</w:t>
            </w: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 %</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8"/>
              <w:spacing w:after="0"/>
              <w:rPr>
                <w:sz w:val="20"/>
                <w:szCs w:val="20"/>
                <w:color w:val="auto"/>
              </w:rPr>
            </w:pPr>
            <w:r>
              <w:rPr>
                <w:rFonts w:ascii="Arial" w:cs="Arial" w:eastAsia="Arial" w:hAnsi="Arial"/>
                <w:sz w:val="16"/>
                <w:szCs w:val="16"/>
                <w:color w:val="auto"/>
              </w:rPr>
              <w:t>— %</w:t>
            </w:r>
          </w:p>
        </w:tc>
        <w:tc>
          <w:tcPr>
            <w:tcW w:w="800" w:type="dxa"/>
            <w:vAlign w:val="bottom"/>
          </w:tcPr>
          <w:p>
            <w:pPr>
              <w:jc w:val="right"/>
              <w:ind w:right="60"/>
              <w:spacing w:after="0"/>
              <w:rPr>
                <w:sz w:val="20"/>
                <w:szCs w:val="20"/>
                <w:color w:val="auto"/>
              </w:rPr>
            </w:pPr>
            <w:r>
              <w:rPr>
                <w:rFonts w:ascii="Arial" w:cs="Arial" w:eastAsia="Arial" w:hAnsi="Arial"/>
                <w:sz w:val="16"/>
                <w:szCs w:val="16"/>
                <w:b w:val="1"/>
                <w:bCs w:val="1"/>
                <w:color w:val="auto"/>
              </w:rPr>
              <w:t>(1,500)</w:t>
            </w:r>
          </w:p>
        </w:tc>
        <w:tc>
          <w:tcPr>
            <w:tcW w:w="840" w:type="dxa"/>
            <w:vAlign w:val="bottom"/>
          </w:tcPr>
          <w:p>
            <w:pPr>
              <w:jc w:val="right"/>
              <w:ind w:right="98"/>
              <w:spacing w:after="0"/>
              <w:rPr>
                <w:sz w:val="20"/>
                <w:szCs w:val="20"/>
                <w:color w:val="auto"/>
              </w:rPr>
            </w:pPr>
            <w:r>
              <w:rPr>
                <w:rFonts w:ascii="Arial" w:cs="Arial" w:eastAsia="Arial" w:hAnsi="Arial"/>
                <w:sz w:val="16"/>
                <w:szCs w:val="16"/>
                <w:b w:val="1"/>
                <w:bCs w:val="1"/>
                <w:color w:val="auto"/>
              </w:rPr>
              <w:t>(1.4)%</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7" w:lineRule="exact"/>
              <w:rPr>
                <w:sz w:val="20"/>
                <w:szCs w:val="20"/>
                <w:color w:val="auto"/>
              </w:rPr>
            </w:pPr>
            <w:r>
              <w:rPr>
                <w:rFonts w:ascii="Arial" w:cs="Arial" w:eastAsia="Arial" w:hAnsi="Arial"/>
                <w:sz w:val="16"/>
                <w:szCs w:val="16"/>
                <w:color w:val="auto"/>
              </w:rPr>
              <w:t>Changes in uncertain tax</w:t>
            </w:r>
          </w:p>
        </w:tc>
        <w:tc>
          <w:tcPr>
            <w:tcW w:w="120" w:type="dxa"/>
            <w:vAlign w:val="bottom"/>
          </w:tcPr>
          <w:p>
            <w:pPr>
              <w:spacing w:after="0"/>
              <w:rPr>
                <w:sz w:val="14"/>
                <w:szCs w:val="14"/>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(38)</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(0.1)%</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(558)</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4"/>
                <w:szCs w:val="14"/>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(279)</w:t>
            </w: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(0.3)%</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(2,785)</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positions</w:t>
            </w: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7" w:lineRule="exact"/>
              <w:rPr>
                <w:sz w:val="20"/>
                <w:szCs w:val="20"/>
                <w:color w:val="auto"/>
              </w:rPr>
            </w:pPr>
            <w:r>
              <w:rPr>
                <w:rFonts w:ascii="Arial" w:cs="Arial" w:eastAsia="Arial" w:hAnsi="Arial"/>
                <w:sz w:val="16"/>
                <w:szCs w:val="16"/>
                <w:color w:val="auto"/>
              </w:rPr>
              <w:t>Out-of-period adjustments</w:t>
            </w:r>
          </w:p>
        </w:tc>
        <w:tc>
          <w:tcPr>
            <w:tcW w:w="120" w:type="dxa"/>
            <w:vAlign w:val="bottom"/>
          </w:tcPr>
          <w:p>
            <w:pPr>
              <w:spacing w:after="0"/>
              <w:rPr>
                <w:sz w:val="14"/>
                <w:szCs w:val="14"/>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08"/>
              <w:spacing w:after="0"/>
              <w:rPr>
                <w:sz w:val="20"/>
                <w:szCs w:val="20"/>
                <w:color w:val="auto"/>
              </w:rPr>
            </w:pPr>
            <w:r>
              <w:rPr>
                <w:rFonts w:ascii="Arial" w:cs="Arial" w:eastAsia="Arial" w:hAnsi="Arial"/>
                <w:sz w:val="16"/>
                <w:szCs w:val="16"/>
                <w:color w:val="auto"/>
              </w:rPr>
              <w:t>— %</w:t>
            </w: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1,830</w:t>
            </w: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1.7 %</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to deferred tax assets</w:t>
            </w: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7" w:lineRule="exact"/>
              <w:rPr>
                <w:sz w:val="20"/>
                <w:szCs w:val="20"/>
                <w:color w:val="auto"/>
              </w:rPr>
            </w:pPr>
            <w:r>
              <w:rPr>
                <w:rFonts w:ascii="Arial" w:cs="Arial" w:eastAsia="Arial" w:hAnsi="Arial"/>
                <w:sz w:val="16"/>
                <w:szCs w:val="16"/>
                <w:color w:val="auto"/>
              </w:rPr>
              <w:t>Impact of Mexico foreign</w:t>
            </w:r>
          </w:p>
        </w:tc>
        <w:tc>
          <w:tcPr>
            <w:tcW w:w="120" w:type="dxa"/>
            <w:vAlign w:val="bottom"/>
          </w:tcPr>
          <w:p>
            <w:pPr>
              <w:spacing w:after="0"/>
              <w:rPr>
                <w:sz w:val="14"/>
                <w:szCs w:val="14"/>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08"/>
              <w:spacing w:after="0"/>
              <w:rPr>
                <w:sz w:val="20"/>
                <w:szCs w:val="20"/>
                <w:color w:val="auto"/>
              </w:rPr>
            </w:pPr>
            <w:r>
              <w:rPr>
                <w:rFonts w:ascii="Arial" w:cs="Arial" w:eastAsia="Arial" w:hAnsi="Arial"/>
                <w:sz w:val="16"/>
                <w:szCs w:val="16"/>
                <w:color w:val="auto"/>
              </w:rPr>
              <w:t>— %</w:t>
            </w: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3,658</w:t>
            </w: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3.4 %</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currency revaluation losses</w:t>
            </w: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7" w:lineRule="exact"/>
              <w:rPr>
                <w:sz w:val="20"/>
                <w:szCs w:val="20"/>
                <w:color w:val="auto"/>
              </w:rPr>
            </w:pPr>
            <w:r>
              <w:rPr>
                <w:rFonts w:ascii="Arial" w:cs="Arial" w:eastAsia="Arial" w:hAnsi="Arial"/>
                <w:sz w:val="16"/>
                <w:szCs w:val="16"/>
                <w:color w:val="auto"/>
              </w:rPr>
              <w:t>Changes in opening</w:t>
            </w:r>
          </w:p>
        </w:tc>
        <w:tc>
          <w:tcPr>
            <w:tcW w:w="120" w:type="dxa"/>
            <w:vAlign w:val="bottom"/>
          </w:tcPr>
          <w:p>
            <w:pPr>
              <w:spacing w:after="0"/>
              <w:rPr>
                <w:sz w:val="14"/>
                <w:szCs w:val="14"/>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940" w:type="dxa"/>
            <w:vAlign w:val="bottom"/>
            <w:gridSpan w:val="2"/>
            <w:vMerge w:val="restart"/>
          </w:tcPr>
          <w:p>
            <w:pPr>
              <w:jc w:val="right"/>
              <w:ind w:right="108"/>
              <w:spacing w:after="0"/>
              <w:rPr>
                <w:sz w:val="20"/>
                <w:szCs w:val="20"/>
                <w:color w:val="auto"/>
              </w:rPr>
            </w:pPr>
            <w:r>
              <w:rPr>
                <w:rFonts w:ascii="Arial" w:cs="Arial" w:eastAsia="Arial" w:hAnsi="Arial"/>
                <w:sz w:val="16"/>
                <w:szCs w:val="16"/>
                <w:color w:val="auto"/>
              </w:rPr>
              <w:t>— %</w:t>
            </w: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(1,366)</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7" w:lineRule="exact"/>
              <w:rPr>
                <w:sz w:val="20"/>
                <w:szCs w:val="20"/>
                <w:color w:val="auto"/>
              </w:rPr>
            </w:pPr>
            <w:r>
              <w:rPr>
                <w:rFonts w:ascii="Arial" w:cs="Arial" w:eastAsia="Arial" w:hAnsi="Arial"/>
                <w:sz w:val="16"/>
                <w:szCs w:val="16"/>
                <w:color w:val="auto"/>
              </w:rPr>
              <w:t>Changes in valuation</w:t>
            </w:r>
          </w:p>
        </w:tc>
        <w:tc>
          <w:tcPr>
            <w:tcW w:w="120" w:type="dxa"/>
            <w:vAlign w:val="bottom"/>
          </w:tcPr>
          <w:p>
            <w:pPr>
              <w:spacing w:after="0"/>
              <w:rPr>
                <w:sz w:val="14"/>
                <w:szCs w:val="14"/>
                <w:color w:val="auto"/>
              </w:rPr>
            </w:pPr>
          </w:p>
        </w:tc>
        <w:tc>
          <w:tcPr>
            <w:tcW w:w="72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8</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940" w:type="dxa"/>
            <w:vAlign w:val="bottom"/>
            <w:gridSpan w:val="2"/>
            <w:vMerge w:val="restart"/>
          </w:tcPr>
          <w:p>
            <w:pPr>
              <w:jc w:val="right"/>
              <w:ind w:right="108"/>
              <w:spacing w:after="0"/>
              <w:rPr>
                <w:sz w:val="20"/>
                <w:szCs w:val="20"/>
                <w:color w:val="auto"/>
              </w:rPr>
            </w:pPr>
            <w:r>
              <w:rPr>
                <w:rFonts w:ascii="Arial" w:cs="Arial" w:eastAsia="Arial" w:hAnsi="Arial"/>
                <w:sz w:val="16"/>
                <w:szCs w:val="16"/>
                <w:color w:val="auto"/>
              </w:rPr>
              <w:t>— %</w:t>
            </w:r>
          </w:p>
        </w:tc>
        <w:tc>
          <w:tcPr>
            <w:tcW w:w="800" w:type="dxa"/>
            <w:vAlign w:val="bottom"/>
            <w:vMerge w:val="restart"/>
          </w:tcPr>
          <w:p>
            <w:pPr>
              <w:jc w:val="right"/>
              <w:ind w:right="100"/>
              <w:spacing w:after="0"/>
              <w:rPr>
                <w:sz w:val="20"/>
                <w:szCs w:val="20"/>
                <w:color w:val="auto"/>
              </w:rPr>
            </w:pPr>
            <w:r>
              <w:rPr>
                <w:rFonts w:ascii="Arial" w:cs="Arial" w:eastAsia="Arial" w:hAnsi="Arial"/>
                <w:sz w:val="16"/>
                <w:szCs w:val="16"/>
                <w:b w:val="1"/>
                <w:bCs w:val="1"/>
                <w:color w:val="auto"/>
              </w:rPr>
              <w:t>230</w:t>
            </w: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0.2 %</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830</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1"/>
        </w:trPr>
        <w:tc>
          <w:tcPr>
            <w:tcW w:w="2040" w:type="dxa"/>
            <w:vAlign w:val="bottom"/>
          </w:tcPr>
          <w:p>
            <w:pPr>
              <w:ind w:left="20"/>
              <w:spacing w:after="0"/>
              <w:rPr>
                <w:sz w:val="20"/>
                <w:szCs w:val="20"/>
                <w:color w:val="auto"/>
              </w:rPr>
            </w:pPr>
            <w:r>
              <w:rPr>
                <w:rFonts w:ascii="Arial" w:cs="Arial" w:eastAsia="Arial" w:hAnsi="Arial"/>
                <w:sz w:val="16"/>
                <w:szCs w:val="16"/>
                <w:color w:val="auto"/>
              </w:rPr>
              <w:t>allowance</w:t>
            </w: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line="167" w:lineRule="exact"/>
              <w:rPr>
                <w:sz w:val="20"/>
                <w:szCs w:val="20"/>
                <w:color w:val="auto"/>
              </w:rPr>
            </w:pPr>
            <w:r>
              <w:rPr>
                <w:rFonts w:ascii="Arial" w:cs="Arial" w:eastAsia="Arial" w:hAnsi="Arial"/>
                <w:sz w:val="16"/>
                <w:szCs w:val="16"/>
                <w:color w:val="auto"/>
              </w:rPr>
              <w:t>Adjustment of prior year</w:t>
            </w:r>
          </w:p>
        </w:tc>
        <w:tc>
          <w:tcPr>
            <w:tcW w:w="120" w:type="dxa"/>
            <w:vAlign w:val="bottom"/>
          </w:tcPr>
          <w:p>
            <w:pPr>
              <w:spacing w:after="0"/>
              <w:rPr>
                <w:sz w:val="14"/>
                <w:szCs w:val="14"/>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(1,750)</w:t>
            </w:r>
          </w:p>
        </w:tc>
        <w:tc>
          <w:tcPr>
            <w:tcW w:w="7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(4.5)%</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(160)</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4"/>
                <w:szCs w:val="14"/>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(983)</w:t>
            </w: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(0.9)%</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187</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tax adjustments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(1,192)</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w:t>
            </w:r>
          </w:p>
        </w:tc>
        <w:tc>
          <w:tcPr>
            <w:tcW w:w="8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0.1 %</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0"/>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Tax Rate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9,686</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 xml:space="preserve">24.7 % </w:t>
            </w:r>
            <w:r>
              <w:rPr>
                <w:rFonts w:ascii="Arial" w:cs="Arial" w:eastAsia="Arial" w:hAnsi="Arial"/>
                <w:sz w:val="16"/>
                <w:szCs w:val="16"/>
                <w:color w:val="auto"/>
              </w:rPr>
              <w:t>$ 13,194</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xml:space="preserve">24.7 % </w:t>
            </w: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37,504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35.0 % </w:t>
            </w: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35,075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440" w:firstLine="324"/>
        <w:spacing w:after="0" w:line="276" w:lineRule="auto"/>
        <w:rPr>
          <w:sz w:val="20"/>
          <w:szCs w:val="20"/>
          <w:color w:val="auto"/>
        </w:rPr>
      </w:pPr>
      <w:r>
        <w:rPr>
          <w:rFonts w:ascii="Arial" w:cs="Arial" w:eastAsia="Arial" w:hAnsi="Arial"/>
          <w:sz w:val="18"/>
          <w:szCs w:val="18"/>
          <w:color w:val="auto"/>
        </w:rPr>
        <w:t>For more information on income tax, see Note 7 to the Consolidated Financial Statements in Item 1, which is incorporated herein by reference.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362" w:lineRule="exact"/>
        <w:rPr>
          <w:sz w:val="20"/>
          <w:szCs w:val="20"/>
          <w:color w:val="auto"/>
        </w:rPr>
      </w:pPr>
    </w:p>
    <w:p>
      <w:pPr>
        <w:ind w:right="200" w:firstLine="324"/>
        <w:spacing w:after="0" w:line="276" w:lineRule="auto"/>
        <w:rPr>
          <w:sz w:val="20"/>
          <w:szCs w:val="20"/>
          <w:color w:val="auto"/>
        </w:rPr>
      </w:pPr>
      <w:r>
        <w:rPr>
          <w:rFonts w:ascii="Arial" w:cs="Arial" w:eastAsia="Arial" w:hAnsi="Arial"/>
          <w:sz w:val="18"/>
          <w:szCs w:val="18"/>
          <w:color w:val="auto"/>
        </w:rPr>
        <w:t>Machine Clothing is our primary business segment and accounted for 64% of our consolidated revenues during the first nine months of 2020. MC products are purchased primarily by manufacturers of paper and paperboard.</w:t>
      </w:r>
    </w:p>
    <w:p>
      <w:pPr>
        <w:spacing w:after="0" w:line="172" w:lineRule="exact"/>
        <w:rPr>
          <w:sz w:val="20"/>
          <w:szCs w:val="20"/>
          <w:color w:val="auto"/>
        </w:rPr>
      </w:pPr>
    </w:p>
    <w:p>
      <w:pPr>
        <w:ind w:right="100" w:firstLine="324"/>
        <w:spacing w:after="0" w:line="241" w:lineRule="auto"/>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206"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80" w:firstLine="324"/>
        <w:spacing w:after="0" w:line="27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various countries.</w:t>
      </w: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Review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138,747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151,324</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428,782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450,673</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71,471</w:t>
            </w:r>
          </w:p>
        </w:tc>
        <w:tc>
          <w:tcPr>
            <w:tcW w:w="34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79,225</w:t>
            </w:r>
          </w:p>
        </w:tc>
        <w:tc>
          <w:tcPr>
            <w:tcW w:w="16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227,734</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234,040</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 of Net sales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51.5 %</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52.4 %</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53.1 %</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51.9 %</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25,386</w:t>
            </w:r>
          </w:p>
        </w:tc>
        <w:tc>
          <w:tcPr>
            <w:tcW w:w="34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27,529</w:t>
            </w:r>
          </w:p>
        </w:tc>
        <w:tc>
          <w:tcPr>
            <w:tcW w:w="16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76,903</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87,227</w:t>
            </w:r>
          </w:p>
        </w:tc>
      </w:tr>
      <w:tr>
        <w:trPr>
          <w:trHeight w:val="23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45,699</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51,906</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149,418</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145,688</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3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sales decreased by 8.3%.</w:t>
      </w:r>
    </w:p>
    <w:p>
      <w:pPr>
        <w:spacing w:after="0" w:line="252" w:lineRule="exact"/>
        <w:rPr>
          <w:rFonts w:ascii="Arial" w:cs="Arial" w:eastAsia="Arial" w:hAnsi="Arial"/>
          <w:sz w:val="18"/>
          <w:szCs w:val="18"/>
          <w:color w:val="auto"/>
        </w:rPr>
      </w:pPr>
    </w:p>
    <w:p>
      <w:pPr>
        <w:jc w:val="both"/>
        <w:ind w:left="660" w:right="420" w:hanging="328"/>
        <w:spacing w:after="0" w:line="242"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Changes in currency translation rates had the effect of increasing third-quarter 2020 sales by $1.8 million compared to the same period in 2019. That currency translation effect was principally due to the stronger euro in the third quarter of 2020, compared to 2019.</w:t>
      </w:r>
    </w:p>
    <w:p>
      <w:pPr>
        <w:spacing w:after="0" w:line="214" w:lineRule="exact"/>
        <w:rPr>
          <w:rFonts w:ascii="Arial" w:cs="Arial" w:eastAsia="Arial" w:hAnsi="Arial"/>
          <w:sz w:val="20"/>
          <w:szCs w:val="20"/>
          <w:color w:val="auto"/>
        </w:rPr>
      </w:pPr>
    </w:p>
    <w:p>
      <w:pPr>
        <w:ind w:left="660" w:right="40" w:hanging="328"/>
        <w:spacing w:after="0" w:line="249"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18"/>
          <w:szCs w:val="18"/>
          <w:color w:val="auto"/>
        </w:rPr>
        <w:t>Excluding the effect of changes in currency translation rates, Net sales in MC decreased 9.5% compared to the third quarter of 2019, driven by declines across all major product grades.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68"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18"/>
          <w:szCs w:val="18"/>
          <w:color w:val="auto"/>
        </w:rPr>
        <w:t>Net sales decreased by 4.9%.</w:t>
      </w:r>
    </w:p>
    <w:p>
      <w:pPr>
        <w:spacing w:after="0" w:line="229" w:lineRule="exact"/>
        <w:rPr>
          <w:rFonts w:ascii="Arial" w:cs="Arial" w:eastAsia="Arial" w:hAnsi="Arial"/>
          <w:sz w:val="20"/>
          <w:szCs w:val="20"/>
          <w:color w:val="auto"/>
        </w:rPr>
      </w:pPr>
    </w:p>
    <w:p>
      <w:pPr>
        <w:jc w:val="both"/>
        <w:ind w:left="660" w:right="40" w:hanging="328"/>
        <w:spacing w:after="0" w:line="242"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Changes in currency translation rates had the effect of decreasing sales for the first nine months of 2020 by $1.3 million compared to the same period in 2019. That currency translation effect was principally due to the weaker Chinese renminbi in the first nine months of 2020, compared to 2019.</w:t>
      </w:r>
    </w:p>
    <w:p>
      <w:pPr>
        <w:spacing w:after="0" w:line="214" w:lineRule="exact"/>
        <w:rPr>
          <w:rFonts w:ascii="Arial" w:cs="Arial" w:eastAsia="Arial" w:hAnsi="Arial"/>
          <w:sz w:val="20"/>
          <w:szCs w:val="20"/>
          <w:color w:val="auto"/>
        </w:rPr>
      </w:pPr>
    </w:p>
    <w:p>
      <w:pPr>
        <w:ind w:left="660" w:right="200" w:hanging="328"/>
        <w:spacing w:after="0" w:line="249"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18"/>
          <w:szCs w:val="18"/>
          <w:color w:val="auto"/>
        </w:rPr>
        <w:t>Excluding the effect of changes in currency translation rates, Net sales in MC decreased 4.6% compared to the first nine months of 2019. A decline in sales for the publication, tissue and pulp grades was partially offset by an increase in packaging grades.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362" w:lineRule="exact"/>
        <w:rPr>
          <w:sz w:val="20"/>
          <w:szCs w:val="20"/>
          <w:color w:val="auto"/>
        </w:rPr>
      </w:pPr>
    </w:p>
    <w:p>
      <w:pPr>
        <w:ind w:left="660" w:hanging="328"/>
        <w:spacing w:after="0" w:line="27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decrease in third-quarter MC Gross profit was principally due to lower Net sales which led to lower fixed cost absorption, partially offset by favorable foreign currency movements (a weaker Brazilian real and Mexican peso).</w:t>
      </w:r>
    </w:p>
    <w:p>
      <w:pPr>
        <w:spacing w:after="0" w:line="171" w:lineRule="exact"/>
        <w:rPr>
          <w:rFonts w:ascii="Arial" w:cs="Arial" w:eastAsia="Arial" w:hAnsi="Arial"/>
          <w:sz w:val="18"/>
          <w:szCs w:val="18"/>
          <w:color w:val="auto"/>
        </w:rPr>
      </w:pPr>
    </w:p>
    <w:p>
      <w:pPr>
        <w:ind w:left="660" w:right="440" w:hanging="328"/>
        <w:spacing w:after="0" w:line="27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decrease in year-to-date MC gross profit was principally due to lower depreciation expense. Gross profit was also favorably impacted by a weaker Brazilian real and Mexican peso in 2020.</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41" w:lineRule="exact"/>
        <w:rPr>
          <w:sz w:val="20"/>
          <w:szCs w:val="20"/>
          <w:color w:val="auto"/>
        </w:rPr>
      </w:pPr>
    </w:p>
    <w:p>
      <w:pPr>
        <w:ind w:right="740" w:firstLine="648"/>
        <w:spacing w:after="0" w:line="276" w:lineRule="auto"/>
        <w:rPr>
          <w:sz w:val="20"/>
          <w:szCs w:val="20"/>
          <w:color w:val="auto"/>
        </w:rPr>
      </w:pPr>
      <w:r>
        <w:rPr>
          <w:rFonts w:ascii="Arial" w:cs="Arial" w:eastAsia="Arial" w:hAnsi="Arial"/>
          <w:sz w:val="18"/>
          <w:szCs w:val="18"/>
          <w:color w:val="auto"/>
        </w:rPr>
        <w:t>The decrease in operating income was principally due to the net effect of lower Gross profit, partially offset by lower STG&amp;R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41" w:lineRule="exact"/>
        <w:rPr>
          <w:sz w:val="20"/>
          <w:szCs w:val="20"/>
          <w:color w:val="auto"/>
        </w:rPr>
      </w:pPr>
    </w:p>
    <w:p>
      <w:pPr>
        <w:ind w:right="740" w:firstLine="648"/>
        <w:spacing w:after="0" w:line="276" w:lineRule="auto"/>
        <w:rPr>
          <w:sz w:val="20"/>
          <w:szCs w:val="20"/>
          <w:color w:val="auto"/>
        </w:rPr>
      </w:pPr>
      <w:r>
        <w:rPr>
          <w:rFonts w:ascii="Arial" w:cs="Arial" w:eastAsia="Arial" w:hAnsi="Arial"/>
          <w:sz w:val="18"/>
          <w:szCs w:val="18"/>
          <w:color w:val="auto"/>
        </w:rPr>
        <w:t>The decrease in operating income was principally due to the net effect of lower Gross profit, partially offset by lower STG&amp;R expenses.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The LEAP engine is used on the Airbus A320neo and Boeing 737 MAX family of jets, the latter of which is currently under a grounding order, as described above. Other significant AEC programs include components for the F-35, fuselage frames for the Boeing 787, components for the CH53-K helicopter, and the fan case for the GE9X engine.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660" w:type="dxa"/>
            <w:vAlign w:val="bottom"/>
            <w:tcBorders>
              <w:top w:val="single" w:sz="8" w:color="auto"/>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top w:val="single" w:sz="8" w:color="auto"/>
              <w:bottom w:val="single" w:sz="8" w:color="auto"/>
            </w:tcBorders>
          </w:tcPr>
          <w:p>
            <w:pPr>
              <w:spacing w:after="0"/>
              <w:rPr>
                <w:sz w:val="17"/>
                <w:szCs w:val="17"/>
                <w:color w:val="auto"/>
              </w:rPr>
            </w:pPr>
          </w:p>
        </w:tc>
        <w:tc>
          <w:tcPr>
            <w:tcW w:w="2640" w:type="dxa"/>
            <w:vAlign w:val="bottom"/>
            <w:tcBorders>
              <w:top w:val="single" w:sz="8" w:color="auto"/>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73,252</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119,809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244,971</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345,781</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15,831</w:t>
            </w:r>
          </w:p>
        </w:tc>
        <w:tc>
          <w:tcPr>
            <w:tcW w:w="34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24,882</w:t>
            </w:r>
          </w:p>
        </w:tc>
        <w:tc>
          <w:tcPr>
            <w:tcW w:w="16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52,020</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67,020</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 of Net sales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21.6 %</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20.8 %</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21.2 %</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19.4 %</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60" w:type="dxa"/>
            <w:vAlign w:val="bottom"/>
          </w:tcPr>
          <w:p>
            <w:pPr>
              <w:spacing w:after="0"/>
              <w:rPr>
                <w:sz w:val="21"/>
                <w:szCs w:val="21"/>
                <w:color w:val="auto"/>
              </w:rPr>
            </w:pPr>
          </w:p>
        </w:tc>
        <w:tc>
          <w:tcPr>
            <w:tcW w:w="1240" w:type="dxa"/>
            <w:vAlign w:val="bottom"/>
          </w:tcPr>
          <w:p>
            <w:pPr>
              <w:jc w:val="right"/>
              <w:ind w:right="122"/>
              <w:spacing w:after="0"/>
              <w:rPr>
                <w:sz w:val="20"/>
                <w:szCs w:val="20"/>
                <w:color w:val="auto"/>
              </w:rPr>
            </w:pPr>
            <w:r>
              <w:rPr>
                <w:rFonts w:ascii="Arial" w:cs="Arial" w:eastAsia="Arial" w:hAnsi="Arial"/>
                <w:sz w:val="16"/>
                <w:szCs w:val="16"/>
                <w:b w:val="1"/>
                <w:bCs w:val="1"/>
                <w:color w:val="auto"/>
              </w:rPr>
              <w:t>8,646</w:t>
            </w:r>
          </w:p>
        </w:tc>
        <w:tc>
          <w:tcPr>
            <w:tcW w:w="34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7,572</w:t>
            </w:r>
          </w:p>
        </w:tc>
        <w:tc>
          <w:tcPr>
            <w:tcW w:w="160" w:type="dxa"/>
            <w:vAlign w:val="bottom"/>
          </w:tcPr>
          <w:p>
            <w:pPr>
              <w:spacing w:after="0"/>
              <w:rPr>
                <w:sz w:val="21"/>
                <w:szCs w:val="21"/>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26,664</w:t>
            </w:r>
          </w:p>
        </w:tc>
        <w:tc>
          <w:tcPr>
            <w:tcW w:w="320" w:type="dxa"/>
            <w:vAlign w:val="bottom"/>
          </w:tcPr>
          <w:p>
            <w:pPr>
              <w:spacing w:after="0"/>
              <w:rPr>
                <w:sz w:val="21"/>
                <w:szCs w:val="21"/>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22,404</w:t>
            </w:r>
          </w:p>
        </w:tc>
      </w:tr>
      <w:tr>
        <w:trPr>
          <w:trHeight w:val="23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6,828</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17,345</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22,749</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44,598</w:t>
            </w: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19" w:lineRule="exact"/>
        <w:rPr>
          <w:sz w:val="20"/>
          <w:szCs w:val="20"/>
          <w:color w:val="auto"/>
        </w:rPr>
      </w:pPr>
    </w:p>
    <w:p>
      <w:pPr>
        <w:ind w:right="280" w:firstLine="648"/>
        <w:spacing w:after="0" w:line="292" w:lineRule="auto"/>
        <w:rPr>
          <w:sz w:val="20"/>
          <w:szCs w:val="20"/>
          <w:color w:val="auto"/>
        </w:rPr>
      </w:pPr>
      <w:r>
        <w:rPr>
          <w:rFonts w:ascii="Arial" w:cs="Arial" w:eastAsia="Arial" w:hAnsi="Arial"/>
          <w:sz w:val="18"/>
          <w:szCs w:val="18"/>
          <w:color w:val="auto"/>
        </w:rPr>
        <w:t>The decrease in Net sales was principally due to lower LEAP and Boeing 787 program sales partially offset by growth on the F-35 and CH-53K platforms, which is consistent with the outlook for these programs provided by the Company in its last quarterly report.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 comparison</w:t>
      </w:r>
    </w:p>
    <w:p>
      <w:pPr>
        <w:spacing w:after="0" w:line="119" w:lineRule="exact"/>
        <w:rPr>
          <w:sz w:val="20"/>
          <w:szCs w:val="20"/>
          <w:color w:val="auto"/>
        </w:rPr>
      </w:pPr>
    </w:p>
    <w:p>
      <w:pPr>
        <w:ind w:right="900" w:firstLine="648"/>
        <w:spacing w:after="0" w:line="292" w:lineRule="auto"/>
        <w:rPr>
          <w:sz w:val="20"/>
          <w:szCs w:val="20"/>
          <w:color w:val="auto"/>
        </w:rPr>
      </w:pPr>
      <w:r>
        <w:rPr>
          <w:rFonts w:ascii="Arial" w:cs="Arial" w:eastAsia="Arial" w:hAnsi="Arial"/>
          <w:sz w:val="18"/>
          <w:szCs w:val="18"/>
          <w:color w:val="auto"/>
        </w:rPr>
        <w:t>The decrease in Gross profit was principally due to the decrease in Net sales, partially offset by an increase in gross profit percentage, which was partially due to a favorable shift in the mix of program revenue.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19" w:lineRule="exact"/>
        <w:rPr>
          <w:sz w:val="20"/>
          <w:szCs w:val="20"/>
          <w:color w:val="auto"/>
        </w:rPr>
      </w:pPr>
    </w:p>
    <w:p>
      <w:pPr>
        <w:ind w:right="100" w:firstLine="648"/>
        <w:spacing w:after="0" w:line="260"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cost-plus-fee agreement. Revenue earned under these arrangements accounted for approximately 29 percent of segment revenue for the first nine months of 2020 and 47 percent in 2019. LEAP engines are currently used on the Boeing 737 MAX, Airbus A320neo and COMAC aircraft. A number of countries, including the United States, have issued orders grounding Boeing 737 MAX aircraft. If these groundings cause a continued reduction in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production of this aircraft, this would have an adverse impact on demand for our LEAP engine parts. Such a decrease could, in turn, trigger an increase in demand for A320neo aircraft, which could somewhat offset this negative impact.</w:t>
      </w:r>
    </w:p>
    <w:p>
      <w:pPr>
        <w:spacing w:after="0" w:line="171"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spacing w:after="0" w:line="207" w:lineRule="exact"/>
        <w:rPr>
          <w:sz w:val="20"/>
          <w:szCs w:val="20"/>
          <w:color w:val="auto"/>
        </w:rPr>
      </w:pPr>
    </w:p>
    <w:p>
      <w:pPr>
        <w:ind w:right="80" w:firstLine="648"/>
        <w:spacing w:after="0" w:line="276" w:lineRule="auto"/>
        <w:rPr>
          <w:sz w:val="20"/>
          <w:szCs w:val="20"/>
          <w:color w:val="auto"/>
        </w:rPr>
      </w:pPr>
      <w:r>
        <w:rPr>
          <w:rFonts w:ascii="Arial" w:cs="Arial" w:eastAsia="Arial" w:hAnsi="Arial"/>
          <w:sz w:val="18"/>
          <w:szCs w:val="18"/>
          <w:color w:val="auto"/>
        </w:rPr>
        <w:t>The sum of net adjustments to the estimated profitability of long-term contracts increased AEC Gross profit by $9.5 million in the first nine months of 2020, compared to an increase of $8.8 million for the first nine months of 2019.</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41" w:lineRule="exact"/>
        <w:rPr>
          <w:sz w:val="20"/>
          <w:szCs w:val="20"/>
          <w:color w:val="auto"/>
        </w:rPr>
      </w:pPr>
    </w:p>
    <w:p>
      <w:pPr>
        <w:ind w:right="300" w:firstLine="648"/>
        <w:spacing w:after="0" w:line="276" w:lineRule="auto"/>
        <w:rPr>
          <w:sz w:val="20"/>
          <w:szCs w:val="20"/>
          <w:color w:val="auto"/>
        </w:rPr>
      </w:pPr>
      <w:r>
        <w:rPr>
          <w:rFonts w:ascii="Arial" w:cs="Arial" w:eastAsia="Arial" w:hAnsi="Arial"/>
          <w:sz w:val="18"/>
          <w:szCs w:val="18"/>
          <w:color w:val="auto"/>
        </w:rPr>
        <w:t>The decrease in operating income of $10.5 million in the third quarter of 2020 was principally due to the decrease in Net sales,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241" w:lineRule="exact"/>
        <w:rPr>
          <w:sz w:val="20"/>
          <w:szCs w:val="20"/>
          <w:color w:val="auto"/>
        </w:rPr>
      </w:pPr>
    </w:p>
    <w:p>
      <w:pPr>
        <w:ind w:right="200" w:firstLine="648"/>
        <w:spacing w:after="0" w:line="276" w:lineRule="auto"/>
        <w:rPr>
          <w:sz w:val="20"/>
          <w:szCs w:val="20"/>
          <w:color w:val="auto"/>
        </w:rPr>
      </w:pPr>
      <w:r>
        <w:rPr>
          <w:rFonts w:ascii="Arial" w:cs="Arial" w:eastAsia="Arial" w:hAnsi="Arial"/>
          <w:sz w:val="18"/>
          <w:szCs w:val="18"/>
          <w:color w:val="auto"/>
        </w:rPr>
        <w:t>The decrease in operating income of $21.8 million in the first nine months of 2020 was principally due to the decrease in Net sales, as described above.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230"/>
        </w:trPr>
        <w:tc>
          <w:tcPr>
            <w:tcW w:w="8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69,633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103,792</w:t>
            </w:r>
          </w:p>
        </w:tc>
      </w:tr>
      <w:tr>
        <w:trPr>
          <w:trHeight w:val="216"/>
        </w:trPr>
        <w:tc>
          <w:tcPr>
            <w:tcW w:w="86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54,306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52,964</w:t>
            </w:r>
          </w:p>
        </w:tc>
      </w:tr>
      <w:tr>
        <w:trPr>
          <w:trHeight w:val="216"/>
        </w:trPr>
        <w:tc>
          <w:tcPr>
            <w:tcW w:w="8620" w:type="dxa"/>
            <w:vAlign w:val="bottom"/>
          </w:tcPr>
          <w:p>
            <w:pPr>
              <w:ind w:left="120"/>
              <w:spacing w:after="0"/>
              <w:rPr>
                <w:sz w:val="20"/>
                <w:szCs w:val="20"/>
                <w:color w:val="auto"/>
              </w:rPr>
            </w:pPr>
            <w:r>
              <w:rPr>
                <w:rFonts w:ascii="Arial" w:cs="Arial" w:eastAsia="Arial" w:hAnsi="Arial"/>
                <w:sz w:val="16"/>
                <w:szCs w:val="16"/>
                <w:color w:val="auto"/>
              </w:rPr>
              <w:t>Changes in working capital (a)</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(65,460)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(37,686)</w:t>
            </w:r>
          </w:p>
        </w:tc>
      </w:tr>
      <w:tr>
        <w:trPr>
          <w:trHeight w:val="216"/>
        </w:trPr>
        <w:tc>
          <w:tcPr>
            <w:tcW w:w="8620" w:type="dxa"/>
            <w:vAlign w:val="bottom"/>
          </w:tcPr>
          <w:p>
            <w:pPr>
              <w:ind w:left="120"/>
              <w:spacing w:after="0"/>
              <w:rPr>
                <w:sz w:val="20"/>
                <w:szCs w:val="20"/>
                <w:color w:val="auto"/>
              </w:rPr>
            </w:pPr>
            <w:r>
              <w:rPr>
                <w:rFonts w:ascii="Arial" w:cs="Arial" w:eastAsia="Arial" w:hAnsi="Arial"/>
                <w:sz w:val="16"/>
                <w:szCs w:val="16"/>
                <w:color w:val="auto"/>
              </w:rPr>
              <w:t>Changes in other noncurrent liabilities and deferred taxes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12,021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8,391</w:t>
            </w:r>
          </w:p>
        </w:tc>
      </w:tr>
      <w:tr>
        <w:trPr>
          <w:trHeight w:val="223"/>
        </w:trPr>
        <w:tc>
          <w:tcPr>
            <w:tcW w:w="86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operating items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13,193</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r>
      <w:tr>
        <w:trPr>
          <w:trHeight w:val="203"/>
        </w:trPr>
        <w:tc>
          <w:tcPr>
            <w:tcW w:w="86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83,693</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126,593</w:t>
            </w:r>
          </w:p>
        </w:tc>
      </w:tr>
      <w:tr>
        <w:trPr>
          <w:trHeight w:val="216"/>
        </w:trPr>
        <w:tc>
          <w:tcPr>
            <w:tcW w:w="86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(31,475)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(49,152)</w:t>
            </w:r>
          </w:p>
        </w:tc>
      </w:tr>
      <w:tr>
        <w:trPr>
          <w:trHeight w:val="216"/>
        </w:trPr>
        <w:tc>
          <w:tcPr>
            <w:tcW w:w="86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(31,703)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(94,191)</w:t>
            </w:r>
          </w:p>
        </w:tc>
      </w:tr>
      <w:tr>
        <w:trPr>
          <w:trHeight w:val="22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(7,266)</w:t>
            </w:r>
          </w:p>
        </w:tc>
      </w:tr>
      <w:tr>
        <w:trPr>
          <w:trHeight w:val="203"/>
        </w:trPr>
        <w:tc>
          <w:tcPr>
            <w:tcW w:w="8620" w:type="dxa"/>
            <w:vAlign w:val="bottom"/>
          </w:tcPr>
          <w:p>
            <w:pPr>
              <w:ind w:left="20"/>
              <w:spacing w:after="0"/>
              <w:rPr>
                <w:sz w:val="20"/>
                <w:szCs w:val="20"/>
                <w:color w:val="auto"/>
              </w:rPr>
            </w:pPr>
            <w:r>
              <w:rPr>
                <w:rFonts w:ascii="Arial" w:cs="Arial" w:eastAsia="Arial" w:hAnsi="Arial"/>
                <w:sz w:val="16"/>
                <w:szCs w:val="16"/>
                <w:color w:val="auto"/>
              </w:rPr>
              <w:t>Increase/(decrease) in cash and cash equivalents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19,764</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(24,016)</w:t>
            </w:r>
          </w:p>
        </w:tc>
      </w:tr>
      <w:tr>
        <w:trPr>
          <w:trHeight w:val="223"/>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195,540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197,755</w:t>
            </w:r>
          </w:p>
        </w:tc>
      </w:tr>
      <w:tr>
        <w:trPr>
          <w:trHeight w:val="209"/>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215,304</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173,739</w:t>
            </w:r>
          </w:p>
        </w:tc>
      </w:tr>
    </w:tbl>
    <w:p>
      <w:pPr>
        <w:spacing w:after="0" w:line="63"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Accounts receivable, Contract assets, Inventories, Accounts payable and Accrued liabilities.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33"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color w:val="auto"/>
        </w:rPr>
        <w:t>Cash flow provided by operating activities was $83.7 million and $126.6 million in the first nine months of 2020 and 2019. The decrease of cash generated in 2020 was primarily due to increased working capital and decreased income from the LEAP program, which is consistent with the outlook for this program provided by the Company in its last quarterly report.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Cash paid for income taxes remained relatively flat year over year at $21.9 million and $21.4 million for the first nine months of 2020 and 2019, respectively.</w:t>
      </w:r>
    </w:p>
    <w:p>
      <w:pPr>
        <w:spacing w:after="0" w:line="17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8"/>
          <w:szCs w:val="18"/>
          <w:color w:val="auto"/>
        </w:rPr>
        <w:t>At September 30, 2020, we had $215.3 million of cash and cash equivalents, of which $180.1 million was held by subsidiaries outside of the United States.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for the first nine months were $31.5 million in 2020 and $49.2 million in 2019.</w:t>
      </w:r>
    </w:p>
    <w:p>
      <w:pPr>
        <w:spacing w:after="0" w:line="11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March 2020, the Company purchased, in cash, the primary CirComp GmbH operating facility in Germany for $5.8 million. This resulted in the recording of land and building assets, and the removal of the Right of use assets and associated lease liabilities that were included in the acquisition-date balance sheet, and is reflected as Principal payments on finance lease liabilities in Financing activities in the Consolidated Statements of Cash Flow.</w:t>
      </w:r>
    </w:p>
    <w:p>
      <w:pPr>
        <w:spacing w:after="0" w:line="61" w:lineRule="exact"/>
        <w:rPr>
          <w:sz w:val="20"/>
          <w:szCs w:val="20"/>
          <w:color w:val="auto"/>
        </w:rPr>
      </w:pPr>
    </w:p>
    <w:p>
      <w:pPr>
        <w:ind w:right="100" w:firstLine="324"/>
        <w:spacing w:after="0" w:line="271"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Future cash dividends will also depend on debt covenants and on the Board’s assessment of our ability to generate sufficient cash flows.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19" w:lineRule="exact"/>
        <w:rPr>
          <w:sz w:val="20"/>
          <w:szCs w:val="20"/>
          <w:color w:val="auto"/>
        </w:rPr>
      </w:pPr>
    </w:p>
    <w:p>
      <w:pPr>
        <w:ind w:right="120" w:firstLine="324"/>
        <w:spacing w:after="0" w:line="260"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The majority of our cash balance at September 30, 2020 was held by non-U.S. subsidiaries. Based on cash on hand and credit facilities, we anticipate that the Company has sufficient capital resources to operate for the foreseeable future. We were in compliance with all debt covenants as of September 30, 2020.</w:t>
      </w:r>
    </w:p>
    <w:p>
      <w:pPr>
        <w:spacing w:after="0" w:line="188" w:lineRule="exact"/>
        <w:rPr>
          <w:sz w:val="20"/>
          <w:szCs w:val="20"/>
          <w:color w:val="auto"/>
        </w:rPr>
      </w:pPr>
    </w:p>
    <w:p>
      <w:pPr>
        <w:ind w:firstLine="324"/>
        <w:spacing w:after="0" w:line="224" w:lineRule="auto"/>
        <w:rPr>
          <w:sz w:val="20"/>
          <w:szCs w:val="20"/>
          <w:color w:val="auto"/>
        </w:rPr>
      </w:pPr>
      <w:r>
        <w:rPr>
          <w:rFonts w:ascii="Arial" w:cs="Arial" w:eastAsia="Arial" w:hAnsi="Arial"/>
          <w:sz w:val="18"/>
          <w:szCs w:val="18"/>
          <w:color w:val="auto"/>
        </w:rPr>
        <w:t>On October 27, 2020, we entered into a $700 million unsecured Four-Year Revolving Credit Facility Agreement (the “Credit Agreement”) which amended and restated the prior amended and restated $685 million Five-Year Revolving Credit Facility Agreement, which we had entered into on November 7, 2017 (the “Prior Agreement”). The Credit Agreement matures on October 27, 2024. Under the Prior Agreement, $418 million of borrowings were outstanding as of September 30, 2020. The applicable interest rate for borrowings was LIBOR plus a spread, based on our leverage ratio at the time of borrowing, with an option to borrow at base rate. At the time of the last borrowing on September 28, 2020, the spread was 1.375%. Under the Prior Agreement, the spread was based on a pricing grid, which ranged from 1.250% to 1.750% and, after giving effect to the amendments, the applicable spread under the Credit Agreement increased by 25 basis points, now ranging from 1.50% to 2.00%, in each case, based on our leverage ratio. Under the Prior Agreement, we were required to maintain a leverage ratio (as defined in the agreement) of not greater than 3.50 to 1.00 and minimum interest coverage (as defined) of 3.00 to 1.00. Under the prior agreement, our leverage ratio was 1.50 to 1.00 and our interest coverage ratio was 14.62 to 1.00 as of September 30, 2020 and, at that date, we would have been able to borrow an additional $267 million.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15 to the Consolidated Financial Statements in Item 1, which is incorporated herein by reference.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As of September 30, 2020, we have no off-balance sheet arrangements required to be disclosed pursuant to Item 303(a)(4) of Regulation S-K.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The information set forth under Note 19 contained in Item 1, “Notes to Consolidated Financial Statements”, which is incorporated herein by reference.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Adjusted earnings per share (or Adjusted EPS). Such items are provided because management believes that they provide additional useful information to investors regarding the Company’s operational performance.</w:t>
      </w:r>
    </w:p>
    <w:p>
      <w:pPr>
        <w:spacing w:after="0" w:line="199"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Presenting sales and increases or decreases in Net sales, after currency effects are excluded, can give management and investors insight into underlying sales trends. 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An understanding of the impact in a particular quarter of specific restructuring costs, acquisition and related retention agreement expenses, former CEO severance costs, integration expenses, currency revaluation, pension settlement/curtailment charges,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w:t>
      </w:r>
    </w:p>
    <w:p>
      <w:pPr>
        <w:spacing w:after="0" w:line="203"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 The Company calculates EBITDA by removing the following from Net income: Interest expense net, Income tax expense, and Depreciation and amortization expense. Adjusted EBITDA is calculated by: adding to EBITDA costs associated with restructuring, former CEO severance costs, inventory write-offs associated with discontinued businesses; adding charges and credits related to pension plan settlements and curtailments; adding (or subtracting) revaluation losses (or gains); subtracting (or adding) gains (or losses) from the sale of buildings or investments; subtracting insurance recovery gains in excess of previously recorded losses; adding acquisition and related retention agreement expenses; adding integration expenses and subtracting (or adding) Income (or loss) attributable to the non-controlling interest in Albany Safran Composites (ASC). Adjusted earnings per share is calculated by adding to (or subtracting from) net income attributable to the Company per share, on an after-tax basis: restructuring charges; inventory write-offs associated with discontinued businesses; pension settlement/curtailments; the effect of changes in the income tax rate; foreign currency revaluation losses (or gains); acquisition-related expenses; and losses (or gains) from the sale of investments.</w:t>
      </w:r>
    </w:p>
    <w:p>
      <w:pPr>
        <w:spacing w:after="0" w:line="21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EBITDA, Adjusted EBITDA, and Adjusted earnings per share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Three months ended September 30,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0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80"/>
              <w:spacing w:after="0" w:line="142" w:lineRule="exact"/>
              <w:rPr>
                <w:sz w:val="20"/>
                <w:szCs w:val="20"/>
                <w:color w:val="auto"/>
              </w:rPr>
            </w:pPr>
            <w:r>
              <w:rPr>
                <w:rFonts w:ascii="Arial" w:cs="Arial" w:eastAsia="Arial" w:hAnsi="Arial"/>
                <w:sz w:val="14"/>
                <w:szCs w:val="14"/>
                <w:b w:val="1"/>
                <w:bCs w:val="1"/>
                <w:color w:val="auto"/>
              </w:rPr>
              <w:t>Albany Engineered</w:t>
            </w: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60"/>
              <w:spacing w:after="0" w:line="142"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6"/>
        </w:trPr>
        <w:tc>
          <w:tcPr>
            <w:tcW w:w="40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Composites</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45,699</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6,828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(13,754)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38,773</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(9,183)</w:t>
            </w:r>
          </w:p>
        </w:tc>
        <w:tc>
          <w:tcPr>
            <w:tcW w:w="0" w:type="dxa"/>
            <w:vAlign w:val="bottom"/>
          </w:tcPr>
          <w:p>
            <w:pPr>
              <w:spacing w:after="0"/>
              <w:rPr>
                <w:sz w:val="1"/>
                <w:szCs w:val="1"/>
                <w:color w:val="auto"/>
              </w:rPr>
            </w:pPr>
          </w:p>
        </w:tc>
      </w:tr>
      <w:tr>
        <w:trPr>
          <w:trHeight w:val="205"/>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45,699</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6,828</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(22,937)</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29,590</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2,242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9,686</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9,686</w:t>
            </w:r>
          </w:p>
        </w:tc>
        <w:tc>
          <w:tcPr>
            <w:tcW w:w="0" w:type="dxa"/>
            <w:vAlign w:val="bottom"/>
          </w:tcPr>
          <w:p>
            <w:pPr>
              <w:spacing w:after="0"/>
              <w:rPr>
                <w:sz w:val="1"/>
                <w:szCs w:val="1"/>
                <w:color w:val="auto"/>
              </w:rPr>
            </w:pPr>
          </w:p>
        </w:tc>
      </w:tr>
      <w:tr>
        <w:trPr>
          <w:trHeight w:val="22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12,236</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18,282</w:t>
            </w: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50,773</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19,064</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(10,037)</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59,800</w:t>
            </w:r>
          </w:p>
        </w:tc>
        <w:tc>
          <w:tcPr>
            <w:tcW w:w="0" w:type="dxa"/>
            <w:vAlign w:val="bottom"/>
          </w:tcPr>
          <w:p>
            <w:pPr>
              <w:spacing w:after="0"/>
              <w:rPr>
                <w:sz w:val="1"/>
                <w:szCs w:val="1"/>
                <w:color w:val="auto"/>
              </w:rPr>
            </w:pPr>
          </w:p>
        </w:tc>
      </w:tr>
      <w:tr>
        <w:trPr>
          <w:trHeight w:val="232"/>
        </w:trPr>
        <w:tc>
          <w:tcPr>
            <w:tcW w:w="406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384</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358</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1,422</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(226)</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291</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44"/>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61,831</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2"/>
                <w:szCs w:val="12"/>
                <w:color w:val="auto"/>
              </w:rPr>
            </w:pPr>
          </w:p>
        </w:tc>
        <w:tc>
          <w:tcPr>
            <w:tcW w:w="15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60" w:type="dxa"/>
            <w:vAlign w:val="bottom"/>
          </w:tcPr>
          <w:p>
            <w:pPr>
              <w:spacing w:after="0"/>
              <w:rPr>
                <w:sz w:val="12"/>
                <w:szCs w:val="12"/>
                <w:color w:val="auto"/>
              </w:rPr>
            </w:pPr>
          </w:p>
        </w:tc>
        <w:tc>
          <w:tcPr>
            <w:tcW w:w="1580" w:type="dxa"/>
            <w:vAlign w:val="bottom"/>
          </w:tcPr>
          <w:p>
            <w:pPr>
              <w:jc w:val="center"/>
              <w:ind w:right="80"/>
              <w:spacing w:after="0" w:line="142" w:lineRule="exact"/>
              <w:rPr>
                <w:sz w:val="20"/>
                <w:szCs w:val="20"/>
                <w:color w:val="auto"/>
              </w:rPr>
            </w:pPr>
            <w:r>
              <w:rPr>
                <w:rFonts w:ascii="Arial" w:cs="Arial" w:eastAsia="Arial" w:hAnsi="Arial"/>
                <w:sz w:val="14"/>
                <w:szCs w:val="14"/>
                <w:b w:val="1"/>
                <w:bCs w:val="1"/>
                <w:color w:val="auto"/>
              </w:rPr>
              <w:t>Albany Engineered</w:t>
            </w:r>
          </w:p>
        </w:tc>
        <w:tc>
          <w:tcPr>
            <w:tcW w:w="160" w:type="dxa"/>
            <w:vAlign w:val="bottom"/>
          </w:tcPr>
          <w:p>
            <w:pPr>
              <w:spacing w:after="0"/>
              <w:rPr>
                <w:sz w:val="12"/>
                <w:szCs w:val="12"/>
                <w:color w:val="auto"/>
              </w:rPr>
            </w:pPr>
          </w:p>
        </w:tc>
        <w:tc>
          <w:tcPr>
            <w:tcW w:w="1640" w:type="dxa"/>
            <w:vAlign w:val="bottom"/>
          </w:tcPr>
          <w:p>
            <w:pPr>
              <w:jc w:val="center"/>
              <w:ind w:right="60"/>
              <w:spacing w:after="0" w:line="142"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2"/>
                <w:szCs w:val="12"/>
                <w:color w:val="auto"/>
              </w:rPr>
            </w:pPr>
          </w:p>
        </w:tc>
        <w:tc>
          <w:tcPr>
            <w:tcW w:w="15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Composites</w:t>
            </w: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51,906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17,345</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(13,573)</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55,678</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(15,553)</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(15,553)</w:t>
            </w:r>
          </w:p>
        </w:tc>
        <w:tc>
          <w:tcPr>
            <w:tcW w:w="0" w:type="dxa"/>
            <w:vAlign w:val="bottom"/>
          </w:tcPr>
          <w:p>
            <w:pPr>
              <w:spacing w:after="0"/>
              <w:rPr>
                <w:sz w:val="1"/>
                <w:szCs w:val="1"/>
                <w:color w:val="auto"/>
              </w:rPr>
            </w:pPr>
          </w:p>
        </w:tc>
      </w:tr>
      <w:tr>
        <w:trPr>
          <w:trHeight w:val="205"/>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3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51,906</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17,345</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(29,126)</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40,125</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3,987</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13,194</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13,194</w:t>
            </w:r>
          </w:p>
        </w:tc>
        <w:tc>
          <w:tcPr>
            <w:tcW w:w="0" w:type="dxa"/>
            <w:vAlign w:val="bottom"/>
          </w:tcPr>
          <w:p>
            <w:pPr>
              <w:spacing w:after="0"/>
              <w:rPr>
                <w:sz w:val="1"/>
                <w:szCs w:val="1"/>
                <w:color w:val="auto"/>
              </w:rPr>
            </w:pPr>
          </w:p>
        </w:tc>
      </w:tr>
      <w:tr>
        <w:trPr>
          <w:trHeight w:val="22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5,149</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11,087</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17,254</w:t>
            </w: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57,055</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28,432</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(10,927)</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74,560</w:t>
            </w:r>
          </w:p>
        </w:tc>
        <w:tc>
          <w:tcPr>
            <w:tcW w:w="0" w:type="dxa"/>
            <w:vAlign w:val="bottom"/>
          </w:tcPr>
          <w:p>
            <w:pPr>
              <w:spacing w:after="0"/>
              <w:rPr>
                <w:sz w:val="1"/>
                <w:szCs w:val="1"/>
                <w:color w:val="auto"/>
              </w:rPr>
            </w:pPr>
          </w:p>
        </w:tc>
      </w:tr>
      <w:tr>
        <w:trPr>
          <w:trHeight w:val="232"/>
        </w:trPr>
        <w:tc>
          <w:tcPr>
            <w:tcW w:w="406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3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(1,021)</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341</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(2,706)</w:t>
            </w:r>
          </w:p>
        </w:tc>
        <w:tc>
          <w:tcPr>
            <w:tcW w:w="0" w:type="dxa"/>
            <w:vAlign w:val="bottom"/>
          </w:tcPr>
          <w:p>
            <w:pPr>
              <w:spacing w:after="0"/>
              <w:rPr>
                <w:sz w:val="1"/>
                <w:szCs w:val="1"/>
                <w:color w:val="auto"/>
              </w:rPr>
            </w:pPr>
          </w:p>
        </w:tc>
      </w:tr>
      <w:tr>
        <w:trPr>
          <w:trHeight w:val="244"/>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noncontrolling interest</w:t>
            </w:r>
          </w:p>
        </w:tc>
        <w:tc>
          <w:tcPr>
            <w:tcW w:w="3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(12,953)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71,449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Nine months ended September 30,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100"/>
              <w:spacing w:after="0" w:line="142"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center"/>
              <w:ind w:right="220"/>
              <w:spacing w:after="0" w:line="142"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149,418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22,749</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(41,073)</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131,094</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(61,461)</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(61,461)</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149,418</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22,749</w:t>
            </w:r>
          </w:p>
        </w:tc>
        <w:tc>
          <w:tcPr>
            <w:tcW w:w="3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(102,534)</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69,633</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10,042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10,042</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37,504</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37,504</w:t>
            </w:r>
          </w:p>
        </w:tc>
        <w:tc>
          <w:tcPr>
            <w:tcW w:w="0" w:type="dxa"/>
            <w:vAlign w:val="bottom"/>
          </w:tcPr>
          <w:p>
            <w:pPr>
              <w:spacing w:after="0"/>
              <w:rPr>
                <w:sz w:val="1"/>
                <w:szCs w:val="1"/>
                <w:color w:val="auto"/>
              </w:rPr>
            </w:pPr>
          </w:p>
        </w:tc>
      </w:tr>
      <w:tr>
        <w:trPr>
          <w:trHeight w:val="22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15,142</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36,192</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54,306</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164,560</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58,941</w:t>
            </w:r>
          </w:p>
        </w:tc>
        <w:tc>
          <w:tcPr>
            <w:tcW w:w="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(52,016)</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171,485</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1,414</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2,606</w:t>
            </w:r>
          </w:p>
        </w:tc>
        <w:tc>
          <w:tcPr>
            <w:tcW w:w="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4,189</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(1,265)</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501</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14,705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13,941</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2,742</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color w:val="auto"/>
              </w:rPr>
              <w:t>Acquisition/integration costs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867</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2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loss attributable to noncontrolling interest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11"/>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164,709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64,327</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(34,400)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194,636</w:t>
            </w:r>
          </w:p>
        </w:tc>
        <w:tc>
          <w:tcPr>
            <w:tcW w:w="0" w:type="dxa"/>
            <w:vAlign w:val="bottom"/>
          </w:tcPr>
          <w:p>
            <w:pPr>
              <w:spacing w:after="0"/>
              <w:rPr>
                <w:sz w:val="1"/>
                <w:szCs w:val="1"/>
                <w:color w:val="auto"/>
              </w:rPr>
            </w:pPr>
          </w:p>
        </w:tc>
      </w:tr>
      <w:tr>
        <w:trPr>
          <w:trHeight w:val="290"/>
        </w:trPr>
        <w:tc>
          <w:tcPr>
            <w:tcW w:w="3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 2019</w:t>
            </w: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5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Machine Clothing</w:t>
            </w:r>
          </w:p>
        </w:tc>
        <w:tc>
          <w:tcPr>
            <w:tcW w:w="180" w:type="dxa"/>
            <w:vAlign w:val="bottom"/>
          </w:tcPr>
          <w:p>
            <w:pPr>
              <w:spacing w:after="0"/>
              <w:rPr>
                <w:sz w:val="12"/>
                <w:szCs w:val="12"/>
                <w:color w:val="auto"/>
              </w:rPr>
            </w:pPr>
          </w:p>
        </w:tc>
        <w:tc>
          <w:tcPr>
            <w:tcW w:w="1560" w:type="dxa"/>
            <w:vAlign w:val="bottom"/>
          </w:tcPr>
          <w:p>
            <w:pPr>
              <w:jc w:val="center"/>
              <w:ind w:right="100"/>
              <w:spacing w:after="0" w:line="142" w:lineRule="exact"/>
              <w:rPr>
                <w:sz w:val="20"/>
                <w:szCs w:val="20"/>
                <w:color w:val="auto"/>
              </w:rPr>
            </w:pPr>
            <w:r>
              <w:rPr>
                <w:rFonts w:ascii="Arial" w:cs="Arial" w:eastAsia="Arial" w:hAnsi="Arial"/>
                <w:sz w:val="14"/>
                <w:szCs w:val="14"/>
                <w:b w:val="1"/>
                <w:bCs w:val="1"/>
                <w:color w:val="auto"/>
              </w:rPr>
              <w:t>Albany Engineered</w:t>
            </w:r>
          </w:p>
        </w:tc>
        <w:tc>
          <w:tcPr>
            <w:tcW w:w="320" w:type="dxa"/>
            <w:vAlign w:val="bottom"/>
          </w:tcPr>
          <w:p>
            <w:pPr>
              <w:spacing w:after="0"/>
              <w:rPr>
                <w:sz w:val="12"/>
                <w:szCs w:val="12"/>
                <w:color w:val="auto"/>
              </w:rPr>
            </w:pPr>
          </w:p>
        </w:tc>
        <w:tc>
          <w:tcPr>
            <w:tcW w:w="2080" w:type="dxa"/>
            <w:vAlign w:val="bottom"/>
          </w:tcPr>
          <w:p>
            <w:pPr>
              <w:jc w:val="center"/>
              <w:ind w:right="220"/>
              <w:spacing w:after="0" w:line="142" w:lineRule="exact"/>
              <w:rPr>
                <w:sz w:val="20"/>
                <w:szCs w:val="20"/>
                <w:color w:val="auto"/>
              </w:rPr>
            </w:pPr>
            <w:r>
              <w:rPr>
                <w:rFonts w:ascii="Arial" w:cs="Arial" w:eastAsia="Arial" w:hAnsi="Arial"/>
                <w:sz w:val="14"/>
                <w:szCs w:val="14"/>
                <w:b w:val="1"/>
                <w:bCs w:val="1"/>
                <w:color w:val="auto"/>
              </w:rPr>
              <w:t>Corporate expenses</w:t>
            </w:r>
          </w:p>
        </w:tc>
        <w:tc>
          <w:tcPr>
            <w:tcW w:w="240" w:type="dxa"/>
            <w:vAlign w:val="bottom"/>
          </w:tcPr>
          <w:p>
            <w:pPr>
              <w:spacing w:after="0"/>
              <w:rPr>
                <w:sz w:val="12"/>
                <w:szCs w:val="12"/>
                <w:color w:val="auto"/>
              </w:rPr>
            </w:pPr>
          </w:p>
        </w:tc>
        <w:tc>
          <w:tcPr>
            <w:tcW w:w="150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Composites</w:t>
            </w:r>
          </w:p>
        </w:tc>
        <w:tc>
          <w:tcPr>
            <w:tcW w:w="3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145,688</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44,598</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(40,290)</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149,996</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taxes, other income/(expense)</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(46,204)</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(46,204)</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145,688</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44,598</w:t>
            </w:r>
          </w:p>
        </w:tc>
        <w:tc>
          <w:tcPr>
            <w:tcW w:w="3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(86,494)</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103,792</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13,035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13,035</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35,075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35,075</w:t>
            </w:r>
          </w:p>
        </w:tc>
        <w:tc>
          <w:tcPr>
            <w:tcW w:w="0" w:type="dxa"/>
            <w:vAlign w:val="bottom"/>
          </w:tcPr>
          <w:p>
            <w:pPr>
              <w:spacing w:after="0"/>
              <w:rPr>
                <w:sz w:val="1"/>
                <w:szCs w:val="1"/>
                <w:color w:val="auto"/>
              </w:rPr>
            </w:pPr>
          </w:p>
        </w:tc>
      </w:tr>
      <w:tr>
        <w:trPr>
          <w:trHeight w:val="220"/>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16,674</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33,059</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3,231</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52,964</w:t>
            </w:r>
          </w:p>
        </w:tc>
        <w:tc>
          <w:tcPr>
            <w:tcW w:w="0" w:type="dxa"/>
            <w:vAlign w:val="bottom"/>
          </w:tcPr>
          <w:p>
            <w:pPr>
              <w:spacing w:after="0"/>
              <w:rPr>
                <w:sz w:val="1"/>
                <w:szCs w:val="1"/>
                <w:color w:val="auto"/>
              </w:rPr>
            </w:pPr>
          </w:p>
        </w:tc>
      </w:tr>
      <w:tr>
        <w:trPr>
          <w:trHeight w:val="219"/>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162,362</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77,657</w:t>
            </w:r>
          </w:p>
        </w:tc>
        <w:tc>
          <w:tcPr>
            <w:tcW w:w="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(35,153)</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204,866</w:t>
            </w:r>
          </w:p>
        </w:tc>
        <w:tc>
          <w:tcPr>
            <w:tcW w:w="0" w:type="dxa"/>
            <w:vAlign w:val="bottom"/>
          </w:tcPr>
          <w:p>
            <w:pPr>
              <w:spacing w:after="0"/>
              <w:rPr>
                <w:sz w:val="1"/>
                <w:szCs w:val="1"/>
                <w:color w:val="auto"/>
              </w:rPr>
            </w:pPr>
          </w:p>
        </w:tc>
      </w:tr>
      <w:tr>
        <w:trPr>
          <w:trHeight w:val="232"/>
        </w:trPr>
        <w:tc>
          <w:tcPr>
            <w:tcW w:w="360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1,125</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(734)</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655</w:t>
            </w:r>
          </w:p>
        </w:tc>
        <w:tc>
          <w:tcPr>
            <w:tcW w:w="3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(3,716)</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(3,795)</w:t>
            </w:r>
          </w:p>
        </w:tc>
        <w:tc>
          <w:tcPr>
            <w:tcW w:w="0" w:type="dxa"/>
            <w:vAlign w:val="bottom"/>
          </w:tcPr>
          <w:p>
            <w:pPr>
              <w:spacing w:after="0"/>
              <w:rPr>
                <w:sz w:val="1"/>
                <w:szCs w:val="1"/>
                <w:color w:val="auto"/>
              </w:rPr>
            </w:pPr>
          </w:p>
        </w:tc>
      </w:tr>
      <w:tr>
        <w:trPr>
          <w:trHeight w:val="200"/>
        </w:trPr>
        <w:tc>
          <w:tcPr>
            <w:tcW w:w="3600" w:type="dxa"/>
            <w:vAlign w:val="bottom"/>
          </w:tcPr>
          <w:p>
            <w:pPr>
              <w:ind w:left="20"/>
              <w:spacing w:after="0"/>
              <w:rPr>
                <w:sz w:val="20"/>
                <w:szCs w:val="20"/>
                <w:color w:val="auto"/>
              </w:rPr>
            </w:pPr>
            <w:r>
              <w:rPr>
                <w:rFonts w:ascii="Arial" w:cs="Arial" w:eastAsia="Arial" w:hAnsi="Arial"/>
                <w:sz w:val="16"/>
                <w:szCs w:val="16"/>
                <w:color w:val="auto"/>
              </w:rPr>
              <w:t>Pre-tax (income) attributable to noncontrolling</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1"/>
        </w:trPr>
        <w:tc>
          <w:tcPr>
            <w:tcW w:w="3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162,753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77,608</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(38,873)</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an income tax rate based on either the tax rates in specific countries or the estimated tax rate applied to total company results. The after-tax amount is then divided by the weighted-average number of shares outstanding for each period. Year-to-date earnings per-share effects are determined by adding the amounts calculated at each reporting period.</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Three months ended September 30, 2020</w:t>
            </w:r>
          </w:p>
        </w:tc>
        <w:tc>
          <w:tcPr>
            <w:tcW w:w="2740" w:type="dxa"/>
            <w:vAlign w:val="bottom"/>
          </w:tcPr>
          <w:p>
            <w:pPr>
              <w:jc w:val="center"/>
              <w:ind w:left="1268"/>
              <w:spacing w:after="0"/>
              <w:rPr>
                <w:sz w:val="20"/>
                <w:szCs w:val="20"/>
                <w:color w:val="auto"/>
              </w:rPr>
            </w:pPr>
            <w:r>
              <w:rPr>
                <w:rFonts w:ascii="Arial" w:cs="Arial" w:eastAsia="Arial" w:hAnsi="Arial"/>
                <w:sz w:val="14"/>
                <w:szCs w:val="14"/>
                <w:b w:val="1"/>
                <w:bCs w:val="1"/>
                <w:color w:val="auto"/>
              </w:rPr>
              <w:t>Pre tax</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After tax</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76"/>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740" w:type="dxa"/>
            <w:vAlign w:val="bottom"/>
            <w:tcBorders>
              <w:bottom w:val="single" w:sz="8" w:color="auto"/>
            </w:tcBorders>
          </w:tcPr>
          <w:p>
            <w:pPr>
              <w:jc w:val="center"/>
              <w:ind w:left="1248"/>
              <w:spacing w:after="0"/>
              <w:rPr>
                <w:sz w:val="20"/>
                <w:szCs w:val="20"/>
                <w:color w:val="auto"/>
              </w:rPr>
            </w:pPr>
            <w:r>
              <w:rPr>
                <w:rFonts w:ascii="Arial" w:cs="Arial" w:eastAsia="Arial" w:hAnsi="Arial"/>
                <w:sz w:val="14"/>
                <w:szCs w:val="14"/>
                <w:b w:val="1"/>
                <w:bCs w:val="1"/>
                <w:color w:val="auto"/>
              </w:rPr>
              <w:t>Amounts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232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478</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0.01</w:t>
            </w:r>
          </w:p>
        </w:tc>
      </w:tr>
      <w:tr>
        <w:trPr>
          <w:trHeight w:val="243"/>
        </w:trPr>
        <w:tc>
          <w:tcPr>
            <w:tcW w:w="46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1,052</w:t>
            </w:r>
          </w:p>
        </w:tc>
        <w:tc>
          <w:tcPr>
            <w:tcW w:w="300" w:type="dxa"/>
            <w:vAlign w:val="bottom"/>
          </w:tcPr>
          <w:p>
            <w:pPr>
              <w:spacing w:after="0"/>
              <w:rPr>
                <w:sz w:val="21"/>
                <w:szCs w:val="21"/>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526</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526</w:t>
            </w:r>
          </w:p>
        </w:tc>
        <w:tc>
          <w:tcPr>
            <w:tcW w:w="220" w:type="dxa"/>
            <w:vAlign w:val="bottom"/>
          </w:tcPr>
          <w:p>
            <w:pPr>
              <w:spacing w:after="0"/>
              <w:rPr>
                <w:sz w:val="21"/>
                <w:szCs w:val="21"/>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0.02</w:t>
            </w:r>
          </w:p>
        </w:tc>
      </w:tr>
      <w:tr>
        <w:trPr>
          <w:trHeight w:val="244"/>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0.01</w:t>
            </w:r>
          </w:p>
        </w:tc>
      </w:tr>
      <w:tr>
        <w:trPr>
          <w:trHeight w:val="238"/>
        </w:trPr>
        <w:tc>
          <w:tcPr>
            <w:tcW w:w="46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Three months ended September 30, 2019</w:t>
            </w:r>
          </w:p>
        </w:tc>
        <w:tc>
          <w:tcPr>
            <w:tcW w:w="1540" w:type="dxa"/>
            <w:vAlign w:val="bottom"/>
          </w:tcPr>
          <w:p>
            <w:pPr>
              <w:spacing w:after="0"/>
              <w:rPr>
                <w:sz w:val="17"/>
                <w:szCs w:val="17"/>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7"/>
                <w:szCs w:val="17"/>
                <w:color w:val="auto"/>
              </w:rPr>
            </w:pPr>
          </w:p>
        </w:tc>
        <w:tc>
          <w:tcPr>
            <w:tcW w:w="1020" w:type="dxa"/>
            <w:vAlign w:val="bottom"/>
          </w:tcPr>
          <w:p>
            <w:pPr>
              <w:jc w:val="center"/>
              <w:ind w:right="22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7"/>
                <w:szCs w:val="17"/>
                <w:color w:val="auto"/>
              </w:rPr>
            </w:pPr>
          </w:p>
        </w:tc>
        <w:tc>
          <w:tcPr>
            <w:tcW w:w="1060" w:type="dxa"/>
            <w:vAlign w:val="bottom"/>
          </w:tcPr>
          <w:p>
            <w:pPr>
              <w:jc w:val="center"/>
              <w:ind w:right="162"/>
              <w:spacing w:after="0"/>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7"/>
                <w:szCs w:val="17"/>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34"/>
        </w:trPr>
        <w:tc>
          <w:tcPr>
            <w:tcW w:w="46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542"/>
              <w:spacing w:after="0"/>
              <w:rPr>
                <w:sz w:val="20"/>
                <w:szCs w:val="20"/>
                <w:color w:val="auto"/>
              </w:rPr>
            </w:pPr>
            <w:r>
              <w:rPr>
                <w:rFonts w:ascii="Arial" w:cs="Arial" w:eastAsia="Arial" w:hAnsi="Arial"/>
                <w:sz w:val="16"/>
                <w:szCs w:val="16"/>
                <w:color w:val="auto"/>
              </w:rPr>
              <w:t>(0.01)</w:t>
            </w:r>
          </w:p>
        </w:tc>
      </w:tr>
      <w:tr>
        <w:trPr>
          <w:trHeight w:val="244"/>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(2,706)</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(1,962)</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rPr>
              <w:t>(0.06)</w:t>
            </w:r>
          </w:p>
        </w:tc>
      </w:tr>
      <w:tr>
        <w:trPr>
          <w:trHeight w:val="440"/>
        </w:trPr>
        <w:tc>
          <w:tcPr>
            <w:tcW w:w="4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2020</w:t>
            </w:r>
          </w:p>
        </w:tc>
        <w:tc>
          <w:tcPr>
            <w:tcW w:w="1540" w:type="dxa"/>
            <w:vAlign w:val="bottom"/>
          </w:tcPr>
          <w:p>
            <w:pPr>
              <w:spacing w:after="0"/>
              <w:rPr>
                <w:sz w:val="17"/>
                <w:szCs w:val="17"/>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7"/>
                <w:szCs w:val="17"/>
                <w:color w:val="auto"/>
              </w:rPr>
            </w:pPr>
          </w:p>
        </w:tc>
        <w:tc>
          <w:tcPr>
            <w:tcW w:w="1020" w:type="dxa"/>
            <w:vAlign w:val="bottom"/>
          </w:tcPr>
          <w:p>
            <w:pPr>
              <w:jc w:val="center"/>
              <w:ind w:right="22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7"/>
                <w:szCs w:val="17"/>
                <w:color w:val="auto"/>
              </w:rPr>
            </w:pPr>
          </w:p>
        </w:tc>
        <w:tc>
          <w:tcPr>
            <w:tcW w:w="1060" w:type="dxa"/>
            <w:vAlign w:val="bottom"/>
          </w:tcPr>
          <w:p>
            <w:pPr>
              <w:jc w:val="center"/>
              <w:ind w:right="162"/>
              <w:spacing w:after="0"/>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7"/>
                <w:szCs w:val="17"/>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34"/>
        </w:trPr>
        <w:tc>
          <w:tcPr>
            <w:tcW w:w="46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4,189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1,377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2,812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0.08</w:t>
            </w:r>
          </w:p>
        </w:tc>
      </w:tr>
      <w:tr>
        <w:trPr>
          <w:trHeight w:val="240"/>
        </w:trPr>
        <w:tc>
          <w:tcPr>
            <w:tcW w:w="46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(gains)/losses(a)</w:t>
            </w:r>
          </w:p>
        </w:tc>
        <w:tc>
          <w:tcPr>
            <w:tcW w:w="1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13,941</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(483)</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14,424</w:t>
            </w:r>
          </w:p>
        </w:tc>
        <w:tc>
          <w:tcPr>
            <w:tcW w:w="220" w:type="dxa"/>
            <w:vAlign w:val="bottom"/>
          </w:tcPr>
          <w:p>
            <w:pPr>
              <w:spacing w:after="0"/>
              <w:rPr>
                <w:sz w:val="20"/>
                <w:szCs w:val="20"/>
                <w:color w:val="auto"/>
              </w:rPr>
            </w:pP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0.46</w:t>
            </w:r>
          </w:p>
        </w:tc>
      </w:tr>
      <w:tr>
        <w:trPr>
          <w:trHeight w:val="234"/>
        </w:trPr>
        <w:tc>
          <w:tcPr>
            <w:tcW w:w="468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1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2,742</w:t>
            </w:r>
          </w:p>
        </w:tc>
        <w:tc>
          <w:tcPr>
            <w:tcW w:w="30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713</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2,029</w:t>
            </w:r>
          </w:p>
        </w:tc>
        <w:tc>
          <w:tcPr>
            <w:tcW w:w="220" w:type="dxa"/>
            <w:vAlign w:val="bottom"/>
          </w:tcPr>
          <w:p>
            <w:pPr>
              <w:spacing w:after="0"/>
              <w:rPr>
                <w:sz w:val="20"/>
                <w:szCs w:val="20"/>
                <w:color w:val="auto"/>
              </w:rPr>
            </w:pPr>
          </w:p>
        </w:tc>
        <w:tc>
          <w:tcPr>
            <w:tcW w:w="1100" w:type="dxa"/>
            <w:vAlign w:val="bottom"/>
          </w:tcPr>
          <w:p>
            <w:pPr>
              <w:jc w:val="center"/>
              <w:ind w:left="562"/>
              <w:spacing w:after="0"/>
              <w:rPr>
                <w:sz w:val="20"/>
                <w:szCs w:val="20"/>
                <w:color w:val="auto"/>
              </w:rPr>
            </w:pPr>
            <w:r>
              <w:rPr>
                <w:rFonts w:ascii="Times New Roman" w:cs="Times New Roman" w:eastAsia="Times New Roman" w:hAnsi="Times New Roman"/>
                <w:sz w:val="18"/>
                <w:szCs w:val="18"/>
                <w:color w:val="auto"/>
                <w:w w:val="95"/>
              </w:rPr>
              <w:t>0.06</w:t>
            </w:r>
          </w:p>
        </w:tc>
      </w:tr>
      <w:tr>
        <w:trPr>
          <w:trHeight w:val="242"/>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1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259</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62"/>
              <w:spacing w:after="0"/>
              <w:rPr>
                <w:sz w:val="20"/>
                <w:szCs w:val="20"/>
                <w:color w:val="auto"/>
              </w:rPr>
            </w:pPr>
            <w:r>
              <w:rPr>
                <w:rFonts w:ascii="Arial" w:cs="Arial" w:eastAsia="Arial" w:hAnsi="Arial"/>
                <w:sz w:val="16"/>
                <w:szCs w:val="16"/>
                <w:color w:val="auto"/>
                <w:w w:val="96"/>
              </w:rPr>
              <w:t>0.03</w:t>
            </w:r>
          </w:p>
        </w:tc>
      </w:tr>
      <w:tr>
        <w:trPr>
          <w:trHeight w:val="237"/>
        </w:trPr>
        <w:tc>
          <w:tcPr>
            <w:tcW w:w="46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2019</w:t>
            </w:r>
          </w:p>
        </w:tc>
        <w:tc>
          <w:tcPr>
            <w:tcW w:w="1540" w:type="dxa"/>
            <w:vAlign w:val="bottom"/>
          </w:tcPr>
          <w:p>
            <w:pPr>
              <w:spacing w:after="0"/>
              <w:rPr>
                <w:sz w:val="17"/>
                <w:szCs w:val="17"/>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Pre tax</w:t>
            </w:r>
          </w:p>
        </w:tc>
        <w:tc>
          <w:tcPr>
            <w:tcW w:w="300" w:type="dxa"/>
            <w:vAlign w:val="bottom"/>
          </w:tcPr>
          <w:p>
            <w:pPr>
              <w:spacing w:after="0"/>
              <w:rPr>
                <w:sz w:val="17"/>
                <w:szCs w:val="17"/>
                <w:color w:val="auto"/>
              </w:rPr>
            </w:pPr>
          </w:p>
        </w:tc>
        <w:tc>
          <w:tcPr>
            <w:tcW w:w="1020" w:type="dxa"/>
            <w:vAlign w:val="bottom"/>
          </w:tcPr>
          <w:p>
            <w:pPr>
              <w:jc w:val="center"/>
              <w:ind w:right="222"/>
              <w:spacing w:after="0"/>
              <w:rPr>
                <w:sz w:val="20"/>
                <w:szCs w:val="20"/>
                <w:color w:val="auto"/>
              </w:rPr>
            </w:pPr>
            <w:r>
              <w:rPr>
                <w:rFonts w:ascii="Arial" w:cs="Arial" w:eastAsia="Arial" w:hAnsi="Arial"/>
                <w:sz w:val="14"/>
                <w:szCs w:val="14"/>
                <w:b w:val="1"/>
                <w:bCs w:val="1"/>
                <w:color w:val="auto"/>
                <w:w w:val="99"/>
              </w:rPr>
              <w:t>Tax</w:t>
            </w:r>
          </w:p>
        </w:tc>
        <w:tc>
          <w:tcPr>
            <w:tcW w:w="240" w:type="dxa"/>
            <w:vAlign w:val="bottom"/>
          </w:tcPr>
          <w:p>
            <w:pPr>
              <w:spacing w:after="0"/>
              <w:rPr>
                <w:sz w:val="17"/>
                <w:szCs w:val="17"/>
                <w:color w:val="auto"/>
              </w:rPr>
            </w:pPr>
          </w:p>
        </w:tc>
        <w:tc>
          <w:tcPr>
            <w:tcW w:w="1060" w:type="dxa"/>
            <w:vAlign w:val="bottom"/>
          </w:tcPr>
          <w:p>
            <w:pPr>
              <w:jc w:val="center"/>
              <w:ind w:right="162"/>
              <w:spacing w:after="0"/>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7"/>
                <w:szCs w:val="17"/>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rPr>
              <w:t>Per share</w:t>
            </w:r>
          </w:p>
        </w:tc>
      </w:tr>
      <w:tr>
        <w:trPr>
          <w:trHeight w:val="17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Effect</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Effect</w:t>
            </w:r>
          </w:p>
        </w:tc>
      </w:tr>
      <w:tr>
        <w:trPr>
          <w:trHeight w:val="234"/>
        </w:trPr>
        <w:tc>
          <w:tcPr>
            <w:tcW w:w="46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1,139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330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809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562"/>
              <w:spacing w:after="0"/>
              <w:rPr>
                <w:sz w:val="20"/>
                <w:szCs w:val="20"/>
                <w:color w:val="auto"/>
              </w:rPr>
            </w:pPr>
            <w:r>
              <w:rPr>
                <w:rFonts w:ascii="Arial" w:cs="Arial" w:eastAsia="Arial" w:hAnsi="Arial"/>
                <w:sz w:val="16"/>
                <w:szCs w:val="16"/>
                <w:color w:val="auto"/>
                <w:w w:val="96"/>
              </w:rPr>
              <w:t>0.02</w:t>
            </w:r>
          </w:p>
        </w:tc>
      </w:tr>
      <w:tr>
        <w:trPr>
          <w:trHeight w:val="244"/>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(3,795)</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542"/>
              <w:spacing w:after="0"/>
              <w:rPr>
                <w:sz w:val="20"/>
                <w:szCs w:val="20"/>
                <w:color w:val="auto"/>
              </w:rPr>
            </w:pPr>
            <w:r>
              <w:rPr>
                <w:rFonts w:ascii="Arial" w:cs="Arial" w:eastAsia="Arial" w:hAnsi="Arial"/>
                <w:sz w:val="16"/>
                <w:szCs w:val="16"/>
                <w:color w:val="auto"/>
              </w:rPr>
              <w:t>(0.08)</w:t>
            </w:r>
          </w:p>
        </w:tc>
      </w:tr>
    </w:tbl>
    <w:p>
      <w:pPr>
        <w:spacing w:after="0" w:line="319" w:lineRule="exact"/>
        <w:rPr>
          <w:sz w:val="20"/>
          <w:szCs w:val="20"/>
          <w:color w:val="auto"/>
        </w:rPr>
      </w:pPr>
    </w:p>
    <w:p>
      <w:pPr>
        <w:ind w:left="660" w:right="240" w:hanging="652"/>
        <w:spacing w:after="0" w:line="291"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Q1 2020, the company recorded losses of approximately $17 million in jurisdictions where it cannot record a tax benefit from the losses, which results in an unusual relationship between the pre-tax and after-tax amounts.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the calculation of Adjusted Earnings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Borders>
              <w:top w:val="single" w:sz="8" w:color="auto"/>
            </w:tcBorders>
          </w:tcPr>
          <w:p>
            <w:pPr>
              <w:spacing w:after="0"/>
              <w:rPr>
                <w:sz w:val="17"/>
                <w:szCs w:val="17"/>
                <w:color w:val="auto"/>
              </w:rPr>
            </w:pPr>
          </w:p>
        </w:tc>
        <w:tc>
          <w:tcPr>
            <w:tcW w:w="262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Borders>
              <w:top w:val="single" w:sz="8" w:color="auto"/>
              <w:bottom w:val="single" w:sz="8" w:color="auto"/>
            </w:tcBorders>
          </w:tcPr>
          <w:p>
            <w:pPr>
              <w:spacing w:after="0"/>
              <w:rPr>
                <w:sz w:val="17"/>
                <w:szCs w:val="17"/>
                <w:color w:val="auto"/>
              </w:rPr>
            </w:pPr>
          </w:p>
        </w:tc>
        <w:tc>
          <w:tcPr>
            <w:tcW w:w="25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r>
      <w:tr>
        <w:trPr>
          <w:trHeight w:val="243"/>
        </w:trPr>
        <w:tc>
          <w:tcPr>
            <w:tcW w:w="5180" w:type="dxa"/>
            <w:vAlign w:val="bottom"/>
          </w:tcPr>
          <w:p>
            <w:pPr>
              <w:ind w:left="20"/>
              <w:spacing w:after="0"/>
              <w:rPr>
                <w:sz w:val="20"/>
                <w:szCs w:val="20"/>
                <w:color w:val="auto"/>
              </w:rPr>
            </w:pPr>
            <w:r>
              <w:rPr>
                <w:rFonts w:ascii="Arial" w:cs="Arial" w:eastAsia="Arial" w:hAnsi="Arial"/>
                <w:sz w:val="16"/>
                <w:szCs w:val="16"/>
                <w:color w:val="auto"/>
              </w:rPr>
              <w:t>Earnings per share (GAAP)</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0.92</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2.20</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22"/>
        </w:trPr>
        <w:tc>
          <w:tcPr>
            <w:tcW w:w="5180" w:type="dxa"/>
            <w:vAlign w:val="bottom"/>
          </w:tcPr>
          <w:p>
            <w:pPr>
              <w:ind w:left="20"/>
              <w:spacing w:after="0"/>
              <w:rPr>
                <w:sz w:val="20"/>
                <w:szCs w:val="20"/>
                <w:color w:val="auto"/>
              </w:rPr>
            </w:pPr>
            <w:r>
              <w:rPr>
                <w:rFonts w:ascii="Arial" w:cs="Arial" w:eastAsia="Arial" w:hAnsi="Arial"/>
                <w:sz w:val="16"/>
                <w:szCs w:val="16"/>
                <w:color w:val="auto"/>
              </w:rPr>
              <w:t>Adjustments, after tax:</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65"/>
        </w:trPr>
        <w:tc>
          <w:tcPr>
            <w:tcW w:w="51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0.01</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0.08</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42"/>
        </w:trPr>
        <w:tc>
          <w:tcPr>
            <w:tcW w:w="51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0.02</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0.46</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38"/>
        </w:trPr>
        <w:tc>
          <w:tcPr>
            <w:tcW w:w="5180" w:type="dxa"/>
            <w:vAlign w:val="bottom"/>
          </w:tcPr>
          <w:p>
            <w:pPr>
              <w:ind w:left="20"/>
              <w:spacing w:after="0"/>
              <w:rPr>
                <w:sz w:val="20"/>
                <w:szCs w:val="20"/>
                <w:color w:val="auto"/>
              </w:rPr>
            </w:pPr>
            <w:r>
              <w:rPr>
                <w:rFonts w:ascii="Arial" w:cs="Arial" w:eastAsia="Arial" w:hAnsi="Arial"/>
                <w:sz w:val="16"/>
                <w:szCs w:val="16"/>
                <w:color w:val="auto"/>
              </w:rPr>
              <w:t>Former CEO termination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Acquisition/integration costs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0.03</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Earnings per share</w:t>
            </w:r>
          </w:p>
        </w:tc>
        <w:tc>
          <w:tcPr>
            <w:tcW w:w="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0.96</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bl>
    <w:p>
      <w:pPr>
        <w:spacing w:after="0" w:line="328" w:lineRule="exact"/>
        <w:rPr>
          <w:sz w:val="20"/>
          <w:szCs w:val="20"/>
          <w:color w:val="auto"/>
        </w:rPr>
      </w:pPr>
    </w:p>
    <w:p>
      <w:pPr>
        <w:jc w:val="both"/>
        <w:ind w:right="280" w:firstLine="324"/>
        <w:spacing w:after="0" w:line="277" w:lineRule="auto"/>
        <w:rPr>
          <w:sz w:val="20"/>
          <w:szCs w:val="20"/>
          <w:color w:val="auto"/>
        </w:rPr>
      </w:pPr>
      <w:r>
        <w:rPr>
          <w:rFonts w:ascii="Arial" w:cs="Arial" w:eastAsia="Arial" w:hAnsi="Arial"/>
          <w:sz w:val="17"/>
          <w:szCs w:val="17"/>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4300" w:type="dxa"/>
            <w:vAlign w:val="bottom"/>
            <w:tcBorders>
              <w:bottom w:val="single" w:sz="8" w:color="auto"/>
            </w:tcBorders>
            <w:vMerge w:val="continue"/>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4"/>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18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418,000</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435,000</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491,002</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424,009</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1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418,012</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435,017</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491,022</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424,029</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1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215,304</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204,037</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222,680</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195,540</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debt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202,708</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230,980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268,342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228,489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1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 We continue the process of implementing our internal control over financial reporting structure over the CirComp acquisition and expect that this effort will be completed in 2020.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The information set forth above under Note 17 in Item 1, “Notes to Consolidated Financial Statements” is incorporated herein by reference.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8"/>
          <w:szCs w:val="18"/>
          <w:color w:val="auto"/>
        </w:rPr>
        <w:t>In addition to the items below, for discussion of risk factors, refer to Item 1A of our Annual Report on Form 10-K for the year ended December 31, 2019.</w:t>
      </w:r>
    </w:p>
    <w:p>
      <w:pPr>
        <w:spacing w:after="0" w:line="3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b w:val="1"/>
          <w:bCs w:val="1"/>
          <w:i w:val="1"/>
          <w:iCs w:val="1"/>
          <w:color w:val="auto"/>
        </w:rPr>
        <w:t>The COVID-19 pandemic has had, and we expect will continue to have, certain negative impacts on our business, and such impacts may have a material adverse effect on our results of operations, financial condition and cash flows</w:t>
      </w:r>
    </w:p>
    <w:p>
      <w:pPr>
        <w:spacing w:after="0" w:line="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public health crisis caused by the COVID-19 pandemic and the measures being taken by governments, businesses, and the public at large to limit COVID-19's spread has had, and are expected to continue to have, certain negative effects on the markets we serve. These effects include deteriorating general economic conditions in many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regions of the world, increased unemployment, decreases in disposable income, decline in consumer confidence, and changes in consumer spending habits. Certain adverse impacts specific to the Company include, without limitation:</w:t>
      </w:r>
    </w:p>
    <w:p>
      <w:pPr>
        <w:spacing w:after="0" w:line="36" w:lineRule="exact"/>
        <w:rPr>
          <w:sz w:val="20"/>
          <w:szCs w:val="20"/>
          <w:color w:val="auto"/>
        </w:rPr>
      </w:pPr>
    </w:p>
    <w:p>
      <w:pPr>
        <w:jc w:val="both"/>
        <w:ind w:left="66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experienced larger-than-anticipated declines in demand for MC fabrics used to make certain paper grades, specifically publication paper grades, that could be COVID-19 related. The above effects are likely to continue to have an adverse impact on demand for publication paper grades, and perhaps other grades of paper, including without limitation packaging paper grades, as well as on demand for non-woven fabrics and fiber cement products used in the construction industry; such impacts would in turn adversely impact demand for the MC products used to manufacture such paper grades or building products. A decline in revenues would lead to lower gross profit on those products and the possibility of unabsorbed fixed manufacturing costs.</w:t>
      </w:r>
    </w:p>
    <w:p>
      <w:pPr>
        <w:spacing w:after="0" w:line="68"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Albany Engineered Composites segment generates a significant portion of its revenue from commercial aerospace programs and contracts for the U.S. Department of Defense (DOD). The COVID-19 pandemic has significantly impacted passenger air travel which, in turn, has impacted and is likely to continue to impact the commercial aerospace programs that provide a source of revenue for the Company. Such programs could be delayed or canceled which, in addition to a loss of revenue and gross profit, could lead to write-offs for Company investments for those programs. The pandemic has resulted in significant costs for the U.S. government, which could lead to program delays or cancellations, and a corresponding decrease in our revenues. The U.S. Presidential election later in 2020 could increase the uncertainties associated with DOD programs.</w:t>
      </w:r>
    </w:p>
    <w:p>
      <w:pPr>
        <w:spacing w:after="0" w:line="68" w:lineRule="exact"/>
        <w:rPr>
          <w:rFonts w:ascii="Arial" w:cs="Arial" w:eastAsia="Arial" w:hAnsi="Arial"/>
          <w:sz w:val="18"/>
          <w:szCs w:val="18"/>
          <w:color w:val="auto"/>
        </w:rPr>
      </w:pPr>
    </w:p>
    <w:p>
      <w:pPr>
        <w:ind w:left="660" w:hanging="328"/>
        <w:spacing w:after="0" w:line="292"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in supply chains may place constraints on our ability to source key raw materials and services which could impact our ability to deliver products to customers as scheduled, or could increase manufacturing or delivery costs.</w:t>
      </w:r>
    </w:p>
    <w:p>
      <w:pPr>
        <w:spacing w:after="0" w:line="36"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experienced, and may continue to experience, adverse fluctuations in foreign currency exchange rates, particularly an increase in the value of the U.S. dollar against certain key foreign currencies, which negatively affected results in the first quarter of 2020, and could continue to negatively affect, our results of operations and financial condition.</w:t>
      </w:r>
    </w:p>
    <w:p>
      <w:pPr>
        <w:spacing w:after="0" w:line="54"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periods of economic weakness, the Company may be exposed to greater risk for credit risk. Additionally, we could be required to record significant impairment charges with respect to noncurrent assets, including goodwill and other intangible assets, whose fair values may be negatively affected by the effects of the COVID-19 pandemic on our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ind w:firstLine="324"/>
        <w:spacing w:after="0" w:line="292" w:lineRule="auto"/>
        <w:rPr>
          <w:sz w:val="20"/>
          <w:szCs w:val="20"/>
          <w:color w:val="auto"/>
        </w:rPr>
      </w:pPr>
      <w:r>
        <w:rPr>
          <w:rFonts w:ascii="Arial" w:cs="Arial" w:eastAsia="Arial" w:hAnsi="Arial"/>
          <w:sz w:val="18"/>
          <w:szCs w:val="18"/>
          <w:color w:val="auto"/>
        </w:rPr>
        <w:t>We made no share purchases during the third quarter of 2020. We remain authorized by the Board of Directors to purchase up to 2 million shares of our Class A Common Stock.</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6"/>
                <w:szCs w:val="16"/>
                <w:color w:val="auto"/>
              </w:rPr>
              <w:t>Exhibit No.</w:t>
            </w:r>
          </w:p>
        </w:tc>
        <w:tc>
          <w:tcPr>
            <w:tcW w:w="9800" w:type="dxa"/>
            <w:vAlign w:val="bottom"/>
            <w:gridSpan w:val="3"/>
          </w:tcPr>
          <w:p>
            <w:pPr>
              <w:spacing w:after="0"/>
              <w:rPr>
                <w:sz w:val="20"/>
                <w:szCs w:val="20"/>
                <w:color w:val="auto"/>
              </w:rPr>
            </w:pPr>
            <w:r>
              <w:rPr>
                <w:rFonts w:ascii="Arial" w:cs="Arial" w:eastAsia="Arial" w:hAnsi="Arial"/>
                <w:sz w:val="16"/>
                <w:szCs w:val="16"/>
                <w:color w:val="auto"/>
              </w:rPr>
              <w:t>Description</w:t>
            </w:r>
          </w:p>
        </w:tc>
      </w:tr>
      <w:tr>
        <w:trPr>
          <w:trHeight w:val="216"/>
        </w:trPr>
        <w:tc>
          <w:tcPr>
            <w:tcW w:w="1240" w:type="dxa"/>
            <w:vAlign w:val="bottom"/>
          </w:tcPr>
          <w:p>
            <w:pPr>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31.1</w:t>
              </w:r>
            </w:hyperlink>
          </w:p>
        </w:tc>
        <w:tc>
          <w:tcPr>
            <w:tcW w:w="9800" w:type="dxa"/>
            <w:vAlign w:val="bottom"/>
            <w:gridSpan w:val="3"/>
          </w:tcPr>
          <w:p>
            <w:pPr>
              <w:spacing w:after="0"/>
              <w:rPr>
                <w:rFonts w:ascii="Arial" w:cs="Arial" w:eastAsia="Arial" w:hAnsi="Arial"/>
                <w:sz w:val="16"/>
                <w:szCs w:val="16"/>
                <w:color w:val="0000FF"/>
              </w:rPr>
            </w:pPr>
            <w:hyperlink w:anchor="page49">
              <w:r>
                <w:rPr>
                  <w:rFonts w:ascii="Arial" w:cs="Arial" w:eastAsia="Arial" w:hAnsi="Arial"/>
                  <w:sz w:val="16"/>
                  <w:szCs w:val="16"/>
                  <w:u w:val="single" w:color="auto"/>
                  <w:color w:val="0000FF"/>
                </w:rPr>
                <w:t>Certification of the Chief Executive Officer pursuant to Rule 13a-14(a)/15d-14(a) of the Exchange Act</w:t>
              </w:r>
              <w:r>
                <w:rPr>
                  <w:rFonts w:ascii="Arial" w:cs="Arial" w:eastAsia="Arial" w:hAnsi="Arial"/>
                  <w:sz w:val="16"/>
                  <w:szCs w:val="16"/>
                  <w:color w:val="0000FF"/>
                </w:rPr>
                <w:t>.</w:t>
              </w:r>
            </w:hyperlink>
          </w:p>
        </w:tc>
      </w:tr>
      <w:tr>
        <w:trPr>
          <w:trHeight w:val="216"/>
        </w:trPr>
        <w:tc>
          <w:tcPr>
            <w:tcW w:w="1240" w:type="dxa"/>
            <w:vAlign w:val="bottom"/>
          </w:tcPr>
          <w:p>
            <w:pPr>
              <w:spacing w:after="0"/>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31.2</w:t>
              </w:r>
            </w:hyperlink>
          </w:p>
        </w:tc>
        <w:tc>
          <w:tcPr>
            <w:tcW w:w="9800" w:type="dxa"/>
            <w:vAlign w:val="bottom"/>
            <w:gridSpan w:val="3"/>
          </w:tcPr>
          <w:p>
            <w:pPr>
              <w:spacing w:after="0"/>
              <w:rPr>
                <w:rFonts w:ascii="Arial" w:cs="Arial" w:eastAsia="Arial" w:hAnsi="Arial"/>
                <w:sz w:val="16"/>
                <w:szCs w:val="16"/>
                <w:color w:val="0000FF"/>
              </w:rPr>
            </w:pPr>
            <w:hyperlink w:anchor="page50">
              <w:r>
                <w:rPr>
                  <w:rFonts w:ascii="Arial" w:cs="Arial" w:eastAsia="Arial" w:hAnsi="Arial"/>
                  <w:sz w:val="16"/>
                  <w:szCs w:val="16"/>
                  <w:u w:val="single" w:color="auto"/>
                  <w:color w:val="0000FF"/>
                </w:rPr>
                <w:t>Certification of the Chief Financial Officer pursuant to Rule 13a-14(a)/15d-14(a) of the Exchange Act</w:t>
              </w:r>
              <w:r>
                <w:rPr>
                  <w:rFonts w:ascii="Arial" w:cs="Arial" w:eastAsia="Arial" w:hAnsi="Arial"/>
                  <w:sz w:val="16"/>
                  <w:szCs w:val="16"/>
                  <w:color w:val="0000FF"/>
                </w:rPr>
                <w:t>.</w:t>
              </w:r>
            </w:hyperlink>
          </w:p>
        </w:tc>
      </w:tr>
      <w:tr>
        <w:trPr>
          <w:trHeight w:val="180"/>
        </w:trPr>
        <w:tc>
          <w:tcPr>
            <w:tcW w:w="1240" w:type="dxa"/>
            <w:vAlign w:val="bottom"/>
          </w:tcPr>
          <w:p>
            <w:pPr>
              <w:spacing w:after="0" w:line="180" w:lineRule="exact"/>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32.1</w:t>
              </w:r>
            </w:hyperlink>
          </w:p>
        </w:tc>
        <w:tc>
          <w:tcPr>
            <w:tcW w:w="9800" w:type="dxa"/>
            <w:vAlign w:val="bottom"/>
            <w:gridSpan w:val="3"/>
          </w:tcPr>
          <w:p>
            <w:pPr>
              <w:spacing w:after="0" w:line="180" w:lineRule="exact"/>
              <w:rPr>
                <w:rFonts w:ascii="Arial" w:cs="Arial" w:eastAsia="Arial" w:hAnsi="Arial"/>
                <w:sz w:val="16"/>
                <w:szCs w:val="16"/>
                <w:color w:val="0000FF"/>
              </w:rPr>
            </w:pPr>
            <w:hyperlink w:anchor="page51">
              <w:r>
                <w:rPr>
                  <w:rFonts w:ascii="Arial" w:cs="Arial" w:eastAsia="Arial" w:hAnsi="Arial"/>
                  <w:sz w:val="16"/>
                  <w:szCs w:val="16"/>
                  <w:color w:val="0000FF"/>
                </w:rPr>
                <w:t>Certification pursuant to Section 906 of the Sarbanes-Oxley Act of 2002 (Subsections (a) and (b) of Section 1350, Chapter 63 of Title 18,</w:t>
              </w:r>
            </w:hyperlink>
          </w:p>
        </w:tc>
      </w:tr>
      <w:tr>
        <w:trPr>
          <w:trHeight w:val="142"/>
        </w:trPr>
        <w:tc>
          <w:tcPr>
            <w:tcW w:w="1240" w:type="dxa"/>
            <w:vAlign w:val="bottom"/>
          </w:tcPr>
          <w:p>
            <w:pPr>
              <w:spacing w:after="0"/>
              <w:rPr>
                <w:sz w:val="12"/>
                <w:szCs w:val="12"/>
                <w:color w:val="auto"/>
              </w:rPr>
            </w:pPr>
          </w:p>
        </w:tc>
        <w:tc>
          <w:tcPr>
            <w:tcW w:w="15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w:anchor="page51">
              <w:r>
                <w:rPr>
                  <w:rFonts w:ascii="Arial" w:cs="Arial" w:eastAsia="Arial" w:hAnsi="Arial"/>
                  <w:sz w:val="16"/>
                  <w:szCs w:val="16"/>
                  <w:color w:val="0000FF"/>
                </w:rPr>
                <w:t>United States Code).</w:t>
              </w:r>
            </w:hyperlink>
          </w:p>
        </w:tc>
        <w:tc>
          <w:tcPr>
            <w:tcW w:w="82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232"/>
        </w:trPr>
        <w:tc>
          <w:tcPr>
            <w:tcW w:w="1240" w:type="dxa"/>
            <w:vAlign w:val="bottom"/>
          </w:tcPr>
          <w:p>
            <w:pPr>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99.1</w:t>
              </w:r>
            </w:hyperlink>
          </w:p>
        </w:tc>
        <w:tc>
          <w:tcPr>
            <w:tcW w:w="9800" w:type="dxa"/>
            <w:vAlign w:val="bottom"/>
            <w:gridSpan w:val="3"/>
          </w:tcPr>
          <w:p>
            <w:pPr>
              <w:spacing w:after="0"/>
              <w:rPr>
                <w:rFonts w:ascii="Arial" w:cs="Arial" w:eastAsia="Arial" w:hAnsi="Arial"/>
                <w:sz w:val="16"/>
                <w:szCs w:val="16"/>
                <w:color w:val="0000FF"/>
              </w:rPr>
            </w:pPr>
            <w:hyperlink w:anchor="page52">
              <w:r>
                <w:rPr>
                  <w:rFonts w:ascii="Arial" w:cs="Arial" w:eastAsia="Arial" w:hAnsi="Arial"/>
                  <w:sz w:val="16"/>
                  <w:szCs w:val="16"/>
                  <w:u w:val="single" w:color="auto"/>
                  <w:color w:val="0000FF"/>
                </w:rPr>
                <w:t>Quantitative and qualitative disclosures about market risks as reported at</w:t>
              </w:r>
              <w:r>
                <w:rPr>
                  <w:rFonts w:ascii="Arial" w:cs="Arial" w:eastAsia="Arial" w:hAnsi="Arial"/>
                  <w:sz w:val="16"/>
                  <w:szCs w:val="16"/>
                  <w:color w:val="0000FF"/>
                </w:rPr>
                <w:t xml:space="preserve"> </w:t>
              </w:r>
            </w:hyperlink>
            <w:r>
              <w:rPr>
                <w:rFonts w:ascii="Arial" w:cs="Arial" w:eastAsia="Arial" w:hAnsi="Arial"/>
                <w:sz w:val="16"/>
                <w:szCs w:val="16"/>
                <w:color w:val="000000"/>
              </w:rPr>
              <w:t>September</w:t>
            </w:r>
            <w:r>
              <w:rPr>
                <w:rFonts w:ascii="Arial" w:cs="Arial" w:eastAsia="Arial" w:hAnsi="Arial"/>
                <w:sz w:val="16"/>
                <w:szCs w:val="16"/>
                <w:color w:val="0000FF"/>
              </w:rPr>
              <w:t xml:space="preserve"> </w:t>
            </w:r>
            <w:r>
              <w:rPr>
                <w:rFonts w:ascii="Arial" w:cs="Arial" w:eastAsia="Arial" w:hAnsi="Arial"/>
                <w:sz w:val="16"/>
                <w:szCs w:val="16"/>
                <w:color w:val="000000"/>
              </w:rPr>
              <w:t>30, 2020.</w:t>
            </w:r>
          </w:p>
        </w:tc>
      </w:tr>
      <w:tr>
        <w:trPr>
          <w:trHeight w:val="167"/>
        </w:trPr>
        <w:tc>
          <w:tcPr>
            <w:tcW w:w="1240" w:type="dxa"/>
            <w:vAlign w:val="bottom"/>
          </w:tcPr>
          <w:p>
            <w:pPr>
              <w:spacing w:after="0" w:line="167" w:lineRule="exact"/>
              <w:rPr>
                <w:sz w:val="20"/>
                <w:szCs w:val="20"/>
                <w:color w:val="auto"/>
              </w:rPr>
            </w:pPr>
            <w:r>
              <w:rPr>
                <w:rFonts w:ascii="Arial" w:cs="Arial" w:eastAsia="Arial" w:hAnsi="Arial"/>
                <w:sz w:val="16"/>
                <w:szCs w:val="16"/>
                <w:color w:val="auto"/>
              </w:rPr>
              <w:t>101.INS</w:t>
            </w:r>
          </w:p>
        </w:tc>
        <w:tc>
          <w:tcPr>
            <w:tcW w:w="9800" w:type="dxa"/>
            <w:vAlign w:val="bottom"/>
            <w:gridSpan w:val="3"/>
          </w:tcPr>
          <w:p>
            <w:pPr>
              <w:spacing w:after="0" w:line="167" w:lineRule="exact"/>
              <w:rPr>
                <w:sz w:val="20"/>
                <w:szCs w:val="20"/>
                <w:color w:val="auto"/>
              </w:rPr>
            </w:pPr>
            <w:r>
              <w:rPr>
                <w:rFonts w:ascii="Arial" w:cs="Arial" w:eastAsia="Arial" w:hAnsi="Arial"/>
                <w:sz w:val="16"/>
                <w:szCs w:val="16"/>
                <w:color w:val="auto"/>
              </w:rPr>
              <w:t>XBRL Instance Document- the instance document does not appear in the Interactive Data File because its XBRL tags are embedded</w:t>
            </w:r>
          </w:p>
        </w:tc>
      </w:tr>
      <w:tr>
        <w:trPr>
          <w:trHeight w:val="211"/>
        </w:trPr>
        <w:tc>
          <w:tcPr>
            <w:tcW w:w="1240" w:type="dxa"/>
            <w:vAlign w:val="bottom"/>
          </w:tcPr>
          <w:p>
            <w:pPr>
              <w:spacing w:after="0"/>
              <w:rPr>
                <w:sz w:val="18"/>
                <w:szCs w:val="18"/>
                <w:color w:val="auto"/>
              </w:rPr>
            </w:pPr>
          </w:p>
        </w:tc>
        <w:tc>
          <w:tcPr>
            <w:tcW w:w="9800" w:type="dxa"/>
            <w:vAlign w:val="bottom"/>
            <w:gridSpan w:val="3"/>
          </w:tcPr>
          <w:p>
            <w:pPr>
              <w:spacing w:after="0"/>
              <w:rPr>
                <w:sz w:val="20"/>
                <w:szCs w:val="20"/>
                <w:color w:val="auto"/>
              </w:rPr>
            </w:pPr>
            <w:r>
              <w:rPr>
                <w:rFonts w:ascii="Arial" w:cs="Arial" w:eastAsia="Arial" w:hAnsi="Arial"/>
                <w:sz w:val="16"/>
                <w:szCs w:val="16"/>
                <w:color w:val="auto"/>
              </w:rPr>
              <w:t>within the Inline XBRL document.</w:t>
            </w:r>
          </w:p>
        </w:tc>
      </w:tr>
      <w:tr>
        <w:trPr>
          <w:trHeight w:val="216"/>
        </w:trPr>
        <w:tc>
          <w:tcPr>
            <w:tcW w:w="1240" w:type="dxa"/>
            <w:vAlign w:val="bottom"/>
          </w:tcPr>
          <w:p>
            <w:pPr>
              <w:spacing w:after="0"/>
              <w:rPr>
                <w:sz w:val="20"/>
                <w:szCs w:val="20"/>
                <w:color w:val="auto"/>
              </w:rPr>
            </w:pPr>
            <w:r>
              <w:rPr>
                <w:rFonts w:ascii="Arial" w:cs="Arial" w:eastAsia="Arial" w:hAnsi="Arial"/>
                <w:sz w:val="16"/>
                <w:szCs w:val="16"/>
                <w:color w:val="auto"/>
              </w:rPr>
              <w:t>101.SCH</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240" w:type="dxa"/>
            <w:vAlign w:val="bottom"/>
          </w:tcPr>
          <w:p>
            <w:pPr>
              <w:spacing w:after="0"/>
              <w:rPr>
                <w:sz w:val="20"/>
                <w:szCs w:val="20"/>
                <w:color w:val="auto"/>
              </w:rPr>
            </w:pPr>
            <w:r>
              <w:rPr>
                <w:rFonts w:ascii="Arial" w:cs="Arial" w:eastAsia="Arial" w:hAnsi="Arial"/>
                <w:sz w:val="16"/>
                <w:szCs w:val="16"/>
                <w:color w:val="auto"/>
              </w:rPr>
              <w:t>101.CAL</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240" w:type="dxa"/>
            <w:vAlign w:val="bottom"/>
          </w:tcPr>
          <w:p>
            <w:pPr>
              <w:spacing w:after="0"/>
              <w:rPr>
                <w:sz w:val="20"/>
                <w:szCs w:val="20"/>
                <w:color w:val="auto"/>
              </w:rPr>
            </w:pPr>
            <w:r>
              <w:rPr>
                <w:rFonts w:ascii="Arial" w:cs="Arial" w:eastAsia="Arial" w:hAnsi="Arial"/>
                <w:sz w:val="16"/>
                <w:szCs w:val="16"/>
                <w:color w:val="auto"/>
              </w:rPr>
              <w:t>101.DEF</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240" w:type="dxa"/>
            <w:vAlign w:val="bottom"/>
          </w:tcPr>
          <w:p>
            <w:pPr>
              <w:spacing w:after="0"/>
              <w:rPr>
                <w:sz w:val="20"/>
                <w:szCs w:val="20"/>
                <w:color w:val="auto"/>
              </w:rPr>
            </w:pPr>
            <w:r>
              <w:rPr>
                <w:rFonts w:ascii="Arial" w:cs="Arial" w:eastAsia="Arial" w:hAnsi="Arial"/>
                <w:sz w:val="16"/>
                <w:szCs w:val="16"/>
                <w:color w:val="auto"/>
              </w:rPr>
              <w:t>101.LAB</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9"/>
        </w:trPr>
        <w:tc>
          <w:tcPr>
            <w:tcW w:w="1240" w:type="dxa"/>
            <w:vAlign w:val="bottom"/>
          </w:tcPr>
          <w:p>
            <w:pPr>
              <w:spacing w:after="0"/>
              <w:rPr>
                <w:sz w:val="20"/>
                <w:szCs w:val="20"/>
                <w:color w:val="auto"/>
              </w:rPr>
            </w:pPr>
            <w:r>
              <w:rPr>
                <w:rFonts w:ascii="Arial" w:cs="Arial" w:eastAsia="Arial" w:hAnsi="Arial"/>
                <w:sz w:val="16"/>
                <w:szCs w:val="16"/>
                <w:color w:val="auto"/>
              </w:rPr>
              <w:t>101.PRE</w:t>
            </w:r>
          </w:p>
        </w:tc>
        <w:tc>
          <w:tcPr>
            <w:tcW w:w="980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ind w:left="1260" w:hanging="1234"/>
        <w:spacing w:after="0"/>
        <w:tabs>
          <w:tab w:leader="none" w:pos="1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ALBANY INTERNATIONAL CORP.</w:t>
      </w:r>
    </w:p>
    <w:p>
      <w:pPr>
        <w:spacing w:after="0" w:line="45"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(Registrant)</w:t>
      </w:r>
    </w:p>
    <w:p>
      <w:pPr>
        <w:spacing w:after="0" w:line="278" w:lineRule="exact"/>
        <w:rPr>
          <w:sz w:val="20"/>
          <w:szCs w:val="20"/>
          <w:color w:val="auto"/>
        </w:rPr>
      </w:pPr>
    </w:p>
    <w:p>
      <w:pPr>
        <w:ind w:left="20"/>
        <w:spacing w:after="0"/>
        <w:tabs>
          <w:tab w:leader="none" w:pos="4080" w:val="left"/>
          <w:tab w:leader="none" w:pos="4540" w:val="left"/>
        </w:tabs>
        <w:rPr>
          <w:sz w:val="20"/>
          <w:szCs w:val="20"/>
          <w:color w:val="auto"/>
        </w:rPr>
      </w:pPr>
      <w:r>
        <w:rPr>
          <w:rFonts w:ascii="Arial" w:cs="Arial" w:eastAsia="Arial" w:hAnsi="Arial"/>
          <w:sz w:val="16"/>
          <w:szCs w:val="16"/>
          <w:color w:val="auto"/>
        </w:rPr>
        <w:t>Date: October 29, 2020</w:t>
      </w:r>
      <w:r>
        <w:rPr>
          <w:sz w:val="20"/>
          <w:szCs w:val="20"/>
          <w:color w:val="auto"/>
        </w:rPr>
        <w:tab/>
      </w:r>
      <w:r>
        <w:rPr>
          <w:rFonts w:ascii="Arial" w:cs="Arial" w:eastAsia="Arial" w:hAnsi="Arial"/>
          <w:sz w:val="16"/>
          <w:szCs w:val="16"/>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23495</wp:posOffset>
            </wp:positionV>
            <wp:extent cx="41065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106545" cy="8890"/>
                    </a:xfrm>
                    <a:prstGeom prst="rect">
                      <a:avLst/>
                    </a:prstGeom>
                    <a:noFill/>
                  </pic:spPr>
                </pic:pic>
              </a:graphicData>
            </a:graphic>
          </wp:anchor>
        </w:drawing>
      </w:r>
    </w:p>
    <w:p>
      <w:pPr>
        <w:spacing w:after="0" w:line="24"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Stephen M. Nolan</w:t>
      </w:r>
    </w:p>
    <w:p>
      <w:pPr>
        <w:ind w:left="4560"/>
        <w:spacing w:after="0" w:line="211" w:lineRule="auto"/>
        <w:rPr>
          <w:sz w:val="20"/>
          <w:szCs w:val="20"/>
          <w:color w:val="auto"/>
        </w:rPr>
      </w:pPr>
      <w:r>
        <w:rPr>
          <w:rFonts w:ascii="Arial" w:cs="Arial" w:eastAsia="Arial" w:hAnsi="Arial"/>
          <w:sz w:val="16"/>
          <w:szCs w:val="16"/>
          <w:color w:val="auto"/>
        </w:rPr>
        <w:t>Chief Financial Officer and Treasurer</w:t>
      </w:r>
    </w:p>
    <w:p>
      <w:pPr>
        <w:ind w:left="456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18" w:right="3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EXHIBIT (31.1)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A. William Higgins, certify that:</w:t>
      </w:r>
    </w:p>
    <w:p>
      <w:pPr>
        <w:spacing w:after="0" w:line="117"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71"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8"/>
          <w:szCs w:val="18"/>
          <w:color w:val="auto"/>
        </w:rPr>
      </w:pPr>
    </w:p>
    <w:p>
      <w:pPr>
        <w:ind w:left="340" w:right="20" w:hanging="332"/>
        <w:spacing w:after="0" w:line="292"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340" w:hanging="332"/>
        <w:spacing w:after="0" w:line="271"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660" w:hanging="328"/>
        <w:spacing w:after="0" w:line="271" w:lineRule="auto"/>
        <w:tabs>
          <w:tab w:leader="none" w:pos="6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jc w:val="both"/>
        <w:ind w:left="660" w:right="20" w:hanging="328"/>
        <w:spacing w:after="0" w:line="271"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jc w:val="both"/>
        <w:ind w:left="340" w:hanging="332"/>
        <w:spacing w:after="0" w:line="271"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660" w:hanging="328"/>
        <w:spacing w:after="0" w:line="292"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8"/>
          <w:szCs w:val="18"/>
          <w:color w:val="auto"/>
        </w:rPr>
      </w:pPr>
    </w:p>
    <w:p>
      <w:pPr>
        <w:ind w:left="660" w:hanging="328"/>
        <w:spacing w:after="0" w:line="292" w:lineRule="auto"/>
        <w:tabs>
          <w:tab w:leader="none" w:pos="65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7"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8"/>
          <w:szCs w:val="18"/>
          <w:color w:val="auto"/>
        </w:rPr>
        <w:t>By</w:t>
        <w:tab/>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28575</wp:posOffset>
            </wp:positionV>
            <wp:extent cx="41833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183380" cy="8255"/>
                    </a:xfrm>
                    <a:prstGeom prst="rect">
                      <a:avLst/>
                    </a:prstGeom>
                    <a:noFill/>
                  </pic:spPr>
                </pic:pic>
              </a:graphicData>
            </a:graphic>
          </wp:anchor>
        </w:drawing>
      </w:r>
    </w:p>
    <w:p>
      <w:pPr>
        <w:spacing w:after="0" w:line="12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William Higgins</w:t>
      </w:r>
    </w:p>
    <w:p>
      <w:pPr>
        <w:ind w:left="4620"/>
        <w:spacing w:after="0" w:line="203" w:lineRule="auto"/>
        <w:rPr>
          <w:sz w:val="20"/>
          <w:szCs w:val="20"/>
          <w:color w:val="auto"/>
        </w:rPr>
      </w:pPr>
      <w:r>
        <w:rPr>
          <w:rFonts w:ascii="Arial" w:cs="Arial" w:eastAsia="Arial" w:hAnsi="Arial"/>
          <w:sz w:val="18"/>
          <w:szCs w:val="18"/>
          <w:color w:val="auto"/>
        </w:rPr>
        <w:t>President and Chief Executive Officer</w:t>
      </w:r>
    </w:p>
    <w:p>
      <w:pPr>
        <w:ind w:left="4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8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11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117" w:lineRule="exact"/>
        <w:rPr>
          <w:rFonts w:ascii="Arial" w:cs="Arial" w:eastAsia="Arial" w:hAnsi="Arial"/>
          <w:sz w:val="18"/>
          <w:szCs w:val="18"/>
          <w:color w:val="auto"/>
        </w:rPr>
      </w:pPr>
    </w:p>
    <w:p>
      <w:pPr>
        <w:jc w:val="both"/>
        <w:ind w:left="340" w:hanging="332"/>
        <w:spacing w:after="0" w:line="271"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8"/>
          <w:szCs w:val="18"/>
          <w:color w:val="auto"/>
        </w:rPr>
      </w:pPr>
    </w:p>
    <w:p>
      <w:pPr>
        <w:ind w:left="340" w:right="20" w:hanging="332"/>
        <w:spacing w:after="0" w:line="292"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8"/>
          <w:szCs w:val="18"/>
          <w:color w:val="auto"/>
        </w:rPr>
      </w:pPr>
    </w:p>
    <w:p>
      <w:pPr>
        <w:jc w:val="both"/>
        <w:ind w:left="340" w:hanging="332"/>
        <w:spacing w:after="0" w:line="271"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jc w:val="both"/>
        <w:ind w:left="660" w:hanging="328"/>
        <w:spacing w:after="0" w:line="271"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660" w:hanging="328"/>
        <w:spacing w:after="0" w:line="271" w:lineRule="auto"/>
        <w:tabs>
          <w:tab w:leader="none" w:pos="6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jc w:val="both"/>
        <w:ind w:left="660" w:right="20" w:hanging="328"/>
        <w:spacing w:after="0" w:line="271"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8"/>
          <w:szCs w:val="18"/>
          <w:color w:val="auto"/>
        </w:rPr>
      </w:pPr>
    </w:p>
    <w:p>
      <w:pPr>
        <w:jc w:val="both"/>
        <w:ind w:left="340" w:hanging="332"/>
        <w:spacing w:after="0" w:line="271"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660" w:hanging="328"/>
        <w:spacing w:after="0" w:line="292"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8"/>
          <w:szCs w:val="18"/>
          <w:color w:val="auto"/>
        </w:rPr>
      </w:pPr>
    </w:p>
    <w:p>
      <w:pPr>
        <w:ind w:left="660" w:hanging="328"/>
        <w:spacing w:after="0" w:line="292"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7" w:lineRule="exact"/>
        <w:rPr>
          <w:sz w:val="20"/>
          <w:szCs w:val="20"/>
          <w:color w:val="auto"/>
        </w:rPr>
      </w:pPr>
    </w:p>
    <w:p>
      <w:pPr>
        <w:ind w:left="20"/>
        <w:spacing w:after="0"/>
        <w:tabs>
          <w:tab w:leader="none" w:pos="4160" w:val="left"/>
          <w:tab w:leader="none" w:pos="460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28575</wp:posOffset>
            </wp:positionV>
            <wp:extent cx="41833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2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Stephen M. Nolan</w:t>
      </w:r>
    </w:p>
    <w:p>
      <w:pPr>
        <w:ind w:left="4620"/>
        <w:spacing w:after="0" w:line="203" w:lineRule="auto"/>
        <w:rPr>
          <w:sz w:val="20"/>
          <w:szCs w:val="20"/>
          <w:color w:val="auto"/>
        </w:rPr>
      </w:pPr>
      <w:r>
        <w:rPr>
          <w:rFonts w:ascii="Arial" w:cs="Arial" w:eastAsia="Arial" w:hAnsi="Arial"/>
          <w:sz w:val="18"/>
          <w:szCs w:val="18"/>
          <w:color w:val="auto"/>
        </w:rPr>
        <w:t>Chief Financial Officer and Treasurer</w:t>
      </w:r>
    </w:p>
    <w:p>
      <w:pPr>
        <w:ind w:left="46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4"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September 30, 2020, as filed with the Securities and Exchange Commission on the date hereof (the Report), A. William Higgins, President and Chief Executive Officer, and Stephen M. Nolan, Chief Financial Officer and Treasurer of the Company, certify, pursuant to 18 U.S.C. § 1350, as adopted pursuant to § 906 of the Sarbanes-Oxley Act of 2002, that:</w:t>
      </w:r>
    </w:p>
    <w:p>
      <w:pPr>
        <w:spacing w:after="0" w:line="61"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117" w:lineRule="exact"/>
        <w:rPr>
          <w:rFonts w:ascii="Arial" w:cs="Arial" w:eastAsia="Arial" w:hAnsi="Arial"/>
          <w:sz w:val="18"/>
          <w:szCs w:val="18"/>
          <w:color w:val="auto"/>
        </w:rPr>
      </w:pPr>
    </w:p>
    <w:p>
      <w:pPr>
        <w:ind w:left="340" w:hanging="332"/>
        <w:spacing w:after="0" w:line="292" w:lineRule="auto"/>
        <w:tabs>
          <w:tab w:leader="none" w:pos="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77" w:lineRule="exact"/>
        <w:rPr>
          <w:sz w:val="20"/>
          <w:szCs w:val="20"/>
          <w:color w:val="auto"/>
        </w:rPr>
      </w:pPr>
    </w:p>
    <w:p>
      <w:pPr>
        <w:ind w:left="1040"/>
        <w:spacing w:after="0"/>
        <w:tabs>
          <w:tab w:leader="none" w:pos="4860" w:val="left"/>
        </w:tabs>
        <w:rPr>
          <w:sz w:val="20"/>
          <w:szCs w:val="20"/>
          <w:color w:val="auto"/>
        </w:rPr>
      </w:pPr>
      <w:r>
        <w:rPr>
          <w:rFonts w:ascii="Arial" w:cs="Arial" w:eastAsia="Arial" w:hAnsi="Arial"/>
          <w:sz w:val="18"/>
          <w:szCs w:val="18"/>
          <w:color w:val="auto"/>
        </w:rPr>
        <w:t>Date: October 29, 2020</w:t>
      </w:r>
      <w:r>
        <w:rPr>
          <w:sz w:val="20"/>
          <w:szCs w:val="20"/>
          <w:color w:val="auto"/>
        </w:rPr>
        <w:tab/>
      </w:r>
      <w:r>
        <w:rPr>
          <w:rFonts w:ascii="Arial" w:cs="Arial" w:eastAsia="Arial" w:hAnsi="Arial"/>
          <w:sz w:val="17"/>
          <w:szCs w:val="17"/>
          <w:color w:val="auto"/>
        </w:rPr>
        <w:t>/s/ A. William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28575</wp:posOffset>
            </wp:positionV>
            <wp:extent cx="34118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 William Higgins</w:t>
      </w:r>
    </w:p>
    <w:p>
      <w:pPr>
        <w:ind w:left="4880"/>
        <w:spacing w:after="0" w:line="203" w:lineRule="auto"/>
        <w:rPr>
          <w:sz w:val="20"/>
          <w:szCs w:val="20"/>
          <w:color w:val="auto"/>
        </w:rPr>
      </w:pPr>
      <w:r>
        <w:rPr>
          <w:rFonts w:ascii="Arial" w:cs="Arial" w:eastAsia="Arial" w:hAnsi="Arial"/>
          <w:sz w:val="18"/>
          <w:szCs w:val="18"/>
          <w:color w:val="auto"/>
        </w:rPr>
        <w:t>President and Chief Executive Officer</w:t>
      </w:r>
    </w:p>
    <w:p>
      <w:pPr>
        <w:ind w:left="4880"/>
        <w:spacing w:after="0"/>
        <w:rPr>
          <w:sz w:val="20"/>
          <w:szCs w:val="20"/>
          <w:color w:val="auto"/>
        </w:rPr>
      </w:pPr>
      <w:r>
        <w:rPr>
          <w:rFonts w:ascii="Arial" w:cs="Arial" w:eastAsia="Arial" w:hAnsi="Arial"/>
          <w:sz w:val="18"/>
          <w:szCs w:val="18"/>
          <w:color w:val="auto"/>
        </w:rPr>
        <w:t>(Principal Executive Officer)</w:t>
      </w:r>
    </w:p>
    <w:p>
      <w:pPr>
        <w:spacing w:after="0" w:line="5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20320</wp:posOffset>
            </wp:positionV>
            <wp:extent cx="34118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1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Stephen M. Nolan</w:t>
      </w:r>
    </w:p>
    <w:p>
      <w:pPr>
        <w:ind w:left="4880"/>
        <w:spacing w:after="0" w:line="203" w:lineRule="auto"/>
        <w:rPr>
          <w:sz w:val="20"/>
          <w:szCs w:val="20"/>
          <w:color w:val="auto"/>
        </w:rPr>
      </w:pPr>
      <w:r>
        <w:rPr>
          <w:rFonts w:ascii="Arial" w:cs="Arial" w:eastAsia="Arial" w:hAnsi="Arial"/>
          <w:sz w:val="18"/>
          <w:szCs w:val="18"/>
          <w:color w:val="auto"/>
        </w:rPr>
        <w:t>Chief Financial Officer and Treasurer</w:t>
      </w:r>
    </w:p>
    <w:p>
      <w:pPr>
        <w:ind w:left="48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84"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EXHIBIT (99.1)</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September 30, 2020</w:t>
      </w:r>
    </w:p>
    <w:p>
      <w:pPr>
        <w:spacing w:after="0" w:line="230" w:lineRule="exact"/>
        <w:rPr>
          <w:sz w:val="20"/>
          <w:szCs w:val="20"/>
          <w:color w:val="auto"/>
        </w:rPr>
      </w:pPr>
    </w:p>
    <w:p>
      <w:pPr>
        <w:ind w:right="180" w:firstLine="648"/>
        <w:spacing w:after="0" w:line="292"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$598.4 million. The potential loss in fair value resulting from a hypothetical 10% adverse change in quoted foreign currency exchange rates amounts to $59.8 million. Furthermore, related to foreign currency transactions, we have exposure to various nonfunctional currency balances totaling $54.6 million. This amount includes, on an absolute basis, exposures to assets and liabilities held in currencies other than our local entity’s functional currency. On a net basis, we had $17.6 million of foreign currency assets as of September 30, 2020. As currency rates change, these nonfunctional currency balances are revalued, and the corresponding adjustment is recorded in the income statement. A hypothetical change of 10% in currency rates could result in an adjustment to the income statement of approximately $1.8 million. Actual results may differ.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30, 2020,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120" w:type="dxa"/>
            <w:vAlign w:val="bottom"/>
          </w:tcPr>
          <w:p>
            <w:pPr>
              <w:spacing w:after="0"/>
              <w:rPr>
                <w:sz w:val="21"/>
                <w:szCs w:val="21"/>
                <w:color w:val="auto"/>
              </w:rPr>
            </w:pPr>
          </w:p>
        </w:tc>
      </w:tr>
      <w:tr>
        <w:trPr>
          <w:trHeight w:val="216"/>
        </w:trPr>
        <w:tc>
          <w:tcPr>
            <w:tcW w:w="9120" w:type="dxa"/>
            <w:vAlign w:val="bottom"/>
          </w:tcPr>
          <w:p>
            <w:pPr>
              <w:ind w:left="20"/>
              <w:spacing w:after="0"/>
              <w:rPr>
                <w:sz w:val="20"/>
                <w:szCs w:val="20"/>
                <w:color w:val="auto"/>
              </w:rPr>
            </w:pPr>
            <w:r>
              <w:rPr>
                <w:rFonts w:ascii="Arial" w:cs="Arial" w:eastAsia="Arial" w:hAnsi="Arial"/>
                <w:sz w:val="18"/>
                <w:szCs w:val="18"/>
                <w:color w:val="auto"/>
              </w:rPr>
              <w:t>Credit agreement with borrowings outstanding, net of fixed rate portion, at an end of period interest rate of</w:t>
            </w:r>
          </w:p>
        </w:tc>
        <w:tc>
          <w:tcPr>
            <w:tcW w:w="2120" w:type="dxa"/>
            <w:vAlign w:val="bottom"/>
          </w:tcPr>
          <w:p>
            <w:pPr>
              <w:spacing w:after="0"/>
              <w:rPr>
                <w:sz w:val="18"/>
                <w:szCs w:val="18"/>
                <w:color w:val="auto"/>
              </w:rPr>
            </w:pPr>
          </w:p>
        </w:tc>
      </w:tr>
      <w:tr>
        <w:trPr>
          <w:trHeight w:val="248"/>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1.525% in 2020, due in 2022</w:t>
            </w:r>
          </w:p>
        </w:tc>
        <w:tc>
          <w:tcPr>
            <w:tcW w:w="21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$68,000</w:t>
            </w:r>
          </w:p>
        </w:tc>
      </w:tr>
      <w:tr>
        <w:trPr>
          <w:trHeight w:val="250"/>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$68,000</w:t>
            </w:r>
          </w:p>
        </w:tc>
      </w:tr>
    </w:tbl>
    <w:p>
      <w:pPr>
        <w:spacing w:after="0" w:line="32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$0.7 million. To manage interest rate risk, we may periodically enter into interest rate swap agreements to effectively fix the interest rates on variable debt to a specific rate for a period of time. (See Note 15 to the Consolidated Financial Statements in Item 1, which is incorporated herein by reference).</w:t>
      </w:r>
    </w:p>
    <w:sectPr>
      <w:pgSz w:w="11900" w:h="16838" w:orient="portrait"/>
      <w:cols w:equalWidth="0" w:num="1">
        <w:col w:w="11240"/>
      </w:cols>
      <w:pgMar w:left="320" w:top="10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4"/>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3"/>
    </w:lvl>
  </w:abstractNum>
  <w:abstractNum w:abstractNumId="7">
    <w:nsid w:val="431BD7B7"/>
    <w:multiLevelType w:val="hybridMultilevel"/>
    <w:lvl w:ilvl="0">
      <w:lvlJc w:val="left"/>
      <w:lvlText w:val="%1."/>
      <w:numFmt w:val="decimal"/>
      <w:start w:val="17"/>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lvl w:ilvl="1">
      <w:lvlJc w:val="left"/>
      <w:lvlText w:val="•"/>
      <w:numFmt w:val="bullet"/>
      <w:start w:val="1"/>
    </w:lvl>
  </w:abstractNum>
  <w:abstractNum w:abstractNumId="11">
    <w:nsid w:val="62BBD95A"/>
    <w:multiLevelType w:val="hybridMultilevel"/>
    <w:lvl w:ilvl="0">
      <w:lvlJc w:val="left"/>
      <w:lvlText w:val="•"/>
      <w:numFmt w:val="bullet"/>
      <w:start w:val="1"/>
    </w:lvl>
    <w:lvl w:ilvl="1">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2020-10-29T09:04:25Z</dcterms:created>
  <dcterms:modified xsi:type="dcterms:W3CDTF">2020-10-29T09:04:25Z</dcterms:modified>
</cp:coreProperties>
</file>