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1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2023</w:t>
      </w:r>
    </w:p>
    <w:p>
      <w:pPr>
        <w:spacing w:after="0" w:line="9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0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33020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5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6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37465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4" w:lineRule="exact"/>
        <w:rPr>
          <w:sz w:val="24"/>
          <w:szCs w:val="24"/>
          <w:color w:val="auto"/>
        </w:rPr>
      </w:pPr>
    </w:p>
    <w:p>
      <w:pPr>
        <w:jc w:val="both"/>
        <w:ind w:right="2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ind w:right="2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ind w:right="2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40"/>
        <w:spacing w:after="0" w:line="228"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 w:lineRule="exact"/>
        <w:rPr>
          <w:sz w:val="24"/>
          <w:szCs w:val="24"/>
          <w:color w:val="auto"/>
        </w:rPr>
      </w:pPr>
    </w:p>
    <w:p>
      <w:pPr>
        <w:ind w:right="2220"/>
        <w:spacing w:after="0" w:line="23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31.2 million shares of Class A Common Stock outstanding as of October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5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42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8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three and </w:t>
            </w:r>
            <w:r>
              <w:rPr>
                <w:rFonts w:ascii="Arial" w:cs="Arial" w:eastAsia="Arial" w:hAnsi="Arial"/>
                <w:sz w:val="16"/>
                <w:szCs w:val="16"/>
                <w:color w:val="000000"/>
              </w:rPr>
              <w:t>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1</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September 30, 2023</w:t>
            </w:r>
            <w:r>
              <w:rPr>
                <w:rFonts w:ascii="Arial" w:cs="Arial" w:eastAsia="Arial" w:hAnsi="Arial"/>
                <w:sz w:val="16"/>
                <w:szCs w:val="16"/>
                <w:color w:val="0000FF"/>
              </w:rPr>
              <w:t xml:space="preserve"> and </w:t>
            </w:r>
            <w:r>
              <w:rPr>
                <w:rFonts w:ascii="Arial" w:cs="Arial" w:eastAsia="Arial" w:hAnsi="Arial"/>
                <w:sz w:val="16"/>
                <w:szCs w:val="16"/>
                <w:color w:val="000000"/>
              </w:rPr>
              <w:t>December 31, 2022</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5</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24</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38</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8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39</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Risk Factors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39</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3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Defaults upon Senior Securities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40</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5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Other Information</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41</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42</w:t>
            </w:r>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4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3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460" w:type="dxa"/>
            <w:vAlign w:val="bottom"/>
            <w:tcBorders>
              <w:top w:val="single" w:sz="8" w:color="B2B2B2"/>
              <w:bottom w:val="single" w:sz="8" w:color="9A9A9A"/>
            </w:tcBorders>
          </w:tcPr>
          <w:p>
            <w:pPr>
              <w:spacing w:after="0"/>
              <w:rPr>
                <w:sz w:val="24"/>
                <w:szCs w:val="24"/>
                <w:color w:val="auto"/>
              </w:rPr>
            </w:pPr>
          </w:p>
        </w:tc>
        <w:tc>
          <w:tcPr>
            <w:tcW w:w="52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4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22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766,101</w:t>
            </w: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473,411</w:t>
            </w:r>
          </w:p>
        </w:tc>
      </w:tr>
      <w:tr>
        <w:trPr>
          <w:trHeight w:val="239"/>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303,857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292,690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119,325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29,984</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9"/>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11,336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(income)/expense,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(17,891)</w:t>
            </w:r>
          </w:p>
        </w:tc>
      </w:tr>
      <w:tr>
        <w:trPr>
          <w:trHeight w:val="240"/>
        </w:trPr>
        <w:tc>
          <w:tcPr>
            <w:tcW w:w="6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120,974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100,540</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expense/(benefit)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r>
      <w:tr>
        <w:trPr>
          <w:trHeight w:val="239"/>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78,267</w:t>
            </w: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r>
      <w:tr>
        <w:trPr>
          <w:trHeight w:val="23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77,632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56"/>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57"/>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31,416</w:t>
            </w:r>
          </w:p>
        </w:tc>
      </w:tr>
      <w:tr>
        <w:trPr>
          <w:trHeight w:val="259"/>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31,518</w:t>
            </w:r>
          </w:p>
        </w:tc>
      </w:tr>
      <w:tr>
        <w:trPr>
          <w:trHeight w:val="259"/>
        </w:trPr>
        <w:tc>
          <w:tcPr>
            <w:tcW w:w="6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0"/>
        </w:trPr>
        <w:tc>
          <w:tcPr>
            <w:tcW w:w="6180" w:type="dxa"/>
            <w:vAlign w:val="bottom"/>
          </w:tcPr>
          <w:p>
            <w:pPr>
              <w:ind w:left="20"/>
              <w:spacing w:after="0"/>
              <w:rPr>
                <w:sz w:val="20"/>
                <w:szCs w:val="20"/>
                <w:color w:val="auto"/>
              </w:rPr>
            </w:pPr>
            <w:r>
              <w:rPr>
                <w:rFonts w:ascii="Arial" w:cs="Arial" w:eastAsia="Arial" w:hAnsi="Arial"/>
                <w:sz w:val="16"/>
                <w:szCs w:val="16"/>
                <w:color w:val="auto"/>
              </w:rPr>
              <w:t>Dividends declared per Class A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0.63</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78,267</w:t>
            </w:r>
          </w:p>
        </w:tc>
      </w:tr>
      <w:tr>
        <w:trPr>
          <w:trHeight w:val="256"/>
        </w:trPr>
        <w:tc>
          <w:tcPr>
            <w:tcW w:w="6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(79,841)</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Reclassification of loss on pension settlement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w:t>
            </w:r>
          </w:p>
        </w:tc>
      </w:tr>
      <w:tr>
        <w:trPr>
          <w:trHeight w:val="213"/>
        </w:trPr>
        <w:tc>
          <w:tcPr>
            <w:tcW w:w="620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2,905</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23,529</w:t>
            </w:r>
          </w:p>
        </w:tc>
      </w:tr>
      <w:tr>
        <w:trPr>
          <w:trHeight w:val="260"/>
        </w:trPr>
        <w:tc>
          <w:tcPr>
            <w:tcW w:w="6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Reclassification of loss on pension settlement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(16,459)</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46"/>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r>
      <w:tr>
        <w:trPr>
          <w:trHeight w:val="207"/>
        </w:trPr>
        <w:tc>
          <w:tcPr>
            <w:tcW w:w="620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9,312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70,384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43,878</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43,334</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8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171,506</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291,776</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270,487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200,018</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165,833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148,695</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139,050</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6,402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61,155</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50,962</w:t>
            </w:r>
          </w:p>
        </w:tc>
        <w:tc>
          <w:tcPr>
            <w:tcW w:w="0" w:type="dxa"/>
            <w:vAlign w:val="bottom"/>
          </w:tcPr>
          <w:p>
            <w:pPr>
              <w:spacing w:after="0"/>
              <w:rPr>
                <w:sz w:val="1"/>
                <w:szCs w:val="1"/>
                <w:color w:val="auto"/>
              </w:rPr>
            </w:pPr>
          </w:p>
        </w:tc>
      </w:tr>
      <w:tr>
        <w:trPr>
          <w:trHeight w:val="196"/>
        </w:trPr>
        <w:tc>
          <w:tcPr>
            <w:tcW w:w="83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856,374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838,439</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566,974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445,658</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33,811</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177,398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178,217</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27,913</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104,284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103,021</w:t>
            </w:r>
          </w:p>
        </w:tc>
        <w:tc>
          <w:tcPr>
            <w:tcW w:w="0" w:type="dxa"/>
            <w:vAlign w:val="bottom"/>
          </w:tcPr>
          <w:p>
            <w:pPr>
              <w:spacing w:after="0"/>
              <w:rPr>
                <w:sz w:val="1"/>
                <w:szCs w:val="1"/>
                <w:color w:val="auto"/>
              </w:rPr>
            </w:pPr>
          </w:p>
        </w:tc>
      </w:tr>
      <w:tr>
        <w:trPr>
          <w:trHeight w:val="202"/>
        </w:trPr>
        <w:tc>
          <w:tcPr>
            <w:tcW w:w="83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1,790,250</w:t>
            </w:r>
          </w:p>
        </w:tc>
        <w:tc>
          <w:tcPr>
            <w:tcW w:w="14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1,642,255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8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69,707</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135,343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126,385</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10,103</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15,224</w:t>
            </w:r>
          </w:p>
        </w:tc>
        <w:tc>
          <w:tcPr>
            <w:tcW w:w="0" w:type="dxa"/>
            <w:vAlign w:val="bottom"/>
          </w:tcPr>
          <w:p>
            <w:pPr>
              <w:spacing w:after="0"/>
              <w:rPr>
                <w:sz w:val="1"/>
                <w:szCs w:val="1"/>
                <w:color w:val="auto"/>
              </w:rPr>
            </w:pPr>
          </w:p>
        </w:tc>
      </w:tr>
      <w:tr>
        <w:trPr>
          <w:trHeight w:val="202"/>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242,797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211,316</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463,339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439,000</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141,620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108,758</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20,861</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15,638</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868,617</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774,712</w:t>
            </w:r>
          </w:p>
        </w:tc>
        <w:tc>
          <w:tcPr>
            <w:tcW w:w="0" w:type="dxa"/>
            <w:vAlign w:val="bottom"/>
          </w:tcPr>
          <w:p>
            <w:pPr>
              <w:spacing w:after="0"/>
              <w:rPr>
                <w:sz w:val="1"/>
                <w:szCs w:val="1"/>
                <w:color w:val="auto"/>
              </w:rPr>
            </w:pPr>
          </w:p>
        </w:tc>
      </w:tr>
      <w:tr>
        <w:trPr>
          <w:trHeight w:val="94"/>
        </w:trPr>
        <w:tc>
          <w:tcPr>
            <w:tcW w:w="8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8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38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$.001 per share; authorized 100,000,000 shares; 40,856,910 issued in 2023</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8380" w:type="dxa"/>
            <w:vAlign w:val="bottom"/>
          </w:tcPr>
          <w:p>
            <w:pPr>
              <w:ind w:left="140"/>
              <w:spacing w:after="0"/>
              <w:rPr>
                <w:sz w:val="20"/>
                <w:szCs w:val="20"/>
                <w:color w:val="auto"/>
              </w:rPr>
            </w:pPr>
            <w:r>
              <w:rPr>
                <w:rFonts w:ascii="Arial" w:cs="Arial" w:eastAsia="Arial" w:hAnsi="Arial"/>
                <w:sz w:val="14"/>
                <w:szCs w:val="14"/>
                <w:color w:val="auto"/>
              </w:rPr>
              <w:t>and 40,785,434 in 2022</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446,470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441,540</w:t>
            </w:r>
          </w:p>
        </w:tc>
        <w:tc>
          <w:tcPr>
            <w:tcW w:w="0" w:type="dxa"/>
            <w:vAlign w:val="bottom"/>
          </w:tcPr>
          <w:p>
            <w:pPr>
              <w:spacing w:after="0"/>
              <w:rPr>
                <w:sz w:val="1"/>
                <w:szCs w:val="1"/>
                <w:color w:val="auto"/>
              </w:rPr>
            </w:pPr>
          </w:p>
        </w:tc>
      </w:tr>
      <w:tr>
        <w:trPr>
          <w:trHeight w:val="197"/>
        </w:trPr>
        <w:tc>
          <w:tcPr>
            <w:tcW w:w="83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988,602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931,318</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220"/>
              <w:spacing w:after="0"/>
              <w:rPr>
                <w:sz w:val="20"/>
                <w:szCs w:val="20"/>
                <w:color w:val="auto"/>
              </w:rPr>
            </w:pPr>
            <w:r>
              <w:rPr>
                <w:rFonts w:ascii="Arial" w:cs="Arial" w:eastAsia="Arial" w:hAnsi="Arial"/>
                <w:sz w:val="14"/>
                <w:szCs w:val="14"/>
                <w:color w:val="auto"/>
              </w:rPr>
              <w:t>Translation adjustments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(151,177)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(146,851)</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(15,783)</w:t>
            </w:r>
          </w:p>
        </w:tc>
        <w:tc>
          <w:tcPr>
            <w:tcW w:w="0" w:type="dxa"/>
            <w:vAlign w:val="bottom"/>
          </w:tcPr>
          <w:p>
            <w:pPr>
              <w:spacing w:after="0"/>
              <w:rPr>
                <w:sz w:val="1"/>
                <w:szCs w:val="1"/>
                <w:color w:val="auto"/>
              </w:rPr>
            </w:pPr>
          </w:p>
        </w:tc>
      </w:tr>
      <w:tr>
        <w:trPr>
          <w:trHeight w:val="197"/>
        </w:trPr>
        <w:tc>
          <w:tcPr>
            <w:tcW w:w="8380" w:type="dxa"/>
            <w:vAlign w:val="bottom"/>
          </w:tcPr>
          <w:p>
            <w:pPr>
              <w:ind w:left="220"/>
              <w:spacing w:after="0"/>
              <w:rPr>
                <w:sz w:val="20"/>
                <w:szCs w:val="20"/>
                <w:color w:val="auto"/>
              </w:rPr>
            </w:pPr>
            <w:r>
              <w:rPr>
                <w:rFonts w:ascii="Arial" w:cs="Arial" w:eastAsia="Arial" w:hAnsi="Arial"/>
                <w:sz w:val="14"/>
                <w:szCs w:val="14"/>
                <w:color w:val="auto"/>
              </w:rPr>
              <w:t>Derivative valuation adjustment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12,957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17,707</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(Class A), at cost; 9,661,845 shares in 2023 and 9,674,542 in 2022</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(364,665)</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(364,923)</w:t>
            </w:r>
          </w:p>
        </w:tc>
        <w:tc>
          <w:tcPr>
            <w:tcW w:w="0" w:type="dxa"/>
            <w:vAlign w:val="bottom"/>
          </w:tcPr>
          <w:p>
            <w:pPr>
              <w:spacing w:after="0"/>
              <w:rPr>
                <w:sz w:val="1"/>
                <w:szCs w:val="1"/>
                <w:color w:val="auto"/>
              </w:rPr>
            </w:pPr>
          </w:p>
        </w:tc>
      </w:tr>
      <w:tr>
        <w:trPr>
          <w:trHeight w:val="196"/>
        </w:trPr>
        <w:tc>
          <w:tcPr>
            <w:tcW w:w="8380" w:type="dxa"/>
            <w:vAlign w:val="bottom"/>
          </w:tcPr>
          <w:p>
            <w:pPr>
              <w:ind w:left="220"/>
              <w:spacing w:after="0"/>
              <w:rPr>
                <w:sz w:val="20"/>
                <w:szCs w:val="20"/>
                <w:color w:val="auto"/>
              </w:rPr>
            </w:pPr>
            <w:r>
              <w:rPr>
                <w:rFonts w:ascii="Arial" w:cs="Arial" w:eastAsia="Arial" w:hAnsi="Arial"/>
                <w:sz w:val="14"/>
                <w:szCs w:val="14"/>
                <w:color w:val="auto"/>
              </w:rPr>
              <w:t>Total Company shareholders' equity</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914,839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863,049</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6,794</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921,633</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867,543</w:t>
            </w:r>
          </w:p>
        </w:tc>
        <w:tc>
          <w:tcPr>
            <w:tcW w:w="0" w:type="dxa"/>
            <w:vAlign w:val="bottom"/>
          </w:tcPr>
          <w:p>
            <w:pPr>
              <w:spacing w:after="0"/>
              <w:rPr>
                <w:sz w:val="1"/>
                <w:szCs w:val="1"/>
                <w:color w:val="auto"/>
              </w:rPr>
            </w:pPr>
          </w:p>
        </w:tc>
      </w:tr>
      <w:tr>
        <w:trPr>
          <w:trHeight w:val="227"/>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1,790,250</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1,642,255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77"/>
        </w:trPr>
        <w:tc>
          <w:tcPr>
            <w:tcW w:w="80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78,267</w:t>
            </w: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46,864</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Amortization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5,044</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(15,582)</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Impairment of property, plant, equipment, and inventory</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2,610</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Non-cash interest expense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Non-cash portion of pension settlement expense</w:t>
            </w:r>
          </w:p>
        </w:tc>
        <w:tc>
          <w:tcPr>
            <w:tcW w:w="3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42,657</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3,282</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885</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(gain) on intercompany loans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(409)</w:t>
            </w:r>
          </w:p>
        </w:tc>
      </w:tr>
      <w:tr>
        <w:trPr>
          <w:trHeight w:val="114"/>
        </w:trPr>
        <w:tc>
          <w:tcPr>
            <w:tcW w:w="80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 net of impact of business acquisition:</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(20,260)</w:t>
            </w:r>
          </w:p>
        </w:tc>
      </w:tr>
      <w:tr>
        <w:trPr>
          <w:trHeight w:val="196"/>
        </w:trPr>
        <w:tc>
          <w:tcPr>
            <w:tcW w:w="802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(37,201)</w:t>
            </w: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(24,895)</w:t>
            </w:r>
          </w:p>
        </w:tc>
      </w:tr>
      <w:tr>
        <w:trPr>
          <w:trHeight w:val="196"/>
        </w:trPr>
        <w:tc>
          <w:tcPr>
            <w:tcW w:w="802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(2,733)</w:t>
            </w: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5,081</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(12,624)</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2,639</w:t>
            </w: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2,976</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(5,960)</w:t>
            </w:r>
          </w:p>
        </w:tc>
      </w:tr>
      <w:tr>
        <w:trPr>
          <w:trHeight w:val="203"/>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4,634</w:t>
            </w:r>
          </w:p>
        </w:tc>
      </w:tr>
      <w:tr>
        <w:trPr>
          <w:trHeight w:val="196"/>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67,307</w:t>
            </w:r>
          </w:p>
        </w:tc>
      </w:tr>
      <w:tr>
        <w:trPr>
          <w:trHeight w:val="94"/>
        </w:trPr>
        <w:tc>
          <w:tcPr>
            <w:tcW w:w="8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8"/>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business, net of cash acquired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7"/>
        </w:trPr>
        <w:tc>
          <w:tcPr>
            <w:tcW w:w="8020" w:type="dxa"/>
            <w:vAlign w:val="bottom"/>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(48,850)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(50,948)</w:t>
            </w:r>
          </w:p>
        </w:tc>
      </w:tr>
      <w:tr>
        <w:trPr>
          <w:trHeight w:val="203"/>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Purchased software</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w:t>
            </w:r>
          </w:p>
        </w:tc>
      </w:tr>
      <w:tr>
        <w:trPr>
          <w:trHeight w:val="196"/>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(52,832)</w:t>
            </w:r>
          </w:p>
        </w:tc>
      </w:tr>
      <w:tr>
        <w:trPr>
          <w:trHeight w:val="94"/>
        </w:trPr>
        <w:tc>
          <w:tcPr>
            <w:tcW w:w="8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borrowings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145,000</w:t>
            </w:r>
          </w:p>
        </w:tc>
      </w:tr>
      <w:tr>
        <w:trPr>
          <w:trHeight w:val="196"/>
        </w:trPr>
        <w:tc>
          <w:tcPr>
            <w:tcW w:w="8020" w:type="dxa"/>
            <w:vAlign w:val="bottom"/>
          </w:tcPr>
          <w:p>
            <w:pPr>
              <w:ind w:left="480"/>
              <w:spacing w:after="0"/>
              <w:rPr>
                <w:sz w:val="20"/>
                <w:szCs w:val="20"/>
                <w:color w:val="auto"/>
              </w:rPr>
            </w:pPr>
            <w:r>
              <w:rPr>
                <w:rFonts w:ascii="Arial" w:cs="Arial" w:eastAsia="Arial" w:hAnsi="Arial"/>
                <w:sz w:val="14"/>
                <w:szCs w:val="14"/>
                <w:color w:val="auto"/>
              </w:rPr>
              <w:t>Principal payments on debt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(51,479)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(48,000)</w:t>
            </w: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96"/>
        </w:trPr>
        <w:tc>
          <w:tcPr>
            <w:tcW w:w="8020" w:type="dxa"/>
            <w:vAlign w:val="bottom"/>
          </w:tcPr>
          <w:p>
            <w:pPr>
              <w:ind w:left="480"/>
              <w:spacing w:after="0"/>
              <w:rPr>
                <w:sz w:val="20"/>
                <w:szCs w:val="20"/>
                <w:color w:val="auto"/>
              </w:rPr>
            </w:pPr>
            <w:r>
              <w:rPr>
                <w:rFonts w:ascii="Arial" w:cs="Arial" w:eastAsia="Arial" w:hAnsi="Arial"/>
                <w:sz w:val="14"/>
                <w:szCs w:val="14"/>
                <w:color w:val="auto"/>
              </w:rPr>
              <w:t>Debt acquisition costs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Treasury shares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(84,780)</w:t>
            </w:r>
          </w:p>
        </w:tc>
      </w:tr>
      <w:tr>
        <w:trPr>
          <w:trHeight w:val="196"/>
        </w:trPr>
        <w:tc>
          <w:tcPr>
            <w:tcW w:w="8020" w:type="dxa"/>
            <w:vAlign w:val="bottom"/>
          </w:tcPr>
          <w:p>
            <w:pPr>
              <w:ind w:left="480"/>
              <w:spacing w:after="0"/>
              <w:rPr>
                <w:sz w:val="20"/>
                <w:szCs w:val="20"/>
                <w:color w:val="auto"/>
              </w:rPr>
            </w:pPr>
            <w:r>
              <w:rPr>
                <w:rFonts w:ascii="Arial" w:cs="Arial" w:eastAsia="Arial" w:hAnsi="Arial"/>
                <w:sz w:val="14"/>
                <w:szCs w:val="14"/>
                <w:color w:val="auto"/>
              </w:rPr>
              <w:t>Taxes paid in lieu of share issuance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(770)</w:t>
            </w:r>
          </w:p>
        </w:tc>
      </w:tr>
      <w:tr>
        <w:trPr>
          <w:trHeight w:val="209"/>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options exercised</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196"/>
        </w:trPr>
        <w:tc>
          <w:tcPr>
            <w:tcW w:w="80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(23,365)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(19,932)</w:t>
            </w:r>
          </w:p>
        </w:tc>
      </w:tr>
      <w:tr>
        <w:trPr>
          <w:trHeight w:val="196"/>
        </w:trPr>
        <w:tc>
          <w:tcPr>
            <w:tcW w:w="8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(9,119)</w:t>
            </w:r>
          </w:p>
        </w:tc>
      </w:tr>
      <w:tr>
        <w:trPr>
          <w:trHeight w:val="94"/>
        </w:trPr>
        <w:tc>
          <w:tcPr>
            <w:tcW w:w="80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190"/>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(30,910)</w:t>
            </w:r>
          </w:p>
        </w:tc>
      </w:tr>
      <w:tr>
        <w:trPr>
          <w:trHeight w:val="94"/>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(25,554)</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291,776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302,036</w:t>
            </w: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276,482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140"/>
          </w:cols>
          <w:pgMar w:left="320" w:top="12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03"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the Company's Consolidated Financial Statements and accompanying Notes. Actual results could differ materially from those estimates.</w:t>
      </w:r>
    </w:p>
    <w:p>
      <w:pPr>
        <w:spacing w:after="0" w:line="76"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7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 xml:space="preserve">On August 31, 2023, the Company completed the acquisition of Heimbach GmbH (“Heimbach”), a privately-held manufacturer of paper machine clothing and technical textiles, as further described in </w:t>
      </w:r>
      <w:r>
        <w:rPr>
          <w:rFonts w:ascii="Arial" w:cs="Arial" w:eastAsia="Arial" w:hAnsi="Arial"/>
          <w:sz w:val="18"/>
          <w:szCs w:val="18"/>
          <w:i w:val="1"/>
          <w:iCs w:val="1"/>
          <w:color w:val="auto"/>
        </w:rPr>
        <w:t>Note 17. Business Combination</w:t>
      </w:r>
      <w:r>
        <w:rPr>
          <w:rFonts w:ascii="Arial" w:cs="Arial" w:eastAsia="Arial" w:hAnsi="Arial"/>
          <w:sz w:val="18"/>
          <w:szCs w:val="18"/>
          <w:color w:val="auto"/>
        </w:rPr>
        <w:t>. The financial results of the acquired company are included in the Machine Clothing reportable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Albany Engineered Composites (“AEC”)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 The LEAP engine is used on the Airbus A320neo, Boeing 737 MAX, and COMAC 919 aircraft. AEC's largest aerospace customer is the SAFRAN Group and sales to SAFRAN (consisting primarily of fan blades and cases for CFM International's LEAP engine) accounted for approximately 16 percent of the Company's consolidated Net revenues in 2022.</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AEC net sales to SAFRAN were $140.8 million and $125.4 million in the first nine months of 2023 and 2022, respectively. The total of Accounts receivable, Contract assets and Noncurrent receivables due from SAFRAN amounted to $90.0 million and $80.8 million as of September 30, 2023 and December 31, 2022, respectively.</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Other significant programs by AEC include the Sikorsky CH-53K, F-35, JASSM, and Boeing 787 programs. AEC also supplies vacuum waste tanks for the Boeing 7-Series programs, and specialty components for the Rolls Royce lift fan on the F-35, as well as the fan case for the GE9X engine. For the year ended December 31, 2022, approximately 46 percent of AEC revenues were related to U.S. government contracts or programs.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r>
      <w:tr>
        <w:trPr>
          <w:trHeight w:val="211"/>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166,588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153,389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479,027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459,121</w:t>
            </w: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114,518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107,174</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345,298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306,980</w:t>
            </w:r>
          </w:p>
        </w:tc>
      </w:tr>
      <w:tr>
        <w:trPr>
          <w:trHeight w:val="23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281,106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260,563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824,325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766,101</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50,710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57,247</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153,400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161,752</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9,374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27,460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20,688</w:t>
            </w: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(20,014)</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(13,561)</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(54,747)</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(39,327)</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40,070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53,644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126,113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143,113</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6"/>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(1,826)</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(4,770)</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r>
      <w:tr>
        <w:trPr>
          <w:trHeight w:val="243"/>
        </w:trPr>
        <w:tc>
          <w:tcPr>
            <w:tcW w:w="49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5,479</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14,819</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13,799</w:t>
            </w: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 expense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r>
      <w:tr>
        <w:trPr>
          <w:trHeight w:val="216"/>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(income)/expense, net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(6,918)</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(17,891)</w:t>
            </w:r>
          </w:p>
        </w:tc>
      </w:tr>
      <w:tr>
        <w:trPr>
          <w:trHeight w:val="209"/>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36,361</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120,974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100,540</w:t>
            </w:r>
          </w:p>
        </w:tc>
      </w:tr>
    </w:tbl>
    <w:p>
      <w:pPr>
        <w:spacing w:after="0" w:line="2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Third quarter results include newly acquired Heimbach for the period of ownership, which began September 1, 2023. Heimbach's impact on third quarter results is described in </w:t>
      </w:r>
      <w:r>
        <w:rPr>
          <w:rFonts w:ascii="Arial" w:cs="Arial" w:eastAsia="Arial" w:hAnsi="Arial"/>
          <w:sz w:val="18"/>
          <w:szCs w:val="18"/>
          <w:i w:val="1"/>
          <w:iCs w:val="1"/>
          <w:color w:val="auto"/>
        </w:rPr>
        <w:t>Note 17. Business Combination</w:t>
      </w:r>
      <w:r>
        <w:rPr>
          <w:rFonts w:ascii="Arial" w:cs="Arial" w:eastAsia="Arial" w:hAnsi="Arial"/>
          <w:sz w:val="18"/>
          <w:szCs w:val="18"/>
          <w:color w:val="auto"/>
        </w:rPr>
        <w:t>. This acquisition impacted MC third quarter results by increasing Net revenues by $15.6 million and reducing Operating income by $(0.5) million, which included depreciation expense on Property, plant, and equipment, net of $1.1 million, and amortization expense on Intangibles, net of $0.1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increased operating income by $0.9 million for the third quarter of 2023 and decreased operating income $4.1 million for the first nine months of 2023. Adjustments in the estimated profitability of long-term contracts increased operating income by $2.6 million and $2.0 million for the three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2023</w:t>
            </w:r>
          </w:p>
        </w:tc>
        <w:tc>
          <w:tcPr>
            <w:tcW w:w="920" w:type="dxa"/>
            <w:vAlign w:val="bottom"/>
            <w:tcBorders>
              <w:top w:val="single" w:sz="8" w:color="auto"/>
              <w:bottom w:val="single" w:sz="8" w:color="auto"/>
            </w:tcBorders>
          </w:tcPr>
          <w:p>
            <w:pPr>
              <w:spacing w:after="0"/>
              <w:rPr>
                <w:sz w:val="18"/>
                <w:szCs w:val="18"/>
                <w:color w:val="auto"/>
              </w:rPr>
            </w:pPr>
          </w:p>
        </w:tc>
      </w:tr>
      <w:tr>
        <w:trPr>
          <w:trHeight w:val="170"/>
        </w:trPr>
        <w:tc>
          <w:tcPr>
            <w:tcW w:w="64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945</w:t>
            </w:r>
          </w:p>
        </w:tc>
        <w:tc>
          <w:tcPr>
            <w:tcW w:w="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166,588</w:t>
            </w:r>
          </w:p>
        </w:tc>
      </w:tr>
      <w:tr>
        <w:trPr>
          <w:trHeight w:val="128"/>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46,654</w:t>
            </w:r>
          </w:p>
        </w:tc>
        <w:tc>
          <w:tcPr>
            <w:tcW w:w="5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46,654</w:t>
            </w:r>
          </w:p>
        </w:tc>
      </w:tr>
      <w:tr>
        <w:trPr>
          <w:trHeight w:val="216"/>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4,955</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62,909</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67,864</w:t>
            </w: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4,955</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109,563</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114,518</w:t>
            </w:r>
          </w:p>
        </w:tc>
      </w:tr>
      <w:tr>
        <w:trPr>
          <w:trHeight w:val="196"/>
        </w:trPr>
        <w:tc>
          <w:tcPr>
            <w:tcW w:w="6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170,598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110,508</w:t>
            </w: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281,106</w:t>
            </w:r>
          </w:p>
        </w:tc>
      </w:tr>
    </w:tbl>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2022</w:t>
            </w:r>
          </w:p>
        </w:tc>
        <w:tc>
          <w:tcPr>
            <w:tcW w:w="920" w:type="dxa"/>
            <w:vAlign w:val="bottom"/>
            <w:tcBorders>
              <w:top w:val="single" w:sz="8" w:color="auto"/>
              <w:bottom w:val="single" w:sz="8" w:color="auto"/>
            </w:tcBorders>
          </w:tcPr>
          <w:p>
            <w:pPr>
              <w:spacing w:after="0"/>
              <w:rPr>
                <w:sz w:val="18"/>
                <w:szCs w:val="18"/>
                <w:color w:val="auto"/>
              </w:rPr>
            </w:pPr>
          </w:p>
        </w:tc>
      </w:tr>
      <w:tr>
        <w:trPr>
          <w:trHeight w:val="184"/>
        </w:trPr>
        <w:tc>
          <w:tcPr>
            <w:tcW w:w="65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152,490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5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153,389</w:t>
            </w:r>
          </w:p>
        </w:tc>
      </w:tr>
      <w:tr>
        <w:trPr>
          <w:trHeight w:val="132"/>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0"/>
        </w:trPr>
        <w:tc>
          <w:tcPr>
            <w:tcW w:w="6500" w:type="dxa"/>
            <w:vAlign w:val="bottom"/>
          </w:tcPr>
          <w:p>
            <w:pPr>
              <w:ind w:left="16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41,463</w:t>
            </w:r>
          </w:p>
        </w:tc>
        <w:tc>
          <w:tcPr>
            <w:tcW w:w="54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41,463</w:t>
            </w:r>
          </w:p>
        </w:tc>
      </w:tr>
      <w:tr>
        <w:trPr>
          <w:trHeight w:val="219"/>
        </w:trPr>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5,819</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59,892</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65,711</w:t>
            </w:r>
          </w:p>
        </w:tc>
      </w:tr>
      <w:tr>
        <w:trPr>
          <w:trHeight w:val="22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5,819</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101,355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107,174</w:t>
            </w:r>
          </w:p>
        </w:tc>
      </w:tr>
      <w:tr>
        <w:trPr>
          <w:trHeight w:val="240"/>
        </w:trPr>
        <w:tc>
          <w:tcPr>
            <w:tcW w:w="65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33"/>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158,309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102,254</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260,563</w:t>
            </w:r>
          </w:p>
        </w:tc>
      </w:tr>
    </w:tbl>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2023</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476,194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2,833</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479,027</w:t>
            </w: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138,603</w:t>
            </w: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138,603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14,259</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192,436</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206,695</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14,259</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331,039</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345,298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490,453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333,872</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824,325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456,423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459,121</w:t>
            </w: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122,836</w:t>
            </w: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122,836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14,750</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169,394</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184,144</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14,750</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292,230</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306,980</w:t>
            </w:r>
          </w:p>
        </w:tc>
        <w:tc>
          <w:tcPr>
            <w:tcW w:w="0" w:type="dxa"/>
            <w:vAlign w:val="bottom"/>
          </w:tcPr>
          <w:p>
            <w:pPr>
              <w:spacing w:after="0"/>
              <w:rPr>
                <w:sz w:val="1"/>
                <w:szCs w:val="1"/>
                <w:color w:val="auto"/>
              </w:rPr>
            </w:pPr>
          </w:p>
        </w:tc>
      </w:tr>
      <w:tr>
        <w:trPr>
          <w:trHeight w:val="239"/>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294,928</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766,101</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84,405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261,937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240,173</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64,493</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49,828</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164,771</w:t>
            </w: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157,751</w:t>
            </w: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17,690</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20,437</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52,319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61,197</w:t>
            </w: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166,588</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479,027</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459,121</w:t>
            </w:r>
          </w:p>
        </w:tc>
      </w:tr>
    </w:tbl>
    <w:p>
      <w:pPr>
        <w:spacing w:after="0" w:line="200" w:lineRule="exact"/>
        <w:rPr>
          <w:sz w:val="20"/>
          <w:szCs w:val="20"/>
          <w:color w:val="auto"/>
        </w:rPr>
      </w:pPr>
    </w:p>
    <w:p>
      <w:pPr>
        <w:spacing w:after="0" w:line="2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$ 759 million and $ 600 million as of September 30, 2023 and 2022, respectively, and related primarily to firm fixed price contracts in the AEC segment. Of the remaining performance obligations as of September 30, 2023, we expect to recognize as revenue approximately $38 million during 2023, $146 million during 2024, $146 million during 2025,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(income) for the nine months ended September 30,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986</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(3,063)</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(5,099)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1,767</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20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Settlement charge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49,128</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benefit cost/(credit)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1,767</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r>
    </w:tbl>
    <w:p>
      <w:pPr>
        <w:spacing w:after="0" w:line="3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The amount of net benefit cost/(credit) is determined at the beginning of each year and generally only varies from quarter to quarter when a significant event occurs, such as a curtailment or a settlement. In the third quarter of 2022, we took actions to settle certain pension plan liabilities for a plan in the U.S., leading to charges totaling $49.1 million. No similar charges were incurred during the current year. The above reflects the acquisition of Heimbach, as further described in </w:t>
      </w:r>
      <w:r>
        <w:rPr>
          <w:rFonts w:ascii="Arial" w:cs="Arial" w:eastAsia="Arial" w:hAnsi="Arial"/>
          <w:sz w:val="18"/>
          <w:szCs w:val="18"/>
          <w:i w:val="1"/>
          <w:iCs w:val="1"/>
          <w:color w:val="auto"/>
        </w:rPr>
        <w:t>Note 17. Business Combination.</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00" w:type="dxa"/>
            <w:vAlign w:val="bottom"/>
            <w:tcBorders>
              <w:top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511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(17,660)</w:t>
            </w: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3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252</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4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(1,168)</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(income)/expense, net</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56</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(17,891)</w:t>
            </w:r>
          </w:p>
        </w:tc>
      </w:tr>
    </w:tbl>
    <w:p>
      <w:pPr>
        <w:spacing w:after="0" w:line="200" w:lineRule="exact"/>
        <w:rPr>
          <w:sz w:val="20"/>
          <w:szCs w:val="20"/>
          <w:color w:val="auto"/>
        </w:rPr>
      </w:pPr>
    </w:p>
    <w:p>
      <w:pPr>
        <w:spacing w:after="0" w:line="24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(income)/expense, net, included foreign currency related transactions which resulted in losses of $0.5 million and gains of $3.6 million in the three and nine months ended September 30, 2023, respectively, as compared to gains of $6.6 million and $17.7 million in the same period last year. During 2023, the Mexican Peso weakened during the third quarter, but was overall stronger during the nine months ended September 30, 2023, driving the foreign currency gain in the period. During 2022, the Euro remained weaker for the three and nine months ended September 30, 2022, resulting in a more significant foreign currency gain during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2023 and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00" w:type="dxa"/>
            <w:vAlign w:val="bottom"/>
            <w:tcBorders>
              <w:top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r>
      <w:tr>
        <w:trPr>
          <w:trHeight w:val="23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operations (1)</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35,698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28,315</w:t>
            </w:r>
          </w:p>
        </w:tc>
      </w:tr>
      <w:tr>
        <w:trPr>
          <w:trHeight w:val="21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before discrete items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10,612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35,703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29,055</w:t>
            </w: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U.S. stock options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Impact of amended tax returns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prior year estimated taxes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Enacted tax legislation and rate change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313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Impact of long range tax planning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tcPr>
          <w:p>
            <w:pPr>
              <w:ind w:left="20"/>
              <w:spacing w:after="0"/>
              <w:rPr>
                <w:sz w:val="20"/>
                <w:szCs w:val="20"/>
                <w:color w:val="auto"/>
              </w:rPr>
            </w:pPr>
            <w:r>
              <w:rPr>
                <w:rFonts w:ascii="Arial" w:cs="Arial" w:eastAsia="Arial" w:hAnsi="Arial"/>
                <w:sz w:val="16"/>
                <w:szCs w:val="16"/>
                <w:color w:val="auto"/>
              </w:rPr>
              <w:t>US Pension Settlement - Release of Residual Tax Effect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(5,217)</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non-election of high tax exclusion under GILTI*</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expense/(benefit)</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9,207</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39,908</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22,273</w:t>
            </w:r>
          </w:p>
        </w:tc>
      </w:tr>
    </w:tbl>
    <w:p>
      <w:pPr>
        <w:spacing w:after="0" w:line="3" w:lineRule="exact"/>
        <w:rPr>
          <w:sz w:val="20"/>
          <w:szCs w:val="20"/>
          <w:color w:val="auto"/>
        </w:rPr>
      </w:pPr>
    </w:p>
    <w:p>
      <w:pPr>
        <w:ind w:left="20" w:right="260" w:firstLine="6"/>
        <w:spacing w:after="0" w:line="219" w:lineRule="auto"/>
        <w:tabs>
          <w:tab w:leader="none" w:pos="26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tax is calculated at estimated annualized effective tax rate of 29.5% and 28.9% for the three and nine months ended September 30, 2023 and 2022, respectively.</w:t>
      </w:r>
    </w:p>
    <w:p>
      <w:pPr>
        <w:ind w:left="20"/>
        <w:spacing w:after="0"/>
        <w:rPr>
          <w:rFonts w:ascii="Arial" w:cs="Arial" w:eastAsia="Arial" w:hAnsi="Arial"/>
          <w:sz w:val="16"/>
          <w:szCs w:val="16"/>
          <w:color w:val="auto"/>
        </w:rPr>
      </w:pPr>
      <w:r>
        <w:rPr>
          <w:rFonts w:ascii="Arial" w:cs="Arial" w:eastAsia="Arial" w:hAnsi="Arial"/>
          <w:sz w:val="16"/>
          <w:szCs w:val="16"/>
          <w:color w:val="auto"/>
        </w:rPr>
        <w:t>* Global Intangible Low-Taxed Income</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Company's policy for releasing income tax effects from accumulated other comprehensive income is the specific identification approach, whereas these items are released to income tax expense when the individual items are disposed of, terminated or extinguished.</w:t>
      </w:r>
    </w:p>
    <w:p>
      <w:pPr>
        <w:spacing w:after="0" w:line="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Tax Cuts and Jobs Act lowered the U.S. corporate tax rate from 35% to 21% as of December 31, 2017, creating residual tax effects as a result of the remeasurement of deferred tax assets and liabilities originally established in other comprehensive income. As a result of the U.S. pension liability settlement (see </w:t>
      </w:r>
      <w:r>
        <w:rPr>
          <w:rFonts w:ascii="Arial" w:cs="Arial" w:eastAsia="Arial" w:hAnsi="Arial"/>
          <w:sz w:val="18"/>
          <w:szCs w:val="18"/>
          <w:i w:val="1"/>
          <w:iCs w:val="1"/>
          <w:color w:val="auto"/>
        </w:rPr>
        <w:t>Note 3, Pensions and Other Postretirement Benefit Plans</w:t>
      </w:r>
      <w:r>
        <w:rPr>
          <w:rFonts w:ascii="Arial" w:cs="Arial" w:eastAsia="Arial" w:hAnsi="Arial"/>
          <w:sz w:val="18"/>
          <w:szCs w:val="18"/>
          <w:color w:val="auto"/>
        </w:rPr>
        <w:t>), and consistent with the Company's policy, in the third quarter of 2022, the Company recorded a net tax benefit of $5.2 million for the release of the residual tax effects within other comprehensive income related to the U.S. pension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27"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27,109</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80,670</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77,632</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40"/>
              <w:spacing w:after="0"/>
              <w:rPr>
                <w:sz w:val="20"/>
                <w:szCs w:val="20"/>
                <w:color w:val="auto"/>
              </w:rPr>
            </w:pPr>
            <w:r>
              <w:rPr>
                <w:rFonts w:ascii="Arial" w:cs="Arial" w:eastAsia="Arial" w:hAnsi="Arial"/>
                <w:sz w:val="16"/>
                <w:szCs w:val="16"/>
                <w:color w:val="auto"/>
              </w:rPr>
              <w:t>income per share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31,185</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31,111</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31,163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31,416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stock units and multi-year awards</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1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Weighted average number of shares used in calculating diluted net</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31,283</w:t>
            </w: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31,223</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31,256</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31,518</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0.87</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0.34</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0.87</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from December 31, 2022 to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(146,851)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17,707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(144,927)</w:t>
            </w:r>
          </w:p>
        </w:tc>
        <w:tc>
          <w:tcPr>
            <w:tcW w:w="0" w:type="dxa"/>
            <w:vAlign w:val="bottom"/>
          </w:tcPr>
          <w:p>
            <w:pPr>
              <w:spacing w:after="0"/>
              <w:rPr>
                <w:sz w:val="1"/>
                <w:szCs w:val="1"/>
                <w:color w:val="auto"/>
              </w:rPr>
            </w:pP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(4,326)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w:t>
            </w:r>
          </w:p>
        </w:tc>
        <w:tc>
          <w:tcPr>
            <w:tcW w:w="24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3,386</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Interest (expense)/income related to swaps reclassified to the</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(8,136)</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(8,136)</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(151,177)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(17,389)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12,957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from December 31, 2021 to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(38,490)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0" w:type="dxa"/>
            <w:vAlign w:val="bottom"/>
          </w:tcPr>
          <w:p>
            <w:pPr>
              <w:spacing w:after="0"/>
              <w:rPr>
                <w:sz w:val="1"/>
                <w:szCs w:val="1"/>
                <w:color w:val="auto"/>
              </w:rPr>
            </w:pP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(79,841)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17,569</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(62,272)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 net of tax</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26,198</w:t>
            </w:r>
          </w:p>
        </w:tc>
        <w:tc>
          <w:tcPr>
            <w:tcW w:w="0" w:type="dxa"/>
            <w:vAlign w:val="bottom"/>
          </w:tcPr>
          <w:p>
            <w:pPr>
              <w:spacing w:after="0"/>
              <w:rPr>
                <w:sz w:val="1"/>
                <w:szCs w:val="1"/>
                <w:color w:val="auto"/>
              </w:rPr>
            </w:pPr>
          </w:p>
        </w:tc>
      </w:tr>
      <w:tr>
        <w:trPr>
          <w:trHeight w:val="165"/>
        </w:trPr>
        <w:tc>
          <w:tcPr>
            <w:tcW w:w="5100" w:type="dxa"/>
            <w:vAlign w:val="bottom"/>
          </w:tcPr>
          <w:p>
            <w:pPr>
              <w:ind w:left="20"/>
              <w:spacing w:after="0" w:line="165" w:lineRule="exact"/>
              <w:rPr>
                <w:sz w:val="20"/>
                <w:szCs w:val="20"/>
                <w:color w:val="auto"/>
              </w:rPr>
            </w:pPr>
            <w:r>
              <w:rPr>
                <w:rFonts w:ascii="Arial" w:cs="Arial" w:eastAsia="Arial" w:hAnsi="Arial"/>
                <w:sz w:val="16"/>
                <w:szCs w:val="16"/>
                <w:color w:val="auto"/>
              </w:rPr>
              <w:t>Interest (expense)/income related to swaps reclassified to the</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4"/>
                <w:szCs w:val="14"/>
                <w:color w:val="auto"/>
              </w:rPr>
            </w:pP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(79,841)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25,877</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19,575</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(34,389)</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(12,613)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(180,373)</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The components of AOCI that are reclassified to the Consolidated Statements of Income relate to our pension and postretirement plans and interest rate swaps.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that were affected for the three and nine months ended September 30, 2023 and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6"/>
        </w:trPr>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140"/>
              <w:spacing w:after="0"/>
              <w:rPr>
                <w:sz w:val="20"/>
                <w:szCs w:val="20"/>
                <w:color w:val="auto"/>
              </w:rPr>
            </w:pPr>
            <w:r>
              <w:rPr>
                <w:rFonts w:ascii="Arial" w:cs="Arial" w:eastAsia="Arial" w:hAnsi="Arial"/>
                <w:sz w:val="16"/>
                <w:szCs w:val="16"/>
                <w:color w:val="auto"/>
              </w:rPr>
              <w:t>Other (income)/expense, net related to interest rate swaps included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40"/>
              <w:spacing w:after="0"/>
              <w:rPr>
                <w:sz w:val="20"/>
                <w:szCs w:val="20"/>
                <w:color w:val="auto"/>
              </w:rPr>
            </w:pPr>
            <w:r>
              <w:rPr>
                <w:rFonts w:ascii="Arial" w:cs="Arial" w:eastAsia="Arial" w:hAnsi="Arial"/>
                <w:sz w:val="16"/>
                <w:szCs w:val="16"/>
                <w:color w:val="auto"/>
              </w:rPr>
              <w:t>in Income before taxes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(3,990)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(10,891)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1,009</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2,755</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199"/>
        </w:trPr>
        <w:tc>
          <w:tcPr>
            <w:tcW w:w="512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(8,136)</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 expense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(1,031)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(1,123)</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(3,092)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(3,368)</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1,042</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Total pretax amount reclassified (a)</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(682)</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42,501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(2,050)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42,194</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(16,411)</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627</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w:t>
            </w:r>
          </w:p>
        </w:tc>
        <w:tc>
          <w:tcPr>
            <w:tcW w:w="0" w:type="dxa"/>
            <w:vAlign w:val="bottom"/>
          </w:tcPr>
          <w:p>
            <w:pPr>
              <w:spacing w:after="0"/>
              <w:rPr>
                <w:sz w:val="1"/>
                <w:szCs w:val="1"/>
                <w:color w:val="auto"/>
              </w:rPr>
            </w:pPr>
          </w:p>
        </w:tc>
      </w:tr>
      <w:tr>
        <w:trPr>
          <w:trHeight w:val="159"/>
        </w:trPr>
        <w:tc>
          <w:tcPr>
            <w:tcW w:w="5120" w:type="dxa"/>
            <w:vAlign w:val="bottom"/>
          </w:tcPr>
          <w:p>
            <w:pPr>
              <w:ind w:left="20"/>
              <w:spacing w:after="0" w:line="159"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(474)</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26,090</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(1,423)</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25,877</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hanging="652"/>
        <w:spacing w:after="0" w:line="28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These accumulated other comprehensive income components are included in the computation of net periodic pension cost (see </w:t>
      </w:r>
      <w:r>
        <w:rPr>
          <w:rFonts w:ascii="Arial" w:cs="Arial" w:eastAsia="Arial" w:hAnsi="Arial"/>
          <w:sz w:val="16"/>
          <w:szCs w:val="16"/>
          <w:i w:val="1"/>
          <w:iCs w:val="1"/>
          <w:color w:val="auto"/>
        </w:rPr>
        <w:t>Note 3. Pensions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Postretirement Benefit Plans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31, 2023, the Company acquired all of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On the date of the acquisition, the fair value of the noncontrolling interest in Arcari was $1.6 million. For the month ended September 30, 2023, the net income/(loss) attributable to Arcari’s noncontrolling interest was less than $0.1 million and the noncontrolling interest balance at September 30, 2023 was $1.6 million.</w:t>
      </w:r>
    </w:p>
    <w:p>
      <w:pPr>
        <w:spacing w:after="0" w:line="84"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ASC Noncontrolling Interest</w:t>
            </w:r>
          </w:p>
        </w:tc>
        <w:tc>
          <w:tcPr>
            <w:tcW w:w="18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4,929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7,320</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974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974</w:t>
            </w:r>
          </w:p>
        </w:tc>
      </w:tr>
      <w:tr>
        <w:trPr>
          <w:trHeight w:val="20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3,955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6,346</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635</w:t>
            </w:r>
          </w:p>
        </w:tc>
      </w:tr>
      <w:tr>
        <w:trPr>
          <w:trHeight w:val="237"/>
        </w:trPr>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4,494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3,638</w:t>
            </w:r>
          </w:p>
        </w:tc>
      </w:tr>
      <w:tr>
        <w:trPr>
          <w:trHeight w:val="216"/>
        </w:trPr>
        <w:tc>
          <w:tcPr>
            <w:tcW w:w="83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b w:val="1"/>
                <w:bCs w:val="1"/>
                <w:color w:val="auto"/>
              </w:rPr>
              <w:t>396</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635</w:t>
            </w:r>
          </w:p>
        </w:tc>
      </w:tr>
      <w:tr>
        <w:trPr>
          <w:trHeight w:val="216"/>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317</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r>
      <w:tr>
        <w:trPr>
          <w:trHeight w:val="21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ASC Noncontrolling interest, end of interim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5,207</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4,182</w:t>
            </w:r>
          </w:p>
        </w:tc>
      </w:tr>
      <w:tr>
        <w:trPr>
          <w:trHeight w:val="70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Arcari Noncontrolling Interest</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Arcari available for common ownership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36"/>
        </w:trPr>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380" w:type="dxa"/>
            <w:vAlign w:val="bottom"/>
          </w:tcPr>
          <w:p>
            <w:pPr>
              <w:ind w:left="20"/>
              <w:spacing w:after="0"/>
              <w:rPr>
                <w:sz w:val="20"/>
                <w:szCs w:val="20"/>
                <w:color w:val="auto"/>
              </w:rPr>
            </w:pPr>
            <w:r>
              <w:rPr>
                <w:rFonts w:ascii="Arial" w:cs="Arial" w:eastAsia="Arial" w:hAnsi="Arial"/>
                <w:sz w:val="16"/>
                <w:szCs w:val="16"/>
                <w:color w:val="auto"/>
              </w:rPr>
              <w:t>Initial equity related to Noncontrolling interest in Arcari</w:t>
            </w:r>
          </w:p>
        </w:tc>
        <w:tc>
          <w:tcPr>
            <w:tcW w:w="1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b w:val="1"/>
                <w:bCs w:val="1"/>
                <w:color w:val="auto"/>
              </w:rPr>
              <w:t>1,632</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Arcari Noncontrolling interest, end of interim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1,587</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520"/>
        </w:trPr>
        <w:tc>
          <w:tcPr>
            <w:tcW w:w="8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Noncontrolling interest, end of interim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6,794</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September 30, 2023 and December 31, 2022, Accounts receivable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256,852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179,676</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19,286</w:t>
            </w: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23,439</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(5,651)</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270,487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On August 31, 2023, the Company acquired all of the outstanding shares of Heimbach, which resulted in an increase of $52.7 million to Accounts receivable, based on preliminary fair values at the date of acquisition.</w:t>
      </w:r>
    </w:p>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September 30, 2023 and December 31, 2022, Noncurrent receivables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27,913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cost-to-cost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2023 and December 31, 2022, Contract assets and Contract liabilities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166,666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149,443</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165,833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148,695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15,176</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Contract assets, net increased $17.1 million during the nine months ended September 30, 2023.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nine months ended September 30, 2023 and September 30, 2022.</w:t>
      </w:r>
    </w:p>
    <w:p>
      <w:pPr>
        <w:spacing w:after="0" w:line="8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Contract liabilities decreased $11.5 million during the nine months ended September 30, 2023, primarily due to revenue recognized from satisfied performance obligations exceeding amounts invoiced to customers that were in a</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contract liability position. Revenue recognized for the nine months ended September 30, 2023 and 2022 that was included in the Contract liability balance at the beginning of the year was $14.4 million and $5.0 million, respectively.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2023 and December 31, 2022, 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vMerge w:val="continue"/>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84,835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74,631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71,446</w:t>
            </w:r>
          </w:p>
        </w:tc>
        <w:tc>
          <w:tcPr>
            <w:tcW w:w="18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50,516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24,710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On August 31, 2023, the Company acquired all of the outstanding shares of Heimbach, which resulted in an increase of $41.5 million to Inventories, based on preliminary fair values at the date of acquisition.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15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In the second quarter of 2023,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revenue multiples. Under the income approach, we determine fair value based on the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On August 31, 2023, the Company acquired Heimbach. The assets acquired include intangible assets of $14.5 million consisting of the Heimbach trade name and developed technology. The preliminary fair value of the Heimbach trade name of $6.0 million is considered an indefinite-lived asset. The preliminary fair value of the developed technology of $8.5 million is being amortized over 9 years. There was no excess purchase price over the fair value and therefore, there was no goodwill reported as part of the acquisition. See </w:t>
      </w:r>
      <w:r>
        <w:rPr>
          <w:rFonts w:ascii="Arial" w:cs="Arial" w:eastAsia="Arial" w:hAnsi="Arial"/>
          <w:sz w:val="18"/>
          <w:szCs w:val="18"/>
          <w:i w:val="1"/>
          <w:iCs w:val="1"/>
          <w:color w:val="auto"/>
        </w:rPr>
        <w:t>Note 17.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principally consists of a revolving credit agreement and foreign bank debt assumed in the acquisition of Heimbach.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outstanding debt:</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48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8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2022</w:t>
            </w:r>
          </w:p>
        </w:tc>
      </w:tr>
      <w:tr>
        <w:trPr>
          <w:trHeight w:val="231"/>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the Amended Credit Agreement(1)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r>
      <w:tr>
        <w:trPr>
          <w:trHeight w:val="22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bank debt</w:t>
            </w:r>
          </w:p>
        </w:tc>
        <w:tc>
          <w:tcPr>
            <w:tcW w:w="8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29,585</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bank debt</w:t>
            </w:r>
          </w:p>
        </w:tc>
        <w:tc>
          <w:tcPr>
            <w:tcW w:w="8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490,585</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r>
      <w:tr>
        <w:trPr>
          <w:trHeight w:val="22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8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27,246</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439,000</w:t>
            </w:r>
          </w:p>
        </w:tc>
      </w:tr>
    </w:tbl>
    <w:p>
      <w:pPr>
        <w:spacing w:after="0" w:line="3" w:lineRule="exact"/>
        <w:rPr>
          <w:sz w:val="20"/>
          <w:szCs w:val="20"/>
          <w:color w:val="auto"/>
        </w:rPr>
      </w:pPr>
    </w:p>
    <w:p>
      <w:pPr>
        <w:ind w:left="180" w:right="2120" w:hanging="6"/>
        <w:spacing w:after="0"/>
        <w:tabs>
          <w:tab w:leader="none" w:pos="42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credit facility matures in August 2028. At the end of the September 30, 2023 and December 31, 2022, the interest rate in effect was 3.60% and 3.16%, respectively, including the effect of interest rate hedging transactions, as described below.</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Amended Credit Agreement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16, 2023, we entered into a $800 million unsecured committed Five-Year Revolving Credit Facility Agreement (the “Amended Credit Agreement”), which amended and restated the prior $700 million committed Four-Year Revolving Credit Facility Agreement, entered into on October 27, 2020 (the “Prior Agreement”). The Amended Credit Agreement contains customary terms, as well as affirmative covenants, negative covenants and events of default that are substantially comparable to those in the Prior Agreement. The Borrowings are guaranteed by certain of the Company's subsidiaries, including all significant U.S. subsidiaries (subject to certain exceptions), as were borrowings under the Prior Agreement.</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June 23, 2023, we entered into the first Amendment to the Prior Agreement to replace the LIBOR-based reference interest rate option with a reference interest rate option based on the Term Secured Overnight Financing Rate ("Term SOFR") plus an applicable credit spread adjustment (subject to a minimum floor of 0.00%). The Amendment did not make any other material changes to the terms and conditions of the Prior Agreement, including the representations and warranties, events of default, affirmative and negative covenants. These amendments are also reflected in the Amended Credit Agreement.</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applicable interest rate for borrowings under the Amended Credit Agreement is based on Term SOFR plus a spread, which is based on our leverage ratio (as defined in the Amended Credit Agreement) at the time of a borrowing as follows:</w:t>
      </w:r>
    </w:p>
    <w:p>
      <w:pPr>
        <w:spacing w:after="0" w:line="86"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2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Leverage Ratio</w:t>
            </w:r>
          </w:p>
        </w:tc>
        <w:tc>
          <w:tcPr>
            <w:tcW w:w="2040" w:type="dxa"/>
            <w:vAlign w:val="bottom"/>
            <w:tcBorders>
              <w:top w:val="single" w:sz="8" w:color="auto"/>
            </w:tcBorders>
            <w:vMerge w:val="restart"/>
          </w:tcPr>
          <w:p>
            <w:pPr>
              <w:jc w:val="center"/>
              <w:ind w:right="94"/>
              <w:spacing w:after="0"/>
              <w:rPr>
                <w:sz w:val="20"/>
                <w:szCs w:val="20"/>
                <w:color w:val="auto"/>
              </w:rPr>
            </w:pPr>
            <w:r>
              <w:rPr>
                <w:rFonts w:ascii="Arial" w:cs="Arial" w:eastAsia="Arial" w:hAnsi="Arial"/>
                <w:sz w:val="14"/>
                <w:szCs w:val="14"/>
                <w:b w:val="1"/>
                <w:bCs w:val="1"/>
                <w:color w:val="auto"/>
              </w:rPr>
              <w:t>Commitment Fee</w:t>
            </w:r>
          </w:p>
        </w:tc>
        <w:tc>
          <w:tcPr>
            <w:tcW w:w="1760" w:type="dxa"/>
            <w:vAlign w:val="bottom"/>
            <w:tcBorders>
              <w:top w:val="single" w:sz="8" w:color="auto"/>
            </w:tcBorders>
            <w:vMerge w:val="restart"/>
          </w:tcPr>
          <w:p>
            <w:pPr>
              <w:jc w:val="center"/>
              <w:ind w:left="34"/>
              <w:spacing w:after="0"/>
              <w:rPr>
                <w:sz w:val="20"/>
                <w:szCs w:val="20"/>
                <w:color w:val="auto"/>
              </w:rPr>
            </w:pPr>
            <w:r>
              <w:rPr>
                <w:rFonts w:ascii="Arial" w:cs="Arial" w:eastAsia="Arial" w:hAnsi="Arial"/>
                <w:sz w:val="14"/>
                <w:szCs w:val="14"/>
                <w:b w:val="1"/>
                <w:bCs w:val="1"/>
                <w:color w:val="auto"/>
              </w:rPr>
              <w:t>ABR Spread</w:t>
            </w:r>
          </w:p>
        </w:tc>
        <w:tc>
          <w:tcPr>
            <w:tcW w:w="2220" w:type="dxa"/>
            <w:vAlign w:val="bottom"/>
            <w:tcBorders>
              <w:top w:val="single" w:sz="8" w:color="auto"/>
            </w:tcBorders>
          </w:tcPr>
          <w:p>
            <w:pPr>
              <w:jc w:val="center"/>
              <w:ind w:left="116"/>
              <w:spacing w:after="0"/>
              <w:rPr>
                <w:sz w:val="20"/>
                <w:szCs w:val="20"/>
                <w:color w:val="auto"/>
              </w:rPr>
            </w:pPr>
            <w:r>
              <w:rPr>
                <w:rFonts w:ascii="Arial" w:cs="Arial" w:eastAsia="Arial" w:hAnsi="Arial"/>
                <w:sz w:val="14"/>
                <w:szCs w:val="14"/>
                <w:b w:val="1"/>
                <w:bCs w:val="1"/>
                <w:color w:val="auto"/>
              </w:rPr>
              <w:t>Term Benchmark/ Daily</w:t>
            </w:r>
          </w:p>
        </w:tc>
        <w:tc>
          <w:tcPr>
            <w:tcW w:w="0" w:type="dxa"/>
            <w:vAlign w:val="bottom"/>
          </w:tcPr>
          <w:p>
            <w:pPr>
              <w:spacing w:after="0"/>
              <w:rPr>
                <w:sz w:val="1"/>
                <w:szCs w:val="1"/>
                <w:color w:val="auto"/>
              </w:rPr>
            </w:pPr>
          </w:p>
        </w:tc>
      </w:tr>
      <w:tr>
        <w:trPr>
          <w:trHeight w:val="189"/>
        </w:trPr>
        <w:tc>
          <w:tcPr>
            <w:tcW w:w="28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center"/>
              <w:ind w:left="116"/>
              <w:spacing w:after="0"/>
              <w:rPr>
                <w:sz w:val="20"/>
                <w:szCs w:val="20"/>
                <w:color w:val="auto"/>
              </w:rPr>
            </w:pPr>
            <w:r>
              <w:rPr>
                <w:rFonts w:ascii="Arial" w:cs="Arial" w:eastAsia="Arial" w:hAnsi="Arial"/>
                <w:sz w:val="14"/>
                <w:szCs w:val="14"/>
                <w:b w:val="1"/>
                <w:bCs w:val="1"/>
                <w:color w:val="auto"/>
              </w:rPr>
              <w:t>Simple SOFR Spread</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rPr>
              <w:t>&lt;1.00:1.00</w:t>
            </w:r>
          </w:p>
        </w:tc>
        <w:tc>
          <w:tcPr>
            <w:tcW w:w="204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rPr>
              <w:t>0.275%</w:t>
            </w:r>
          </w:p>
        </w:tc>
        <w:tc>
          <w:tcPr>
            <w:tcW w:w="17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0.500%</w:t>
            </w:r>
          </w:p>
        </w:tc>
        <w:tc>
          <w:tcPr>
            <w:tcW w:w="22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2800" w:type="dxa"/>
            <w:vAlign w:val="bottom"/>
          </w:tcPr>
          <w:p>
            <w:pPr>
              <w:jc w:val="center"/>
              <w:spacing w:after="0"/>
              <w:rPr>
                <w:sz w:val="20"/>
                <w:szCs w:val="20"/>
                <w:color w:val="auto"/>
              </w:rPr>
            </w:pPr>
            <w:r>
              <w:rPr>
                <w:rFonts w:ascii="Arial" w:cs="Arial" w:eastAsia="Arial" w:hAnsi="Arial"/>
                <w:sz w:val="18"/>
                <w:szCs w:val="18"/>
                <w:color w:val="auto"/>
                <w:w w:val="99"/>
              </w:rPr>
              <w:t>≥ 1.00:1.00 and &lt; 2.00:1.00</w:t>
            </w:r>
          </w:p>
        </w:tc>
        <w:tc>
          <w:tcPr>
            <w:tcW w:w="2040" w:type="dxa"/>
            <w:vAlign w:val="bottom"/>
          </w:tcPr>
          <w:p>
            <w:pPr>
              <w:jc w:val="center"/>
              <w:ind w:right="94"/>
              <w:spacing w:after="0"/>
              <w:rPr>
                <w:sz w:val="20"/>
                <w:szCs w:val="20"/>
                <w:color w:val="auto"/>
              </w:rPr>
            </w:pPr>
            <w:r>
              <w:rPr>
                <w:rFonts w:ascii="Arial" w:cs="Arial" w:eastAsia="Arial" w:hAnsi="Arial"/>
                <w:sz w:val="18"/>
                <w:szCs w:val="18"/>
                <w:color w:val="auto"/>
              </w:rPr>
              <w:t>0.300%</w:t>
            </w:r>
          </w:p>
        </w:tc>
        <w:tc>
          <w:tcPr>
            <w:tcW w:w="1760" w:type="dxa"/>
            <w:vAlign w:val="bottom"/>
          </w:tcPr>
          <w:p>
            <w:pPr>
              <w:jc w:val="center"/>
              <w:ind w:left="14"/>
              <w:spacing w:after="0"/>
              <w:rPr>
                <w:sz w:val="20"/>
                <w:szCs w:val="20"/>
                <w:color w:val="auto"/>
              </w:rPr>
            </w:pPr>
            <w:r>
              <w:rPr>
                <w:rFonts w:ascii="Arial" w:cs="Arial" w:eastAsia="Arial" w:hAnsi="Arial"/>
                <w:sz w:val="18"/>
                <w:szCs w:val="18"/>
                <w:color w:val="auto"/>
              </w:rPr>
              <w:t>0.625%</w:t>
            </w:r>
          </w:p>
        </w:tc>
        <w:tc>
          <w:tcPr>
            <w:tcW w:w="2220" w:type="dxa"/>
            <w:vAlign w:val="bottom"/>
          </w:tcPr>
          <w:p>
            <w:pPr>
              <w:jc w:val="center"/>
              <w:ind w:left="116"/>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2.00:1.00 and &lt; 3.00:1.00</w:t>
            </w:r>
          </w:p>
        </w:tc>
        <w:tc>
          <w:tcPr>
            <w:tcW w:w="204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rPr>
              <w:t>0.325%</w:t>
            </w:r>
          </w:p>
        </w:tc>
        <w:tc>
          <w:tcPr>
            <w:tcW w:w="17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0.750%</w:t>
            </w:r>
          </w:p>
        </w:tc>
        <w:tc>
          <w:tcPr>
            <w:tcW w:w="22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rPr>
              <w:t>≥ 3.00:1.00</w:t>
            </w:r>
          </w:p>
        </w:tc>
        <w:tc>
          <w:tcPr>
            <w:tcW w:w="2040" w:type="dxa"/>
            <w:vAlign w:val="bottom"/>
            <w:tcBorders>
              <w:bottom w:val="single" w:sz="8" w:color="auto"/>
            </w:tcBorders>
          </w:tcPr>
          <w:p>
            <w:pPr>
              <w:jc w:val="center"/>
              <w:ind w:right="94"/>
              <w:spacing w:after="0"/>
              <w:rPr>
                <w:sz w:val="20"/>
                <w:szCs w:val="20"/>
                <w:color w:val="auto"/>
              </w:rPr>
            </w:pPr>
            <w:r>
              <w:rPr>
                <w:rFonts w:ascii="Arial" w:cs="Arial" w:eastAsia="Arial" w:hAnsi="Arial"/>
                <w:sz w:val="18"/>
                <w:szCs w:val="18"/>
                <w:color w:val="auto"/>
              </w:rPr>
              <w:t>0.350%</w:t>
            </w:r>
          </w:p>
        </w:tc>
        <w:tc>
          <w:tcPr>
            <w:tcW w:w="17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rPr>
              <w:t>1.000%</w:t>
            </w:r>
          </w:p>
        </w:tc>
        <w:tc>
          <w:tcPr>
            <w:tcW w:w="2220" w:type="dxa"/>
            <w:vAlign w:val="bottom"/>
            <w:tcBorders>
              <w:bottom w:val="single" w:sz="8" w:color="auto"/>
            </w:tcBorders>
          </w:tcPr>
          <w:p>
            <w:pPr>
              <w:jc w:val="center"/>
              <w:ind w:left="116"/>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As of September 30, 2023, the applicable interest rate for borrowings under the Amended Credit Agreement was based on one-month term SOFR plus the spread, which was 1.625%.</w:t>
      </w:r>
    </w:p>
    <w:p>
      <w:pPr>
        <w:spacing w:after="0" w:line="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2023, there was $461 million of borrowings outstanding under the Amended Credit Agreement. As of September 30, 2023, we had borrowings available of $339 million, based on our maximum leverage ratio and our Consolidated EBITDA (as defined in the Amended Credit Agreement).</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Amended Credit Agreement contains customary terms including affirmative covenants, negative covenants and events of default. 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September 30, 2023, our leverage ratio was 1.48 to 1.00 (as defined in the Amended Credit Agreement) and our interest coverage ratio was 13.95 to 1.00. If our leverage ratio exceeds 3.50 to 1.00, then we are restricted in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paying dividends to a maximum amount of $40 million in a calendar year. As of September 30, 2023, we were in compliance with all applicable covenants. We anticipate continued compliance in each of the next four quarters while continuing to monitor future compliance based on current and future economic conditions.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borrowings are guaranteed by certain of the Company’s subsidiaries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had the effect of fixing the LIBOR portion of the effective interest rate (before addition of the spread) on $350 million of indebtedness, drawn under the Prior Agreement at the rate of 0.838% during the period. Under the terms of these transactions, we paid the fixed rate of 0.838% and the counterparties paid a floating rate based on the one-month LIBOR rate at each monthly calculation date. On June 29, 2023, the Company amended each Swap agreement, in accordance with the practical expedients included in Accounting Standards Codification (“ASC”) 848, Reference Rate Reform, to replace the LIBOR Benchmark with a Term SOFR Benchmark. As a result of the amendments, we will pay a fixed blended rate of 0.7683% (plus a credit spread adjustment as defined in the Swap Agreements) through October 27, 2024 on $350 million of borrowings under the Amended Credit Agreement and the counterparties will pay a floating rate based on the one-month term SOFR at each monthly calculation date, which on September 18, 2023 was 5.33%. The effective date of the amended Swap agreements was July 17, 2023. As of September 18, 2023, the all-in-rate on the $350M of debt was 2.51%.</w:t>
      </w:r>
    </w:p>
    <w:p>
      <w:pPr>
        <w:spacing w:after="0" w:line="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17, 2022, our interest rate swap agreements that were in effect from December 18, 2017 terminated. These transactions had the effect of fixing the LIBOR portion of the effective interest rate (before addition of the spread) on $350 million of indebtedness drawn under the Credit Agreement at the rate of 2.11% during the period. Under the terms of those transactions, we paid the fixed rate of 2.11% and the counterparties paid a floating rate based on the one-month LIBOR rate at each monthly calculation date. The all-in-rate on the $350 million of debt was 3.735% at the time the swap agreements terminated.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interest rate swaps are accounted for as a hedge of future cash flows, as further described in </w:t>
      </w:r>
      <w:r>
        <w:rPr>
          <w:rFonts w:ascii="Arial" w:cs="Arial" w:eastAsia="Arial" w:hAnsi="Arial"/>
          <w:sz w:val="18"/>
          <w:szCs w:val="18"/>
          <w:i w:val="1"/>
          <w:iCs w:val="1"/>
          <w:color w:val="auto"/>
        </w:rPr>
        <w:t>Note 14. Fair-Value Measurements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 cash collateral was received or pledged in relation to the swap agreements.</w:t>
      </w:r>
    </w:p>
    <w:p>
      <w:pPr>
        <w:spacing w:after="0" w:line="132" w:lineRule="exact"/>
        <w:rPr>
          <w:sz w:val="20"/>
          <w:szCs w:val="20"/>
          <w:color w:val="auto"/>
        </w:rPr>
      </w:pPr>
    </w:p>
    <w:p>
      <w:pPr>
        <w:ind w:left="340" w:right="1500"/>
        <w:spacing w:after="0" w:line="375" w:lineRule="auto"/>
        <w:rPr>
          <w:sz w:val="20"/>
          <w:szCs w:val="20"/>
          <w:color w:val="auto"/>
        </w:rPr>
      </w:pPr>
      <w:r>
        <w:rPr>
          <w:rFonts w:ascii="Arial" w:cs="Arial" w:eastAsia="Arial" w:hAnsi="Arial"/>
          <w:sz w:val="18"/>
          <w:szCs w:val="18"/>
          <w:color w:val="auto"/>
        </w:rPr>
        <w:t xml:space="preserve">Indebtedness under the Amended Credit Agreement is ranked equally in right of payment to all unsecured senior debt. </w:t>
      </w:r>
      <w:r>
        <w:rPr>
          <w:rFonts w:ascii="Arial" w:cs="Arial" w:eastAsia="Arial" w:hAnsi="Arial"/>
          <w:sz w:val="18"/>
          <w:szCs w:val="18"/>
          <w:u w:val="single" w:color="auto"/>
          <w:color w:val="auto"/>
        </w:rPr>
        <w:t>Assumed Foreign Bank Debt</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31, 2023, the Company acquired Heimbach. The Company assumed Heimbach’s bank debt in the amount of $32.7 million. The bank debt is held by several European financial institutions, with fixed interest rates ranging from 0.9% to 2.93% and maturity dates ranging from September 25, 2023 to June 30, 2031. Certain bank agreements allowed for the repayment of the debt upon demand by certain financial institutions in the event of a change in control. Some or all of the assumed bank debt could become due upon notification by any of the financial institutions before the maturity date of the bank agreements. At September 30, 2023, the foreign debt assumed was $29.6 million, of which $27.2 million was classified as Current maturities on long-term debt.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6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Level 3 financial assets or liabilities at September 30, 2023 or at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943"/>
              <w:spacing w:after="0"/>
              <w:rPr>
                <w:sz w:val="20"/>
                <w:szCs w:val="20"/>
                <w:color w:val="auto"/>
              </w:rPr>
            </w:pPr>
            <w:r>
              <w:rPr>
                <w:rFonts w:ascii="Arial" w:cs="Arial" w:eastAsia="Arial" w:hAnsi="Arial"/>
                <w:sz w:val="14"/>
                <w:szCs w:val="14"/>
                <w:b w:val="1"/>
                <w:bCs w:val="1"/>
                <w:color w:val="auto"/>
              </w:rPr>
              <w:t>September 30, 2023</w:t>
            </w:r>
          </w:p>
        </w:tc>
        <w:tc>
          <w:tcPr>
            <w:tcW w:w="2500" w:type="dxa"/>
            <w:vAlign w:val="bottom"/>
            <w:tcBorders>
              <w:top w:val="single" w:sz="8" w:color="auto"/>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December 31, 2022</w:t>
            </w:r>
          </w:p>
        </w:tc>
      </w:tr>
      <w:tr>
        <w:trPr>
          <w:trHeight w:val="170"/>
        </w:trPr>
        <w:tc>
          <w:tcPr>
            <w:tcW w:w="6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440" w:type="dxa"/>
            <w:vAlign w:val="bottom"/>
          </w:tcPr>
          <w:p>
            <w:pPr>
              <w:jc w:val="center"/>
              <w:ind w:right="463"/>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Significant</w:t>
            </w:r>
          </w:p>
        </w:tc>
      </w:tr>
      <w:tr>
        <w:trPr>
          <w:trHeight w:val="176"/>
        </w:trPr>
        <w:tc>
          <w:tcPr>
            <w:tcW w:w="6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3"/>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75"/>
        </w:trPr>
        <w:tc>
          <w:tcPr>
            <w:tcW w:w="6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440" w:type="dxa"/>
            <w:vAlign w:val="bottom"/>
          </w:tcPr>
          <w:p>
            <w:pPr>
              <w:jc w:val="center"/>
              <w:ind w:right="443"/>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observable</w:t>
            </w:r>
          </w:p>
        </w:tc>
      </w:tr>
      <w:tr>
        <w:trPr>
          <w:trHeight w:val="200"/>
        </w:trPr>
        <w:tc>
          <w:tcPr>
            <w:tcW w:w="6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3"/>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inputs</w:t>
            </w:r>
          </w:p>
        </w:tc>
      </w:tr>
      <w:tr>
        <w:trPr>
          <w:trHeight w:val="238"/>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3"/>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3"/>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19,596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6,533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34"/>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440" w:type="dxa"/>
            <w:vAlign w:val="bottom"/>
          </w:tcPr>
          <w:p>
            <w:pPr>
              <w:jc w:val="right"/>
              <w:ind w:right="323"/>
              <w:spacing w:after="0"/>
              <w:rPr>
                <w:sz w:val="20"/>
                <w:szCs w:val="20"/>
                <w:color w:val="auto"/>
              </w:rPr>
            </w:pPr>
            <w:r>
              <w:rPr>
                <w:rFonts w:ascii="Arial" w:cs="Arial" w:eastAsia="Arial" w:hAnsi="Arial"/>
                <w:sz w:val="18"/>
                <w:szCs w:val="18"/>
                <w:b w:val="1"/>
                <w:bCs w:val="1"/>
                <w:color w:val="auto"/>
              </w:rPr>
              <w:t>1,465</w:t>
            </w:r>
          </w:p>
        </w:tc>
        <w:tc>
          <w:tcPr>
            <w:tcW w:w="11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1,788</w:t>
            </w:r>
          </w:p>
        </w:tc>
      </w:tr>
      <w:tr>
        <w:trPr>
          <w:trHeight w:val="228"/>
        </w:trPr>
        <w:tc>
          <w:tcPr>
            <w:tcW w:w="568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623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3"/>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602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27"/>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440" w:type="dxa"/>
            <w:vAlign w:val="bottom"/>
          </w:tcPr>
          <w:p>
            <w:pPr>
              <w:jc w:val="right"/>
              <w:ind w:right="323"/>
              <w:spacing w:after="0"/>
              <w:rPr>
                <w:sz w:val="20"/>
                <w:szCs w:val="20"/>
                <w:color w:val="auto"/>
              </w:rPr>
            </w:pPr>
            <w:r>
              <w:rPr>
                <w:rFonts w:ascii="Arial" w:cs="Arial" w:eastAsia="Arial" w:hAnsi="Arial"/>
                <w:sz w:val="16"/>
                <w:szCs w:val="16"/>
                <w:b w:val="1"/>
                <w:bCs w:val="1"/>
                <w:color w:val="auto"/>
              </w:rPr>
              <w:t>17,314</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23,605</w:t>
            </w:r>
          </w:p>
        </w:tc>
      </w:tr>
      <w:tr>
        <w:trPr>
          <w:trHeight w:val="213"/>
        </w:trPr>
        <w:tc>
          <w:tcPr>
            <w:tcW w:w="5680" w:type="dxa"/>
            <w:vAlign w:val="bottom"/>
            <w:gridSpan w:val="2"/>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8"/>
        </w:trPr>
        <w:tc>
          <w:tcPr>
            <w:tcW w:w="5680" w:type="dxa"/>
            <w:vAlign w:val="bottom"/>
            <w:gridSpan w:val="2"/>
          </w:tcPr>
          <w:p>
            <w:pPr>
              <w:ind w:left="20"/>
              <w:spacing w:after="0"/>
              <w:rPr>
                <w:sz w:val="20"/>
                <w:szCs w:val="20"/>
                <w:color w:val="auto"/>
              </w:rPr>
            </w:pPr>
            <w:r>
              <w:rPr>
                <w:rFonts w:ascii="Arial" w:cs="Arial" w:eastAsia="Arial" w:hAnsi="Arial"/>
                <w:sz w:val="16"/>
                <w:szCs w:val="16"/>
                <w:color w:val="auto"/>
              </w:rPr>
              <w:t>Foreign currency forward contracts</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440" w:type="dxa"/>
            <w:vAlign w:val="bottom"/>
          </w:tcPr>
          <w:p>
            <w:pPr>
              <w:jc w:val="right"/>
              <w:ind w:right="283"/>
              <w:spacing w:after="0"/>
              <w:rPr>
                <w:sz w:val="20"/>
                <w:szCs w:val="20"/>
                <w:color w:val="auto"/>
              </w:rPr>
            </w:pPr>
            <w:r>
              <w:rPr>
                <w:rFonts w:ascii="Arial" w:cs="Arial" w:eastAsia="Arial" w:hAnsi="Arial"/>
                <w:sz w:val="16"/>
                <w:szCs w:val="16"/>
                <w:b w:val="1"/>
                <w:bCs w:val="1"/>
                <w:color w:val="auto"/>
              </w:rPr>
              <w:t>(267)</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72"/>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08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344"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On June 29, 2023, the Company amended each Swap agreement, in accordance with the practical expedients included in ASC 848, Reference Rate Reform, to replace the LIBOR Benchmark with a Term SOFR Benchmark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for additional information). As of September 30, 2023, these interest rate swaps were determined to be highly effective hedges of interest rate cash 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$(10.9) million for the nine months ended September 30, 2023, and $2.8 million for the nine months ended September 30, 2022.</w:t>
      </w:r>
    </w:p>
    <w:p>
      <w:pPr>
        <w:spacing w:after="0" w:line="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4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3"/>
          </w:tcPr>
          <w:p>
            <w:pPr>
              <w:jc w:val="right"/>
              <w:ind w:right="324"/>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298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bl>
    <w:p>
      <w:pPr>
        <w:spacing w:after="0" w:line="200" w:lineRule="exact"/>
        <w:rPr>
          <w:sz w:val="20"/>
          <w:szCs w:val="20"/>
          <w:color w:val="auto"/>
        </w:rPr>
      </w:pPr>
    </w:p>
    <w:p>
      <w:pPr>
        <w:spacing w:after="0" w:line="331" w:lineRule="exact"/>
        <w:rPr>
          <w:sz w:val="20"/>
          <w:szCs w:val="20"/>
          <w:color w:val="auto"/>
        </w:rPr>
      </w:pPr>
    </w:p>
    <w:p>
      <w:pPr>
        <w:ind w:right="8080" w:firstLine="8"/>
        <w:spacing w:after="0" w:line="381" w:lineRule="auto"/>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3,604 claims as of September 30, 2023.</w:t>
      </w: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80" w:type="dxa"/>
            <w:vAlign w:val="bottom"/>
          </w:tcPr>
          <w:p>
            <w:pPr>
              <w:jc w:val="center"/>
              <w:ind w:right="205"/>
              <w:spacing w:after="0"/>
              <w:rPr>
                <w:sz w:val="20"/>
                <w:szCs w:val="20"/>
                <w:color w:val="auto"/>
              </w:rPr>
            </w:pPr>
            <w:r>
              <w:rPr>
                <w:rFonts w:ascii="Arial" w:cs="Arial" w:eastAsia="Arial" w:hAnsi="Arial"/>
                <w:sz w:val="14"/>
                <w:szCs w:val="14"/>
                <w:b w:val="1"/>
                <w:bCs w:val="1"/>
                <w:color w:val="auto"/>
              </w:rPr>
              <w:t>Claims</w:t>
            </w: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660" w:type="dxa"/>
            <w:vAlign w:val="bottom"/>
          </w:tcPr>
          <w:p>
            <w:pPr>
              <w:spacing w:after="0"/>
              <w:rPr>
                <w:sz w:val="15"/>
                <w:szCs w:val="15"/>
                <w:color w:val="auto"/>
              </w:rPr>
            </w:pPr>
          </w:p>
        </w:tc>
        <w:tc>
          <w:tcPr>
            <w:tcW w:w="1680" w:type="dxa"/>
            <w:vAlign w:val="bottom"/>
          </w:tcPr>
          <w:p>
            <w:pPr>
              <w:jc w:val="center"/>
              <w:ind w:right="24"/>
              <w:spacing w:after="0"/>
              <w:rPr>
                <w:sz w:val="20"/>
                <w:szCs w:val="20"/>
                <w:color w:val="auto"/>
              </w:rPr>
            </w:pPr>
            <w:r>
              <w:rPr>
                <w:rFonts w:ascii="Arial" w:cs="Arial" w:eastAsia="Arial" w:hAnsi="Arial"/>
                <w:sz w:val="14"/>
                <w:szCs w:val="14"/>
                <w:b w:val="1"/>
                <w:bCs w:val="1"/>
                <w:color w:val="auto"/>
              </w:rPr>
              <w:t>Opening</w:t>
            </w:r>
          </w:p>
        </w:tc>
        <w:tc>
          <w:tcPr>
            <w:tcW w:w="1480" w:type="dxa"/>
            <w:vAlign w:val="bottom"/>
          </w:tcPr>
          <w:p>
            <w:pPr>
              <w:jc w:val="center"/>
              <w:ind w:right="205"/>
              <w:spacing w:after="0"/>
              <w:rPr>
                <w:sz w:val="20"/>
                <w:szCs w:val="20"/>
                <w:color w:val="auto"/>
              </w:rPr>
            </w:pPr>
            <w:r>
              <w:rPr>
                <w:rFonts w:ascii="Arial" w:cs="Arial" w:eastAsia="Arial" w:hAnsi="Arial"/>
                <w:sz w:val="14"/>
                <w:szCs w:val="14"/>
                <w:b w:val="1"/>
                <w:bCs w:val="1"/>
                <w:color w:val="auto"/>
              </w:rPr>
              <w:t>Dismissed,</w:t>
            </w: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60" w:type="dxa"/>
            <w:vAlign w:val="bottom"/>
          </w:tcPr>
          <w:p>
            <w:pPr>
              <w:jc w:val="center"/>
              <w:ind w:right="64"/>
              <w:spacing w:after="0"/>
              <w:rPr>
                <w:sz w:val="20"/>
                <w:szCs w:val="20"/>
                <w:color w:val="auto"/>
              </w:rPr>
            </w:pPr>
            <w:r>
              <w:rPr>
                <w:rFonts w:ascii="Arial" w:cs="Arial" w:eastAsia="Arial" w:hAnsi="Arial"/>
                <w:sz w:val="14"/>
                <w:szCs w:val="14"/>
                <w:b w:val="1"/>
                <w:bCs w:val="1"/>
                <w:color w:val="auto"/>
              </w:rPr>
              <w:t>Amounts Paid to</w:t>
            </w:r>
          </w:p>
        </w:tc>
      </w:tr>
      <w:tr>
        <w:trPr>
          <w:trHeight w:val="176"/>
        </w:trPr>
        <w:tc>
          <w:tcPr>
            <w:tcW w:w="3660" w:type="dxa"/>
            <w:vAlign w:val="bottom"/>
          </w:tcPr>
          <w:p>
            <w:pPr>
              <w:spacing w:after="0"/>
              <w:rPr>
                <w:sz w:val="15"/>
                <w:szCs w:val="15"/>
                <w:color w:val="auto"/>
              </w:rPr>
            </w:pPr>
          </w:p>
        </w:tc>
        <w:tc>
          <w:tcPr>
            <w:tcW w:w="16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480" w:type="dxa"/>
            <w:vAlign w:val="bottom"/>
          </w:tcPr>
          <w:p>
            <w:pPr>
              <w:jc w:val="center"/>
              <w:ind w:right="205"/>
              <w:spacing w:after="0"/>
              <w:rPr>
                <w:sz w:val="20"/>
                <w:szCs w:val="20"/>
                <w:color w:val="auto"/>
              </w:rPr>
            </w:pPr>
            <w:r>
              <w:rPr>
                <w:rFonts w:ascii="Arial" w:cs="Arial" w:eastAsia="Arial" w:hAnsi="Arial"/>
                <w:sz w:val="14"/>
                <w:szCs w:val="14"/>
                <w:b w:val="1"/>
                <w:bCs w:val="1"/>
                <w:color w:val="auto"/>
              </w:rPr>
              <w:t>Settled, or</w:t>
            </w: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60" w:type="dxa"/>
            <w:vAlign w:val="bottom"/>
          </w:tcPr>
          <w:p>
            <w:pPr>
              <w:jc w:val="center"/>
              <w:ind w:right="64"/>
              <w:spacing w:after="0"/>
              <w:rPr>
                <w:sz w:val="20"/>
                <w:szCs w:val="20"/>
                <w:color w:val="auto"/>
              </w:rPr>
            </w:pPr>
            <w:r>
              <w:rPr>
                <w:rFonts w:ascii="Arial" w:cs="Arial" w:eastAsia="Arial" w:hAnsi="Arial"/>
                <w:sz w:val="14"/>
                <w:szCs w:val="14"/>
                <w:b w:val="1"/>
                <w:bCs w:val="1"/>
                <w:color w:val="auto"/>
              </w:rPr>
              <w:t>Settle or</w:t>
            </w:r>
          </w:p>
        </w:tc>
      </w:tr>
      <w:tr>
        <w:trPr>
          <w:trHeight w:val="201"/>
        </w:trPr>
        <w:tc>
          <w:tcPr>
            <w:tcW w:w="36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(in thousands, except number of claims)</w:t>
            </w:r>
          </w:p>
        </w:tc>
        <w:tc>
          <w:tcPr>
            <w:tcW w:w="1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48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Resolved</w:t>
            </w:r>
          </w:p>
        </w:tc>
        <w:tc>
          <w:tcPr>
            <w:tcW w:w="15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New Claims</w:t>
            </w: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Resolve</w:t>
            </w:r>
          </w:p>
        </w:tc>
      </w:tr>
      <w:tr>
        <w:trPr>
          <w:trHeight w:val="21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6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3,609</w:t>
            </w:r>
          </w:p>
        </w:tc>
        <w:tc>
          <w:tcPr>
            <w:tcW w:w="14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43</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w:t>
            </w:r>
          </w:p>
        </w:tc>
      </w:tr>
      <w:tr>
        <w:trPr>
          <w:trHeight w:val="21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3,598</w:t>
            </w:r>
          </w:p>
        </w:tc>
        <w:tc>
          <w:tcPr>
            <w:tcW w:w="14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11</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74</w:t>
            </w:r>
          </w:p>
        </w:tc>
      </w:tr>
    </w:tbl>
    <w:p>
      <w:pPr>
        <w:spacing w:after="0" w:line="1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2023, we had resolved, by means of settlement or dismissal, 38,035 claims at a total cost of $10.7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7,690 claims as of September 30, 2023,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2022 to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098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7"/>
              </w:rPr>
              <w:t>Accumulated items of</w:t>
            </w: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880" w:type="dxa"/>
            <w:vAlign w:val="bottom"/>
            <w:gridSpan w:val="3"/>
            <w:vMerge w:val="restart"/>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920" w:type="dxa"/>
            <w:vAlign w:val="bottom"/>
            <w:gridSpan w:val="3"/>
            <w:vMerge w:val="restart"/>
          </w:tcPr>
          <w:p>
            <w:pPr>
              <w:jc w:val="right"/>
              <w:ind w:right="52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ind w:right="66"/>
              <w:spacing w:after="0" w:line="103" w:lineRule="exact"/>
              <w:rPr>
                <w:sz w:val="20"/>
                <w:szCs w:val="20"/>
                <w:color w:val="auto"/>
              </w:rPr>
            </w:pPr>
            <w:r>
              <w:rPr>
                <w:rFonts w:ascii="Arial" w:cs="Arial" w:eastAsia="Arial" w:hAnsi="Arial"/>
                <w:sz w:val="11"/>
                <w:szCs w:val="11"/>
                <w:b w:val="1"/>
                <w:bCs w:val="1"/>
                <w:color w:val="auto"/>
                <w:w w:val="98"/>
              </w:rPr>
              <w:t>Additional paid-</w:t>
            </w:r>
          </w:p>
        </w:tc>
        <w:tc>
          <w:tcPr>
            <w:tcW w:w="140" w:type="dxa"/>
            <w:vAlign w:val="bottom"/>
          </w:tcPr>
          <w:p>
            <w:pPr>
              <w:spacing w:after="0"/>
              <w:rPr>
                <w:sz w:val="7"/>
                <w:szCs w:val="7"/>
                <w:color w:val="auto"/>
              </w:rPr>
            </w:pPr>
          </w:p>
        </w:tc>
        <w:tc>
          <w:tcPr>
            <w:tcW w:w="720" w:type="dxa"/>
            <w:vAlign w:val="bottom"/>
            <w:vMerge w:val="restart"/>
          </w:tcPr>
          <w:p>
            <w:pPr>
              <w:jc w:val="right"/>
              <w:ind w:right="146"/>
              <w:spacing w:after="0" w:line="103"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7"/>
                <w:szCs w:val="7"/>
                <w:color w:val="auto"/>
              </w:rPr>
            </w:pPr>
          </w:p>
        </w:tc>
        <w:tc>
          <w:tcPr>
            <w:tcW w:w="1300" w:type="dxa"/>
            <w:vAlign w:val="bottom"/>
            <w:vMerge w:val="restart"/>
          </w:tcPr>
          <w:p>
            <w:pPr>
              <w:jc w:val="center"/>
              <w:ind w:right="66"/>
              <w:spacing w:after="0" w:line="103" w:lineRule="exact"/>
              <w:rPr>
                <w:sz w:val="20"/>
                <w:szCs w:val="20"/>
                <w:color w:val="auto"/>
              </w:rPr>
            </w:pPr>
            <w:r>
              <w:rPr>
                <w:rFonts w:ascii="Arial" w:cs="Arial" w:eastAsia="Arial" w:hAnsi="Arial"/>
                <w:sz w:val="11"/>
                <w:szCs w:val="11"/>
                <w:b w:val="1"/>
                <w:bCs w:val="1"/>
                <w:color w:val="auto"/>
                <w:w w:val="98"/>
              </w:rPr>
              <w:t>other comprehensive</w:t>
            </w:r>
          </w:p>
        </w:tc>
        <w:tc>
          <w:tcPr>
            <w:tcW w:w="192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jc w:val="right"/>
              <w:ind w:right="366"/>
              <w:spacing w:after="0" w:line="10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480"/>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3"/>
                <w:szCs w:val="13"/>
                <w:color w:val="auto"/>
              </w:rPr>
            </w:pP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960" w:type="dxa"/>
            <w:vAlign w:val="bottom"/>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4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3"/>
                <w:szCs w:val="13"/>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9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720" w:type="dxa"/>
            <w:vAlign w:val="bottom"/>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2340" w:type="dxa"/>
            <w:vAlign w:val="bottom"/>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28"/>
        </w:trPr>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441,540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931,318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(144,927)</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4,494</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867,543</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26,889</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197</w:t>
            </w:r>
          </w:p>
        </w:tc>
        <w:tc>
          <w:tcPr>
            <w:tcW w:w="2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27,086</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378</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(7,792)</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(7,792)</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$0.25 per share</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13,881</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238</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14,119</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(916)</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(916)</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(2,902)</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(2,902)</w:t>
            </w:r>
          </w:p>
        </w:tc>
        <w:tc>
          <w:tcPr>
            <w:tcW w:w="0" w:type="dxa"/>
            <w:vAlign w:val="bottom"/>
          </w:tcPr>
          <w:p>
            <w:pPr>
              <w:spacing w:after="0"/>
              <w:rPr>
                <w:sz w:val="1"/>
                <w:szCs w:val="1"/>
                <w:color w:val="auto"/>
              </w:rPr>
            </w:pPr>
          </w:p>
        </w:tc>
      </w:tr>
      <w:tr>
        <w:trPr>
          <w:trHeight w:val="149"/>
        </w:trPr>
        <w:tc>
          <w:tcPr>
            <w:tcW w:w="1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40,842</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441,917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950,415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(134,864)</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4,929</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897,515</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26,672</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26,826</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811</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811</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828</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1,086</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(7,795)</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(7,795)</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$0.25 per share</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(2,568)</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179</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(2,389)</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(724)</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(724)</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389</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149"/>
        </w:trPr>
        <w:tc>
          <w:tcPr>
            <w:tcW w:w="1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40,842</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443,556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969,292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(137,767)</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9,663</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(364,665)</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5,262</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915,719</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27,109</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27,154</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2,914</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2,914</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(7,799)</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(7,799)</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$0.25 per share</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Initial equity related to</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1,632</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1,632</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Noncontrolling interest in Arcari</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(15,639)</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(15,784)</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34</w:t>
            </w: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(2,237)</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(2,237)</w:t>
            </w:r>
          </w:p>
        </w:tc>
        <w:tc>
          <w:tcPr>
            <w:tcW w:w="0" w:type="dxa"/>
            <w:vAlign w:val="bottom"/>
          </w:tcPr>
          <w:p>
            <w:pPr>
              <w:spacing w:after="0"/>
              <w:rPr>
                <w:sz w:val="1"/>
                <w:szCs w:val="1"/>
                <w:color w:val="auto"/>
              </w:rPr>
            </w:pPr>
          </w:p>
        </w:tc>
      </w:tr>
      <w:tr>
        <w:trPr>
          <w:trHeight w:val="149"/>
        </w:trPr>
        <w:tc>
          <w:tcPr>
            <w:tcW w:w="1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40,857</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446,470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988,602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(155,609)</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9,662</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(364,665)</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6,794</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921,633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changes in Shareholders’ Equity for the period December 31, 2021 to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900" w:type="dxa"/>
            <w:vAlign w:val="bottom"/>
            <w:gridSpan w:val="3"/>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2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46"/>
              <w:spacing w:after="0" w:line="122" w:lineRule="exact"/>
              <w:rPr>
                <w:sz w:val="20"/>
                <w:szCs w:val="20"/>
                <w:color w:val="auto"/>
              </w:rPr>
            </w:pPr>
            <w:r>
              <w:rPr>
                <w:rFonts w:ascii="Arial" w:cs="Arial" w:eastAsia="Arial" w:hAnsi="Arial"/>
                <w:sz w:val="11"/>
                <w:szCs w:val="11"/>
                <w:b w:val="1"/>
                <w:bCs w:val="1"/>
                <w:color w:val="auto"/>
                <w:w w:val="98"/>
              </w:rPr>
              <w:t>Additional paid-</w:t>
            </w:r>
          </w:p>
        </w:tc>
        <w:tc>
          <w:tcPr>
            <w:tcW w:w="160" w:type="dxa"/>
            <w:vAlign w:val="bottom"/>
          </w:tcPr>
          <w:p>
            <w:pPr>
              <w:spacing w:after="0"/>
              <w:rPr>
                <w:sz w:val="2"/>
                <w:szCs w:val="2"/>
                <w:color w:val="auto"/>
              </w:rPr>
            </w:pPr>
          </w:p>
        </w:tc>
        <w:tc>
          <w:tcPr>
            <w:tcW w:w="720" w:type="dxa"/>
            <w:vAlign w:val="bottom"/>
            <w:vMerge w:val="restart"/>
          </w:tcPr>
          <w:p>
            <w:pPr>
              <w:jc w:val="right"/>
              <w:ind w:right="166"/>
              <w:spacing w:after="0" w:line="12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2"/>
                <w:szCs w:val="2"/>
                <w:color w:val="auto"/>
              </w:rPr>
            </w:pPr>
          </w:p>
        </w:tc>
        <w:tc>
          <w:tcPr>
            <w:tcW w:w="1400" w:type="dxa"/>
            <w:vAlign w:val="bottom"/>
            <w:vMerge w:val="restart"/>
          </w:tcPr>
          <w:p>
            <w:pPr>
              <w:jc w:val="right"/>
              <w:ind w:right="146"/>
              <w:spacing w:after="0" w:line="122" w:lineRule="exact"/>
              <w:rPr>
                <w:sz w:val="20"/>
                <w:szCs w:val="20"/>
                <w:color w:val="auto"/>
              </w:rPr>
            </w:pPr>
            <w:r>
              <w:rPr>
                <w:rFonts w:ascii="Arial" w:cs="Arial" w:eastAsia="Arial" w:hAnsi="Arial"/>
                <w:sz w:val="11"/>
                <w:szCs w:val="11"/>
                <w:b w:val="1"/>
                <w:bCs w:val="1"/>
                <w:color w:val="auto"/>
              </w:rPr>
              <w:t>Accumulated items of</w:t>
            </w: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ind w:right="86"/>
              <w:spacing w:after="0" w:line="122" w:lineRule="exact"/>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73"/>
        </w:trPr>
        <w:tc>
          <w:tcPr>
            <w:tcW w:w="1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40,760</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436,996</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863,057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(145,984)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8,665</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(280,143)</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3,638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877,605</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27,737</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745</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(43,937)</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(43,937)</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Common Stock, $0.21 per share</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(1,730)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74</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10,018</w:t>
            </w:r>
          </w:p>
        </w:tc>
        <w:tc>
          <w:tcPr>
            <w:tcW w:w="0" w:type="dxa"/>
            <w:vAlign w:val="bottom"/>
          </w:tcPr>
          <w:p>
            <w:pPr>
              <w:spacing w:after="0"/>
              <w:rPr>
                <w:sz w:val="1"/>
                <w:szCs w:val="1"/>
                <w:color w:val="auto"/>
              </w:rPr>
            </w:pPr>
          </w:p>
        </w:tc>
      </w:tr>
      <w:tr>
        <w:trPr>
          <w:trHeight w:val="149"/>
        </w:trPr>
        <w:tc>
          <w:tcPr>
            <w:tcW w:w="1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40,781</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437,748</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884,133</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(137,622)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9,180</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(324,080)</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4,032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864,252</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39,201</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39,369</w:t>
            </w: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902</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285</w:t>
            </w:r>
          </w:p>
        </w:tc>
        <w:tc>
          <w:tcPr>
            <w:tcW w:w="5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508</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(41,128)</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(41,128)</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(6,529)</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$0.21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(39,661)</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(39,752)</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3,349</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3,349</w:t>
            </w:r>
          </w:p>
        </w:tc>
        <w:tc>
          <w:tcPr>
            <w:tcW w:w="0" w:type="dxa"/>
            <w:vAlign w:val="bottom"/>
          </w:tcPr>
          <w:p>
            <w:pPr>
              <w:spacing w:after="0"/>
              <w:rPr>
                <w:sz w:val="1"/>
                <w:szCs w:val="1"/>
                <w:color w:val="auto"/>
              </w:rPr>
            </w:pPr>
          </w:p>
        </w:tc>
      </w:tr>
      <w:tr>
        <w:trPr>
          <w:trHeight w:val="22"/>
        </w:trPr>
        <w:tc>
          <w:tcPr>
            <w:tcW w:w="1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439,450</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916,805</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(173,700)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821,782</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10,694</w:t>
            </w: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10,823</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Compensation and benefits paid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835</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835</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or payable in shares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(6,533)</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(6,533)</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$0.21 per share</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Cumulative translation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(38,450)</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(38,506)</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Pension and postretirement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4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00" w:type="dxa"/>
            <w:vAlign w:val="bottom"/>
          </w:tcPr>
          <w:p>
            <w:pPr>
              <w:ind w:left="20"/>
              <w:spacing w:after="0" w:line="111" w:lineRule="exact"/>
              <w:rPr>
                <w:sz w:val="20"/>
                <w:szCs w:val="20"/>
                <w:color w:val="auto"/>
              </w:rPr>
            </w:pPr>
            <w:r>
              <w:rPr>
                <w:rFonts w:ascii="Arial" w:cs="Arial" w:eastAsia="Arial" w:hAnsi="Arial"/>
                <w:sz w:val="11"/>
                <w:szCs w:val="11"/>
                <w:color w:val="auto"/>
              </w:rPr>
              <w:t>Settlement of certain pension</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color w:val="auto"/>
              </w:rPr>
              <w:t>26,198</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26,198</w:t>
            </w:r>
          </w:p>
        </w:tc>
        <w:tc>
          <w:tcPr>
            <w:tcW w:w="0" w:type="dxa"/>
            <w:vAlign w:val="bottom"/>
          </w:tcPr>
          <w:p>
            <w:pPr>
              <w:spacing w:after="0"/>
              <w:rPr>
                <w:sz w:val="1"/>
                <w:szCs w:val="1"/>
                <w:color w:val="auto"/>
              </w:rPr>
            </w:pPr>
          </w:p>
        </w:tc>
      </w:tr>
      <w:tr>
        <w:trPr>
          <w:trHeight w:val="138"/>
        </w:trPr>
        <w:tc>
          <w:tcPr>
            <w:tcW w:w="170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6,208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6,208</w:t>
            </w:r>
          </w:p>
        </w:tc>
        <w:tc>
          <w:tcPr>
            <w:tcW w:w="0" w:type="dxa"/>
            <w:vAlign w:val="bottom"/>
          </w:tcPr>
          <w:p>
            <w:pPr>
              <w:spacing w:after="0"/>
              <w:rPr>
                <w:sz w:val="1"/>
                <w:szCs w:val="1"/>
                <w:color w:val="auto"/>
              </w:rPr>
            </w:pPr>
          </w:p>
        </w:tc>
      </w:tr>
      <w:tr>
        <w:trPr>
          <w:trHeight w:val="149"/>
        </w:trPr>
        <w:tc>
          <w:tcPr>
            <w:tcW w:w="1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40,785</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440,295</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920,966</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(180,373)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(364,923)</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4,182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820,188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right="160" w:hanging="652"/>
        <w:spacing w:after="0" w:line="26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October 2021, the Company's Board of Directors authorized the Company to repurchase shares of up to $200 million through open market purchases, privately negotiated transactions or otherwise, and to determine the prices, times and amounts. During the nine months ended September 30, 2022, the Company repurchased 1,022,717 shares totaling $85.1 million. The Company did not repurchase shares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17. Business Combination</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31, 2023, the Company acquired all of the outstanding shares of Heimbach, a privately-held manufacturer of paper machine clothing with headquarters in Düren, Germany. Heimbach is a global supplier of paper machine clothing for the production of all grades of paper and cardboard on all machine types as well as high-tech textile products used in a variety of sectors, such as the food processing, chemicals, construction materials and automotive industries. Heimbach is now a division under the MC segment. The Paper Machine Clothing ("PMC") industry has attractive dynamics and the acquisition of Heimbach provides increased scale and complementary technology that further drives the Machine Clothing segment's differentiated manufacturing, sales and service network.</w:t>
      </w:r>
    </w:p>
    <w:p>
      <w:pPr>
        <w:spacing w:after="0" w:line="3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acquisition was funded using cash on-hand. The following table summarizes the total consideration paid, excluding debt assumed, for the acquisition of Heimbach:</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8"/>
                <w:szCs w:val="18"/>
                <w:b w:val="1"/>
                <w:bCs w:val="1"/>
                <w:color w:val="auto"/>
              </w:rPr>
              <w:t>August 31, 2023</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3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145,816</w:t>
            </w:r>
          </w:p>
        </w:tc>
      </w:tr>
      <w:tr>
        <w:trPr>
          <w:trHeight w:val="21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Indemnity release</w:t>
            </w:r>
          </w:p>
        </w:tc>
        <w:tc>
          <w:tcPr>
            <w:tcW w:w="35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w:t>
            </w:r>
          </w:p>
        </w:tc>
      </w:tr>
      <w:tr>
        <w:trPr>
          <w:trHeight w:val="212"/>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 paid</w:t>
            </w:r>
          </w:p>
        </w:tc>
        <w:tc>
          <w:tcPr>
            <w:tcW w:w="3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144,066</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accounted for under the acquisition method in accordance with ASC 805, Business Combinations.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assets acquired and the liabilities assumed were recorded based on their preliminary fair values at the date of acquisition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August 31, 2023</w:t>
            </w: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35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12,347</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Accounts receivables</w:t>
            </w:r>
          </w:p>
        </w:tc>
        <w:tc>
          <w:tcPr>
            <w:tcW w:w="35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52,704</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5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41,538</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5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126,057</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5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14,464</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5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7,452</w:t>
            </w:r>
          </w:p>
        </w:tc>
      </w:tr>
      <w:tr>
        <w:trPr>
          <w:trHeight w:val="216"/>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5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6,694</w:t>
            </w:r>
          </w:p>
        </w:tc>
      </w:tr>
      <w:tr>
        <w:trPr>
          <w:trHeight w:val="20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 acquired</w:t>
            </w:r>
          </w:p>
        </w:tc>
        <w:tc>
          <w:tcPr>
            <w:tcW w:w="3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261,256</w:t>
            </w:r>
          </w:p>
        </w:tc>
      </w:tr>
      <w:tr>
        <w:trPr>
          <w:trHeight w:val="91"/>
        </w:trPr>
        <w:tc>
          <w:tcPr>
            <w:tcW w:w="5440" w:type="dxa"/>
            <w:vAlign w:val="bottom"/>
            <w:shd w:val="clear" w:color="auto" w:fill="CCEEFF"/>
          </w:tcPr>
          <w:p>
            <w:pPr>
              <w:spacing w:after="0"/>
              <w:rPr>
                <w:sz w:val="7"/>
                <w:szCs w:val="7"/>
                <w:color w:val="auto"/>
              </w:rPr>
            </w:pPr>
          </w:p>
        </w:tc>
        <w:tc>
          <w:tcPr>
            <w:tcW w:w="354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5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Assumed debt</w:t>
            </w:r>
          </w:p>
        </w:tc>
        <w:tc>
          <w:tcPr>
            <w:tcW w:w="3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32,700</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5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8,243</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35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27,257</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5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36,313</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5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tax liabilities</w:t>
            </w:r>
          </w:p>
        </w:tc>
        <w:tc>
          <w:tcPr>
            <w:tcW w:w="3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10,757</w:t>
            </w:r>
          </w:p>
        </w:tc>
      </w:tr>
      <w:tr>
        <w:trPr>
          <w:trHeight w:val="21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assumed</w:t>
            </w:r>
          </w:p>
        </w:tc>
        <w:tc>
          <w:tcPr>
            <w:tcW w:w="3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115,558</w:t>
            </w:r>
          </w:p>
        </w:tc>
      </w:tr>
      <w:tr>
        <w:trPr>
          <w:trHeight w:val="91"/>
        </w:trPr>
        <w:tc>
          <w:tcPr>
            <w:tcW w:w="544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r>
      <w:tr>
        <w:trPr>
          <w:trHeight w:val="207"/>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145,698</w:t>
            </w:r>
          </w:p>
        </w:tc>
      </w:tr>
      <w:tr>
        <w:trPr>
          <w:trHeight w:val="21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3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r>
      <w:tr>
        <w:trPr>
          <w:trHeight w:val="20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144,066</w:t>
            </w:r>
          </w:p>
        </w:tc>
      </w:tr>
    </w:tbl>
    <w:p>
      <w:pPr>
        <w:spacing w:after="0" w:line="200" w:lineRule="exact"/>
        <w:rPr>
          <w:sz w:val="20"/>
          <w:szCs w:val="20"/>
          <w:color w:val="auto"/>
        </w:rPr>
      </w:pPr>
    </w:p>
    <w:p>
      <w:pPr>
        <w:spacing w:after="0" w:line="31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For the three and nine months ended September 30, 2023, the Company incurred acquisition related costs of $1.6 million and $2 million, respectively. These costs are included in Selling, general and administrative expenses in the Consolidated statements of income.</w:t>
      </w:r>
    </w:p>
    <w:p>
      <w:pPr>
        <w:spacing w:after="0" w:line="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preliminary fair values of the property, plant and equipment of $126.1 million were determined using the cost-approach and a market-approach because the selected approaches were appropriate for the valuation analysis and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8"/>
          <w:szCs w:val="18"/>
          <w:color w:val="auto"/>
        </w:rPr>
        <w:t>sufficient information was available for their use. The Company recorded $1.1 million of depreciation expense for the three and nine months ended September 30, 2023.</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preliminary fair values of the identifiable intangible assets totaling $14.5 million, consisting of the Heimbach trade name and developed technology, was determined using the income approach, specifically, a relief from royalty method. The fair value of the trade name was $6.0 million and is considered an indefinite-lived asset because of Heimbach's rich brand heritage and customer service to the paper machine clothing industry dating back to 1811. The fair value of the developed technology was $8.5 million and includes intellectual property-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related technologies as well as know-how developed by Heimbach; and is being amortized over its economic period of benefit, which is 9 years. This amortization period represents the estimated useful life of the asset. The Company recorded $0.1 million of intangible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amortization for the three and nine months ended September 30, 2023.</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preliminary fair values of the assets acquired includes $3.2 million and $0.1 million of operating and finance lease right-of-use assets, respectively. The preliminary fair values of the liabilities assumed includes $3.2 million and $0.1 million of operating and finance lease liabilities, respectively, of which, $1.1 million and $0.1 million of operating and finance lease liabilities, respectively, are current liabilities.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Debt assumed included $ 32.7 million aggregate outstanding amount of bank debt with several European financial institutions with fixed interest rates ranging from 0.9% to 2.93% and maturity dates ranging from September 25, 2023 to June 30, 2031. Bank agreements allowed for the repayment of the debt upon demand by certain financial institutions in the event of a change in control. Some of the assumed bank debt may become due upon notification by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those financial institutions before the maturity date of the bank agreements. At September 30, 2023, the foreign debt assumed was $29.6 million, of which $27.2 million was classified as Current maturities on long-term debt.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 of the liabilities assumed include $35.3 million of pension liabilities for various defined benefit plans.</w:t>
      </w:r>
    </w:p>
    <w:p>
      <w:pPr>
        <w:spacing w:after="0" w:line="36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Heimbach's results of operations have been included in the Company's financial statements for the period subsequent to the completion of the acquisition on August 31, 2023. Heimbach contributed $15.6 million of revenue and a $(0.5) million operating loss for the period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79"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higher interest rates, inflationary pressures, the effects of another COVID-19 outbreak, or other similar outbreaks, for an extended period of time;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and logistics costs due to supply chain constraints and inflationary pressures commodities have adversely impacted profit margins. These challenges have only increased as a result of the ongoing Russia-Ukraine war and the escalating conflicts in regions of the Middle East;</w:t>
      </w:r>
    </w:p>
    <w:p>
      <w:pPr>
        <w:spacing w:after="0" w:line="210"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20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unanticipated reductions in demand, including reductions driven by supply chain shortages on other aircraft components, delays, technical difficulties, and cancellations in aerospace programs that are expected to generate revenue and drive long-term growth;</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to achieve or maintain anticipated profitable growth in our Albany Engineered Composites segment;</w:t>
      </w:r>
    </w:p>
    <w:p>
      <w:pPr>
        <w:spacing w:after="0" w:line="292"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 xml:space="preserve">Failure to adequately integrate Heimbach into our business systems and processes within the expected timeframe or, failure to or delayed realization of anticipated benefits of the acquisition could adversely impact the Company’s business, financial condition and results of operations, as further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and</w:t>
      </w:r>
    </w:p>
    <w:p>
      <w:pPr>
        <w:spacing w:after="0" w:line="22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jc w:val="both"/>
        <w:ind w:firstLine="324"/>
        <w:spacing w:after="0" w:line="263"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7" w:lineRule="exact"/>
        <w:rPr>
          <w:sz w:val="20"/>
          <w:szCs w:val="20"/>
          <w:color w:val="auto"/>
        </w:rPr>
      </w:pPr>
    </w:p>
    <w:p>
      <w:pPr>
        <w:ind w:right="300" w:firstLine="324"/>
        <w:spacing w:after="0" w:line="275"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2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MC segment is the Company’s long-established core business and primary generator of cash. While it has been negatively impacted by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 On August 31, 2023, the Company acquired Heimbach, a privately-held manufacturer of paper machine clothing with headquarters in Düren, Germany. See </w:t>
      </w:r>
      <w:r>
        <w:rPr>
          <w:rFonts w:ascii="Arial" w:cs="Arial" w:eastAsia="Arial" w:hAnsi="Arial"/>
          <w:sz w:val="18"/>
          <w:szCs w:val="18"/>
          <w:i w:val="1"/>
          <w:iCs w:val="1"/>
          <w:color w:val="auto"/>
        </w:rPr>
        <w:t>Note 17, Business Combination</w:t>
      </w:r>
      <w:r>
        <w:rPr>
          <w:rFonts w:ascii="Arial" w:cs="Arial" w:eastAsia="Arial" w:hAnsi="Arial"/>
          <w:sz w:val="18"/>
          <w:szCs w:val="18"/>
          <w:color w:val="auto"/>
        </w:rPr>
        <w:t xml:space="preserve"> for additional information.</w:t>
      </w:r>
    </w:p>
    <w:p>
      <w:pPr>
        <w:spacing w:after="0" w:line="22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("SAFRAN") and sales to SAFRAN, through ASC, (consisting primarily of fan blades and cases for CFM’s LEAP engine) accounted for approximately 16 percent of the Company’s consolidated Net revenues in 2022. AEC, through ASC, also supplies 3D-woven composite fan cases for the GE9X engine. AEC’s current portfolio of non-3D programs includes components for the CH-53K helicopter, components for the F-35 joint strike fighter, missile bodies for Lockheed Martin’s JASSM air-to-surface missiles, fuselage components for the Boeing 787, and vacuum waste tanks for Boeing 7-Series aircraft. AEC is actively engaged in research to develop new applications in both commercial, space, and defense aircraft engine and airframe markets. For the year ended December 31, 2022, approximately 46 percent of AEC revenues were related to U.S. government contracts or programs.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revenues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600" w:type="dxa"/>
            <w:vAlign w:val="bottom"/>
            <w:tcBorders>
              <w:bottom w:val="single" w:sz="8" w:color="auto"/>
            </w:tcBorders>
            <w:gridSpan w:val="4"/>
          </w:tcPr>
          <w:p>
            <w:pPr>
              <w:jc w:val="right"/>
              <w:ind w:right="681"/>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166,588</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153,389</w:t>
            </w:r>
          </w:p>
        </w:tc>
        <w:tc>
          <w:tcPr>
            <w:tcW w:w="15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8.6 % </w:t>
            </w: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479,027</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459,121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4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8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114,518</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107,174</w:t>
            </w:r>
          </w:p>
        </w:tc>
        <w:tc>
          <w:tcPr>
            <w:tcW w:w="15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6.9 %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345,298</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306,980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12.5 %</w:t>
            </w: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281,106</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260,563</w:t>
            </w:r>
          </w:p>
        </w:tc>
        <w:tc>
          <w:tcPr>
            <w:tcW w:w="15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 xml:space="preserve">7.9 % </w:t>
            </w: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824,325</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766,101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tables provide a comparison of 2023 Net revenues, excluding currency translation effects, to 2022 Net revenues: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rPr>
              <w:t>Increase due to</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Q3 2023 revenues on</w:t>
            </w:r>
          </w:p>
        </w:tc>
        <w:tc>
          <w:tcPr>
            <w:tcW w:w="14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9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Net revenues as</w:t>
            </w:r>
          </w:p>
        </w:tc>
        <w:tc>
          <w:tcPr>
            <w:tcW w:w="154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same basis as Q3</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revenues as</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changes in currency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2022 currency</w:t>
            </w:r>
          </w:p>
        </w:tc>
        <w:tc>
          <w:tcPr>
            <w:tcW w:w="140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Q3 2022, excluding</w:t>
            </w: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960" w:type="dxa"/>
            <w:vAlign w:val="bottom"/>
          </w:tcPr>
          <w:p>
            <w:pPr>
              <w:jc w:val="center"/>
              <w:ind w:left="488"/>
              <w:spacing w:after="0"/>
              <w:rPr>
                <w:sz w:val="20"/>
                <w:szCs w:val="20"/>
                <w:color w:val="auto"/>
              </w:rPr>
            </w:pPr>
            <w:r>
              <w:rPr>
                <w:rFonts w:ascii="Arial" w:cs="Arial" w:eastAsia="Arial" w:hAnsi="Arial"/>
                <w:sz w:val="14"/>
                <w:szCs w:val="14"/>
                <w:b w:val="1"/>
                <w:bCs w:val="1"/>
                <w:color w:val="auto"/>
              </w:rPr>
              <w:t>reported, Q3 2023</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translation rates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translation rates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reported, Q3 2022</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166,588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153,389</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114,518</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113,243</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107,174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281,106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260,563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17"/>
                <w:szCs w:val="17"/>
                <w:color w:val="auto"/>
              </w:rPr>
            </w:pPr>
          </w:p>
        </w:tc>
        <w:tc>
          <w:tcPr>
            <w:tcW w:w="148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(Decrease)/ increase</w:t>
            </w:r>
          </w:p>
        </w:tc>
        <w:tc>
          <w:tcPr>
            <w:tcW w:w="14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YTD 2023 revenues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Net revenues as</w:t>
            </w:r>
          </w:p>
        </w:tc>
        <w:tc>
          <w:tcPr>
            <w:tcW w:w="160" w:type="dxa"/>
            <w:vAlign w:val="bottom"/>
          </w:tcPr>
          <w:p>
            <w:pPr>
              <w:spacing w:after="0"/>
              <w:rPr>
                <w:sz w:val="12"/>
                <w:szCs w:val="12"/>
                <w:color w:val="auto"/>
              </w:rPr>
            </w:pPr>
          </w:p>
        </w:tc>
        <w:tc>
          <w:tcPr>
            <w:tcW w:w="138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rPr>
              <w:t>due to changes in</w:t>
            </w:r>
          </w:p>
        </w:tc>
        <w:tc>
          <w:tcPr>
            <w:tcW w:w="140" w:type="dxa"/>
            <w:vAlign w:val="bottom"/>
          </w:tcPr>
          <w:p>
            <w:pPr>
              <w:spacing w:after="0"/>
              <w:rPr>
                <w:sz w:val="12"/>
                <w:szCs w:val="12"/>
                <w:color w:val="auto"/>
              </w:rPr>
            </w:pPr>
          </w:p>
        </w:tc>
        <w:tc>
          <w:tcPr>
            <w:tcW w:w="134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rPr>
              <w:t>on same basis as</w:t>
            </w:r>
          </w:p>
        </w:tc>
        <w:tc>
          <w:tcPr>
            <w:tcW w:w="180" w:type="dxa"/>
            <w:vAlign w:val="bottom"/>
          </w:tcPr>
          <w:p>
            <w:pPr>
              <w:spacing w:after="0"/>
              <w:rPr>
                <w:sz w:val="12"/>
                <w:szCs w:val="12"/>
                <w:color w:val="auto"/>
              </w:rPr>
            </w:pPr>
          </w:p>
        </w:tc>
        <w:tc>
          <w:tcPr>
            <w:tcW w:w="13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Net revenues as</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4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2022 currency</w:t>
            </w: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2022, excluding</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reported, YTD 2023</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rates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translation rates</w:t>
            </w: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reported, YTD 2022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479,027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459,121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345,298</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344,447</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306,980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824,325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827,158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766,101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revenues increased 7.9% compared to the same period in 2022. Changes in currency translation rates had the effect of increasing Net revenues $1.9 million. MC's Net revenues increased 8.6% compared to the third quarter of 2022, driven by Heimbach Net revenues of $15.6 million and, to a lesser extent, higher Net revenues in tissue and packaging grades, more than offset by lower Net revenues in pulp and engineered fabrics. AEC's Net revenues increased 6.9%, primarily driven by growth on LEAP programs, the Boeing Frames program and other commercial programs, offset by lower CH-53K sales.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Changes in currency translation rates had the effect of decreasing Net revenues by $2.8 million, driven by a weaker Renminbi as compared to 2022. Excluding the effect of changes in currency translation rates:</w:t>
      </w:r>
    </w:p>
    <w:p>
      <w:pPr>
        <w:spacing w:after="0" w:line="6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Net revenues increased 8.0% compared to the same period in 2022.</w:t>
      </w:r>
    </w:p>
    <w:p>
      <w:pPr>
        <w:spacing w:after="0" w:line="117" w:lineRule="exact"/>
        <w:rPr>
          <w:rFonts w:ascii="Arial" w:cs="Arial" w:eastAsia="Arial" w:hAnsi="Arial"/>
          <w:sz w:val="18"/>
          <w:szCs w:val="18"/>
          <w:b w:val="1"/>
          <w:bCs w:val="1"/>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Net revenues in MC increased 5.1% compared to the first nine months of 2022, primarily due to the contribution of Heimbach Net revenues of $15.6 million and growth in revenues for packaging and tissue grades, partially offset by decreases in Engineered Fabrics.</w:t>
      </w:r>
    </w:p>
    <w:p>
      <w:pPr>
        <w:spacing w:after="0" w:line="75"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in AEC increased 12.2%, primarily due to growth on LEAP programs.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79,257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79,232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238,031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237,434</w:t>
            </w:r>
          </w:p>
        </w:tc>
      </w:tr>
      <w:tr>
        <w:trPr>
          <w:trHeight w:val="24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22,578</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21,261</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65,826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55,256</w:t>
            </w:r>
          </w:p>
        </w:tc>
      </w:tr>
      <w:tr>
        <w:trPr>
          <w:trHeight w:val="21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101,835</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100,493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303,857</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292,690</w:t>
            </w:r>
          </w:p>
        </w:tc>
      </w:tr>
      <w:tr>
        <w:trPr>
          <w:trHeight w:val="23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36.2 %</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38.6 %</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ind w:left="340" w:right="180"/>
        <w:spacing w:after="0" w:line="275" w:lineRule="auto"/>
        <w:rPr>
          <w:sz w:val="20"/>
          <w:szCs w:val="20"/>
          <w:color w:val="auto"/>
        </w:rPr>
      </w:pPr>
      <w:r>
        <w:rPr>
          <w:rFonts w:ascii="Arial" w:cs="Arial" w:eastAsia="Arial" w:hAnsi="Arial"/>
          <w:sz w:val="18"/>
          <w:szCs w:val="18"/>
          <w:color w:val="auto"/>
        </w:rPr>
        <w:t>The increase in 2023 Gross profit, as compared to the same period last year, was driven by higher sales in both segments. Gross profit as a percentage of revenues:</w:t>
      </w:r>
    </w:p>
    <w:p>
      <w:pPr>
        <w:spacing w:after="0" w:line="66" w:lineRule="exact"/>
        <w:rPr>
          <w:sz w:val="20"/>
          <w:szCs w:val="20"/>
          <w:color w:val="auto"/>
        </w:rPr>
      </w:pPr>
    </w:p>
    <w:p>
      <w:pPr>
        <w:ind w:left="660" w:right="20" w:hanging="328"/>
        <w:spacing w:after="0" w:line="275"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MC's gross profit margin decreased from 51.7% in 2022 to 47.6% in 2023, driven by lower margins at Heimbach, in addition to higher input costs due to the inflationary environment and lower overhead absorption.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8" w:name="page29"/>
    <w:bookmarkEnd w:id="28"/>
    <w:p>
      <w:pPr>
        <w:jc w:val="both"/>
        <w:ind w:left="660" w:hanging="328"/>
        <w:spacing w:after="0" w:line="258"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AEC's gross profit margin remained largely in line with the prior year, decreasing slightly from 19.8% in 2022 to 19.7% in 2023, driven by an unfavorable shift in program revenue mix. Favorable changes in the estimated profitability of long-term contracts increased operating income by $0.9 million in 2023; however, in 2022, favorable changes were more significant, increasing operating income by $2.6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during the first nine months of 2023, as compared to the same period in 2022, was driven by the following:</w:t>
      </w:r>
    </w:p>
    <w:p>
      <w:pPr>
        <w:spacing w:after="0" w:line="117" w:lineRule="exact"/>
        <w:rPr>
          <w:sz w:val="20"/>
          <w:szCs w:val="20"/>
          <w:color w:val="auto"/>
        </w:rPr>
      </w:pPr>
    </w:p>
    <w:p>
      <w:pPr>
        <w:ind w:left="660" w:right="560" w:hanging="328"/>
        <w:spacing w:after="0" w:line="275"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MC's gross profit margin decreased from 51.7% in 2022 to 49.7% in 2023, driven by lower margins at Heimbach, in addition to increased input costs, mainly due to the inflationary environment, and lower overhead absorption.</w:t>
      </w:r>
    </w:p>
    <w:p>
      <w:pPr>
        <w:spacing w:after="0" w:line="65" w:lineRule="exact"/>
        <w:rPr>
          <w:rFonts w:ascii="Arial" w:cs="Arial" w:eastAsia="Arial" w:hAnsi="Arial"/>
          <w:sz w:val="18"/>
          <w:szCs w:val="18"/>
          <w:b w:val="1"/>
          <w:bCs w:val="1"/>
          <w:color w:val="auto"/>
        </w:rPr>
      </w:pPr>
    </w:p>
    <w:p>
      <w:pPr>
        <w:ind w:left="660" w:right="60" w:hanging="328"/>
        <w:spacing w:after="0" w:line="256"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AEC's Gross profit increased $10.6 million and, as a percentage of revenues, increased from 18.0% in the prior year to 19.1% in 2023. The increase in gross profit was driven by growth in revenues during 2023, primarily on LEAP programs and other commercial programs, with improved overhead absorption and reductions in raw material reserves as compared to 2022. In addition, gross profit margin increased as a result of improved overhead absorption and the absence of a $2 million raw material reserve on damaged inventory, as compared to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28,465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21,941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84,404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75,427</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auto"/>
              </w:rPr>
              <w:t>13,204</w:t>
            </w:r>
          </w:p>
        </w:tc>
        <w:tc>
          <w:tcPr>
            <w:tcW w:w="320" w:type="dxa"/>
            <w:vAlign w:val="bottom"/>
          </w:tcPr>
          <w:p>
            <w:pPr>
              <w:spacing w:after="0"/>
              <w:rPr>
                <w:sz w:val="21"/>
                <w:szCs w:val="21"/>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11,302</w:t>
            </w:r>
          </w:p>
        </w:tc>
        <w:tc>
          <w:tcPr>
            <w:tcW w:w="140" w:type="dxa"/>
            <w:vAlign w:val="bottom"/>
          </w:tcPr>
          <w:p>
            <w:pPr>
              <w:spacing w:after="0"/>
              <w:rPr>
                <w:sz w:val="21"/>
                <w:szCs w:val="21"/>
                <w:color w:val="auto"/>
              </w:rPr>
            </w:pPr>
          </w:p>
        </w:tc>
        <w:tc>
          <w:tcPr>
            <w:tcW w:w="1220" w:type="dxa"/>
            <w:vAlign w:val="bottom"/>
          </w:tcPr>
          <w:p>
            <w:pPr>
              <w:jc w:val="right"/>
              <w:ind w:right="142"/>
              <w:spacing w:after="0"/>
              <w:rPr>
                <w:sz w:val="20"/>
                <w:szCs w:val="20"/>
                <w:color w:val="auto"/>
              </w:rPr>
            </w:pPr>
            <w:r>
              <w:rPr>
                <w:rFonts w:ascii="Arial" w:cs="Arial" w:eastAsia="Arial" w:hAnsi="Arial"/>
                <w:sz w:val="16"/>
                <w:szCs w:val="16"/>
                <w:b w:val="1"/>
                <w:bCs w:val="1"/>
                <w:color w:val="auto"/>
              </w:rPr>
              <w:t>38,366</w:t>
            </w:r>
          </w:p>
        </w:tc>
        <w:tc>
          <w:tcPr>
            <w:tcW w:w="32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34,568</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20,014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13,564</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54,747</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39,314</w:t>
            </w:r>
          </w:p>
        </w:tc>
      </w:tr>
      <w:tr>
        <w:trPr>
          <w:trHeight w:val="23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61,683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46,807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177,517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149,309</w:t>
            </w:r>
          </w:p>
        </w:tc>
      </w:tr>
      <w:tr>
        <w:trPr>
          <w:trHeight w:val="21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21.9 %</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21.5 %</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ind w:left="340" w:right="20"/>
        <w:spacing w:after="0" w:line="275" w:lineRule="auto"/>
        <w:rPr>
          <w:sz w:val="20"/>
          <w:szCs w:val="20"/>
          <w:color w:val="auto"/>
        </w:rPr>
      </w:pPr>
      <w:r>
        <w:rPr>
          <w:rFonts w:ascii="Arial" w:cs="Arial" w:eastAsia="Arial" w:hAnsi="Arial"/>
          <w:sz w:val="18"/>
          <w:szCs w:val="18"/>
          <w:color w:val="auto"/>
        </w:rPr>
        <w:t>Consolidated STG&amp;R expenses increased 31.8% as compared to 2022, and as a percentage of revenues increased from 18.0% in 2022 to 21.9% in 2023.</w:t>
      </w:r>
    </w:p>
    <w:p>
      <w:pPr>
        <w:spacing w:after="0" w:line="66" w:lineRule="exact"/>
        <w:rPr>
          <w:sz w:val="20"/>
          <w:szCs w:val="20"/>
          <w:color w:val="auto"/>
        </w:rPr>
      </w:pPr>
    </w:p>
    <w:p>
      <w:pPr>
        <w:ind w:left="660" w:right="20" w:hanging="328"/>
        <w:spacing w:after="0" w:line="275"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MC, changes in currency translation rates had the effect of increasing STG&amp;R by $2.3 million over the prior year. The addition of Heimbach, combined with increases in customer credit loss reserves, contributed to higher STG&amp;R expenses as compared to 2022.</w:t>
      </w:r>
    </w:p>
    <w:p>
      <w:pPr>
        <w:spacing w:after="0" w:line="65" w:lineRule="exact"/>
        <w:rPr>
          <w:rFonts w:ascii="Arial" w:cs="Arial" w:eastAsia="Arial" w:hAnsi="Arial"/>
          <w:sz w:val="18"/>
          <w:szCs w:val="18"/>
          <w:b w:val="1"/>
          <w:bCs w:val="1"/>
          <w:color w:val="auto"/>
        </w:rPr>
      </w:pPr>
    </w:p>
    <w:p>
      <w:pPr>
        <w:ind w:left="660" w:hanging="328"/>
        <w:spacing w:after="0" w:line="27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AEC, Selling and general expenses increased $1.9 million, primarily driven by increased incentive compensation and personnel-related costs.</w:t>
      </w:r>
    </w:p>
    <w:p>
      <w:pPr>
        <w:spacing w:after="0" w:line="6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STG&amp;R expenses increased $6.4 million, principally due to acquisition-related expenses, the vesting of retirement compensation costs for the former CEO, and higher personnel-related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7"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color w:val="auto"/>
        </w:rPr>
        <w:t>The overall increase in STG&amp;R expenses in the first nine months of 2023, compared to the same period in 2022, was due to the net effect of the following:</w:t>
      </w:r>
    </w:p>
    <w:p>
      <w:pPr>
        <w:spacing w:after="0" w:line="66" w:lineRule="exact"/>
        <w:rPr>
          <w:sz w:val="20"/>
          <w:szCs w:val="20"/>
          <w:color w:val="auto"/>
        </w:rPr>
      </w:pPr>
    </w:p>
    <w:p>
      <w:pPr>
        <w:ind w:left="660" w:right="20" w:hanging="328"/>
        <w:spacing w:after="0" w:line="275"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 MC, changes in currency translation rates had the effect of increasing STG&amp;R by $5.6 million over the prior year. The addition of Heimbach, combined with increases in travel and related expenses, contributed to higher STG&amp;R expenses as compared to 2022.</w:t>
      </w:r>
    </w:p>
    <w:p>
      <w:pPr>
        <w:spacing w:after="0" w:line="65" w:lineRule="exact"/>
        <w:rPr>
          <w:rFonts w:ascii="Arial" w:cs="Arial" w:eastAsia="Arial" w:hAnsi="Arial"/>
          <w:sz w:val="18"/>
          <w:szCs w:val="18"/>
          <w:b w:val="1"/>
          <w:bCs w:val="1"/>
          <w:color w:val="auto"/>
        </w:rPr>
      </w:pPr>
    </w:p>
    <w:p>
      <w:pPr>
        <w:ind w:left="660" w:right="20" w:hanging="328"/>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AEC, Selling and general expenses increased $2.2 million due to higher incentive compensation and personnel-related costs, and $0.5 million related to investments in business development, including increases in marketing and trade show activities.</w:t>
      </w:r>
    </w:p>
    <w:p>
      <w:pPr>
        <w:spacing w:after="0" w:line="6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STG&amp;R expenses increased $15.4 million principally due to higher professional fees, acquisition-related expenses, vesting of retirement compensation costs for the former CEO, and higher personnel-related costs.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Restructuring Expense, net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expense, net, of $ 0.1 million in the third quarter, and $0.2 million in the nine months ended September 30, 2023, and was related primarily to the winding down of restructuring actions taken in prior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2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50,710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57,247</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153,400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161,752</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9,374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27,460</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20,688</w:t>
            </w:r>
          </w:p>
        </w:tc>
      </w:tr>
      <w:tr>
        <w:trPr>
          <w:trHeight w:val="216"/>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(20,014)</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(13,561)</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(54,747)</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(39,327)</w:t>
            </w:r>
          </w:p>
        </w:tc>
      </w:tr>
      <w:tr>
        <w:trPr>
          <w:trHeight w:val="209"/>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40,070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53,644</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126,113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143,113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2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10,049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11,336</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49,128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(income)/expense,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(17,891)</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9,207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39,908</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22,273</w:t>
            </w:r>
          </w:p>
        </w:tc>
      </w:tr>
      <w:tr>
        <w:trPr>
          <w:trHeight w:val="216"/>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expense/(income), net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expense/(income), net, decreased over the prior year as a result of higher interest earned on Cash and cash equivalents, in addition to decreased interest expense on finance leases. See the Working Capital, Liquidity and Capital Structure section for further discussion of borrowings and interest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settlement expense</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In the third quarter of 2022, the Company took actions to settle certain pension plan liabilities in the U.S., leading to charges totaling $49.1 million. No similar charges were incurred in the current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(income)/expense, net, included foreign currency related transactions which resulted in expense of $0.5 million in the three months ended September 30, 2023, as compared to gains of $6.6 million in the same period last year, and resulted in gains of $3.6 million in the nine months ended September 30, 2023, as compared to gains of $17.7 million in the same period last year. During 2023, the Mexican Peso weakened during the third quarter, but was overall stronger during the nine months ended September 30, 2023, driving the foreign currency gain in the period. During 2022, the Euro remained weaker for the three and nine months ended September 30, 2022, resulting in a more significant foreign currency gain during those periods.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expense/(benefit)</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Company’s effective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0" w:name="page31"/>
    <w:bookmarkEnd w:id="30"/>
    <w:p>
      <w:pPr>
        <w:jc w:val="both"/>
        <w:spacing w:after="0" w:line="258" w:lineRule="auto"/>
        <w:rPr>
          <w:sz w:val="20"/>
          <w:szCs w:val="20"/>
          <w:color w:val="auto"/>
        </w:rPr>
      </w:pPr>
      <w:r>
        <w:rPr>
          <w:rFonts w:ascii="Arial" w:cs="Arial" w:eastAsia="Arial" w:hAnsi="Arial"/>
          <w:sz w:val="18"/>
          <w:szCs w:val="18"/>
          <w:color w:val="auto"/>
        </w:rPr>
        <w:t xml:space="preserve">tax rate for the third quarter of 2023 was 25.3%, higher compared to (41.6%) for the same period in 2022, mainly due to favorable discrete tax adjustments in the prior period. For the first nine months of 2023, the Company's effective tax rate was 33.0%, higher compared to 22.2% for the same period in 2022, mainly due to favorable discrete tax adjustments in the prior year. For more information, see </w:t>
      </w:r>
      <w:r>
        <w:rPr>
          <w:rFonts w:ascii="Arial" w:cs="Arial" w:eastAsia="Arial" w:hAnsi="Arial"/>
          <w:sz w:val="18"/>
          <w:szCs w:val="18"/>
          <w:i w:val="1"/>
          <w:iCs w:val="1"/>
          <w:color w:val="auto"/>
        </w:rPr>
        <w:t>Note 5.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in the Notes to the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Machine Clothing is our largest business segment and accounted for 58% of our consolidated revenues during the first nine months of 2023. MC products are purchased primarily by manufacturers of paper and paperboard. We believe we are well-positioned in these markets, with high-quality, low-cost production in growth markets, substantially lower fixed costs in mature markets, and continued strength in new product development, technical product support, and manufacturing technology. Technological advances in paper machine clothing, while contributing to the papermaking efficiency of customers, have lengthened the useful life of many of our products and had an adverse impact on overall paper machine clothing demand.</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selective business acquisitions, and to maintain and grow our manufacturing footprint to align with global demand, while we offset the effects of inflation through continuous productivity improvement. On August 31, 2023, the Company acquired Heimbach, a privately-held manufacturer of paper machine clothing with headquarters in Düren, Germany, which is expected to enhance the Company's scale and geographic footprint, provide complementary technology, and create a differentiated manufacturing, sales and service network.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166,588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153,389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479,027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459,121</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79,257</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79,232</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238,031</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237,434</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47.6 %</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49.7 %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51.7 %</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28,465</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21,941</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84,404</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75,427</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50,710</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57,247</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153,400</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161,752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revenues increased by 8.6%. Changes in currency translation rates, driven by a stronger Euro, offset in part by a weaker Renminbi, had the effect of increasing third quarter 2023 revenues by $0.7 million. Excluding the effect of changes in translation rates, Net revenues in MC increased 8.2% compared to the third quarter of 2022, driven by higher Net revenues in tissue and packaging grades and the contribution of $15.6 million of revenues from the Heimbach acquisition.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revenues increased by 4.3%. Changes in currency translation rates, driven by a weaker Renminbi, had the effect of decreasing 2023 revenues by $ 3.7 million compared to the same period in 2022. Excluding the effect of changes in currency translation rates, Net revenues in MC increased 5.1% compared to 2022, primarily due to growth in revenues for tissue and packaging grades and the contribution of $15.6 million of revenues from the Heimbach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MC delivered steady Gross profit in the three and nine months ended September 30, 2023, in line with prior year performance, though it experienced some reduction in gross margin on account of higher input costs and lower overhead absorption.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Operating income decreased year-over-year, due to higher STG&amp;R expenses. Changes in currency translation rates had the effect of increasing STG&amp;R by $2.3 million and $5.6 million for the three and nine months ended September 30, 2023, as compared to the prior year. The addition of Heimbach, combined with increases in customer credit loss reserves, contributed to higher STG&amp;R expenses as compared to 2022.</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acquisition of Heimbach impacted MC's third quarter results by reducing Operating income $0.5 million, which included an incremental Cost of goods sold charge related to the acquisition step-up of inventory balances, and also included Depreciation expense on Property, plant, and equipment, net of $1.1 million, and amortization expense on Intangibles, net of $0.1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("AEC") Segment</w:t>
      </w:r>
    </w:p>
    <w:p>
      <w:pPr>
        <w:spacing w:after="0" w:line="2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The AEC segment provides highly engineered, advanced composite structures to customers in the commercial and defense aerospace industries. The segment includes Albany Safran Composites, LLC (“ASC”), in which our customer, SAFRAN Group, owns a 10 percent</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AEC, through ASC, is the exclusive supplier to the LEAP program of advanced composite fan blades and fan cases under a long-term supply contract. The LEAP engine is used on the Airbus A320neo, Boeing 737 MAX, and COMAC 919 aircraft. Other significant programs by AEC include the Sikorsky CH-53K, F-35, JASSM, and Boeing 787 programs. AEC also supplies vacuum waste tanks for the Boeing 7-Series programs, and specialty components for the Rolls Royce lift fan on the F-35, as well as the fan case for the GE9X engine.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114,518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107,174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345,298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306,980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22,578</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21,261</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65,826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55,256</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19.7 %</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13,204</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11,302</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38,366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34,568</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9,374</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9,958</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27,460</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20,688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4"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For the three months ended September 30, 2023, Net revenues increased 6.9% compared to the prior year, driven by growth on LEAP programs and other commercial programs. Excluding the effect of changes in currency translation rates, the increase in Net revenues was 5.7%.</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September 30, 2023, Net revenues in AEC increased 12.5%, primarily due to growth on LEAP programs.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Excluding the effect of changes in currency translation rates, the increase in Net revenues was 12.2%.</w:t>
      </w:r>
    </w:p>
    <w:p>
      <w:pPr>
        <w:spacing w:after="0" w:line="10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the first nine months of 2023 and 2022.</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 -rata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September 30, 2023, Gross profit increased $1.3 million as compared to the same period last year, and as a percentage of revenues decreased from 19.8% in 2022 to 19.7% in 2023, driven by an unfavorable shift in program revenue mix, coupled with $1.7 million of less favorable changes in the estimated profitability of long-term contracts as compared to the same period last year.</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2023, Gross profit increased $ 10.6 million and as a percentage of revenues increased from 18.0% in the prior year to 19.1% in 2023. The increase was driven by growth in revenues during 2023, primarily on LEAP programs and other commercial programs, with improved overhead absorption and reductions in raw material reserves as compared to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For the three months ended September 30, 2023, Operating income decreased $0.6 million, principally due to an increase in Selling, general, and research expenses, as described above.</w:t>
      </w:r>
    </w:p>
    <w:p>
      <w:pPr>
        <w:spacing w:after="0" w:line="66"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For the nine months ended September 30, 2023, Operating income increased $6.8 million, principally due to higher Net revenues and Gross profit, as described above, partially offset by higher STG&amp;R expenses.</w:t>
      </w:r>
    </w:p>
    <w:p>
      <w:pPr>
        <w:spacing w:after="0" w:line="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Changes in the estimated profitability of long-term contracts increased operating income by $0.9 million for the third quarter of 2023 and decreased operating income $4.1 million for the nine months ended September 30, 2023. Adjustments in the estimated profitability of long-term contracts increased operating income by $2.6 million and $2.0 million in the three and nine months ended September 30, 2022,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81,066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78,267</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54,778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51,908</w:t>
            </w:r>
          </w:p>
        </w:tc>
      </w:tr>
      <w:tr>
        <w:trPr>
          <w:trHeight w:val="21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(58,130)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(89,899)</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(4,866)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(21,542)</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964</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48,573</w:t>
            </w:r>
          </w:p>
        </w:tc>
      </w:tr>
      <w:tr>
        <w:trPr>
          <w:trHeight w:val="237"/>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73,812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67,307</w:t>
            </w: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(182,596)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(52,832)</w:t>
            </w:r>
          </w:p>
        </w:tc>
      </w:tr>
      <w:tr>
        <w:trPr>
          <w:trHeight w:val="243"/>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(10,839)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(9,119)</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(30,910)</w:t>
            </w:r>
          </w:p>
        </w:tc>
      </w:tr>
      <w:tr>
        <w:trPr>
          <w:trHeight w:val="236"/>
        </w:trPr>
        <w:tc>
          <w:tcPr>
            <w:tcW w:w="8620" w:type="dxa"/>
            <w:vAlign w:val="bottom"/>
          </w:tcPr>
          <w:p>
            <w:pPr>
              <w:ind w:left="20"/>
              <w:spacing w:after="0"/>
              <w:rPr>
                <w:sz w:val="20"/>
                <w:szCs w:val="20"/>
                <w:color w:val="auto"/>
              </w:rPr>
            </w:pPr>
            <w:r>
              <w:rPr>
                <w:rFonts w:ascii="Arial" w:cs="Arial" w:eastAsia="Arial" w:hAnsi="Arial"/>
                <w:sz w:val="16"/>
                <w:szCs w:val="16"/>
                <w:color w:val="auto"/>
              </w:rPr>
              <w:t>Decrease in cash and cash equivalents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(120,270)</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(25,554)</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291,776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302,036</w:t>
            </w:r>
          </w:p>
        </w:tc>
      </w:tr>
      <w:tr>
        <w:trPr>
          <w:trHeight w:val="23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171,506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276,482</w:t>
            </w:r>
          </w:p>
        </w:tc>
      </w:tr>
    </w:tbl>
    <w:p>
      <w:pPr>
        <w:spacing w:after="0" w:line="8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15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cash provided by operating activities was $ 73.8 million in 2023, compared to $67.3 million in the same period last year. The increase was driven by improved levels of working capital at MC and lower cash outflows related to other liabilities. In the previous year, the Company made contributions of approximately $12.6 million to the U.S. Pension plan, in line with the Company's plan to reduce pension obligations over time. No similar payment was made during the current year.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deploy our cash with a focus on investing in our business and new technologies to provide our customers with enhanced capabilities,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increase shareholder value, and position ourselves to take advantage of new business opportunities as they arise. Based on such strategy, we have continued to invest in our business and technologies through capital expenditures, research and development, and when appropriate, selective business acquisitions. On August 31, 2023, the Company acquired Heimbach, a privately-held manufacturer of paper machine clothing with headquarters in Düren, Germany, for net cash of $133.5 million, funded using cash on hand. Net cash used in investing activities also included capital expenditures totaling $49.1 million and $52.8 million for the first nine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8"/>
          <w:szCs w:val="18"/>
          <w:color w:val="auto"/>
        </w:rPr>
        <w:t>of 2023 and 2022, respectively, including investments to improve productivity and produce a meaningful impact on energy and resource efficiency.</w:t>
      </w:r>
    </w:p>
    <w:p>
      <w:pPr>
        <w:spacing w:after="0" w:line="66"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Net cash used in financing activities during 2023 was $10.8 million as compared to $9.1 million in 2022. The increase was, in part, due to the absence of share repurchases in the current year, which resulted in lower borrowings from the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 Our subsidiaries outside of the United States may also maintain working capital lines with local banks.</w:t>
      </w:r>
    </w:p>
    <w:p>
      <w:pPr>
        <w:spacing w:after="0" w:line="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our $800 million unsecured committed Amended Credit Agreement, $461.0 million of borrowings were outstanding as of September 30, 2023, in addition we have borrowings outstanding at the newly acquired Heimbach subsidiary of $29.6 million, of which $27.2 million was considered current.</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As of September 30, 2023, we had cash and cash equivalents of $171.5 million and available borrowings under our Amended Credit Agreement of $339.0 million, for a total liquidity of approximately $510.5 million. We believe cash flows from operations and the availability of funds under our Amended Credit Agreement will be adequate to fund our operations and business needs over the next twelve months. For more information on credit agreements,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in the Notes to Consolidated Financial Statements.</w:t>
      </w:r>
    </w:p>
    <w:p>
      <w:pPr>
        <w:spacing w:after="0" w:line="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2023, $150.9 million of our total cash and cash equivalents were held by non-U.S. subsidiaries. The accumulated undistributed earnings of the Company’s foreign operations not targeted for repatriation to the U.S. were in excess of $42 million as of September 30, 2023,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endeavors to date, there can be no assurance that we will be able to cost effectively repatriate funds in the future. Repatriating such cash from certain jurisdictions may also result in additional withholding taxes.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Bank debt at the Company's Heimbach subsidiary, assumed in the acquisition, is held by several European financial institutions. Certain bank agreements allow for the repayment of the debt upon demand by any of the financial institutions in the event of a change in control. Some or all of the assumed bank debt could become due upon notification by any of the financial institutions before the maturity date of the bank agreements. As a result, of the $29.6 million borrowings outstanding as of September 30, 2023, we have classified $27.2 million as current maturity (see </w:t>
      </w:r>
      <w:r>
        <w:rPr>
          <w:rFonts w:ascii="Arial" w:cs="Arial" w:eastAsia="Arial" w:hAnsi="Arial"/>
          <w:sz w:val="18"/>
          <w:szCs w:val="18"/>
          <w:i w:val="1"/>
          <w:iCs w:val="1"/>
          <w:color w:val="auto"/>
        </w:rPr>
        <w:t>Note 17, Business Combination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for additional information). In the event this debt becomes callable, we have sufficient liquidity to settle this debt.</w:t>
      </w:r>
    </w:p>
    <w:p>
      <w:pPr>
        <w:spacing w:after="0" w:line="21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We have also returned cash to shareholders through dividends and share repurchases. During the first nine months of 2023, we paid $23.4 million in dividends and had no share repurchases.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$7 million. There were no material changes in the Company’s off-balance sheet arrangements during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Form 10-Q contains certain non-GAAP measures that should not be considered in isolation or as a substitute for the related GAAP measures. Such non-GAAP measures include Net revenues and percent change in Net revenues, excluding the impact of currency translation effects; EBITDA, Adjusted EBITDA, and Adjusted EBITDA margin; Net debt; Net leverage ratio; and Adjusted earnings per share (or Adjusted EPS). Management believes that these non-GAAP measures provide additional useful information to investors regarding the Company’s operational performance.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Presenting Net revenues and change in Net revenues, after currency effects are excluded, provides management and investors insight into underlying revenues trends. Net revenues, or percent changes in Net revenues, excluding currency rate effects, are calculated by converting amounts reported in local currencies into U.S. dollars at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exchange rate of a prior period. These amounts are then compared to the U.S. dollar amount as reported in the current period.</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revenues.</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defines Adjusted EPS as basic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8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The Company’s Adjusted EBITDA, Adjusted EBITDA margin, and Adjusted EPS may not be comparable to similarly titled measures of other companies.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debt aids investors in understanding the Company’s debt position if all available cash were applied to pay down indebtedness.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encourage investors to review our financial statements and publicly-filed reports in their entirety and not to rely on any single financial measure.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4"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9,374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(32,930)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27,154</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3,653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5,976</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12,510</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19,461</w:t>
            </w: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56,686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21,884</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(19,095)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59,475</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6"/>
                <w:szCs w:val="16"/>
                <w:color w:val="auto"/>
              </w:rPr>
              <w:t>CEO transition expenses</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2,052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168"/>
        </w:trPr>
        <w:tc>
          <w:tcPr>
            <w:tcW w:w="35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(14,885)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Three months ended September 30,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40"/>
              <w:spacing w:after="0" w:line="158"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8"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(56,382)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10,823</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3,794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17,034</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62,160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21,261</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(54,953)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28,468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255</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21,462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 September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40"/>
              <w:spacing w:after="0" w:line="157"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7"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153,400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27,460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(99,794)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81,066</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10,049</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15,682</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36,246</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54,778</w:t>
            </w: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169,082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63,706</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(46,987)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185,801</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227</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4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6"/>
                <w:szCs w:val="16"/>
                <w:color w:val="auto"/>
              </w:rPr>
              <w:t>CEO transition expenses</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2,052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4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40"/>
        </w:trPr>
        <w:tc>
          <w:tcPr>
            <w:tcW w:w="352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813</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2,005</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(income) attributable to noncontrolling</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32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2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(non-GAAP)</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172,549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64,064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(46,539)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Nine months ended September 30,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40"/>
              <w:spacing w:after="0" w:line="158"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8"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(104,173)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78,267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11,336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11,336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34,792</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176,468</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55,480</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(68,164)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163,784</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806</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56,408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(35,886)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195,128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insights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Pre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0.00</w:t>
            </w:r>
          </w:p>
        </w:tc>
        <w:tc>
          <w:tcPr>
            <w:tcW w:w="0" w:type="dxa"/>
            <w:vAlign w:val="bottom"/>
          </w:tcPr>
          <w:p>
            <w:pPr>
              <w:spacing w:after="0"/>
              <w:rPr>
                <w:sz w:val="1"/>
                <w:szCs w:val="1"/>
                <w:color w:val="auto"/>
              </w:rPr>
            </w:pPr>
          </w:p>
        </w:tc>
      </w:tr>
      <w:tr>
        <w:trPr>
          <w:trHeight w:val="240"/>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0"/>
                <w:szCs w:val="20"/>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0.00</w:t>
            </w:r>
          </w:p>
        </w:tc>
        <w:tc>
          <w:tcPr>
            <w:tcW w:w="0" w:type="dxa"/>
            <w:vAlign w:val="bottom"/>
          </w:tcPr>
          <w:p>
            <w:pPr>
              <w:spacing w:after="0"/>
              <w:rPr>
                <w:sz w:val="1"/>
                <w:szCs w:val="1"/>
                <w:color w:val="auto"/>
              </w:rPr>
            </w:pPr>
          </w:p>
        </w:tc>
      </w:tr>
      <w:tr>
        <w:trPr>
          <w:trHeight w:val="24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transition expenses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0.07</w:t>
            </w:r>
          </w:p>
        </w:tc>
        <w:tc>
          <w:tcPr>
            <w:tcW w:w="0" w:type="dxa"/>
            <w:vAlign w:val="bottom"/>
          </w:tcPr>
          <w:p>
            <w:pPr>
              <w:spacing w:after="0"/>
              <w:rPr>
                <w:sz w:val="1"/>
                <w:szCs w:val="1"/>
                <w:color w:val="auto"/>
              </w:rPr>
            </w:pPr>
          </w:p>
        </w:tc>
      </w:tr>
      <w:tr>
        <w:trPr>
          <w:trHeight w:val="240"/>
        </w:trPr>
        <w:tc>
          <w:tcPr>
            <w:tcW w:w="5940" w:type="dxa"/>
            <w:vAlign w:val="bottom"/>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1,370</w:t>
            </w:r>
          </w:p>
        </w:tc>
        <w:tc>
          <w:tcPr>
            <w:tcW w:w="3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411</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Pr>
          <w:p>
            <w:pPr>
              <w:spacing w:after="0"/>
              <w:rPr>
                <w:sz w:val="20"/>
                <w:szCs w:val="20"/>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0.03</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476</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6"/>
              </w:rPr>
              <w:t>0.05</w:t>
            </w:r>
          </w:p>
        </w:tc>
        <w:tc>
          <w:tcPr>
            <w:tcW w:w="0" w:type="dxa"/>
            <w:vAlign w:val="bottom"/>
          </w:tcPr>
          <w:p>
            <w:pPr>
              <w:spacing w:after="0"/>
              <w:rPr>
                <w:sz w:val="1"/>
                <w:szCs w:val="1"/>
                <w:color w:val="auto"/>
              </w:rPr>
            </w:pPr>
          </w:p>
        </w:tc>
      </w:tr>
      <w:tr>
        <w:trPr>
          <w:trHeight w:val="455"/>
        </w:trPr>
        <w:tc>
          <w:tcPr>
            <w:tcW w:w="5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Three months ended September 30, 2022</w:t>
            </w:r>
          </w:p>
        </w:tc>
        <w:tc>
          <w:tcPr>
            <w:tcW w:w="280" w:type="dxa"/>
            <w:vAlign w:val="bottom"/>
          </w:tcPr>
          <w:p>
            <w:pPr>
              <w:spacing w:after="0"/>
              <w:rPr>
                <w:sz w:val="12"/>
                <w:szCs w:val="12"/>
                <w:color w:val="auto"/>
              </w:rPr>
            </w:pPr>
          </w:p>
        </w:tc>
        <w:tc>
          <w:tcPr>
            <w:tcW w:w="1080" w:type="dxa"/>
            <w:vAlign w:val="bottom"/>
          </w:tcPr>
          <w:p>
            <w:pPr>
              <w:jc w:val="center"/>
              <w:ind w:right="121"/>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1"/>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1"/>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1"/>
              <w:spacing w:after="0" w:line="14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0.00</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(9,442)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(6,748)</w:t>
            </w:r>
          </w:p>
        </w:tc>
        <w:tc>
          <w:tcPr>
            <w:tcW w:w="220" w:type="dxa"/>
            <w:vAlign w:val="bottom"/>
          </w:tcPr>
          <w:p>
            <w:pPr>
              <w:spacing w:after="0"/>
              <w:rPr>
                <w:sz w:val="18"/>
                <w:szCs w:val="18"/>
                <w:color w:val="auto"/>
              </w:rPr>
            </w:pPr>
          </w:p>
        </w:tc>
        <w:tc>
          <w:tcPr>
            <w:tcW w:w="1100" w:type="dxa"/>
            <w:vAlign w:val="bottom"/>
          </w:tcPr>
          <w:p>
            <w:pPr>
              <w:jc w:val="center"/>
              <w:ind w:left="541"/>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49,128</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11,947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37,181</w:t>
            </w:r>
          </w:p>
        </w:tc>
        <w:tc>
          <w:tcPr>
            <w:tcW w:w="220" w:type="dxa"/>
            <w:vAlign w:val="bottom"/>
          </w:tcPr>
          <w:p>
            <w:pPr>
              <w:spacing w:after="0"/>
              <w:rPr>
                <w:sz w:val="18"/>
                <w:szCs w:val="18"/>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1.20</w:t>
            </w: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Tax impact of stranded OCI benefit from Tax Cuts and Job Act (TCJA) for pension</w:t>
            </w: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5,217</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541"/>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(b)</w:t>
            </w: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6"/>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7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Pre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0.01</w:t>
            </w:r>
          </w:p>
        </w:tc>
      </w:tr>
      <w:tr>
        <w:trPr>
          <w:trHeight w:val="240"/>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(1,720)</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(1,216)</w:t>
            </w:r>
          </w:p>
        </w:tc>
        <w:tc>
          <w:tcPr>
            <w:tcW w:w="220" w:type="dxa"/>
            <w:vAlign w:val="bottom"/>
          </w:tcPr>
          <w:p>
            <w:pPr>
              <w:spacing w:after="0"/>
              <w:rPr>
                <w:sz w:val="20"/>
                <w:szCs w:val="20"/>
                <w:color w:val="auto"/>
              </w:rPr>
            </w:pPr>
          </w:p>
        </w:tc>
        <w:tc>
          <w:tcPr>
            <w:tcW w:w="1100" w:type="dxa"/>
            <w:vAlign w:val="bottom"/>
          </w:tcPr>
          <w:p>
            <w:pPr>
              <w:jc w:val="center"/>
              <w:ind w:left="541"/>
              <w:spacing w:after="0"/>
              <w:rPr>
                <w:sz w:val="20"/>
                <w:szCs w:val="20"/>
                <w:color w:val="auto"/>
              </w:rPr>
            </w:pPr>
            <w:r>
              <w:rPr>
                <w:rFonts w:ascii="Arial" w:cs="Arial" w:eastAsia="Arial" w:hAnsi="Arial"/>
                <w:sz w:val="16"/>
                <w:szCs w:val="16"/>
                <w:color w:val="auto"/>
              </w:rPr>
              <w:t>(0.04)</w:t>
            </w:r>
          </w:p>
        </w:tc>
      </w:tr>
      <w:tr>
        <w:trPr>
          <w:trHeight w:val="24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transition expenses</w:t>
            </w:r>
          </w:p>
        </w:tc>
        <w:tc>
          <w:tcPr>
            <w:tcW w:w="7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0.07</w:t>
            </w:r>
          </w:p>
        </w:tc>
      </w:tr>
      <w:tr>
        <w:trPr>
          <w:trHeight w:val="240"/>
        </w:trPr>
        <w:tc>
          <w:tcPr>
            <w:tcW w:w="5480" w:type="dxa"/>
            <w:vAlign w:val="bottom"/>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(3,026)</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3,026</w:t>
            </w:r>
          </w:p>
        </w:tc>
        <w:tc>
          <w:tcPr>
            <w:tcW w:w="220" w:type="dxa"/>
            <w:vAlign w:val="bottom"/>
          </w:tcPr>
          <w:p>
            <w:pPr>
              <w:spacing w:after="0"/>
              <w:rPr>
                <w:sz w:val="20"/>
                <w:szCs w:val="20"/>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0.10</w:t>
            </w:r>
          </w:p>
        </w:tc>
      </w:tr>
      <w:tr>
        <w:trPr>
          <w:trHeight w:val="24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7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0.03</w:t>
            </w:r>
          </w:p>
        </w:tc>
      </w:tr>
      <w:tr>
        <w:trPr>
          <w:trHeight w:val="24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6"/>
              </w:rPr>
              <w:t>0.07</w:t>
            </w:r>
          </w:p>
        </w:tc>
      </w:tr>
      <w:tr>
        <w:trPr>
          <w:trHeight w:val="239"/>
        </w:trPr>
        <w:tc>
          <w:tcPr>
            <w:tcW w:w="5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42"/>
        </w:trPr>
        <w:tc>
          <w:tcPr>
            <w:tcW w:w="548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Nine months ended September 30, 2022</w:t>
            </w:r>
          </w:p>
        </w:tc>
        <w:tc>
          <w:tcPr>
            <w:tcW w:w="740" w:type="dxa"/>
            <w:vAlign w:val="bottom"/>
          </w:tcPr>
          <w:p>
            <w:pPr>
              <w:spacing w:after="0"/>
              <w:rPr>
                <w:sz w:val="12"/>
                <w:szCs w:val="12"/>
                <w:color w:val="auto"/>
              </w:rPr>
            </w:pPr>
          </w:p>
        </w:tc>
        <w:tc>
          <w:tcPr>
            <w:tcW w:w="108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1"/>
              <w:spacing w:after="0" w:line="143"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1"/>
              <w:spacing w:after="0" w:line="143"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rPr>
              <w:t>Per share</w:t>
            </w:r>
          </w:p>
        </w:tc>
      </w:tr>
      <w:tr>
        <w:trPr>
          <w:trHeight w:val="18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Effect</w:t>
            </w: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0.01</w:t>
            </w:r>
          </w:p>
        </w:tc>
      </w:tr>
      <w:tr>
        <w:trPr>
          <w:trHeight w:val="240"/>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(20,579)</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(5,829)</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(14,750)</w:t>
            </w:r>
          </w:p>
        </w:tc>
        <w:tc>
          <w:tcPr>
            <w:tcW w:w="220" w:type="dxa"/>
            <w:vAlign w:val="bottom"/>
          </w:tcPr>
          <w:p>
            <w:pPr>
              <w:spacing w:after="0"/>
              <w:rPr>
                <w:sz w:val="20"/>
                <w:szCs w:val="20"/>
                <w:color w:val="auto"/>
              </w:rPr>
            </w:pPr>
          </w:p>
        </w:tc>
        <w:tc>
          <w:tcPr>
            <w:tcW w:w="1100" w:type="dxa"/>
            <w:vAlign w:val="bottom"/>
          </w:tcPr>
          <w:p>
            <w:pPr>
              <w:jc w:val="center"/>
              <w:ind w:left="541"/>
              <w:spacing w:after="0"/>
              <w:rPr>
                <w:sz w:val="20"/>
                <w:szCs w:val="20"/>
                <w:color w:val="auto"/>
              </w:rPr>
            </w:pPr>
            <w:r>
              <w:rPr>
                <w:rFonts w:ascii="Arial" w:cs="Arial" w:eastAsia="Arial" w:hAnsi="Arial"/>
                <w:sz w:val="16"/>
                <w:szCs w:val="16"/>
                <w:color w:val="auto"/>
              </w:rPr>
              <w:t>(0.47)</w:t>
            </w:r>
          </w:p>
        </w:tc>
      </w:tr>
      <w:tr>
        <w:trPr>
          <w:trHeight w:val="24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7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6"/>
              </w:rPr>
              <w:t>0.06</w:t>
            </w:r>
          </w:p>
        </w:tc>
      </w:tr>
      <w:tr>
        <w:trPr>
          <w:trHeight w:val="240"/>
        </w:trPr>
        <w:tc>
          <w:tcPr>
            <w:tcW w:w="548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49,128</w:t>
            </w:r>
          </w:p>
        </w:tc>
        <w:tc>
          <w:tcPr>
            <w:tcW w:w="30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11,947</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37,181</w:t>
            </w:r>
          </w:p>
        </w:tc>
        <w:tc>
          <w:tcPr>
            <w:tcW w:w="220" w:type="dxa"/>
            <w:vAlign w:val="bottom"/>
          </w:tcPr>
          <w:p>
            <w:pPr>
              <w:spacing w:after="0"/>
              <w:rPr>
                <w:sz w:val="20"/>
                <w:szCs w:val="20"/>
                <w:color w:val="auto"/>
              </w:rPr>
            </w:pPr>
          </w:p>
        </w:tc>
        <w:tc>
          <w:tcPr>
            <w:tcW w:w="1100" w:type="dxa"/>
            <w:vAlign w:val="bottom"/>
          </w:tcPr>
          <w:p>
            <w:pPr>
              <w:jc w:val="center"/>
              <w:ind w:left="561"/>
              <w:spacing w:after="0"/>
              <w:rPr>
                <w:sz w:val="20"/>
                <w:szCs w:val="20"/>
                <w:color w:val="auto"/>
              </w:rPr>
            </w:pPr>
            <w:r>
              <w:rPr>
                <w:rFonts w:ascii="Arial" w:cs="Arial" w:eastAsia="Arial" w:hAnsi="Arial"/>
                <w:sz w:val="16"/>
                <w:szCs w:val="16"/>
                <w:color w:val="auto"/>
                <w:w w:val="96"/>
              </w:rPr>
              <w:t>1.20</w:t>
            </w:r>
          </w:p>
        </w:tc>
      </w:tr>
      <w:tr>
        <w:trPr>
          <w:trHeight w:val="24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stranded OCI benefit from TCJA for pension liability (b)</w:t>
            </w:r>
          </w:p>
        </w:tc>
        <w:tc>
          <w:tcPr>
            <w:tcW w:w="7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rPr>
              <w:t>(0.17)</w:t>
            </w:r>
          </w:p>
        </w:tc>
      </w:tr>
      <w:tr>
        <w:trPr>
          <w:trHeight w:val="24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6"/>
              </w:rPr>
              <w:t>0.03</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transition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0.10</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stranded OCI benefit from Tax Cuts and Job Act (TCJA) for pension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liability (b)</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 (non-GAAP)</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r>
    </w:tbl>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right"/>
              <w:ind w:right="8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80" w:type="dxa"/>
            <w:vAlign w:val="bottom"/>
          </w:tcPr>
          <w:p>
            <w:pPr>
              <w:jc w:val="right"/>
              <w:ind w:right="82"/>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4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463,339</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439,000</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447,000</w:t>
            </w:r>
          </w:p>
        </w:tc>
      </w:tr>
      <w:tr>
        <w:trPr>
          <w:trHeight w:val="21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490,585</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439,000</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447,000</w:t>
            </w:r>
          </w:p>
        </w:tc>
      </w:tr>
      <w:tr>
        <w:trPr>
          <w:trHeight w:val="233"/>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171,506</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276,482</w:t>
            </w:r>
          </w:p>
        </w:tc>
      </w:tr>
      <w:tr>
        <w:trPr>
          <w:trHeight w:val="21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319,079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147,224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170,518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38" w:name="page39"/>
    <w:bookmarkEnd w:id="38"/>
    <w:p>
      <w:pPr>
        <w:jc w:val="both"/>
        <w:ind w:firstLine="324"/>
        <w:spacing w:after="0" w:line="263"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 of net leverage ratio as of September 30,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6900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2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Trailing twelve months</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4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December 31, 2022</w:t>
            </w: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2"/>
                <w:szCs w:val="12"/>
                <w:color w:val="auto"/>
              </w:rPr>
            </w:pPr>
          </w:p>
        </w:tc>
        <w:tc>
          <w:tcPr>
            <w:tcW w:w="154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(non-GAAP) (c)</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96,508</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78,267</w:t>
            </w: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81,066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99,307</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5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14,000</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11,336</w:t>
            </w: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10,049</w:t>
            </w:r>
          </w:p>
        </w:tc>
        <w:tc>
          <w:tcPr>
            <w:tcW w:w="1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12,713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35,472</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53,107</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51,908</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54,778</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71,919</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215,029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163,784</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185,801</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237,046</w:t>
            </w: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268</w:t>
            </w: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140" w:type="dxa"/>
            <w:vAlign w:val="bottom"/>
          </w:tcPr>
          <w:p>
            <w:pPr>
              <w:spacing w:after="0"/>
              <w:rPr>
                <w:sz w:val="20"/>
                <w:szCs w:val="20"/>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5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(9,829)</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9,030</w:t>
            </w: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2,275</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2,354</w:t>
            </w: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transition expenses</w:t>
            </w:r>
          </w:p>
        </w:tc>
        <w:tc>
          <w:tcPr>
            <w:tcW w:w="5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49,128</w:t>
            </w:r>
          </w:p>
        </w:tc>
        <w:tc>
          <w:tcPr>
            <w:tcW w:w="2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49,128</w:t>
            </w: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step-up impacting Cost of goods sold</w:t>
            </w:r>
          </w:p>
        </w:tc>
        <w:tc>
          <w:tcPr>
            <w:tcW w:w="5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Arial" w:cs="Arial" w:eastAsia="Arial" w:hAnsi="Arial"/>
                <w:sz w:val="16"/>
                <w:szCs w:val="16"/>
                <w:color w:val="auto"/>
              </w:rPr>
              <w:t>IP address sales</w:t>
            </w: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(3,420)</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5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240"/>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5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(633)</w:t>
            </w: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253,529</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195,128</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190,074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248,475</w:t>
            </w:r>
          </w:p>
        </w:tc>
        <w:tc>
          <w:tcPr>
            <w:tcW w:w="0" w:type="dxa"/>
            <w:vAlign w:val="bottom"/>
          </w:tcPr>
          <w:p>
            <w:pPr>
              <w:spacing w:after="0"/>
              <w:rPr>
                <w:sz w:val="1"/>
                <w:szCs w:val="1"/>
                <w:color w:val="auto"/>
              </w:rPr>
            </w:pPr>
          </w:p>
        </w:tc>
      </w:tr>
      <w:tr>
        <w:trPr>
          <w:trHeight w:val="344"/>
        </w:trPr>
        <w:tc>
          <w:tcPr>
            <w:tcW w:w="4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for net leverage ratio)</w:t>
            </w:r>
          </w:p>
        </w:tc>
        <w:tc>
          <w:tcPr>
            <w:tcW w:w="540" w:type="dxa"/>
            <w:vAlign w:val="bottom"/>
          </w:tcPr>
          <w:p>
            <w:pPr>
              <w:spacing w:after="0"/>
              <w:rPr>
                <w:sz w:val="16"/>
                <w:szCs w:val="16"/>
                <w:color w:val="auto"/>
              </w:rPr>
            </w:pPr>
          </w:p>
        </w:tc>
        <w:tc>
          <w:tcPr>
            <w:tcW w:w="292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September 30, 2023</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debt (non-GAAP)</w:t>
            </w:r>
          </w:p>
        </w:tc>
        <w:tc>
          <w:tcPr>
            <w:tcW w:w="5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319,079</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Trailing twelve months Adjusted EBITDA (non-GAAP)</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248,475</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leverage ratio (non-GAAP)</w:t>
            </w:r>
          </w:p>
        </w:tc>
        <w:tc>
          <w:tcPr>
            <w:tcW w:w="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20" w:right="780" w:firstLine="6"/>
        <w:spacing w:after="0" w:line="258" w:lineRule="auto"/>
        <w:tabs>
          <w:tab w:leader="none" w:pos="2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revaluation (gains)/losses represent unrealized gains and losses arising from the remeasurement of monetary assets and liabilities denominated in non-functional currencies on the balance sheet date.</w:t>
      </w:r>
    </w:p>
    <w:p>
      <w:pPr>
        <w:spacing w:after="0" w:line="9" w:lineRule="exact"/>
        <w:rPr>
          <w:rFonts w:ascii="Arial" w:cs="Arial" w:eastAsia="Arial" w:hAnsi="Arial"/>
          <w:sz w:val="16"/>
          <w:szCs w:val="16"/>
          <w:color w:val="auto"/>
        </w:rPr>
      </w:pPr>
    </w:p>
    <w:p>
      <w:pPr>
        <w:ind w:left="20" w:right="800" w:firstLine="6"/>
        <w:spacing w:after="0" w:line="219" w:lineRule="auto"/>
        <w:tabs>
          <w:tab w:leader="none" w:pos="2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Adjusted EPS excluded the benefit from the reclassification of stranded income tax effects caused by the TCJA associated with the US pension plan liability that was eliminated in September 2022, a one-time event that would not recur in the future. Such stranded income tax effect represented a one-time benefit that distorted the effective tax rate for the quarter and year-to-date ended September 30, 2022 , and would not be indicative of ongoing or expected future income tax rate at the Company. Management believes excluding pension settlement expense and its income tax impact, including the stranded income tax effects, from its Adjusted EBITDA and Adjusted EPS for the quarter and year-to-date ended September 30, 2022 would provide investors a transparent view and enhanced ability to better assess the Company’s ongoing operational and financial performance.</w:t>
      </w:r>
    </w:p>
    <w:p>
      <w:pPr>
        <w:spacing w:after="0" w:line="12" w:lineRule="exact"/>
        <w:rPr>
          <w:rFonts w:ascii="Arial" w:cs="Arial" w:eastAsia="Arial" w:hAnsi="Arial"/>
          <w:sz w:val="16"/>
          <w:szCs w:val="16"/>
          <w:color w:val="auto"/>
        </w:rPr>
      </w:pPr>
    </w:p>
    <w:p>
      <w:pPr>
        <w:ind w:left="20" w:right="1260" w:firstLine="6"/>
        <w:spacing w:after="0"/>
        <w:tabs>
          <w:tab w:leader="none" w:pos="254"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amounts incurred during the twelve months ended December 31, 2022, less those incurred during the nine months ended September 30, 2022, plus those incurred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$682.7 million. The potential loss in fair value resulting from a hypothetical 10% adverse change in quoted foreign currency exchange rates amounts to $68.3 million. Furthermore, related to foreign currency transactions, we have exposure to various nonfunctional currency balances totaling $98.6 million. This amount includes, on an absolute basis, exposures to assets and liabilities held in currencies other than our local entities’ functional currencies. On a net basis, we had $17.6 million of foreign currency assets as of September 30, 2023. As currency rates change, these nonfunctional currency balances are revalued, and the corresponding adjustment is recorded in the income statement. A hypothetical change of 10% in currency rates could result in an adjustment to the income statement of approximately $1.8 million. Actual results may differ.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2023,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6883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thousands, except interest rates)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9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176"/>
        </w:trPr>
        <w:tc>
          <w:tcPr>
            <w:tcW w:w="85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900" w:type="dxa"/>
            <w:vAlign w:val="bottom"/>
            <w:shd w:val="clear" w:color="auto" w:fill="BFE4FF"/>
          </w:tcPr>
          <w:p>
            <w:pPr>
              <w:spacing w:after="0"/>
              <w:rPr>
                <w:sz w:val="15"/>
                <w:szCs w:val="15"/>
                <w:color w:val="auto"/>
              </w:rPr>
            </w:pPr>
          </w:p>
        </w:tc>
        <w:tc>
          <w:tcPr>
            <w:tcW w:w="1380" w:type="dxa"/>
            <w:vAlign w:val="bottom"/>
            <w:shd w:val="clear" w:color="auto" w:fill="BFE4FF"/>
          </w:tcPr>
          <w:p>
            <w:pPr>
              <w:spacing w:after="0"/>
              <w:rPr>
                <w:sz w:val="15"/>
                <w:szCs w:val="15"/>
                <w:color w:val="auto"/>
              </w:rPr>
            </w:pPr>
          </w:p>
        </w:tc>
      </w:tr>
      <w:tr>
        <w:trPr>
          <w:trHeight w:val="242"/>
        </w:trPr>
        <w:tc>
          <w:tcPr>
            <w:tcW w:w="85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7.05% in 2023, due in 2028</w:t>
            </w:r>
          </w:p>
        </w:tc>
        <w:tc>
          <w:tcPr>
            <w:tcW w:w="900" w:type="dxa"/>
            <w:vAlign w:val="bottom"/>
            <w:tcBorders>
              <w:bottom w:val="single" w:sz="8" w:color="auto"/>
            </w:tcBorders>
            <w:shd w:val="clear" w:color="auto" w:fill="BFE4FF"/>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111,000</w:t>
            </w:r>
          </w:p>
        </w:tc>
      </w:t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111,000</w:t>
            </w:r>
          </w:p>
        </w:tc>
      </w:tr>
    </w:tbl>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Assuming borrowings were outstanding for an entire year, an increase of one percentage point in weighted average interest rates would increase interest expense by $1.1 million. To manage interest rate risk, we may periodically enter into interest rate swap agreements to effectively fix the interest rates on variable debt to a specific rate for a period of time.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On August 31, 2023, the Company acquired Heimbach, a privately-held manufacturer of paper machine clothing with headquarters in Düren, Germany. Management has begun integrating Heimbach into the MC segment's systems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18"/>
          <w:szCs w:val="18"/>
          <w:color w:val="auto"/>
        </w:rPr>
        <w:t>and processes; however, during the third quarter ending September 30, 2023, management has excluded Heimbach from its assessment of effectiveness of the Company’s internal control over financial reporting.</w:t>
      </w:r>
    </w:p>
    <w:p>
      <w:pPr>
        <w:spacing w:after="0" w:line="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the acquisition of Heimbach, 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15.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2022, other than the addition of the risks below related to our acquisition of Heimbach. For all other risk factors, please refer to our Annual Report on Form 10-K for the year ended December 31, 2022.</w:t>
      </w:r>
    </w:p>
    <w:p>
      <w:pPr>
        <w:spacing w:after="0" w:line="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Our acquisition of Heimbach involves inherent risks, and presents financial, managerial and operational challenges that may adversely affect our operating results and financial condition.</w:t>
      </w:r>
    </w:p>
    <w:p>
      <w:pPr>
        <w:spacing w:after="0" w:line="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Our growth strategy includes acquisitions. Acquisitions involve various inherent risks, such as our ability to assess accurately the value, strengths, weaknesses, internal controls, contingent and other liabilities and potential profitability of Heimbach.</w:t>
      </w:r>
    </w:p>
    <w:p>
      <w:pPr>
        <w:spacing w:after="0" w:line="5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Heimbach was a privately held company that only closed its books and records annually on December 31</w:t>
      </w:r>
      <w:r>
        <w:rPr>
          <w:rFonts w:ascii="Arial" w:cs="Arial" w:eastAsia="Arial" w:hAnsi="Arial"/>
          <w:sz w:val="23"/>
          <w:szCs w:val="23"/>
          <w:color w:val="auto"/>
          <w:vertAlign w:val="superscript"/>
        </w:rPr>
        <w:t>st</w:t>
      </w:r>
      <w:r>
        <w:rPr>
          <w:rFonts w:ascii="Arial" w:cs="Arial" w:eastAsia="Arial" w:hAnsi="Arial"/>
          <w:sz w:val="18"/>
          <w:szCs w:val="18"/>
          <w:color w:val="auto"/>
        </w:rPr>
        <w:t>. Interim financial information was limited and reproducing full historical financial records may be difficult. As the Company integrates Heimbach, management could encounter material differences between the accounting policies of the two companies or the financial results of Heimbach for the periods after the fiscal year 2022 audited financial statements, including additional liabilities or other financial information that was not available during due diligence or at or in the initial period after the closing of the acquisition that, had we known, could have resulted in changes to financial projections, assumptions and estimates used in the fair value of assets acquired and liabilities assumed, assessments used to determine the applicability of certain SEC disclosure requirements or the expected benefit of the transaction.</w:t>
      </w:r>
    </w:p>
    <w:p>
      <w:pPr>
        <w:spacing w:after="0" w:line="9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While we conducted financial and other due diligence in connection with this acquisition and we generally seek some form of limited protection, such as warranties from the seller, insurance coverage, and placing a portion of the purchase price in escrow to cover potential tax liabilities, Heimbach may have liabilities that are not accurately assessed or brought to our attention at the time of the acquisition. Further, indemnities, insurance or escrow arrangements may not fully cover such matters.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may present financial, managerial and operational challenges, including:</w:t>
      </w:r>
    </w:p>
    <w:p>
      <w:pPr>
        <w:spacing w:after="0" w:line="117" w:lineRule="exact"/>
        <w:rPr>
          <w:sz w:val="20"/>
          <w:szCs w:val="20"/>
          <w:color w:val="auto"/>
        </w:rPr>
      </w:pPr>
    </w:p>
    <w:p>
      <w:pPr>
        <w:ind w:left="660" w:right="20" w:hanging="328"/>
        <w:spacing w:after="0" w:line="27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foreign operations, often with unique issues relating to corporate culture, compliance with legal and regulatory requirements and other challenges;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 of known and unknown liabilities, including environmental liabilities, and exposure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levels of debt or dilution to existing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and proposed regulations limiting the enforcement of noncompetition and nonsolicitation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Production delays associated with consolidating acquired facilities and manufacturing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cybersecurity risks, as acquired systems may not possess the appropriate security measures.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assure that all potential risks or liabilities are adequately discovered, disclosed, or understood in each instance. In addition, internal controls over financial reporting of acquired companies may not be compliant with required standards. Issues may exist that could rise to the level of significant deficiencies or, in some cases, material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1" w:name="page42"/>
    <w:bookmarkEnd w:id="41"/>
    <w:p>
      <w:pPr>
        <w:jc w:val="both"/>
        <w:ind w:right="20"/>
        <w:spacing w:after="0" w:line="306" w:lineRule="auto"/>
        <w:rPr>
          <w:sz w:val="20"/>
          <w:szCs w:val="20"/>
          <w:color w:val="auto"/>
        </w:rPr>
      </w:pPr>
      <w:r>
        <w:rPr>
          <w:rFonts w:ascii="Arial" w:cs="Arial" w:eastAsia="Arial" w:hAnsi="Arial"/>
          <w:sz w:val="17"/>
          <w:szCs w:val="17"/>
          <w:color w:val="auto"/>
        </w:rPr>
        <w:t>weaknesses, particularly with respect to foreign companies or non-public U.S. companies. Customer dissatisfaction or performance problems with an acquired business, technology, service or product could also have a material adverse effect on our reputation and business.</w:t>
      </w:r>
    </w:p>
    <w:p>
      <w:pPr>
        <w:spacing w:after="0" w:line="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In connection with our acquisition, we may incur significant transaction costs. We are required to expense such transaction costs as incurred, which may have a material adverse impact on our financial results.</w:t>
      </w:r>
    </w:p>
    <w:p>
      <w:pPr>
        <w:spacing w:after="0" w:line="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We may fail to realize all of the anticipated benefits of the acquisition of Heimbach or those benefits may take longer to realize than expected.</w:t>
      </w:r>
    </w:p>
    <w:p>
      <w:pPr>
        <w:spacing w:after="0" w:line="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devoting significant management attention to integrating the business practices and operations of Heimbach. We may experience disruptions to our business and, if implemented ineffectively, it could restrict the realization of the full expected benefits of the acquisition. The failure to meet the challenges involved in the integration process and to realize the anticipated benefits of the acquisition of Heimbach could cause an interruption of, or loss of, momentum in our operations and could adversely affect our business, financial condition and results of operations.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Difficulties in the integration of the acquired business may include consolidating the operations, processes and systems of the acquired business, retaining and motivating key management and employees, and integrating existing business relationships with suppliers and customers. Even if integration is successful, the financial and operational results may differ materially from our assumptions and forecasts due to unforeseen expenses, delays, conditions and liabilities. In addition, we may incur unanticipated costs or expenses following an acquisition, including post-closing asset impairment charges, expenses associated with eliminating duplicate facilities, and other liabilities.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Furthermore, the acquisition of Heimbach, may result in material unanticipated problems, expenses, charges, liabilities, competitive responses, loss of customers and other business relationships, and diversion of management’s attention. Additional integration challenges may include difficulty in achieving anticipated cost savings, synergies, business opportunities and growth prospects from the acquisition; difficulties in the integration of operations and systems, including pricing and marketing strategies; and difficulties in conforming standards, controls, procedures, financial reporting and accounting and other policies, business cultures and compensation structures.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including restructuring charges, decreases in the amount of expected revenues and diversion of management’s time and energy, which could adversely affect our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share purchases during the first nine months of 2023.</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 We currently remain authorized to repurchase shares of up to $90.6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2023,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9"/>
          </w:tcPr>
          <w:p>
            <w:pPr>
              <w:spacing w:after="0"/>
              <w:rPr>
                <w:sz w:val="20"/>
                <w:szCs w:val="20"/>
                <w:color w:val="auto"/>
              </w:rPr>
            </w:pPr>
            <w:r>
              <w:rPr>
                <w:rFonts w:ascii="Arial" w:cs="Arial" w:eastAsia="Arial" w:hAnsi="Arial"/>
                <w:sz w:val="16"/>
                <w:szCs w:val="16"/>
                <w:color w:val="auto"/>
              </w:rPr>
              <w:t>Description</w:t>
            </w:r>
          </w:p>
        </w:tc>
      </w:tr>
      <w:tr>
        <w:trPr>
          <w:trHeight w:val="178"/>
        </w:trPr>
        <w:tc>
          <w:tcPr>
            <w:tcW w:w="12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10.3</w:t>
            </w:r>
          </w:p>
        </w:tc>
        <w:tc>
          <w:tcPr>
            <w:tcW w:w="9980" w:type="dxa"/>
            <w:vAlign w:val="bottom"/>
            <w:gridSpan w:val="9"/>
            <w:shd w:val="clear" w:color="auto" w:fill="CCEEFF"/>
          </w:tcPr>
          <w:p>
            <w:pPr>
              <w:spacing w:after="0" w:line="178" w:lineRule="exact"/>
              <w:rPr>
                <w:rFonts w:ascii="Arial" w:cs="Arial" w:eastAsia="Arial" w:hAnsi="Arial"/>
                <w:sz w:val="16"/>
                <w:szCs w:val="16"/>
                <w:color w:val="0000FF"/>
              </w:rPr>
            </w:pPr>
            <w:hyperlink r:id="rId76">
              <w:r>
                <w:rPr>
                  <w:rFonts w:ascii="Arial" w:cs="Arial" w:eastAsia="Arial" w:hAnsi="Arial"/>
                  <w:sz w:val="16"/>
                  <w:szCs w:val="16"/>
                  <w:color w:val="0000FF"/>
                </w:rPr>
                <w:t>Kleveland Employment Agreement</w:t>
              </w:r>
            </w:hyperlink>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10.4</w:t>
            </w:r>
          </w:p>
        </w:tc>
        <w:tc>
          <w:tcPr>
            <w:tcW w:w="9980" w:type="dxa"/>
            <w:vAlign w:val="bottom"/>
            <w:gridSpan w:val="9"/>
          </w:tcPr>
          <w:p>
            <w:pPr>
              <w:spacing w:after="0" w:line="175" w:lineRule="exact"/>
              <w:rPr>
                <w:rFonts w:ascii="Arial" w:cs="Arial" w:eastAsia="Arial" w:hAnsi="Arial"/>
                <w:sz w:val="16"/>
                <w:szCs w:val="16"/>
                <w:color w:val="0000FF"/>
              </w:rPr>
            </w:pPr>
            <w:hyperlink r:id="rId77">
              <w:r>
                <w:rPr>
                  <w:rFonts w:ascii="Arial" w:cs="Arial" w:eastAsia="Arial" w:hAnsi="Arial"/>
                  <w:sz w:val="16"/>
                  <w:szCs w:val="16"/>
                  <w:color w:val="0000FF"/>
                </w:rPr>
                <w:t>Special Incentive Award Agreement</w:t>
              </w:r>
            </w:hyperlink>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10(k)(xx)</w:t>
            </w:r>
          </w:p>
        </w:tc>
        <w:tc>
          <w:tcPr>
            <w:tcW w:w="9980" w:type="dxa"/>
            <w:vAlign w:val="bottom"/>
            <w:gridSpan w:val="9"/>
            <w:shd w:val="clear" w:color="auto" w:fill="CCEEFF"/>
          </w:tcPr>
          <w:p>
            <w:pPr>
              <w:spacing w:after="0" w:line="175" w:lineRule="exact"/>
              <w:rPr>
                <w:rFonts w:ascii="Arial" w:cs="Arial" w:eastAsia="Arial" w:hAnsi="Arial"/>
                <w:sz w:val="16"/>
                <w:szCs w:val="16"/>
                <w:color w:val="0000FF"/>
              </w:rPr>
            </w:pPr>
            <w:hyperlink r:id="rId78">
              <w:r>
                <w:rPr>
                  <w:rFonts w:ascii="Arial" w:cs="Arial" w:eastAsia="Arial" w:hAnsi="Arial"/>
                  <w:sz w:val="16"/>
                  <w:szCs w:val="16"/>
                  <w:u w:val="single" w:color="auto"/>
                  <w:color w:val="0000FF"/>
                </w:rPr>
                <w:t>$</w:t>
              </w:r>
              <w:r>
                <w:rPr>
                  <w:rFonts w:ascii="Arial" w:cs="Arial" w:eastAsia="Arial" w:hAnsi="Arial"/>
                  <w:sz w:val="16"/>
                  <w:szCs w:val="16"/>
                  <w:color w:val="0000FF"/>
                </w:rPr>
                <w:t>800 million Five-Year Revolving Credit Facility Agreement among Albany International Corp., the other Borrowers named therein, the</w:t>
              </w:r>
            </w:hyperlink>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7680" w:type="dxa"/>
            <w:vAlign w:val="bottom"/>
            <w:tcBorders>
              <w:top w:val="single" w:sz="8" w:color="0000FF"/>
              <w:bottom w:val="single" w:sz="8" w:color="0000FF"/>
            </w:tcBorders>
            <w:gridSpan w:val="6"/>
            <w:shd w:val="clear" w:color="auto" w:fill="CCEEFF"/>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Lenders Party thereto, JPMorgan Chase Bank, N.A., as Administrative Agent, dated as of August 16, 2023.</w:t>
              </w:r>
            </w:hyperlink>
          </w:p>
        </w:tc>
        <w:tc>
          <w:tcPr>
            <w:tcW w:w="19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998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31.2</w:t>
            </w:r>
          </w:p>
        </w:tc>
        <w:tc>
          <w:tcPr>
            <w:tcW w:w="7220" w:type="dxa"/>
            <w:vAlign w:val="bottom"/>
            <w:tcBorders>
              <w:bottom w:val="single" w:sz="8" w:color="0000FF"/>
            </w:tcBorders>
            <w:gridSpan w:val="4"/>
            <w:shd w:val="clear" w:color="auto" w:fill="CCEEFF"/>
          </w:tcPr>
          <w:p>
            <w:pPr>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c>
          <w:tcPr>
            <w:tcW w:w="276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42"/>
        </w:trPr>
        <w:tc>
          <w:tcPr>
            <w:tcW w:w="1260" w:type="dxa"/>
            <w:vAlign w:val="bottom"/>
          </w:tcPr>
          <w:p>
            <w:pPr>
              <w:spacing w:after="0"/>
              <w:rPr>
                <w:sz w:val="12"/>
                <w:szCs w:val="12"/>
                <w:color w:val="auto"/>
              </w:rPr>
            </w:pPr>
          </w:p>
        </w:tc>
        <w:tc>
          <w:tcPr>
            <w:tcW w:w="97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United States Code).</w:t>
            </w:r>
          </w:p>
        </w:tc>
        <w:tc>
          <w:tcPr>
            <w:tcW w:w="200" w:type="dxa"/>
            <w:vAlign w:val="bottom"/>
          </w:tcPr>
          <w:p>
            <w:pPr>
              <w:spacing w:after="0"/>
              <w:rPr>
                <w:sz w:val="12"/>
                <w:szCs w:val="12"/>
                <w:color w:val="auto"/>
              </w:rPr>
            </w:pP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101.INS</w:t>
            </w:r>
          </w:p>
        </w:tc>
        <w:tc>
          <w:tcPr>
            <w:tcW w:w="9980" w:type="dxa"/>
            <w:vAlign w:val="bottom"/>
            <w:gridSpan w:val="9"/>
            <w:shd w:val="clear" w:color="auto" w:fill="CCEEFF"/>
          </w:tcPr>
          <w:p>
            <w:pPr>
              <w:spacing w:after="0" w:line="165"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3"/>
        </w:trPr>
        <w:tc>
          <w:tcPr>
            <w:tcW w:w="1260" w:type="dxa"/>
            <w:vAlign w:val="bottom"/>
            <w:shd w:val="clear" w:color="auto" w:fill="CCEEFF"/>
          </w:tcPr>
          <w:p>
            <w:pPr>
              <w:spacing w:after="0"/>
              <w:rPr>
                <w:sz w:val="18"/>
                <w:szCs w:val="18"/>
                <w:color w:val="auto"/>
              </w:rPr>
            </w:pPr>
          </w:p>
        </w:tc>
        <w:tc>
          <w:tcPr>
            <w:tcW w:w="998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998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r>
        <w:trPr>
          <w:trHeight w:val="1006"/>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4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6"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November 6, 2023</w:t>
      </w:r>
      <w:r>
        <w:rPr>
          <w:sz w:val="20"/>
          <w:szCs w:val="20"/>
          <w:color w:val="auto"/>
        </w:rPr>
        <w:tab/>
      </w:r>
      <w:r>
        <w:rPr>
          <w:rFonts w:ascii="Arial" w:cs="Arial" w:eastAsia="Arial" w:hAnsi="Arial"/>
          <w:sz w:val="16"/>
          <w:szCs w:val="16"/>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18415</wp:posOffset>
            </wp:positionV>
            <wp:extent cx="41065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Robert D. Starr</w:t>
      </w:r>
    </w:p>
    <w:p>
      <w:pPr>
        <w:ind w:left="456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035"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Gunnar Kleveland, certify that:</w:t>
      </w:r>
    </w:p>
    <w:p>
      <w:pPr>
        <w:spacing w:after="0" w:line="1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20" w:hanging="332"/>
        <w:spacing w:after="0" w:line="275"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hanging="328"/>
        <w:spacing w:after="0" w:line="275"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hanging="328"/>
        <w:spacing w:after="0" w:line="275"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13970</wp:posOffset>
            </wp:positionV>
            <wp:extent cx="41833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Gunnar Kleveland</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Robert D. Starr, certify that:</w:t>
      </w:r>
    </w:p>
    <w:p>
      <w:pPr>
        <w:spacing w:after="0" w:line="11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20" w:hanging="332"/>
        <w:spacing w:after="0" w:line="275"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right="2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hanging="328"/>
        <w:spacing w:after="0" w:line="275"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hanging="328"/>
        <w:spacing w:after="0" w:line="275"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8"/>
          <w:szCs w:val="18"/>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13970</wp:posOffset>
            </wp:positionV>
            <wp:extent cx="4183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Robert D. Starr</w:t>
      </w:r>
    </w:p>
    <w:p>
      <w:pPr>
        <w:ind w:left="462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2023, as filed with the Securities and Exchange Commission on the date hereof (the Report), Gunnar Kleveland, President and Chief Executive Officer, and Robert D. Starr, Executive Vice President and Chief Financial Officer of the Company, certify, pursuant to 18 U.S.C. § 1350, as adopted pursuant to § 906 of the Sarbanes-Oxley Act of 2002, that:</w:t>
      </w:r>
    </w:p>
    <w:p>
      <w:pPr>
        <w:spacing w:after="0" w:line="8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75"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13970</wp:posOffset>
            </wp:positionV>
            <wp:extent cx="3402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Gunnar Kleveland</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13970</wp:posOffset>
            </wp:positionV>
            <wp:extent cx="3402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Robert D. Starr</w:t>
      </w:r>
    </w:p>
    <w:p>
      <w:pPr>
        <w:ind w:left="488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5"/>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6" Type="http://schemas.openxmlformats.org/officeDocument/2006/relationships/hyperlink" Target="https://www.sec.gov/Archives/edgar/data/819793/000081979323000078/ain-20230821xex103.htm" TargetMode="External"/><Relationship Id="rId77" Type="http://schemas.openxmlformats.org/officeDocument/2006/relationships/hyperlink" Target="https://www.sec.gov/Archives/edgar/data/819793/000081979323000078/ain-20230821xex104.htm" TargetMode="External"/><Relationship Id="rId78" Type="http://schemas.openxmlformats.org/officeDocument/2006/relationships/hyperlink" Target="https://www.sec.gov/Archives/edgar/data/819793/000081979323000075/ain-20230816xexhibit10kx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2023-11-06T15:51:29Z</dcterms:created>
  <dcterms:modified xsi:type="dcterms:W3CDTF">2023-11-06T15:51:29Z</dcterms:modified>
</cp:coreProperties>
</file>