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12" w:lineRule="exact"/>
        <w:rPr>
          <w:sz w:val="24"/>
          <w:szCs w:val="24"/>
          <w:color w:val="auto"/>
        </w:rPr>
      </w:pPr>
    </w:p>
    <w:p>
      <w:pPr>
        <w:ind w:left="3820" w:right="1920" w:hanging="3812"/>
        <w:spacing w:after="0" w:line="498" w:lineRule="auto"/>
        <w:tabs>
          <w:tab w:leader="none" w:pos="269"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March 31, 2012</w:t>
      </w:r>
    </w:p>
    <w:p>
      <w:pPr>
        <w:jc w:val="center"/>
        <w:spacing w:after="0"/>
        <w:rPr>
          <w:sz w:val="20"/>
          <w:szCs w:val="20"/>
          <w:color w:val="auto"/>
        </w:rPr>
      </w:pPr>
      <w:r>
        <w:rPr>
          <w:rFonts w:ascii="Arial" w:cs="Arial" w:eastAsia="Arial" w:hAnsi="Arial"/>
          <w:sz w:val="18"/>
          <w:szCs w:val="18"/>
          <w:color w:val="auto"/>
        </w:rPr>
        <w:t>OR</w:t>
      </w:r>
    </w:p>
    <w:p>
      <w:pPr>
        <w:spacing w:after="0" w:line="190" w:lineRule="exact"/>
        <w:rPr>
          <w:sz w:val="24"/>
          <w:szCs w:val="24"/>
          <w:color w:val="auto"/>
        </w:rPr>
      </w:pPr>
    </w:p>
    <w:p>
      <w:pPr>
        <w:ind w:left="3400" w:right="1920" w:hanging="3392"/>
        <w:spacing w:after="0" w:line="498" w:lineRule="auto"/>
        <w:tabs>
          <w:tab w:leader="none" w:pos="161"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TRANSITION REPORT PURSUANT TO SECTION 13 OR 15(d) OF THE SECURITIES EXCHANGE ACT OF 1934 </w:t>
      </w:r>
      <w:r>
        <w:rPr>
          <w:rFonts w:ascii="Arial" w:cs="Arial" w:eastAsia="Arial" w:hAnsi="Arial"/>
          <w:sz w:val="18"/>
          <w:szCs w:val="18"/>
          <w:color w:val="auto"/>
        </w:rPr>
        <w:t>For the transition period from __________ to __________</w:t>
      </w:r>
    </w:p>
    <w:p>
      <w:pPr>
        <w:ind w:left="4360"/>
        <w:spacing w:after="0"/>
        <w:rPr>
          <w:rFonts w:ascii="Arial" w:cs="Arial" w:eastAsia="Arial" w:hAnsi="Arial"/>
          <w:sz w:val="18"/>
          <w:szCs w:val="18"/>
          <w:b w:val="1"/>
          <w:bCs w:val="1"/>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1-10026</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(Exact name of registrant as specified in its charter)</w:t>
      </w:r>
    </w:p>
    <w:tbl>
      <w:tblPr>
        <w:tblLayout w:type="fixed"/>
        <w:tblInd w:w="0" w:type="dxa"/>
        <w:tblCellMar>
          <w:top w:w="0" w:type="dxa"/>
          <w:left w:w="0" w:type="dxa"/>
          <w:bottom w:w="0" w:type="dxa"/>
          <w:right w:w="0" w:type="dxa"/>
        </w:tblCellMar>
      </w:tblPr>
      <w:tr>
        <w:trPr>
          <w:trHeight w:val="204"/>
        </w:trPr>
        <w:tc>
          <w:tcPr>
            <w:tcW w:w="6640" w:type="dxa"/>
            <w:vAlign w:val="bottom"/>
            <w:gridSpan w:val="2"/>
          </w:tcPr>
          <w:p>
            <w:pPr>
              <w:jc w:val="center"/>
              <w:ind w:right="1320"/>
              <w:spacing w:after="0" w:line="204" w:lineRule="exact"/>
              <w:rPr>
                <w:sz w:val="20"/>
                <w:szCs w:val="20"/>
                <w:color w:val="auto"/>
              </w:rPr>
            </w:pPr>
            <w:r>
              <w:rPr>
                <w:rFonts w:ascii="Arial" w:cs="Arial" w:eastAsia="Arial" w:hAnsi="Arial"/>
                <w:sz w:val="18"/>
                <w:szCs w:val="18"/>
                <w:color w:val="auto"/>
                <w:w w:val="99"/>
              </w:rPr>
              <w:t>Delaware</w:t>
            </w:r>
          </w:p>
        </w:tc>
        <w:tc>
          <w:tcPr>
            <w:tcW w:w="4780" w:type="dxa"/>
            <w:vAlign w:val="bottom"/>
          </w:tcPr>
          <w:p>
            <w:pPr>
              <w:jc w:val="right"/>
              <w:ind w:right="1810"/>
              <w:spacing w:after="0" w:line="204" w:lineRule="exact"/>
              <w:rPr>
                <w:sz w:val="20"/>
                <w:szCs w:val="20"/>
                <w:color w:val="auto"/>
              </w:rPr>
            </w:pPr>
            <w:r>
              <w:rPr>
                <w:rFonts w:ascii="Arial" w:cs="Arial" w:eastAsia="Arial" w:hAnsi="Arial"/>
                <w:sz w:val="18"/>
                <w:szCs w:val="18"/>
                <w:color w:val="auto"/>
              </w:rPr>
              <w:t>14-0462060</w:t>
            </w:r>
          </w:p>
        </w:tc>
      </w:tr>
      <w:tr>
        <w:trPr>
          <w:trHeight w:val="195"/>
        </w:trPr>
        <w:tc>
          <w:tcPr>
            <w:tcW w:w="52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(State or other jurisdiction of</w:t>
            </w:r>
          </w:p>
        </w:tc>
        <w:tc>
          <w:tcPr>
            <w:tcW w:w="1380" w:type="dxa"/>
            <w:vAlign w:val="bottom"/>
          </w:tcPr>
          <w:p>
            <w:pPr>
              <w:spacing w:after="0"/>
              <w:rPr>
                <w:sz w:val="16"/>
                <w:szCs w:val="16"/>
                <w:color w:val="auto"/>
              </w:rPr>
            </w:pPr>
          </w:p>
        </w:tc>
        <w:tc>
          <w:tcPr>
            <w:tcW w:w="4780" w:type="dxa"/>
            <w:vAlign w:val="bottom"/>
            <w:tcBorders>
              <w:top w:val="single" w:sz="8" w:color="auto"/>
            </w:tcBorders>
          </w:tcPr>
          <w:p>
            <w:pPr>
              <w:ind w:left="1100"/>
              <w:spacing w:after="0" w:line="195" w:lineRule="exact"/>
              <w:rPr>
                <w:sz w:val="20"/>
                <w:szCs w:val="20"/>
                <w:color w:val="auto"/>
              </w:rPr>
            </w:pPr>
            <w:r>
              <w:rPr>
                <w:rFonts w:ascii="Arial" w:cs="Arial" w:eastAsia="Arial" w:hAnsi="Arial"/>
                <w:sz w:val="18"/>
                <w:szCs w:val="18"/>
                <w:color w:val="auto"/>
              </w:rPr>
              <w:t>(IRS Employer Identification No.)</w:t>
            </w:r>
          </w:p>
        </w:tc>
      </w:tr>
      <w:tr>
        <w:trPr>
          <w:trHeight w:val="217"/>
        </w:trPr>
        <w:tc>
          <w:tcPr>
            <w:tcW w:w="6640" w:type="dxa"/>
            <w:vAlign w:val="bottom"/>
            <w:gridSpan w:val="2"/>
          </w:tcPr>
          <w:p>
            <w:pPr>
              <w:ind w:left="1440"/>
              <w:spacing w:after="0"/>
              <w:rPr>
                <w:sz w:val="20"/>
                <w:szCs w:val="20"/>
                <w:color w:val="auto"/>
              </w:rPr>
            </w:pPr>
            <w:r>
              <w:rPr>
                <w:rFonts w:ascii="Arial" w:cs="Arial" w:eastAsia="Arial" w:hAnsi="Arial"/>
                <w:sz w:val="18"/>
                <w:szCs w:val="18"/>
                <w:color w:val="auto"/>
              </w:rPr>
              <w:t>incorporation or organization)</w:t>
            </w:r>
          </w:p>
        </w:tc>
        <w:tc>
          <w:tcPr>
            <w:tcW w:w="4780" w:type="dxa"/>
            <w:vAlign w:val="bottom"/>
          </w:tcPr>
          <w:p>
            <w:pPr>
              <w:spacing w:after="0"/>
              <w:rPr>
                <w:sz w:val="18"/>
                <w:szCs w:val="18"/>
                <w:color w:val="auto"/>
              </w:rPr>
            </w:pPr>
          </w:p>
        </w:tc>
      </w:tr>
      <w:tr>
        <w:trPr>
          <w:trHeight w:val="392"/>
        </w:trPr>
        <w:tc>
          <w:tcPr>
            <w:tcW w:w="6640" w:type="dxa"/>
            <w:vAlign w:val="bottom"/>
            <w:gridSpan w:val="2"/>
          </w:tcPr>
          <w:p>
            <w:pPr>
              <w:jc w:val="center"/>
              <w:ind w:right="1320"/>
              <w:spacing w:after="0"/>
              <w:rPr>
                <w:sz w:val="20"/>
                <w:szCs w:val="20"/>
                <w:color w:val="auto"/>
              </w:rPr>
            </w:pPr>
            <w:r>
              <w:rPr>
                <w:rFonts w:ascii="Arial" w:cs="Arial" w:eastAsia="Arial" w:hAnsi="Arial"/>
                <w:sz w:val="18"/>
                <w:szCs w:val="18"/>
                <w:color w:val="auto"/>
                <w:w w:val="99"/>
              </w:rPr>
              <w:t>216 Airport Drive, Rochester, New Hampshire</w:t>
            </w:r>
          </w:p>
        </w:tc>
        <w:tc>
          <w:tcPr>
            <w:tcW w:w="4780" w:type="dxa"/>
            <w:vAlign w:val="bottom"/>
          </w:tcPr>
          <w:p>
            <w:pPr>
              <w:jc w:val="right"/>
              <w:ind w:right="2030"/>
              <w:spacing w:after="0"/>
              <w:rPr>
                <w:sz w:val="20"/>
                <w:szCs w:val="20"/>
                <w:color w:val="auto"/>
              </w:rPr>
            </w:pPr>
            <w:r>
              <w:rPr>
                <w:rFonts w:ascii="Arial" w:cs="Arial" w:eastAsia="Arial" w:hAnsi="Arial"/>
                <w:sz w:val="18"/>
                <w:szCs w:val="18"/>
                <w:color w:val="auto"/>
              </w:rPr>
              <w:t>03867</w:t>
            </w:r>
          </w:p>
        </w:tc>
      </w:tr>
      <w:tr>
        <w:trPr>
          <w:trHeight w:val="210"/>
        </w:trPr>
        <w:tc>
          <w:tcPr>
            <w:tcW w:w="5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1380" w:type="dxa"/>
            <w:vAlign w:val="bottom"/>
          </w:tcPr>
          <w:p>
            <w:pPr>
              <w:spacing w:after="0"/>
              <w:rPr>
                <w:sz w:val="18"/>
                <w:szCs w:val="18"/>
                <w:color w:val="auto"/>
              </w:rPr>
            </w:pPr>
          </w:p>
        </w:tc>
        <w:tc>
          <w:tcPr>
            <w:tcW w:w="4780" w:type="dxa"/>
            <w:vAlign w:val="bottom"/>
            <w:tcBorders>
              <w:top w:val="single" w:sz="8" w:color="auto"/>
            </w:tcBorders>
          </w:tcPr>
          <w:p>
            <w:pPr>
              <w:ind w:left="1940"/>
              <w:spacing w:after="0"/>
              <w:rPr>
                <w:sz w:val="20"/>
                <w:szCs w:val="20"/>
                <w:color w:val="auto"/>
              </w:rPr>
            </w:pPr>
            <w:r>
              <w:rPr>
                <w:rFonts w:ascii="Arial" w:cs="Arial" w:eastAsia="Arial" w:hAnsi="Arial"/>
                <w:sz w:val="18"/>
                <w:szCs w:val="18"/>
                <w:color w:val="auto"/>
              </w:rPr>
              <w:t>(Zip Code)</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518-445-2200</w:t>
      </w:r>
    </w:p>
    <w:p>
      <w:pPr>
        <w:spacing w:after="0" w:line="104" w:lineRule="exact"/>
        <w:rPr>
          <w:sz w:val="24"/>
          <w:szCs w:val="24"/>
          <w:color w:val="auto"/>
        </w:rPr>
      </w:pPr>
    </w:p>
    <w:p>
      <w:pPr>
        <w:ind w:right="80"/>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 ] No [ ]</w:t>
      </w:r>
    </w:p>
    <w:p>
      <w:pPr>
        <w:spacing w:after="0" w:line="203" w:lineRule="exact"/>
        <w:rPr>
          <w:sz w:val="24"/>
          <w:szCs w:val="24"/>
          <w:color w:val="auto"/>
        </w:rPr>
      </w:pPr>
    </w:p>
    <w:p>
      <w:pPr>
        <w:ind w:right="60"/>
        <w:spacing w:after="0"/>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 √ ] No [ ]</w:t>
      </w:r>
    </w:p>
    <w:p>
      <w:pPr>
        <w:spacing w:after="0" w:line="203" w:lineRule="exact"/>
        <w:rPr>
          <w:sz w:val="24"/>
          <w:szCs w:val="24"/>
          <w:color w:val="auto"/>
        </w:rPr>
      </w:pPr>
    </w:p>
    <w:p>
      <w:pPr>
        <w:ind w:right="400"/>
        <w:spacing w:after="0" w:line="24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w:t>
      </w:r>
    </w:p>
    <w:p>
      <w:pPr>
        <w:sectPr>
          <w:pgSz w:w="11900" w:h="16838" w:orient="portrait"/>
          <w:cols w:equalWidth="0" w:num="1">
            <w:col w:w="11420"/>
          </w:cols>
          <w:pgMar w:left="240" w:top="225" w:right="239" w:bottom="1440" w:gutter="0" w:footer="0" w:header="0"/>
        </w:sectPr>
      </w:pPr>
    </w:p>
    <w:p>
      <w:pPr>
        <w:ind w:right="380"/>
        <w:spacing w:after="0" w:line="257" w:lineRule="auto"/>
        <w:rPr>
          <w:sz w:val="20"/>
          <w:szCs w:val="20"/>
          <w:color w:val="auto"/>
        </w:rPr>
      </w:pPr>
      <w:r>
        <w:rPr>
          <w:rFonts w:ascii="Arial" w:cs="Arial" w:eastAsia="Arial" w:hAnsi="Arial"/>
          <w:sz w:val="17"/>
          <w:szCs w:val="17"/>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218" w:lineRule="auto"/>
        <w:rPr>
          <w:sz w:val="20"/>
          <w:szCs w:val="20"/>
          <w:color w:val="auto"/>
        </w:rPr>
      </w:pPr>
      <w:r>
        <w:rPr>
          <w:rFonts w:ascii="Arial" w:cs="Arial" w:eastAsia="Arial" w:hAnsi="Arial"/>
          <w:sz w:val="18"/>
          <w:szCs w:val="18"/>
          <w:color w:val="auto"/>
        </w:rPr>
        <w:t>[ √ ]</w:t>
      </w:r>
    </w:p>
    <w:p>
      <w:pPr>
        <w:spacing w:after="0" w:line="1" w:lineRule="exact"/>
        <w:rPr>
          <w:sz w:val="24"/>
          <w:szCs w:val="24"/>
          <w:color w:val="auto"/>
        </w:rPr>
      </w:pPr>
    </w:p>
    <w:p>
      <w:pPr>
        <w:spacing w:after="0"/>
        <w:tabs>
          <w:tab w:leader="none" w:pos="220" w:val="left"/>
        </w:tabs>
        <w:rPr>
          <w:sz w:val="20"/>
          <w:szCs w:val="20"/>
          <w:color w:val="auto"/>
        </w:rPr>
      </w:pPr>
      <w:r>
        <w:rPr>
          <w:rFonts w:ascii="Arial" w:cs="Arial" w:eastAsia="Arial" w:hAnsi="Arial"/>
          <w:sz w:val="18"/>
          <w:szCs w:val="18"/>
          <w:color w:val="auto"/>
        </w:rPr>
        <w:t>[</w:t>
        <w:tab/>
        <w:t>]</w:t>
      </w:r>
    </w:p>
    <w:p>
      <w:pPr>
        <w:spacing w:after="0" w:line="20" w:lineRule="exact"/>
        <w:rPr>
          <w:sz w:val="24"/>
          <w:szCs w:val="24"/>
          <w:color w:val="auto"/>
        </w:rPr>
      </w:pPr>
      <w:r>
        <w:rPr>
          <w:sz w:val="24"/>
          <w:szCs w:val="24"/>
          <w:color w:val="auto"/>
        </w:rPr>
        <w:br w:type="column"/>
      </w:r>
    </w:p>
    <w:p>
      <w:pPr>
        <w:spacing w:after="0" w:line="218" w:lineRule="auto"/>
        <w:rPr>
          <w:sz w:val="20"/>
          <w:szCs w:val="20"/>
          <w:color w:val="auto"/>
        </w:rPr>
      </w:pPr>
      <w:r>
        <w:rPr>
          <w:rFonts w:ascii="Arial" w:cs="Arial" w:eastAsia="Arial" w:hAnsi="Arial"/>
          <w:sz w:val="18"/>
          <w:szCs w:val="18"/>
          <w:color w:val="auto"/>
        </w:rPr>
        <w:t>Accelerated filer</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w:t>
      </w:r>
    </w:p>
    <w:p>
      <w:pPr>
        <w:spacing w:after="0" w:line="27" w:lineRule="exact"/>
        <w:rPr>
          <w:sz w:val="24"/>
          <w:szCs w:val="24"/>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4"/>
          <w:szCs w:val="24"/>
          <w:color w:val="auto"/>
        </w:rPr>
      </w:pPr>
      <w:r>
        <w:rPr>
          <w:sz w:val="24"/>
          <w:szCs w:val="24"/>
          <w:color w:val="auto"/>
        </w:rPr>
        <w:br w:type="column"/>
      </w:r>
    </w:p>
    <w:p>
      <w:pPr>
        <w:spacing w:after="0" w:line="218" w:lineRule="auto"/>
        <w:rPr>
          <w:sz w:val="20"/>
          <w:szCs w:val="20"/>
          <w:color w:val="auto"/>
        </w:rPr>
      </w:pPr>
      <w:r>
        <w:rPr>
          <w:rFonts w:ascii="Arial" w:cs="Arial" w:eastAsia="Arial" w:hAnsi="Arial"/>
          <w:sz w:val="18"/>
          <w:szCs w:val="18"/>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198" w:lineRule="exact"/>
        <w:rPr>
          <w:sz w:val="24"/>
          <w:szCs w:val="24"/>
          <w:color w:val="auto"/>
        </w:rPr>
      </w:pPr>
    </w:p>
    <w:p>
      <w:pPr>
        <w:sectPr>
          <w:pgSz w:w="11900" w:h="16838" w:orient="portrait"/>
          <w:cols w:equalWidth="0" w:num="5">
            <w:col w:w="2160" w:space="720"/>
            <w:col w:w="2120" w:space="720"/>
            <w:col w:w="2700" w:space="720"/>
            <w:col w:w="40" w:space="200"/>
            <w:col w:w="2040"/>
          </w:cols>
          <w:pgMar w:left="240" w:top="225" w:right="239" w:bottom="1440" w:gutter="0" w:footer="0" w:header="0"/>
          <w:type w:val="continuous"/>
        </w:sectPr>
      </w:pPr>
    </w:p>
    <w:p>
      <w:pPr>
        <w:spacing w:after="0"/>
        <w:tabs>
          <w:tab w:leader="none" w:pos="96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w:t>
        <w:tab/>
        <w:t>] No [ √ ]</w:t>
      </w:r>
    </w:p>
    <w:p>
      <w:pPr>
        <w:spacing w:after="0" w:line="104" w:lineRule="exact"/>
        <w:rPr>
          <w:sz w:val="24"/>
          <w:szCs w:val="24"/>
          <w:color w:val="auto"/>
        </w:rPr>
      </w:pPr>
    </w:p>
    <w:p>
      <w:pPr>
        <w:ind w:right="20"/>
        <w:spacing w:after="0" w:line="246" w:lineRule="auto"/>
        <w:rPr>
          <w:sz w:val="20"/>
          <w:szCs w:val="20"/>
          <w:color w:val="auto"/>
        </w:rPr>
      </w:pPr>
      <w:r>
        <w:rPr>
          <w:rFonts w:ascii="Arial" w:cs="Arial" w:eastAsia="Arial" w:hAnsi="Arial"/>
          <w:sz w:val="18"/>
          <w:szCs w:val="18"/>
          <w:color w:val="auto"/>
        </w:rPr>
        <w:t>The registrant had 28.1 million shares of Class A Common Stock and 3.2 million shares of Class B Common Stock outstanding as of March 31,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528955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tbl>
      <w:tblPr>
        <w:tblLayout w:type="fixed"/>
        <w:tblInd w:w="0" w:type="dxa"/>
        <w:tblCellMar>
          <w:top w:w="0" w:type="dxa"/>
          <w:left w:w="0" w:type="dxa"/>
          <w:bottom w:w="0" w:type="dxa"/>
          <w:right w:w="0" w:type="dxa"/>
        </w:tblCellMar>
      </w:tblPr>
      <w:tr>
        <w:trPr>
          <w:trHeight w:val="203"/>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Page</w:t>
            </w:r>
          </w:p>
        </w:tc>
      </w:tr>
      <w:tr>
        <w:trPr>
          <w:trHeight w:val="203"/>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68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No.</w:t>
            </w:r>
          </w:p>
        </w:tc>
      </w:tr>
      <w:tr>
        <w:trPr>
          <w:trHeight w:val="412"/>
        </w:trPr>
        <w:tc>
          <w:tcPr>
            <w:tcW w:w="10740" w:type="dxa"/>
            <w:vAlign w:val="bottom"/>
            <w:gridSpan w:val="19"/>
          </w:tcPr>
          <w:p>
            <w:pPr>
              <w:ind w:left="100"/>
              <w:spacing w:after="0"/>
              <w:rPr>
                <w:sz w:val="20"/>
                <w:szCs w:val="20"/>
                <w:color w:val="auto"/>
              </w:rPr>
            </w:pPr>
            <w:r>
              <w:rPr>
                <w:rFonts w:ascii="Arial" w:cs="Arial" w:eastAsia="Arial" w:hAnsi="Arial"/>
                <w:sz w:val="18"/>
                <w:szCs w:val="18"/>
                <w:b w:val="1"/>
                <w:bCs w:val="1"/>
                <w:color w:val="auto"/>
              </w:rPr>
              <w:t>Part I Financial information</w:t>
            </w:r>
          </w:p>
        </w:tc>
        <w:tc>
          <w:tcPr>
            <w:tcW w:w="680" w:type="dxa"/>
            <w:vAlign w:val="bottom"/>
          </w:tcPr>
          <w:p>
            <w:pPr>
              <w:spacing w:after="0"/>
              <w:rPr>
                <w:sz w:val="24"/>
                <w:szCs w:val="24"/>
                <w:color w:val="auto"/>
              </w:rPr>
            </w:pPr>
          </w:p>
        </w:tc>
      </w:tr>
      <w:tr>
        <w:trPr>
          <w:trHeight w:val="365"/>
        </w:trPr>
        <w:tc>
          <w:tcPr>
            <w:tcW w:w="460" w:type="dxa"/>
            <w:vAlign w:val="bottom"/>
          </w:tcPr>
          <w:p>
            <w:pPr>
              <w:spacing w:after="0"/>
              <w:rPr>
                <w:sz w:val="24"/>
                <w:szCs w:val="24"/>
                <w:color w:val="auto"/>
              </w:rPr>
            </w:pPr>
          </w:p>
        </w:tc>
        <w:tc>
          <w:tcPr>
            <w:tcW w:w="1028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3"/>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40" w:type="dxa"/>
            <w:vAlign w:val="bottom"/>
            <w:gridSpan w:val="16"/>
          </w:tcPr>
          <w:p>
            <w:pPr>
              <w:spacing w:after="0" w:line="182" w:lineRule="exact"/>
              <w:rPr>
                <w:rFonts w:ascii="Arial" w:cs="Arial" w:eastAsia="Arial" w:hAnsi="Arial"/>
                <w:sz w:val="18"/>
                <w:szCs w:val="18"/>
                <w:color w:val="0000EE"/>
              </w:rPr>
            </w:pPr>
            <w:hyperlink w:anchor="page3">
              <w:r>
                <w:rPr>
                  <w:rFonts w:ascii="Arial" w:cs="Arial" w:eastAsia="Arial" w:hAnsi="Arial"/>
                  <w:sz w:val="18"/>
                  <w:szCs w:val="18"/>
                  <w:color w:val="0000EE"/>
                </w:rPr>
                <w:t>Consolidated statements of income - three months ended March 31, 2012 and 2011</w:t>
              </w:r>
            </w:hyperlink>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3"/>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96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Consolidated statements of comprehensive income - three months ended March 31, 2012 and 2011</w:t>
              </w:r>
            </w:hyperlink>
          </w:p>
        </w:tc>
        <w:tc>
          <w:tcPr>
            <w:tcW w:w="2180" w:type="dxa"/>
            <w:vAlign w:val="bottom"/>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183"/>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40" w:type="dxa"/>
            <w:vAlign w:val="bottom"/>
            <w:gridSpan w:val="16"/>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Consolidated balance sheets – March 31, 2012 and December 31, 2011</w:t>
              </w:r>
            </w:hyperlink>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3"/>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94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Consolidated statements of cash flows - three months ended March 31, 2012 and 2011</w:t>
              </w:r>
            </w:hyperlink>
          </w:p>
        </w:tc>
        <w:tc>
          <w:tcPr>
            <w:tcW w:w="3200" w:type="dxa"/>
            <w:vAlign w:val="bottom"/>
            <w:gridSpan w:val="3"/>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183"/>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8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Notes to consolidated financial statements</w:t>
              </w:r>
            </w:hyperlink>
          </w:p>
        </w:tc>
        <w:tc>
          <w:tcPr>
            <w:tcW w:w="6760" w:type="dxa"/>
            <w:vAlign w:val="bottom"/>
            <w:gridSpan w:val="8"/>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183"/>
        </w:trPr>
        <w:tc>
          <w:tcPr>
            <w:tcW w:w="460" w:type="dxa"/>
            <w:vAlign w:val="bottom"/>
          </w:tcPr>
          <w:p>
            <w:pPr>
              <w:spacing w:after="0"/>
              <w:rPr>
                <w:sz w:val="15"/>
                <w:szCs w:val="15"/>
                <w:color w:val="auto"/>
              </w:rPr>
            </w:pPr>
          </w:p>
        </w:tc>
        <w:tc>
          <w:tcPr>
            <w:tcW w:w="2280" w:type="dxa"/>
            <w:vAlign w:val="bottom"/>
            <w:tcBorders>
              <w:bottom w:val="single" w:sz="8" w:color="0000EE"/>
            </w:tcBorders>
            <w:gridSpan w:val="7"/>
          </w:tcPr>
          <w:p>
            <w:pPr>
              <w:spacing w:after="0" w:line="182" w:lineRule="exact"/>
              <w:rPr>
                <w:rFonts w:ascii="Arial" w:cs="Arial" w:eastAsia="Arial" w:hAnsi="Arial"/>
                <w:sz w:val="18"/>
                <w:szCs w:val="18"/>
                <w:color w:val="0000EE"/>
              </w:rPr>
            </w:pPr>
            <w:hyperlink w:anchor="page33">
              <w:r>
                <w:rPr>
                  <w:rFonts w:ascii="Arial" w:cs="Arial" w:eastAsia="Arial" w:hAnsi="Arial"/>
                  <w:sz w:val="18"/>
                  <w:szCs w:val="18"/>
                  <w:color w:val="0000EE"/>
                </w:rPr>
                <w:t>Forward-looking statements</w:t>
              </w:r>
            </w:hyperlink>
          </w:p>
        </w:tc>
        <w:tc>
          <w:tcPr>
            <w:tcW w:w="8000" w:type="dxa"/>
            <w:vAlign w:val="bottom"/>
            <w:gridSpan w:val="11"/>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r>
      <w:tr>
        <w:trPr>
          <w:trHeight w:val="183"/>
        </w:trPr>
        <w:tc>
          <w:tcPr>
            <w:tcW w:w="460" w:type="dxa"/>
            <w:vAlign w:val="bottom"/>
          </w:tcPr>
          <w:p>
            <w:pPr>
              <w:spacing w:after="0"/>
              <w:rPr>
                <w:sz w:val="15"/>
                <w:szCs w:val="15"/>
                <w:color w:val="auto"/>
              </w:rPr>
            </w:pPr>
          </w:p>
        </w:tc>
        <w:tc>
          <w:tcPr>
            <w:tcW w:w="7680" w:type="dxa"/>
            <w:vAlign w:val="bottom"/>
            <w:tcBorders>
              <w:bottom w:val="single" w:sz="8" w:color="0000EE"/>
            </w:tcBorders>
            <w:gridSpan w:val="16"/>
          </w:tcPr>
          <w:p>
            <w:pPr>
              <w:spacing w:after="0" w:line="182" w:lineRule="exact"/>
              <w:rPr>
                <w:rFonts w:ascii="Arial" w:cs="Arial" w:eastAsia="Arial" w:hAnsi="Arial"/>
                <w:sz w:val="18"/>
                <w:szCs w:val="18"/>
                <w:color w:val="0000EE"/>
                <w:w w:val="99"/>
              </w:rPr>
            </w:pPr>
            <w:hyperlink w:anchor="page34">
              <w:r>
                <w:rPr>
                  <w:rFonts w:ascii="Arial" w:cs="Arial" w:eastAsia="Arial" w:hAnsi="Arial"/>
                  <w:sz w:val="18"/>
                  <w:szCs w:val="18"/>
                  <w:color w:val="0000EE"/>
                  <w:w w:val="99"/>
                </w:rPr>
                <w:t>Item 2. Management’s Discussion and Analysis of Financial Condition and Results of Operations</w:t>
              </w:r>
            </w:hyperlink>
          </w:p>
        </w:tc>
        <w:tc>
          <w:tcPr>
            <w:tcW w:w="2600" w:type="dxa"/>
            <w:vAlign w:val="bottom"/>
            <w:gridSpan w:val="2"/>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r>
      <w:tr>
        <w:trPr>
          <w:trHeight w:val="183"/>
        </w:trPr>
        <w:tc>
          <w:tcPr>
            <w:tcW w:w="460" w:type="dxa"/>
            <w:vAlign w:val="bottom"/>
          </w:tcPr>
          <w:p>
            <w:pPr>
              <w:spacing w:after="0"/>
              <w:rPr>
                <w:sz w:val="15"/>
                <w:szCs w:val="15"/>
                <w:color w:val="auto"/>
              </w:rPr>
            </w:pPr>
          </w:p>
        </w:tc>
        <w:tc>
          <w:tcPr>
            <w:tcW w:w="10280" w:type="dxa"/>
            <w:vAlign w:val="bottom"/>
            <w:gridSpan w:val="18"/>
          </w:tcPr>
          <w:p>
            <w:pPr>
              <w:spacing w:after="0" w:line="182" w:lineRule="exact"/>
              <w:rPr>
                <w:rFonts w:ascii="Arial" w:cs="Arial" w:eastAsia="Arial" w:hAnsi="Arial"/>
                <w:sz w:val="18"/>
                <w:szCs w:val="18"/>
                <w:color w:val="0000EE"/>
              </w:rPr>
            </w:pPr>
            <w:hyperlink w:anchor="page47">
              <w:r>
                <w:rPr>
                  <w:rFonts w:ascii="Arial" w:cs="Arial" w:eastAsia="Arial" w:hAnsi="Arial"/>
                  <w:sz w:val="18"/>
                  <w:szCs w:val="18"/>
                  <w:color w:val="0000EE"/>
                </w:rPr>
                <w:t>Item 3. Quantitative and Qualitative Disclosures about Market Risk</w:t>
              </w:r>
            </w:hyperlink>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r>
      <w:tr>
        <w:trPr>
          <w:trHeight w:val="183"/>
        </w:trPr>
        <w:tc>
          <w:tcPr>
            <w:tcW w:w="460" w:type="dxa"/>
            <w:vAlign w:val="bottom"/>
          </w:tcPr>
          <w:p>
            <w:pPr>
              <w:spacing w:after="0"/>
              <w:rPr>
                <w:sz w:val="15"/>
                <w:szCs w:val="15"/>
                <w:color w:val="auto"/>
              </w:rPr>
            </w:pPr>
          </w:p>
        </w:tc>
        <w:tc>
          <w:tcPr>
            <w:tcW w:w="528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w:anchor="page47">
              <w:r>
                <w:rPr>
                  <w:rFonts w:ascii="Arial" w:cs="Arial" w:eastAsia="Arial" w:hAnsi="Arial"/>
                  <w:sz w:val="18"/>
                  <w:szCs w:val="18"/>
                  <w:color w:val="0000EE"/>
                </w:rPr>
                <w:t>Item 4. Controls and Procedures</w:t>
              </w:r>
            </w:hyperlink>
          </w:p>
        </w:tc>
        <w:tc>
          <w:tcPr>
            <w:tcW w:w="5000" w:type="dxa"/>
            <w:vAlign w:val="bottom"/>
            <w:gridSpan w:val="7"/>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r>
      <w:tr>
        <w:trPr>
          <w:trHeight w:val="20"/>
        </w:trPr>
        <w:tc>
          <w:tcPr>
            <w:tcW w:w="480" w:type="dxa"/>
            <w:vAlign w:val="bottom"/>
            <w:gridSpan w:val="2"/>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484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26"/>
        </w:trPr>
        <w:tc>
          <w:tcPr>
            <w:tcW w:w="10740" w:type="dxa"/>
            <w:vAlign w:val="bottom"/>
            <w:gridSpan w:val="19"/>
          </w:tcPr>
          <w:p>
            <w:pPr>
              <w:ind w:left="100"/>
              <w:spacing w:after="0"/>
              <w:rPr>
                <w:sz w:val="20"/>
                <w:szCs w:val="20"/>
                <w:color w:val="auto"/>
              </w:rPr>
            </w:pPr>
            <w:r>
              <w:rPr>
                <w:rFonts w:ascii="Arial" w:cs="Arial" w:eastAsia="Arial" w:hAnsi="Arial"/>
                <w:sz w:val="18"/>
                <w:szCs w:val="18"/>
                <w:b w:val="1"/>
                <w:bCs w:val="1"/>
                <w:color w:val="auto"/>
              </w:rPr>
              <w:t>Part II Other Information</w:t>
            </w:r>
          </w:p>
        </w:tc>
        <w:tc>
          <w:tcPr>
            <w:tcW w:w="680" w:type="dxa"/>
            <w:vAlign w:val="bottom"/>
          </w:tcPr>
          <w:p>
            <w:pPr>
              <w:spacing w:after="0"/>
              <w:rPr>
                <w:sz w:val="24"/>
                <w:szCs w:val="24"/>
                <w:color w:val="auto"/>
              </w:rPr>
            </w:pPr>
          </w:p>
        </w:tc>
      </w:tr>
      <w:tr>
        <w:trPr>
          <w:trHeight w:val="365"/>
        </w:trPr>
        <w:tc>
          <w:tcPr>
            <w:tcW w:w="460" w:type="dxa"/>
            <w:vAlign w:val="bottom"/>
          </w:tcPr>
          <w:p>
            <w:pPr>
              <w:spacing w:after="0"/>
              <w:rPr>
                <w:sz w:val="24"/>
                <w:szCs w:val="24"/>
                <w:color w:val="auto"/>
              </w:rPr>
            </w:pPr>
          </w:p>
        </w:tc>
        <w:tc>
          <w:tcPr>
            <w:tcW w:w="10280" w:type="dxa"/>
            <w:vAlign w:val="bottom"/>
            <w:gridSpan w:val="18"/>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1. Legal Proceedings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183"/>
        </w:trPr>
        <w:tc>
          <w:tcPr>
            <w:tcW w:w="460" w:type="dxa"/>
            <w:vAlign w:val="bottom"/>
          </w:tcPr>
          <w:p>
            <w:pPr>
              <w:spacing w:after="0"/>
              <w:rPr>
                <w:sz w:val="15"/>
                <w:szCs w:val="15"/>
                <w:color w:val="auto"/>
              </w:rPr>
            </w:pPr>
          </w:p>
        </w:tc>
        <w:tc>
          <w:tcPr>
            <w:tcW w:w="172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8"/>
              </w:rPr>
            </w:pPr>
            <w:hyperlink w:anchor="page51">
              <w:r>
                <w:rPr>
                  <w:rFonts w:ascii="Arial" w:cs="Arial" w:eastAsia="Arial" w:hAnsi="Arial"/>
                  <w:sz w:val="18"/>
                  <w:szCs w:val="18"/>
                  <w:color w:val="0000EE"/>
                  <w:w w:val="98"/>
                </w:rPr>
                <w:t>Item 1A. Risk Factors</w:t>
              </w:r>
            </w:hyperlink>
          </w:p>
        </w:tc>
        <w:tc>
          <w:tcPr>
            <w:tcW w:w="360" w:type="dxa"/>
            <w:vAlign w:val="bottom"/>
            <w:tcBorders>
              <w:top w:val="single" w:sz="8" w:color="0000EE"/>
            </w:tcBorders>
            <w:gridSpan w:val="2"/>
          </w:tcPr>
          <w:p>
            <w:pPr>
              <w:spacing w:after="0"/>
              <w:rPr>
                <w:sz w:val="15"/>
                <w:szCs w:val="15"/>
                <w:color w:val="auto"/>
              </w:rPr>
            </w:pPr>
          </w:p>
        </w:tc>
        <w:tc>
          <w:tcPr>
            <w:tcW w:w="8200" w:type="dxa"/>
            <w:vAlign w:val="bottom"/>
            <w:gridSpan w:val="12"/>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49</w:t>
            </w:r>
          </w:p>
        </w:tc>
      </w:tr>
      <w:tr>
        <w:trPr>
          <w:trHeight w:val="183"/>
        </w:trPr>
        <w:tc>
          <w:tcPr>
            <w:tcW w:w="460" w:type="dxa"/>
            <w:vAlign w:val="bottom"/>
          </w:tcPr>
          <w:p>
            <w:pPr>
              <w:spacing w:after="0"/>
              <w:rPr>
                <w:sz w:val="15"/>
                <w:szCs w:val="15"/>
                <w:color w:val="auto"/>
              </w:rPr>
            </w:pPr>
          </w:p>
        </w:tc>
        <w:tc>
          <w:tcPr>
            <w:tcW w:w="10280" w:type="dxa"/>
            <w:vAlign w:val="bottom"/>
            <w:gridSpan w:val="18"/>
          </w:tcPr>
          <w:p>
            <w:pPr>
              <w:spacing w:after="0" w:line="182" w:lineRule="exact"/>
              <w:rPr>
                <w:rFonts w:ascii="Arial" w:cs="Arial" w:eastAsia="Arial" w:hAnsi="Arial"/>
                <w:sz w:val="18"/>
                <w:szCs w:val="18"/>
                <w:color w:val="0000EE"/>
              </w:rPr>
            </w:pPr>
            <w:hyperlink w:anchor="page51">
              <w:r>
                <w:rPr>
                  <w:rFonts w:ascii="Arial" w:cs="Arial" w:eastAsia="Arial" w:hAnsi="Arial"/>
                  <w:sz w:val="18"/>
                  <w:szCs w:val="18"/>
                  <w:color w:val="0000EE"/>
                </w:rPr>
                <w:t>Item 2. Unregistered Sales of Equity Securities and Use of Proceeds</w:t>
              </w:r>
            </w:hyperlink>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49</w:t>
            </w:r>
          </w:p>
        </w:tc>
      </w:tr>
      <w:tr>
        <w:trPr>
          <w:trHeight w:val="183"/>
        </w:trPr>
        <w:tc>
          <w:tcPr>
            <w:tcW w:w="460" w:type="dxa"/>
            <w:vAlign w:val="bottom"/>
          </w:tcPr>
          <w:p>
            <w:pPr>
              <w:spacing w:after="0"/>
              <w:rPr>
                <w:sz w:val="15"/>
                <w:szCs w:val="15"/>
                <w:color w:val="auto"/>
              </w:rPr>
            </w:pPr>
          </w:p>
        </w:tc>
        <w:tc>
          <w:tcPr>
            <w:tcW w:w="312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9"/>
              </w:rPr>
            </w:pPr>
            <w:hyperlink w:anchor="page51">
              <w:r>
                <w:rPr>
                  <w:rFonts w:ascii="Arial" w:cs="Arial" w:eastAsia="Arial" w:hAnsi="Arial"/>
                  <w:sz w:val="18"/>
                  <w:szCs w:val="18"/>
                  <w:color w:val="0000EE"/>
                  <w:w w:val="99"/>
                </w:rPr>
                <w:t>Item 3. Defaults upon Senior Securities</w:t>
              </w:r>
            </w:hyperlink>
          </w:p>
        </w:tc>
        <w:tc>
          <w:tcPr>
            <w:tcW w:w="2320" w:type="dxa"/>
            <w:vAlign w:val="bottom"/>
            <w:tcBorders>
              <w:top w:val="single" w:sz="8" w:color="0000EE"/>
            </w:tcBorders>
            <w:gridSpan w:val="3"/>
          </w:tcPr>
          <w:p>
            <w:pPr>
              <w:spacing w:after="0"/>
              <w:rPr>
                <w:sz w:val="15"/>
                <w:szCs w:val="15"/>
                <w:color w:val="auto"/>
              </w:rPr>
            </w:pPr>
          </w:p>
        </w:tc>
        <w:tc>
          <w:tcPr>
            <w:tcW w:w="4840" w:type="dxa"/>
            <w:vAlign w:val="bottom"/>
            <w:gridSpan w:val="6"/>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49</w:t>
            </w:r>
          </w:p>
        </w:tc>
      </w:tr>
      <w:tr>
        <w:trPr>
          <w:trHeight w:val="183"/>
        </w:trPr>
        <w:tc>
          <w:tcPr>
            <w:tcW w:w="460" w:type="dxa"/>
            <w:vAlign w:val="bottom"/>
          </w:tcPr>
          <w:p>
            <w:pPr>
              <w:spacing w:after="0"/>
              <w:rPr>
                <w:sz w:val="15"/>
                <w:szCs w:val="15"/>
                <w:color w:val="auto"/>
              </w:rPr>
            </w:pPr>
          </w:p>
        </w:tc>
        <w:tc>
          <w:tcPr>
            <w:tcW w:w="10280" w:type="dxa"/>
            <w:vAlign w:val="bottom"/>
            <w:gridSpan w:val="18"/>
          </w:tcPr>
          <w:p>
            <w:pPr>
              <w:spacing w:after="0" w:line="182" w:lineRule="exact"/>
              <w:rPr>
                <w:rFonts w:ascii="Arial" w:cs="Arial" w:eastAsia="Arial" w:hAnsi="Arial"/>
                <w:sz w:val="18"/>
                <w:szCs w:val="18"/>
                <w:color w:val="0000EE"/>
              </w:rPr>
            </w:pPr>
            <w:hyperlink w:anchor="page51">
              <w:r>
                <w:rPr>
                  <w:rFonts w:ascii="Arial" w:cs="Arial" w:eastAsia="Arial" w:hAnsi="Arial"/>
                  <w:sz w:val="18"/>
                  <w:szCs w:val="18"/>
                  <w:color w:val="0000EE"/>
                </w:rPr>
                <w:t>Item 4. Mine Safety Disclosures</w:t>
              </w:r>
            </w:hyperlink>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49</w:t>
            </w:r>
          </w:p>
        </w:tc>
      </w:tr>
      <w:tr>
        <w:trPr>
          <w:trHeight w:val="183"/>
        </w:trPr>
        <w:tc>
          <w:tcPr>
            <w:tcW w:w="460" w:type="dxa"/>
            <w:vAlign w:val="bottom"/>
          </w:tcPr>
          <w:p>
            <w:pPr>
              <w:spacing w:after="0"/>
              <w:rPr>
                <w:sz w:val="15"/>
                <w:szCs w:val="15"/>
                <w:color w:val="auto"/>
              </w:rPr>
            </w:pPr>
          </w:p>
        </w:tc>
        <w:tc>
          <w:tcPr>
            <w:tcW w:w="200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8"/>
              </w:rPr>
            </w:pPr>
            <w:hyperlink w:anchor="page51">
              <w:r>
                <w:rPr>
                  <w:rFonts w:ascii="Arial" w:cs="Arial" w:eastAsia="Arial" w:hAnsi="Arial"/>
                  <w:sz w:val="18"/>
                  <w:szCs w:val="18"/>
                  <w:color w:val="0000EE"/>
                  <w:w w:val="98"/>
                </w:rPr>
                <w:t>Item 5. Other Information</w:t>
              </w:r>
            </w:hyperlink>
          </w:p>
        </w:tc>
        <w:tc>
          <w:tcPr>
            <w:tcW w:w="580" w:type="dxa"/>
            <w:vAlign w:val="bottom"/>
            <w:tcBorders>
              <w:top w:val="single" w:sz="8" w:color="0000EE"/>
            </w:tcBorders>
            <w:gridSpan w:val="3"/>
          </w:tcPr>
          <w:p>
            <w:pPr>
              <w:spacing w:after="0"/>
              <w:rPr>
                <w:sz w:val="15"/>
                <w:szCs w:val="15"/>
                <w:color w:val="auto"/>
              </w:rPr>
            </w:pPr>
          </w:p>
        </w:tc>
        <w:tc>
          <w:tcPr>
            <w:tcW w:w="7700" w:type="dxa"/>
            <w:vAlign w:val="bottom"/>
            <w:gridSpan w:val="10"/>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49</w:t>
            </w:r>
          </w:p>
        </w:tc>
      </w:tr>
      <w:tr>
        <w:trPr>
          <w:trHeight w:val="183"/>
        </w:trPr>
        <w:tc>
          <w:tcPr>
            <w:tcW w:w="460" w:type="dxa"/>
            <w:vAlign w:val="bottom"/>
          </w:tcPr>
          <w:p>
            <w:pPr>
              <w:spacing w:after="0"/>
              <w:rPr>
                <w:sz w:val="15"/>
                <w:szCs w:val="15"/>
                <w:color w:val="auto"/>
              </w:rPr>
            </w:pPr>
          </w:p>
        </w:tc>
        <w:tc>
          <w:tcPr>
            <w:tcW w:w="10280" w:type="dxa"/>
            <w:vAlign w:val="bottom"/>
            <w:gridSpan w:val="18"/>
          </w:tcPr>
          <w:p>
            <w:pPr>
              <w:spacing w:after="0" w:line="182" w:lineRule="exact"/>
              <w:rPr>
                <w:rFonts w:ascii="Arial" w:cs="Arial" w:eastAsia="Arial" w:hAnsi="Arial"/>
                <w:sz w:val="18"/>
                <w:szCs w:val="18"/>
                <w:color w:val="0000EE"/>
              </w:rPr>
            </w:pPr>
            <w:hyperlink w:anchor="page52">
              <w:r>
                <w:rPr>
                  <w:rFonts w:ascii="Arial" w:cs="Arial" w:eastAsia="Arial" w:hAnsi="Arial"/>
                  <w:sz w:val="18"/>
                  <w:szCs w:val="18"/>
                  <w:color w:val="0000EE"/>
                </w:rPr>
                <w:t>Item 6. Exhibits</w:t>
              </w:r>
            </w:hyperlink>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50</w:t>
            </w:r>
          </w:p>
        </w:tc>
      </w:tr>
      <w:tr>
        <w:trPr>
          <w:trHeight w:val="1094"/>
        </w:trPr>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080" w:type="dxa"/>
            <w:vAlign w:val="bottom"/>
            <w:tcBorders>
              <w:top w:val="single" w:sz="8" w:color="0000EE"/>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57"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gridSpan w:val="2"/>
          </w:tcPr>
          <w:p>
            <w:pPr>
              <w:jc w:val="center"/>
              <w:ind w:left="3550"/>
              <w:spacing w:after="0"/>
              <w:rPr>
                <w:sz w:val="20"/>
                <w:szCs w:val="20"/>
                <w:color w:val="auto"/>
              </w:rPr>
            </w:pPr>
            <w:r>
              <w:rPr>
                <w:rFonts w:ascii="Arial" w:cs="Arial" w:eastAsia="Arial" w:hAnsi="Arial"/>
                <w:sz w:val="18"/>
                <w:szCs w:val="18"/>
                <w:color w:val="auto"/>
                <w:w w:val="98"/>
              </w:rPr>
              <w:t>ALBANY INTERNATIONAL CORP.</w:t>
            </w: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gridSpan w:val="2"/>
          </w:tcPr>
          <w:p>
            <w:pPr>
              <w:jc w:val="center"/>
              <w:ind w:left="3550"/>
              <w:spacing w:after="0" w:line="202" w:lineRule="exact"/>
              <w:rPr>
                <w:sz w:val="20"/>
                <w:szCs w:val="20"/>
                <w:color w:val="auto"/>
              </w:rPr>
            </w:pPr>
            <w:r>
              <w:rPr>
                <w:rFonts w:ascii="Arial" w:cs="Arial" w:eastAsia="Arial" w:hAnsi="Arial"/>
                <w:sz w:val="18"/>
                <w:szCs w:val="18"/>
                <w:color w:val="auto"/>
                <w:w w:val="98"/>
              </w:rPr>
              <w:t>CONSOLIDATED STATEMENTS OF INCOME</w:t>
            </w: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gridSpan w:val="2"/>
          </w:tcPr>
          <w:p>
            <w:pPr>
              <w:jc w:val="center"/>
              <w:ind w:left="3550"/>
              <w:spacing w:after="0" w:line="202" w:lineRule="exact"/>
              <w:rPr>
                <w:sz w:val="20"/>
                <w:szCs w:val="20"/>
                <w:color w:val="auto"/>
              </w:rPr>
            </w:pPr>
            <w:r>
              <w:rPr>
                <w:rFonts w:ascii="Arial" w:cs="Arial" w:eastAsia="Arial" w:hAnsi="Arial"/>
                <w:sz w:val="18"/>
                <w:szCs w:val="18"/>
                <w:color w:val="auto"/>
                <w:w w:val="99"/>
              </w:rPr>
              <w:t>(in thousands, except per share data)</w:t>
            </w: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780" w:type="dxa"/>
            <w:vAlign w:val="bottom"/>
            <w:gridSpan w:val="2"/>
          </w:tcPr>
          <w:p>
            <w:pPr>
              <w:jc w:val="center"/>
              <w:ind w:left="3550"/>
              <w:spacing w:after="0"/>
              <w:rPr>
                <w:sz w:val="20"/>
                <w:szCs w:val="20"/>
                <w:color w:val="auto"/>
              </w:rPr>
            </w:pPr>
            <w:r>
              <w:rPr>
                <w:rFonts w:ascii="Arial" w:cs="Arial" w:eastAsia="Arial" w:hAnsi="Arial"/>
                <w:sz w:val="18"/>
                <w:szCs w:val="18"/>
                <w:color w:val="auto"/>
                <w:w w:val="98"/>
              </w:rPr>
              <w:t>(unaudited)</w:t>
            </w:r>
          </w:p>
        </w:tc>
        <w:tc>
          <w:tcPr>
            <w:tcW w:w="2600" w:type="dxa"/>
            <w:vAlign w:val="bottom"/>
            <w:gridSpan w:val="3"/>
            <w:vMerge w:val="restart"/>
          </w:tcPr>
          <w:p>
            <w:pPr>
              <w:jc w:val="center"/>
              <w:ind w:left="630"/>
              <w:spacing w:after="0"/>
              <w:rPr>
                <w:sz w:val="20"/>
                <w:szCs w:val="20"/>
                <w:color w:val="auto"/>
              </w:rPr>
            </w:pPr>
            <w:r>
              <w:rPr>
                <w:rFonts w:ascii="Arial" w:cs="Arial" w:eastAsia="Arial" w:hAnsi="Arial"/>
                <w:sz w:val="18"/>
                <w:szCs w:val="18"/>
                <w:color w:val="auto"/>
                <w:w w:val="99"/>
              </w:rPr>
              <w:t>Three Months Ended</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0" w:type="dxa"/>
            <w:vAlign w:val="bottom"/>
            <w:gridSpan w:val="3"/>
            <w:vMerge w:val="continue"/>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restart"/>
          </w:tcPr>
          <w:p>
            <w:pPr>
              <w:jc w:val="right"/>
              <w:ind w:right="450"/>
              <w:spacing w:after="0"/>
              <w:rPr>
                <w:sz w:val="20"/>
                <w:szCs w:val="20"/>
                <w:color w:val="auto"/>
              </w:rPr>
            </w:pPr>
            <w:r>
              <w:rPr>
                <w:rFonts w:ascii="Arial" w:cs="Arial" w:eastAsia="Arial" w:hAnsi="Arial"/>
                <w:sz w:val="18"/>
                <w:szCs w:val="18"/>
                <w:color w:val="auto"/>
              </w:rPr>
              <w:t>2012</w:t>
            </w: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March 31,</w:t>
            </w:r>
          </w:p>
        </w:tc>
        <w:tc>
          <w:tcPr>
            <w:tcW w:w="1040" w:type="dxa"/>
            <w:vAlign w:val="bottom"/>
            <w:vMerge w:val="restart"/>
          </w:tcPr>
          <w:p>
            <w:pPr>
              <w:jc w:val="right"/>
              <w:ind w:right="45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189"/>
        </w:trPr>
        <w:tc>
          <w:tcPr>
            <w:tcW w:w="74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gridSpan w:val="2"/>
            <w:shd w:val="clear" w:color="auto" w:fill="C0C0C0"/>
          </w:tcPr>
          <w:p>
            <w:pPr>
              <w:ind w:left="100"/>
              <w:spacing w:after="0" w:line="202" w:lineRule="exact"/>
              <w:rPr>
                <w:sz w:val="20"/>
                <w:szCs w:val="20"/>
                <w:color w:val="auto"/>
              </w:rPr>
            </w:pPr>
            <w:r>
              <w:rPr>
                <w:rFonts w:ascii="Arial" w:cs="Arial" w:eastAsia="Arial" w:hAnsi="Arial"/>
                <w:sz w:val="18"/>
                <w:szCs w:val="18"/>
                <w:color w:val="auto"/>
              </w:rPr>
              <w:t>Net sales</w:t>
            </w:r>
          </w:p>
        </w:tc>
        <w:tc>
          <w:tcPr>
            <w:tcW w:w="1140" w:type="dxa"/>
            <w:vAlign w:val="bottom"/>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$188,553</w:t>
            </w:r>
          </w:p>
        </w:tc>
        <w:tc>
          <w:tcPr>
            <w:tcW w:w="1020" w:type="dxa"/>
            <w:vAlign w:val="bottom"/>
            <w:shd w:val="clear" w:color="auto" w:fill="C0C0C0"/>
          </w:tcPr>
          <w:p>
            <w:pPr>
              <w:spacing w:after="0"/>
              <w:rPr>
                <w:sz w:val="17"/>
                <w:szCs w:val="17"/>
                <w:color w:val="auto"/>
              </w:rPr>
            </w:pPr>
          </w:p>
        </w:tc>
        <w:tc>
          <w:tcPr>
            <w:tcW w:w="440" w:type="dxa"/>
            <w:vAlign w:val="bottom"/>
            <w:shd w:val="clear" w:color="auto" w:fill="C0C0C0"/>
          </w:tcPr>
          <w:p>
            <w:pPr>
              <w:spacing w:after="0"/>
              <w:rPr>
                <w:sz w:val="17"/>
                <w:szCs w:val="17"/>
                <w:color w:val="auto"/>
              </w:rPr>
            </w:pPr>
          </w:p>
        </w:tc>
        <w:tc>
          <w:tcPr>
            <w:tcW w:w="1040" w:type="dxa"/>
            <w:vAlign w:val="bottom"/>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$206,722</w:t>
            </w:r>
          </w:p>
        </w:tc>
        <w:tc>
          <w:tcPr>
            <w:tcW w:w="0" w:type="dxa"/>
            <w:vAlign w:val="bottom"/>
          </w:tcPr>
          <w:p>
            <w:pPr>
              <w:spacing w:after="0"/>
              <w:rPr>
                <w:sz w:val="1"/>
                <w:szCs w:val="1"/>
                <w:color w:val="auto"/>
              </w:rPr>
            </w:pPr>
          </w:p>
        </w:tc>
      </w:tr>
      <w:tr>
        <w:trPr>
          <w:trHeight w:val="203"/>
        </w:trPr>
        <w:tc>
          <w:tcPr>
            <w:tcW w:w="77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Cost of goods sold</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116,719</w:t>
            </w: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117,877</w:t>
            </w:r>
          </w:p>
        </w:tc>
        <w:tc>
          <w:tcPr>
            <w:tcW w:w="0" w:type="dxa"/>
            <w:vAlign w:val="bottom"/>
          </w:tcPr>
          <w:p>
            <w:pPr>
              <w:spacing w:after="0"/>
              <w:rPr>
                <w:sz w:val="1"/>
                <w:szCs w:val="1"/>
                <w:color w:val="auto"/>
              </w:rPr>
            </w:pPr>
          </w:p>
        </w:tc>
      </w:tr>
      <w:tr>
        <w:trPr>
          <w:trHeight w:val="196"/>
        </w:trPr>
        <w:tc>
          <w:tcPr>
            <w:tcW w:w="74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gridSpan w:val="2"/>
            <w:shd w:val="clear" w:color="auto" w:fill="C0C0C0"/>
          </w:tcPr>
          <w:p>
            <w:pPr>
              <w:ind w:left="100"/>
              <w:spacing w:after="0" w:line="202" w:lineRule="exact"/>
              <w:rPr>
                <w:sz w:val="20"/>
                <w:szCs w:val="20"/>
                <w:color w:val="auto"/>
              </w:rPr>
            </w:pPr>
            <w:r>
              <w:rPr>
                <w:rFonts w:ascii="Arial" w:cs="Arial" w:eastAsia="Arial" w:hAnsi="Arial"/>
                <w:sz w:val="18"/>
                <w:szCs w:val="18"/>
                <w:color w:val="auto"/>
              </w:rPr>
              <w:t>Gross profit</w:t>
            </w:r>
          </w:p>
        </w:tc>
        <w:tc>
          <w:tcPr>
            <w:tcW w:w="1140" w:type="dxa"/>
            <w:vAlign w:val="bottom"/>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71,834</w:t>
            </w:r>
          </w:p>
        </w:tc>
        <w:tc>
          <w:tcPr>
            <w:tcW w:w="1020" w:type="dxa"/>
            <w:vAlign w:val="bottom"/>
            <w:shd w:val="clear" w:color="auto" w:fill="C0C0C0"/>
          </w:tcPr>
          <w:p>
            <w:pPr>
              <w:spacing w:after="0"/>
              <w:rPr>
                <w:sz w:val="17"/>
                <w:szCs w:val="17"/>
                <w:color w:val="auto"/>
              </w:rPr>
            </w:pPr>
          </w:p>
        </w:tc>
        <w:tc>
          <w:tcPr>
            <w:tcW w:w="440" w:type="dxa"/>
            <w:vAlign w:val="bottom"/>
            <w:shd w:val="clear" w:color="auto" w:fill="C0C0C0"/>
          </w:tcPr>
          <w:p>
            <w:pPr>
              <w:spacing w:after="0"/>
              <w:rPr>
                <w:sz w:val="17"/>
                <w:szCs w:val="17"/>
                <w:color w:val="auto"/>
              </w:rPr>
            </w:pPr>
          </w:p>
        </w:tc>
        <w:tc>
          <w:tcPr>
            <w:tcW w:w="1040" w:type="dxa"/>
            <w:vAlign w:val="bottom"/>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88,845</w:t>
            </w:r>
          </w:p>
        </w:tc>
        <w:tc>
          <w:tcPr>
            <w:tcW w:w="0" w:type="dxa"/>
            <w:vAlign w:val="bottom"/>
          </w:tcPr>
          <w:p>
            <w:pPr>
              <w:spacing w:after="0"/>
              <w:rPr>
                <w:sz w:val="1"/>
                <w:szCs w:val="1"/>
                <w:color w:val="auto"/>
              </w:rPr>
            </w:pPr>
          </w:p>
        </w:tc>
      </w:tr>
      <w:tr>
        <w:trPr>
          <w:trHeight w:val="203"/>
        </w:trPr>
        <w:tc>
          <w:tcPr>
            <w:tcW w:w="778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48,815</w:t>
            </w: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47,476</w:t>
            </w:r>
          </w:p>
        </w:tc>
        <w:tc>
          <w:tcPr>
            <w:tcW w:w="0" w:type="dxa"/>
            <w:vAlign w:val="bottom"/>
          </w:tcPr>
          <w:p>
            <w:pPr>
              <w:spacing w:after="0"/>
              <w:rPr>
                <w:sz w:val="1"/>
                <w:szCs w:val="1"/>
                <w:color w:val="auto"/>
              </w:rPr>
            </w:pPr>
          </w:p>
        </w:tc>
      </w:tr>
      <w:tr>
        <w:trPr>
          <w:trHeight w:val="203"/>
        </w:trPr>
        <w:tc>
          <w:tcPr>
            <w:tcW w:w="7780" w:type="dxa"/>
            <w:vAlign w:val="bottom"/>
            <w:gridSpan w:val="2"/>
            <w:shd w:val="clear" w:color="auto" w:fill="BFBFBF"/>
          </w:tcPr>
          <w:p>
            <w:pPr>
              <w:ind w:left="260"/>
              <w:spacing w:after="0" w:line="202" w:lineRule="exact"/>
              <w:rPr>
                <w:sz w:val="20"/>
                <w:szCs w:val="20"/>
                <w:color w:val="auto"/>
              </w:rPr>
            </w:pPr>
            <w:r>
              <w:rPr>
                <w:rFonts w:ascii="Arial" w:cs="Arial" w:eastAsia="Arial" w:hAnsi="Arial"/>
                <w:sz w:val="18"/>
                <w:szCs w:val="18"/>
                <w:color w:val="auto"/>
              </w:rPr>
              <w:t>Technical, product engineering, and research expenses</w:t>
            </w:r>
          </w:p>
        </w:tc>
        <w:tc>
          <w:tcPr>
            <w:tcW w:w="114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12,939</w:t>
            </w:r>
          </w:p>
        </w:tc>
        <w:tc>
          <w:tcPr>
            <w:tcW w:w="102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104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14,354</w:t>
            </w:r>
          </w:p>
        </w:tc>
        <w:tc>
          <w:tcPr>
            <w:tcW w:w="0" w:type="dxa"/>
            <w:vAlign w:val="bottom"/>
          </w:tcPr>
          <w:p>
            <w:pPr>
              <w:spacing w:after="0"/>
              <w:rPr>
                <w:sz w:val="1"/>
                <w:szCs w:val="1"/>
                <w:color w:val="auto"/>
              </w:rPr>
            </w:pPr>
          </w:p>
        </w:tc>
      </w:tr>
      <w:tr>
        <w:trPr>
          <w:trHeight w:val="203"/>
        </w:trPr>
        <w:tc>
          <w:tcPr>
            <w:tcW w:w="778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Restructuring and other, net</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258</w:t>
            </w: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3"/>
        </w:trPr>
        <w:tc>
          <w:tcPr>
            <w:tcW w:w="7780" w:type="dxa"/>
            <w:vAlign w:val="bottom"/>
            <w:gridSpan w:val="2"/>
            <w:shd w:val="clear" w:color="auto" w:fill="BFBFBF"/>
          </w:tcPr>
          <w:p>
            <w:pPr>
              <w:ind w:left="260"/>
              <w:spacing w:after="0" w:line="202" w:lineRule="exact"/>
              <w:rPr>
                <w:sz w:val="20"/>
                <w:szCs w:val="20"/>
                <w:color w:val="auto"/>
              </w:rPr>
            </w:pPr>
            <w:r>
              <w:rPr>
                <w:rFonts w:ascii="Arial" w:cs="Arial" w:eastAsia="Arial" w:hAnsi="Arial"/>
                <w:sz w:val="18"/>
                <w:szCs w:val="18"/>
                <w:color w:val="auto"/>
              </w:rPr>
              <w:t>Pension settlement expense</w:t>
            </w:r>
          </w:p>
        </w:tc>
        <w:tc>
          <w:tcPr>
            <w:tcW w:w="114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9,175</w:t>
            </w:r>
          </w:p>
        </w:tc>
        <w:tc>
          <w:tcPr>
            <w:tcW w:w="102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104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4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gridSpan w:val="2"/>
            <w:shd w:val="clear" w:color="auto" w:fill="BFBFBF"/>
          </w:tcPr>
          <w:p>
            <w:pPr>
              <w:ind w:left="100"/>
              <w:spacing w:after="0" w:line="202" w:lineRule="exact"/>
              <w:rPr>
                <w:sz w:val="20"/>
                <w:szCs w:val="20"/>
                <w:color w:val="auto"/>
              </w:rPr>
            </w:pPr>
            <w:r>
              <w:rPr>
                <w:rFonts w:ascii="Arial" w:cs="Arial" w:eastAsia="Arial" w:hAnsi="Arial"/>
                <w:sz w:val="18"/>
                <w:szCs w:val="18"/>
                <w:color w:val="auto"/>
              </w:rPr>
              <w:t>Operating income</w:t>
            </w:r>
          </w:p>
        </w:tc>
        <w:tc>
          <w:tcPr>
            <w:tcW w:w="114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647</w:t>
            </w:r>
          </w:p>
        </w:tc>
        <w:tc>
          <w:tcPr>
            <w:tcW w:w="102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104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26,981</w:t>
            </w:r>
          </w:p>
        </w:tc>
        <w:tc>
          <w:tcPr>
            <w:tcW w:w="0" w:type="dxa"/>
            <w:vAlign w:val="bottom"/>
          </w:tcPr>
          <w:p>
            <w:pPr>
              <w:spacing w:after="0"/>
              <w:rPr>
                <w:sz w:val="1"/>
                <w:szCs w:val="1"/>
                <w:color w:val="auto"/>
              </w:rPr>
            </w:pPr>
          </w:p>
        </w:tc>
      </w:tr>
      <w:tr>
        <w:trPr>
          <w:trHeight w:val="203"/>
        </w:trPr>
        <w:tc>
          <w:tcPr>
            <w:tcW w:w="778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Interest expense, net</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4,644</w:t>
            </w: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4,776</w:t>
            </w:r>
          </w:p>
        </w:tc>
        <w:tc>
          <w:tcPr>
            <w:tcW w:w="0" w:type="dxa"/>
            <w:vAlign w:val="bottom"/>
          </w:tcPr>
          <w:p>
            <w:pPr>
              <w:spacing w:after="0"/>
              <w:rPr>
                <w:sz w:val="1"/>
                <w:szCs w:val="1"/>
                <w:color w:val="auto"/>
              </w:rPr>
            </w:pPr>
          </w:p>
        </w:tc>
      </w:tr>
      <w:tr>
        <w:trPr>
          <w:trHeight w:val="203"/>
        </w:trPr>
        <w:tc>
          <w:tcPr>
            <w:tcW w:w="7440" w:type="dxa"/>
            <w:vAlign w:val="bottom"/>
            <w:shd w:val="clear" w:color="auto" w:fill="BFBFBF"/>
          </w:tcPr>
          <w:p>
            <w:pPr>
              <w:ind w:left="260"/>
              <w:spacing w:after="0" w:line="202" w:lineRule="exact"/>
              <w:rPr>
                <w:sz w:val="20"/>
                <w:szCs w:val="20"/>
                <w:color w:val="auto"/>
              </w:rPr>
            </w:pPr>
            <w:r>
              <w:rPr>
                <w:rFonts w:ascii="Arial" w:cs="Arial" w:eastAsia="Arial" w:hAnsi="Arial"/>
                <w:sz w:val="18"/>
                <w:szCs w:val="18"/>
                <w:color w:val="auto"/>
              </w:rPr>
              <w:t>Other expense, net</w:t>
            </w:r>
          </w:p>
        </w:tc>
        <w:tc>
          <w:tcPr>
            <w:tcW w:w="340" w:type="dxa"/>
            <w:vAlign w:val="bottom"/>
            <w:tcBorders>
              <w:bottom w:val="single" w:sz="8" w:color="auto"/>
            </w:tcBorders>
            <w:shd w:val="clear" w:color="auto" w:fill="BFBFBF"/>
          </w:tcPr>
          <w:p>
            <w:pPr>
              <w:spacing w:after="0"/>
              <w:rPr>
                <w:sz w:val="17"/>
                <w:szCs w:val="17"/>
                <w:color w:val="auto"/>
              </w:rPr>
            </w:pPr>
          </w:p>
        </w:tc>
        <w:tc>
          <w:tcPr>
            <w:tcW w:w="1140" w:type="dxa"/>
            <w:vAlign w:val="bottom"/>
            <w:tcBorders>
              <w:bottom w:val="single" w:sz="8" w:color="auto"/>
            </w:tcBorders>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4,548</w:t>
            </w:r>
          </w:p>
        </w:tc>
        <w:tc>
          <w:tcPr>
            <w:tcW w:w="1020" w:type="dxa"/>
            <w:vAlign w:val="bottom"/>
            <w:shd w:val="clear" w:color="auto" w:fill="BFBFBF"/>
          </w:tcPr>
          <w:p>
            <w:pPr>
              <w:spacing w:after="0"/>
              <w:rPr>
                <w:sz w:val="17"/>
                <w:szCs w:val="17"/>
                <w:color w:val="auto"/>
              </w:rPr>
            </w:pPr>
          </w:p>
        </w:tc>
        <w:tc>
          <w:tcPr>
            <w:tcW w:w="440" w:type="dxa"/>
            <w:vAlign w:val="bottom"/>
            <w:tcBorders>
              <w:bottom w:val="single" w:sz="8" w:color="auto"/>
            </w:tcBorders>
            <w:shd w:val="clear" w:color="auto" w:fill="BFBFBF"/>
          </w:tcPr>
          <w:p>
            <w:pPr>
              <w:spacing w:after="0"/>
              <w:rPr>
                <w:sz w:val="17"/>
                <w:szCs w:val="17"/>
                <w:color w:val="auto"/>
              </w:rPr>
            </w:pPr>
          </w:p>
        </w:tc>
        <w:tc>
          <w:tcPr>
            <w:tcW w:w="1040" w:type="dxa"/>
            <w:vAlign w:val="bottom"/>
            <w:tcBorders>
              <w:bottom w:val="single" w:sz="8" w:color="auto"/>
            </w:tcBorders>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4,813</w:t>
            </w:r>
          </w:p>
        </w:tc>
        <w:tc>
          <w:tcPr>
            <w:tcW w:w="0" w:type="dxa"/>
            <w:vAlign w:val="bottom"/>
          </w:tcPr>
          <w:p>
            <w:pPr>
              <w:spacing w:after="0"/>
              <w:rPr>
                <w:sz w:val="1"/>
                <w:szCs w:val="1"/>
                <w:color w:val="auto"/>
              </w:rPr>
            </w:pPr>
          </w:p>
        </w:tc>
      </w:tr>
      <w:tr>
        <w:trPr>
          <w:trHeight w:val="399"/>
        </w:trPr>
        <w:tc>
          <w:tcPr>
            <w:tcW w:w="7780" w:type="dxa"/>
            <w:vAlign w:val="bottom"/>
            <w:gridSpan w:val="2"/>
          </w:tcPr>
          <w:p>
            <w:pPr>
              <w:ind w:left="100"/>
              <w:spacing w:after="0"/>
              <w:rPr>
                <w:sz w:val="20"/>
                <w:szCs w:val="20"/>
                <w:color w:val="auto"/>
              </w:rPr>
            </w:pPr>
            <w:r>
              <w:rPr>
                <w:rFonts w:ascii="Arial" w:cs="Arial" w:eastAsia="Arial" w:hAnsi="Arial"/>
                <w:sz w:val="18"/>
                <w:szCs w:val="18"/>
                <w:color w:val="auto"/>
              </w:rPr>
              <w:t>(Loss)/income before income taxes</w:t>
            </w:r>
          </w:p>
        </w:tc>
        <w:tc>
          <w:tcPr>
            <w:tcW w:w="1140" w:type="dxa"/>
            <w:vAlign w:val="bottom"/>
          </w:tcPr>
          <w:p>
            <w:pPr>
              <w:jc w:val="right"/>
              <w:spacing w:after="0"/>
              <w:rPr>
                <w:sz w:val="20"/>
                <w:szCs w:val="20"/>
                <w:color w:val="auto"/>
              </w:rPr>
            </w:pPr>
            <w:r>
              <w:rPr>
                <w:rFonts w:ascii="Arial" w:cs="Arial" w:eastAsia="Arial" w:hAnsi="Arial"/>
                <w:sz w:val="18"/>
                <w:szCs w:val="18"/>
                <w:color w:val="auto"/>
              </w:rPr>
              <w:t>(8,545)</w:t>
            </w: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17,392</w:t>
            </w:r>
          </w:p>
        </w:tc>
        <w:tc>
          <w:tcPr>
            <w:tcW w:w="0" w:type="dxa"/>
            <w:vAlign w:val="bottom"/>
          </w:tcPr>
          <w:p>
            <w:pPr>
              <w:spacing w:after="0"/>
              <w:rPr>
                <w:sz w:val="1"/>
                <w:szCs w:val="1"/>
                <w:color w:val="auto"/>
              </w:rPr>
            </w:pPr>
          </w:p>
        </w:tc>
      </w:tr>
      <w:tr>
        <w:trPr>
          <w:trHeight w:val="203"/>
        </w:trPr>
        <w:tc>
          <w:tcPr>
            <w:tcW w:w="7440" w:type="dxa"/>
            <w:vAlign w:val="bottom"/>
            <w:shd w:val="clear" w:color="auto" w:fill="BFBFBF"/>
          </w:tcPr>
          <w:p>
            <w:pPr>
              <w:ind w:left="260"/>
              <w:spacing w:after="0" w:line="202" w:lineRule="exact"/>
              <w:rPr>
                <w:sz w:val="20"/>
                <w:szCs w:val="20"/>
                <w:color w:val="auto"/>
              </w:rPr>
            </w:pPr>
            <w:r>
              <w:rPr>
                <w:rFonts w:ascii="Arial" w:cs="Arial" w:eastAsia="Arial" w:hAnsi="Arial"/>
                <w:sz w:val="18"/>
                <w:szCs w:val="18"/>
                <w:color w:val="auto"/>
              </w:rPr>
              <w:t>Income tax (benefit)/expense</w:t>
            </w:r>
          </w:p>
        </w:tc>
        <w:tc>
          <w:tcPr>
            <w:tcW w:w="340" w:type="dxa"/>
            <w:vAlign w:val="bottom"/>
            <w:tcBorders>
              <w:bottom w:val="single" w:sz="8" w:color="auto"/>
            </w:tcBorders>
            <w:shd w:val="clear" w:color="auto" w:fill="BFBFBF"/>
          </w:tcPr>
          <w:p>
            <w:pPr>
              <w:spacing w:after="0"/>
              <w:rPr>
                <w:sz w:val="17"/>
                <w:szCs w:val="17"/>
                <w:color w:val="auto"/>
              </w:rPr>
            </w:pPr>
          </w:p>
        </w:tc>
        <w:tc>
          <w:tcPr>
            <w:tcW w:w="1140" w:type="dxa"/>
            <w:vAlign w:val="bottom"/>
            <w:tcBorders>
              <w:bottom w:val="single" w:sz="8" w:color="auto"/>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(9,379)</w:t>
            </w:r>
          </w:p>
        </w:tc>
        <w:tc>
          <w:tcPr>
            <w:tcW w:w="1020" w:type="dxa"/>
            <w:vAlign w:val="bottom"/>
            <w:shd w:val="clear" w:color="auto" w:fill="BFBFBF"/>
          </w:tcPr>
          <w:p>
            <w:pPr>
              <w:spacing w:after="0"/>
              <w:rPr>
                <w:sz w:val="17"/>
                <w:szCs w:val="17"/>
                <w:color w:val="auto"/>
              </w:rPr>
            </w:pPr>
          </w:p>
        </w:tc>
        <w:tc>
          <w:tcPr>
            <w:tcW w:w="440" w:type="dxa"/>
            <w:vAlign w:val="bottom"/>
            <w:tcBorders>
              <w:bottom w:val="single" w:sz="8" w:color="auto"/>
            </w:tcBorders>
            <w:shd w:val="clear" w:color="auto" w:fill="BFBFBF"/>
          </w:tcPr>
          <w:p>
            <w:pPr>
              <w:spacing w:after="0"/>
              <w:rPr>
                <w:sz w:val="17"/>
                <w:szCs w:val="17"/>
                <w:color w:val="auto"/>
              </w:rPr>
            </w:pPr>
          </w:p>
        </w:tc>
        <w:tc>
          <w:tcPr>
            <w:tcW w:w="1040" w:type="dxa"/>
            <w:vAlign w:val="bottom"/>
            <w:tcBorders>
              <w:bottom w:val="single" w:sz="8" w:color="auto"/>
            </w:tcBorders>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3,988</w:t>
            </w:r>
          </w:p>
        </w:tc>
        <w:tc>
          <w:tcPr>
            <w:tcW w:w="0" w:type="dxa"/>
            <w:vAlign w:val="bottom"/>
          </w:tcPr>
          <w:p>
            <w:pPr>
              <w:spacing w:after="0"/>
              <w:rPr>
                <w:sz w:val="1"/>
                <w:szCs w:val="1"/>
                <w:color w:val="auto"/>
              </w:rPr>
            </w:pPr>
          </w:p>
        </w:tc>
      </w:tr>
      <w:tr>
        <w:trPr>
          <w:trHeight w:val="399"/>
        </w:trPr>
        <w:tc>
          <w:tcPr>
            <w:tcW w:w="7780" w:type="dxa"/>
            <w:vAlign w:val="bottom"/>
            <w:gridSpan w:val="2"/>
          </w:tcPr>
          <w:p>
            <w:pPr>
              <w:ind w:left="100"/>
              <w:spacing w:after="0"/>
              <w:rPr>
                <w:sz w:val="20"/>
                <w:szCs w:val="20"/>
                <w:color w:val="auto"/>
              </w:rPr>
            </w:pPr>
            <w:r>
              <w:rPr>
                <w:rFonts w:ascii="Arial" w:cs="Arial" w:eastAsia="Arial" w:hAnsi="Arial"/>
                <w:sz w:val="18"/>
                <w:szCs w:val="18"/>
                <w:color w:val="auto"/>
              </w:rPr>
              <w:t>Income from continuing operations</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834</w:t>
            </w: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13,404</w:t>
            </w:r>
          </w:p>
        </w:tc>
        <w:tc>
          <w:tcPr>
            <w:tcW w:w="0" w:type="dxa"/>
            <w:vAlign w:val="bottom"/>
          </w:tcPr>
          <w:p>
            <w:pPr>
              <w:spacing w:after="0"/>
              <w:rPr>
                <w:sz w:val="1"/>
                <w:szCs w:val="1"/>
                <w:color w:val="auto"/>
              </w:rPr>
            </w:pPr>
          </w:p>
        </w:tc>
      </w:tr>
      <w:tr>
        <w:trPr>
          <w:trHeight w:val="196"/>
        </w:trPr>
        <w:tc>
          <w:tcPr>
            <w:tcW w:w="74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gridSpan w:val="2"/>
            <w:shd w:val="clear" w:color="auto" w:fill="BFBFBF"/>
          </w:tcPr>
          <w:p>
            <w:pPr>
              <w:ind w:left="260"/>
              <w:spacing w:after="0" w:line="202" w:lineRule="exact"/>
              <w:rPr>
                <w:sz w:val="20"/>
                <w:szCs w:val="20"/>
                <w:color w:val="auto"/>
              </w:rPr>
            </w:pPr>
            <w:r>
              <w:rPr>
                <w:rFonts w:ascii="Arial" w:cs="Arial" w:eastAsia="Arial" w:hAnsi="Arial"/>
                <w:sz w:val="18"/>
                <w:szCs w:val="18"/>
                <w:color w:val="auto"/>
              </w:rPr>
              <w:t>Income from operations of discontinued business</w:t>
            </w:r>
          </w:p>
        </w:tc>
        <w:tc>
          <w:tcPr>
            <w:tcW w:w="114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460</w:t>
            </w:r>
          </w:p>
        </w:tc>
        <w:tc>
          <w:tcPr>
            <w:tcW w:w="102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104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4,650</w:t>
            </w:r>
          </w:p>
        </w:tc>
        <w:tc>
          <w:tcPr>
            <w:tcW w:w="0" w:type="dxa"/>
            <w:vAlign w:val="bottom"/>
          </w:tcPr>
          <w:p>
            <w:pPr>
              <w:spacing w:after="0"/>
              <w:rPr>
                <w:sz w:val="1"/>
                <w:szCs w:val="1"/>
                <w:color w:val="auto"/>
              </w:rPr>
            </w:pPr>
          </w:p>
        </w:tc>
      </w:tr>
      <w:tr>
        <w:trPr>
          <w:trHeight w:val="203"/>
        </w:trPr>
        <w:tc>
          <w:tcPr>
            <w:tcW w:w="778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Gain on sale of discontinued business</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57,968</w:t>
            </w: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780" w:type="dxa"/>
            <w:vAlign w:val="bottom"/>
            <w:gridSpan w:val="2"/>
            <w:shd w:val="clear" w:color="auto" w:fill="BFBFBF"/>
          </w:tcPr>
          <w:p>
            <w:pPr>
              <w:ind w:left="260"/>
              <w:spacing w:after="0" w:line="202" w:lineRule="exact"/>
              <w:rPr>
                <w:sz w:val="20"/>
                <w:szCs w:val="20"/>
                <w:color w:val="auto"/>
              </w:rPr>
            </w:pPr>
            <w:r>
              <w:rPr>
                <w:rFonts w:ascii="Arial" w:cs="Arial" w:eastAsia="Arial" w:hAnsi="Arial"/>
                <w:sz w:val="18"/>
                <w:szCs w:val="18"/>
                <w:color w:val="auto"/>
              </w:rPr>
              <w:t>Income taxes on discontinued operations</w:t>
            </w:r>
          </w:p>
        </w:tc>
        <w:tc>
          <w:tcPr>
            <w:tcW w:w="114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12,221</w:t>
            </w:r>
          </w:p>
        </w:tc>
        <w:tc>
          <w:tcPr>
            <w:tcW w:w="102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104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196"/>
        </w:trPr>
        <w:tc>
          <w:tcPr>
            <w:tcW w:w="7440" w:type="dxa"/>
            <w:vAlign w:val="bottom"/>
            <w:tcBorders>
              <w:bottom w:val="single" w:sz="8" w:color="BFBFBF"/>
            </w:tcBorders>
          </w:tcPr>
          <w:p>
            <w:pPr>
              <w:ind w:left="100"/>
              <w:spacing w:after="0" w:line="196" w:lineRule="exact"/>
              <w:rPr>
                <w:sz w:val="20"/>
                <w:szCs w:val="20"/>
                <w:color w:val="auto"/>
              </w:rPr>
            </w:pPr>
            <w:r>
              <w:rPr>
                <w:rFonts w:ascii="Arial" w:cs="Arial" w:eastAsia="Arial" w:hAnsi="Arial"/>
                <w:sz w:val="18"/>
                <w:szCs w:val="18"/>
                <w:color w:val="auto"/>
              </w:rPr>
              <w:t>Income from discontinued operations</w:t>
            </w: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46,207</w:t>
            </w:r>
          </w:p>
        </w:tc>
        <w:tc>
          <w:tcPr>
            <w:tcW w:w="1020" w:type="dxa"/>
            <w:vAlign w:val="bottom"/>
            <w:tcBorders>
              <w:bottom w:val="single" w:sz="8" w:color="BFBFB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3,329</w:t>
            </w:r>
          </w:p>
        </w:tc>
        <w:tc>
          <w:tcPr>
            <w:tcW w:w="0" w:type="dxa"/>
            <w:vAlign w:val="bottom"/>
          </w:tcPr>
          <w:p>
            <w:pPr>
              <w:spacing w:after="0"/>
              <w:rPr>
                <w:sz w:val="1"/>
                <w:szCs w:val="1"/>
                <w:color w:val="auto"/>
              </w:rPr>
            </w:pPr>
          </w:p>
        </w:tc>
      </w:tr>
      <w:tr>
        <w:trPr>
          <w:trHeight w:val="196"/>
        </w:trPr>
        <w:tc>
          <w:tcPr>
            <w:tcW w:w="7440" w:type="dxa"/>
            <w:vAlign w:val="bottom"/>
            <w:tcBorders>
              <w:bottom w:val="single" w:sz="8" w:color="BFBFBF"/>
            </w:tcBorders>
            <w:shd w:val="clear" w:color="auto" w:fill="BFBFBF"/>
          </w:tcPr>
          <w:p>
            <w:pPr>
              <w:ind w:left="100"/>
              <w:spacing w:after="0" w:line="196" w:lineRule="exact"/>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BFBFBF"/>
          </w:tcPr>
          <w:p>
            <w:pPr>
              <w:spacing w:after="0"/>
              <w:rPr>
                <w:sz w:val="17"/>
                <w:szCs w:val="17"/>
                <w:color w:val="auto"/>
              </w:rPr>
            </w:pPr>
          </w:p>
        </w:tc>
        <w:tc>
          <w:tcPr>
            <w:tcW w:w="1140" w:type="dxa"/>
            <w:vAlign w:val="bottom"/>
            <w:tcBorders>
              <w:bottom w:val="single" w:sz="8" w:color="auto"/>
            </w:tcBorders>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$47,041</w:t>
            </w:r>
          </w:p>
        </w:tc>
        <w:tc>
          <w:tcPr>
            <w:tcW w:w="1020" w:type="dxa"/>
            <w:vAlign w:val="bottom"/>
            <w:tcBorders>
              <w:bottom w:val="single" w:sz="8" w:color="BFBFBF"/>
            </w:tcBorders>
            <w:shd w:val="clear" w:color="auto" w:fill="BFBFBF"/>
          </w:tcPr>
          <w:p>
            <w:pPr>
              <w:spacing w:after="0"/>
              <w:rPr>
                <w:sz w:val="17"/>
                <w:szCs w:val="17"/>
                <w:color w:val="auto"/>
              </w:rPr>
            </w:pPr>
          </w:p>
        </w:tc>
        <w:tc>
          <w:tcPr>
            <w:tcW w:w="440" w:type="dxa"/>
            <w:vAlign w:val="bottom"/>
            <w:tcBorders>
              <w:bottom w:val="single" w:sz="8" w:color="auto"/>
            </w:tcBorders>
            <w:shd w:val="clear" w:color="auto" w:fill="BFBFBF"/>
          </w:tcPr>
          <w:p>
            <w:pPr>
              <w:spacing w:after="0"/>
              <w:rPr>
                <w:sz w:val="17"/>
                <w:szCs w:val="17"/>
                <w:color w:val="auto"/>
              </w:rPr>
            </w:pPr>
          </w:p>
        </w:tc>
        <w:tc>
          <w:tcPr>
            <w:tcW w:w="1040" w:type="dxa"/>
            <w:vAlign w:val="bottom"/>
            <w:tcBorders>
              <w:bottom w:val="single" w:sz="8" w:color="auto"/>
            </w:tcBorders>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$16,733</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780" w:type="dxa"/>
            <w:vAlign w:val="bottom"/>
            <w:gridSpan w:val="2"/>
          </w:tcPr>
          <w:p>
            <w:pPr>
              <w:ind w:left="100"/>
              <w:spacing w:after="0"/>
              <w:rPr>
                <w:sz w:val="20"/>
                <w:szCs w:val="20"/>
                <w:color w:val="auto"/>
              </w:rPr>
            </w:pPr>
            <w:r>
              <w:rPr>
                <w:rFonts w:ascii="Arial" w:cs="Arial" w:eastAsia="Arial" w:hAnsi="Arial"/>
                <w:sz w:val="18"/>
                <w:szCs w:val="18"/>
                <w:color w:val="auto"/>
              </w:rPr>
              <w:t>Earnings per share - Basic</w:t>
            </w: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80" w:type="dxa"/>
            <w:vAlign w:val="bottom"/>
            <w:gridSpan w:val="2"/>
            <w:shd w:val="clear" w:color="auto" w:fill="BFBFBF"/>
          </w:tcPr>
          <w:p>
            <w:pPr>
              <w:ind w:left="100"/>
              <w:spacing w:after="0" w:line="202" w:lineRule="exact"/>
              <w:rPr>
                <w:sz w:val="20"/>
                <w:szCs w:val="20"/>
                <w:color w:val="auto"/>
              </w:rPr>
            </w:pPr>
            <w:r>
              <w:rPr>
                <w:rFonts w:ascii="Arial" w:cs="Arial" w:eastAsia="Arial" w:hAnsi="Arial"/>
                <w:sz w:val="18"/>
                <w:szCs w:val="18"/>
                <w:color w:val="auto"/>
              </w:rPr>
              <w:t>Income from continuing operations</w:t>
            </w:r>
          </w:p>
        </w:tc>
        <w:tc>
          <w:tcPr>
            <w:tcW w:w="114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$0.03</w:t>
            </w:r>
          </w:p>
        </w:tc>
        <w:tc>
          <w:tcPr>
            <w:tcW w:w="102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104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3"/>
        </w:trPr>
        <w:tc>
          <w:tcPr>
            <w:tcW w:w="7440" w:type="dxa"/>
            <w:vAlign w:val="bottom"/>
            <w:tcBorders>
              <w:bottom w:val="single" w:sz="8" w:color="BFBFBF"/>
            </w:tcBorders>
          </w:tcPr>
          <w:p>
            <w:pPr>
              <w:ind w:left="100"/>
              <w:spacing w:after="0" w:line="202" w:lineRule="exact"/>
              <w:rPr>
                <w:sz w:val="20"/>
                <w:szCs w:val="20"/>
                <w:color w:val="auto"/>
              </w:rPr>
            </w:pPr>
            <w:r>
              <w:rPr>
                <w:rFonts w:ascii="Arial" w:cs="Arial" w:eastAsia="Arial" w:hAnsi="Arial"/>
                <w:sz w:val="18"/>
                <w:szCs w:val="18"/>
                <w:color w:val="auto"/>
              </w:rPr>
              <w:t>Discontinued operations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1.47</w:t>
            </w:r>
          </w:p>
        </w:tc>
        <w:tc>
          <w:tcPr>
            <w:tcW w:w="1020" w:type="dxa"/>
            <w:vAlign w:val="bottom"/>
            <w:tcBorders>
              <w:bottom w:val="single" w:sz="8" w:color="BFBFB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196"/>
        </w:trPr>
        <w:tc>
          <w:tcPr>
            <w:tcW w:w="7440" w:type="dxa"/>
            <w:vAlign w:val="bottom"/>
            <w:tcBorders>
              <w:bottom w:val="single" w:sz="8" w:color="BFBFBF"/>
            </w:tcBorders>
            <w:shd w:val="clear" w:color="auto" w:fill="BFBFBF"/>
          </w:tcPr>
          <w:p>
            <w:pPr>
              <w:ind w:left="100"/>
              <w:spacing w:after="0" w:line="196" w:lineRule="exact"/>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BFBFBF"/>
          </w:tcPr>
          <w:p>
            <w:pPr>
              <w:spacing w:after="0"/>
              <w:rPr>
                <w:sz w:val="17"/>
                <w:szCs w:val="17"/>
                <w:color w:val="auto"/>
              </w:rPr>
            </w:pPr>
          </w:p>
        </w:tc>
        <w:tc>
          <w:tcPr>
            <w:tcW w:w="1140" w:type="dxa"/>
            <w:vAlign w:val="bottom"/>
            <w:tcBorders>
              <w:bottom w:val="single" w:sz="8" w:color="auto"/>
            </w:tcBorders>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$1.50</w:t>
            </w:r>
          </w:p>
        </w:tc>
        <w:tc>
          <w:tcPr>
            <w:tcW w:w="1020" w:type="dxa"/>
            <w:vAlign w:val="bottom"/>
            <w:tcBorders>
              <w:bottom w:val="single" w:sz="8" w:color="BFBFBF"/>
            </w:tcBorders>
            <w:shd w:val="clear" w:color="auto" w:fill="BFBFBF"/>
          </w:tcPr>
          <w:p>
            <w:pPr>
              <w:spacing w:after="0"/>
              <w:rPr>
                <w:sz w:val="17"/>
                <w:szCs w:val="17"/>
                <w:color w:val="auto"/>
              </w:rPr>
            </w:pPr>
          </w:p>
        </w:tc>
        <w:tc>
          <w:tcPr>
            <w:tcW w:w="440" w:type="dxa"/>
            <w:vAlign w:val="bottom"/>
            <w:tcBorders>
              <w:bottom w:val="single" w:sz="8" w:color="auto"/>
            </w:tcBorders>
            <w:shd w:val="clear" w:color="auto" w:fill="BFBFBF"/>
          </w:tcPr>
          <w:p>
            <w:pPr>
              <w:spacing w:after="0"/>
              <w:rPr>
                <w:sz w:val="17"/>
                <w:szCs w:val="17"/>
                <w:color w:val="auto"/>
              </w:rPr>
            </w:pPr>
          </w:p>
        </w:tc>
        <w:tc>
          <w:tcPr>
            <w:tcW w:w="1040" w:type="dxa"/>
            <w:vAlign w:val="bottom"/>
            <w:tcBorders>
              <w:bottom w:val="single" w:sz="8" w:color="auto"/>
            </w:tcBorders>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780" w:type="dxa"/>
            <w:vAlign w:val="bottom"/>
            <w:gridSpan w:val="2"/>
          </w:tcPr>
          <w:p>
            <w:pPr>
              <w:ind w:left="100"/>
              <w:spacing w:after="0"/>
              <w:rPr>
                <w:sz w:val="20"/>
                <w:szCs w:val="20"/>
                <w:color w:val="auto"/>
              </w:rPr>
            </w:pPr>
            <w:r>
              <w:rPr>
                <w:rFonts w:ascii="Arial" w:cs="Arial" w:eastAsia="Arial" w:hAnsi="Arial"/>
                <w:sz w:val="18"/>
                <w:szCs w:val="18"/>
                <w:color w:val="auto"/>
              </w:rPr>
              <w:t>Earnings per share - Diluted</w:t>
            </w: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80" w:type="dxa"/>
            <w:vAlign w:val="bottom"/>
            <w:gridSpan w:val="2"/>
            <w:shd w:val="clear" w:color="auto" w:fill="BFBFBF"/>
          </w:tcPr>
          <w:p>
            <w:pPr>
              <w:ind w:left="100"/>
              <w:spacing w:after="0" w:line="202" w:lineRule="exact"/>
              <w:rPr>
                <w:sz w:val="20"/>
                <w:szCs w:val="20"/>
                <w:color w:val="auto"/>
              </w:rPr>
            </w:pPr>
            <w:r>
              <w:rPr>
                <w:rFonts w:ascii="Arial" w:cs="Arial" w:eastAsia="Arial" w:hAnsi="Arial"/>
                <w:sz w:val="18"/>
                <w:szCs w:val="18"/>
                <w:color w:val="auto"/>
              </w:rPr>
              <w:t>Income from continuing operations</w:t>
            </w:r>
          </w:p>
        </w:tc>
        <w:tc>
          <w:tcPr>
            <w:tcW w:w="114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$0.03</w:t>
            </w:r>
          </w:p>
        </w:tc>
        <w:tc>
          <w:tcPr>
            <w:tcW w:w="102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104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3"/>
        </w:trPr>
        <w:tc>
          <w:tcPr>
            <w:tcW w:w="7440" w:type="dxa"/>
            <w:vAlign w:val="bottom"/>
            <w:tcBorders>
              <w:bottom w:val="single" w:sz="8" w:color="BFBFBF"/>
            </w:tcBorders>
          </w:tcPr>
          <w:p>
            <w:pPr>
              <w:ind w:left="100"/>
              <w:spacing w:after="0" w:line="202" w:lineRule="exact"/>
              <w:rPr>
                <w:sz w:val="20"/>
                <w:szCs w:val="20"/>
                <w:color w:val="auto"/>
              </w:rPr>
            </w:pPr>
            <w:r>
              <w:rPr>
                <w:rFonts w:ascii="Arial" w:cs="Arial" w:eastAsia="Arial" w:hAnsi="Arial"/>
                <w:sz w:val="18"/>
                <w:szCs w:val="18"/>
                <w:color w:val="auto"/>
              </w:rPr>
              <w:t>Discontinued operations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1.46</w:t>
            </w:r>
          </w:p>
        </w:tc>
        <w:tc>
          <w:tcPr>
            <w:tcW w:w="1020" w:type="dxa"/>
            <w:vAlign w:val="bottom"/>
            <w:tcBorders>
              <w:bottom w:val="single" w:sz="8" w:color="BFBFB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196"/>
        </w:trPr>
        <w:tc>
          <w:tcPr>
            <w:tcW w:w="7780" w:type="dxa"/>
            <w:vAlign w:val="bottom"/>
            <w:gridSpan w:val="2"/>
            <w:shd w:val="clear" w:color="auto" w:fill="BFBFBF"/>
          </w:tcPr>
          <w:p>
            <w:pPr>
              <w:ind w:left="100"/>
              <w:spacing w:after="0" w:line="196" w:lineRule="exact"/>
              <w:rPr>
                <w:sz w:val="20"/>
                <w:szCs w:val="20"/>
                <w:color w:val="auto"/>
              </w:rPr>
            </w:pPr>
            <w:r>
              <w:rPr>
                <w:rFonts w:ascii="Arial" w:cs="Arial" w:eastAsia="Arial" w:hAnsi="Arial"/>
                <w:sz w:val="18"/>
                <w:szCs w:val="18"/>
                <w:color w:val="auto"/>
              </w:rPr>
              <w:t>Net income</w:t>
            </w:r>
          </w:p>
        </w:tc>
        <w:tc>
          <w:tcPr>
            <w:tcW w:w="1140" w:type="dxa"/>
            <w:vAlign w:val="bottom"/>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$1.49</w:t>
            </w:r>
          </w:p>
        </w:tc>
        <w:tc>
          <w:tcPr>
            <w:tcW w:w="102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1040" w:type="dxa"/>
            <w:vAlign w:val="bottom"/>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0"/>
        </w:trPr>
        <w:tc>
          <w:tcPr>
            <w:tcW w:w="7440" w:type="dxa"/>
            <w:vAlign w:val="bottom"/>
            <w:tcBorders>
              <w:top w:val="single" w:sz="8" w:color="BFBFB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BFBFB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780" w:type="dxa"/>
            <w:vAlign w:val="bottom"/>
            <w:gridSpan w:val="2"/>
          </w:tcPr>
          <w:p>
            <w:pPr>
              <w:ind w:left="100"/>
              <w:spacing w:after="0"/>
              <w:rPr>
                <w:sz w:val="20"/>
                <w:szCs w:val="20"/>
                <w:color w:val="auto"/>
              </w:rPr>
            </w:pPr>
            <w:r>
              <w:rPr>
                <w:rFonts w:ascii="Arial" w:cs="Arial" w:eastAsia="Arial" w:hAnsi="Arial"/>
                <w:sz w:val="18"/>
                <w:szCs w:val="18"/>
                <w:color w:val="auto"/>
              </w:rPr>
              <w:t>Shares used in computing earnings per share:</w:t>
            </w: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80" w:type="dxa"/>
            <w:vAlign w:val="bottom"/>
            <w:gridSpan w:val="2"/>
          </w:tcPr>
          <w:p>
            <w:pPr>
              <w:ind w:left="200"/>
              <w:spacing w:after="0" w:line="203" w:lineRule="exact"/>
              <w:rPr>
                <w:sz w:val="20"/>
                <w:szCs w:val="20"/>
                <w:color w:val="auto"/>
              </w:rPr>
            </w:pPr>
            <w:r>
              <w:rPr>
                <w:rFonts w:ascii="Arial" w:cs="Arial" w:eastAsia="Arial" w:hAnsi="Arial"/>
                <w:sz w:val="18"/>
                <w:szCs w:val="18"/>
                <w:color w:val="auto"/>
              </w:rPr>
              <w:t>Basic</w:t>
            </w:r>
          </w:p>
        </w:tc>
        <w:tc>
          <w:tcPr>
            <w:tcW w:w="1140" w:type="dxa"/>
            <w:vAlign w:val="bottom"/>
          </w:tcPr>
          <w:p>
            <w:pPr>
              <w:jc w:val="right"/>
              <w:ind w:right="10"/>
              <w:spacing w:after="0" w:line="203" w:lineRule="exact"/>
              <w:rPr>
                <w:sz w:val="20"/>
                <w:szCs w:val="20"/>
                <w:color w:val="auto"/>
              </w:rPr>
            </w:pPr>
            <w:r>
              <w:rPr>
                <w:rFonts w:ascii="Arial" w:cs="Arial" w:eastAsia="Arial" w:hAnsi="Arial"/>
                <w:sz w:val="18"/>
                <w:szCs w:val="18"/>
                <w:color w:val="auto"/>
              </w:rPr>
              <w:t>31,309</w:t>
            </w: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ind w:right="10"/>
              <w:spacing w:after="0" w:line="203" w:lineRule="exact"/>
              <w:rPr>
                <w:sz w:val="20"/>
                <w:szCs w:val="20"/>
                <w:color w:val="auto"/>
              </w:rPr>
            </w:pPr>
            <w:r>
              <w:rPr>
                <w:rFonts w:ascii="Arial" w:cs="Arial" w:eastAsia="Arial" w:hAnsi="Arial"/>
                <w:sz w:val="18"/>
                <w:szCs w:val="18"/>
                <w:color w:val="auto"/>
              </w:rPr>
              <w:t>31,223</w:t>
            </w:r>
          </w:p>
        </w:tc>
        <w:tc>
          <w:tcPr>
            <w:tcW w:w="0" w:type="dxa"/>
            <w:vAlign w:val="bottom"/>
          </w:tcPr>
          <w:p>
            <w:pPr>
              <w:spacing w:after="0"/>
              <w:rPr>
                <w:sz w:val="1"/>
                <w:szCs w:val="1"/>
                <w:color w:val="auto"/>
              </w:rPr>
            </w:pPr>
          </w:p>
        </w:tc>
      </w:tr>
      <w:tr>
        <w:trPr>
          <w:trHeight w:val="203"/>
        </w:trPr>
        <w:tc>
          <w:tcPr>
            <w:tcW w:w="7780" w:type="dxa"/>
            <w:vAlign w:val="bottom"/>
            <w:gridSpan w:val="2"/>
            <w:shd w:val="clear" w:color="auto" w:fill="BFBFBF"/>
          </w:tcPr>
          <w:p>
            <w:pPr>
              <w:ind w:left="200"/>
              <w:spacing w:after="0" w:line="202" w:lineRule="exact"/>
              <w:rPr>
                <w:sz w:val="20"/>
                <w:szCs w:val="20"/>
                <w:color w:val="auto"/>
              </w:rPr>
            </w:pPr>
            <w:r>
              <w:rPr>
                <w:rFonts w:ascii="Arial" w:cs="Arial" w:eastAsia="Arial" w:hAnsi="Arial"/>
                <w:sz w:val="18"/>
                <w:szCs w:val="18"/>
                <w:color w:val="auto"/>
              </w:rPr>
              <w:t>Diluted</w:t>
            </w:r>
          </w:p>
        </w:tc>
        <w:tc>
          <w:tcPr>
            <w:tcW w:w="114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31,533</w:t>
            </w:r>
          </w:p>
        </w:tc>
        <w:tc>
          <w:tcPr>
            <w:tcW w:w="102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104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31,384</w:t>
            </w:r>
          </w:p>
        </w:tc>
        <w:tc>
          <w:tcPr>
            <w:tcW w:w="0" w:type="dxa"/>
            <w:vAlign w:val="bottom"/>
          </w:tcPr>
          <w:p>
            <w:pPr>
              <w:spacing w:after="0"/>
              <w:rPr>
                <w:sz w:val="1"/>
                <w:szCs w:val="1"/>
                <w:color w:val="auto"/>
              </w:rPr>
            </w:pPr>
          </w:p>
        </w:tc>
      </w:tr>
      <w:tr>
        <w:trPr>
          <w:trHeight w:val="419"/>
        </w:trPr>
        <w:tc>
          <w:tcPr>
            <w:tcW w:w="7780" w:type="dxa"/>
            <w:vAlign w:val="bottom"/>
            <w:gridSpan w:val="2"/>
          </w:tcPr>
          <w:p>
            <w:pPr>
              <w:ind w:left="100"/>
              <w:spacing w:after="0"/>
              <w:rPr>
                <w:sz w:val="20"/>
                <w:szCs w:val="20"/>
                <w:color w:val="auto"/>
              </w:rPr>
            </w:pPr>
            <w:r>
              <w:rPr>
                <w:rFonts w:ascii="Arial" w:cs="Arial" w:eastAsia="Arial" w:hAnsi="Arial"/>
                <w:sz w:val="18"/>
                <w:szCs w:val="18"/>
                <w:color w:val="auto"/>
              </w:rPr>
              <w:t>Dividends per share</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$0.13</w:t>
            </w: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600" w:type="dxa"/>
            <w:vAlign w:val="bottom"/>
            <w:gridSpan w:val="2"/>
          </w:tcPr>
          <w:p>
            <w:pPr>
              <w:jc w:val="center"/>
              <w:ind w:left="2730"/>
              <w:spacing w:after="0"/>
              <w:rPr>
                <w:sz w:val="20"/>
                <w:szCs w:val="20"/>
                <w:color w:val="auto"/>
              </w:rPr>
            </w:pPr>
            <w:r>
              <w:rPr>
                <w:rFonts w:ascii="Arial" w:cs="Arial" w:eastAsia="Arial" w:hAnsi="Arial"/>
                <w:sz w:val="18"/>
                <w:szCs w:val="18"/>
                <w:color w:val="auto"/>
                <w:w w:val="98"/>
              </w:rPr>
              <w:t>ALBANY INTERNATIONAL CORP.</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0" w:type="dxa"/>
            <w:vAlign w:val="bottom"/>
            <w:gridSpan w:val="2"/>
          </w:tcPr>
          <w:p>
            <w:pPr>
              <w:jc w:val="center"/>
              <w:ind w:left="2730"/>
              <w:spacing w:after="0" w:line="202" w:lineRule="exact"/>
              <w:rPr>
                <w:sz w:val="20"/>
                <w:szCs w:val="20"/>
                <w:color w:val="auto"/>
              </w:rPr>
            </w:pPr>
            <w:r>
              <w:rPr>
                <w:rFonts w:ascii="Arial" w:cs="Arial" w:eastAsia="Arial" w:hAnsi="Arial"/>
                <w:sz w:val="18"/>
                <w:szCs w:val="18"/>
                <w:color w:val="auto"/>
                <w:w w:val="99"/>
              </w:rPr>
              <w:t>CONSOLIDATED STATEMENTS OF COMPREHENSIVE INCOME</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0" w:type="dxa"/>
            <w:vAlign w:val="bottom"/>
            <w:gridSpan w:val="2"/>
          </w:tcPr>
          <w:p>
            <w:pPr>
              <w:ind w:left="4540"/>
              <w:spacing w:after="0" w:line="202" w:lineRule="exact"/>
              <w:rPr>
                <w:sz w:val="20"/>
                <w:szCs w:val="20"/>
                <w:color w:val="auto"/>
              </w:rPr>
            </w:pPr>
            <w:r>
              <w:rPr>
                <w:rFonts w:ascii="Arial" w:cs="Arial" w:eastAsia="Arial" w:hAnsi="Arial"/>
                <w:sz w:val="18"/>
                <w:szCs w:val="18"/>
                <w:color w:val="auto"/>
              </w:rPr>
              <w:t>(in thousands, except per share data)</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600" w:type="dxa"/>
            <w:vAlign w:val="bottom"/>
            <w:gridSpan w:val="2"/>
          </w:tcPr>
          <w:p>
            <w:pPr>
              <w:jc w:val="center"/>
              <w:ind w:left="2730"/>
              <w:spacing w:after="0"/>
              <w:rPr>
                <w:sz w:val="20"/>
                <w:szCs w:val="20"/>
                <w:color w:val="auto"/>
              </w:rPr>
            </w:pPr>
            <w:r>
              <w:rPr>
                <w:rFonts w:ascii="Arial" w:cs="Arial" w:eastAsia="Arial" w:hAnsi="Arial"/>
                <w:sz w:val="18"/>
                <w:szCs w:val="18"/>
                <w:color w:val="auto"/>
                <w:w w:val="98"/>
              </w:rPr>
              <w:t>(unaudited)</w:t>
            </w:r>
          </w:p>
        </w:tc>
        <w:tc>
          <w:tcPr>
            <w:tcW w:w="2820" w:type="dxa"/>
            <w:vAlign w:val="bottom"/>
            <w:gridSpan w:val="4"/>
            <w:vMerge w:val="restart"/>
          </w:tcPr>
          <w:p>
            <w:pPr>
              <w:jc w:val="center"/>
              <w:ind w:right="170"/>
              <w:spacing w:after="0"/>
              <w:rPr>
                <w:sz w:val="20"/>
                <w:szCs w:val="20"/>
                <w:color w:val="auto"/>
              </w:rPr>
            </w:pPr>
            <w:r>
              <w:rPr>
                <w:rFonts w:ascii="Arial" w:cs="Arial" w:eastAsia="Arial" w:hAnsi="Arial"/>
                <w:sz w:val="18"/>
                <w:szCs w:val="18"/>
                <w:color w:val="auto"/>
                <w:w w:val="99"/>
              </w:rPr>
              <w:t>Three Months Ended</w:t>
            </w:r>
          </w:p>
        </w:tc>
        <w:tc>
          <w:tcPr>
            <w:tcW w:w="0" w:type="dxa"/>
            <w:vAlign w:val="bottom"/>
          </w:tcPr>
          <w:p>
            <w:pPr>
              <w:spacing w:after="0"/>
              <w:rPr>
                <w:sz w:val="1"/>
                <w:szCs w:val="1"/>
                <w:color w:val="auto"/>
              </w:rPr>
            </w:pPr>
          </w:p>
        </w:tc>
      </w:tr>
      <w:tr>
        <w:trPr>
          <w:trHeight w:val="188"/>
        </w:trPr>
        <w:tc>
          <w:tcPr>
            <w:tcW w:w="8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2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gridSpan w:val="3"/>
          </w:tcPr>
          <w:p>
            <w:pPr>
              <w:jc w:val="center"/>
              <w:ind w:left="690"/>
              <w:spacing w:after="0" w:line="202" w:lineRule="exact"/>
              <w:rPr>
                <w:sz w:val="20"/>
                <w:szCs w:val="20"/>
                <w:color w:val="auto"/>
              </w:rPr>
            </w:pPr>
            <w:r>
              <w:rPr>
                <w:rFonts w:ascii="Arial" w:cs="Arial" w:eastAsia="Arial" w:hAnsi="Arial"/>
                <w:sz w:val="18"/>
                <w:szCs w:val="18"/>
                <w:color w:val="auto"/>
                <w:w w:val="99"/>
              </w:rPr>
              <w:t>March 31,</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Borders>
              <w:bottom w:val="single" w:sz="8" w:color="BFBFB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rPr>
              <w:t>2012</w:t>
            </w:r>
          </w:p>
        </w:tc>
        <w:tc>
          <w:tcPr>
            <w:tcW w:w="240" w:type="dxa"/>
            <w:vAlign w:val="bottom"/>
            <w:tcBorders>
              <w:bottom w:val="single" w:sz="8" w:color="BFBFB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0"/>
              <w:spacing w:after="0" w:line="203" w:lineRule="exact"/>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196"/>
        </w:trPr>
        <w:tc>
          <w:tcPr>
            <w:tcW w:w="8320" w:type="dxa"/>
            <w:vAlign w:val="bottom"/>
            <w:shd w:val="clear" w:color="auto" w:fill="BFBFBF"/>
          </w:tcPr>
          <w:p>
            <w:pPr>
              <w:ind w:left="100"/>
              <w:spacing w:after="0" w:line="196" w:lineRule="exact"/>
              <w:rPr>
                <w:sz w:val="20"/>
                <w:szCs w:val="20"/>
                <w:color w:val="auto"/>
              </w:rPr>
            </w:pPr>
            <w:r>
              <w:rPr>
                <w:rFonts w:ascii="Arial" w:cs="Arial" w:eastAsia="Arial" w:hAnsi="Arial"/>
                <w:sz w:val="18"/>
                <w:szCs w:val="18"/>
                <w:color w:val="auto"/>
              </w:rPr>
              <w:t>Net income</w:t>
            </w:r>
          </w:p>
        </w:tc>
        <w:tc>
          <w:tcPr>
            <w:tcW w:w="280" w:type="dxa"/>
            <w:vAlign w:val="bottom"/>
            <w:shd w:val="clear" w:color="auto" w:fill="BFBFBF"/>
          </w:tcPr>
          <w:p>
            <w:pPr>
              <w:spacing w:after="0"/>
              <w:rPr>
                <w:sz w:val="17"/>
                <w:szCs w:val="17"/>
                <w:color w:val="auto"/>
              </w:rPr>
            </w:pPr>
          </w:p>
        </w:tc>
        <w:tc>
          <w:tcPr>
            <w:tcW w:w="1100" w:type="dxa"/>
            <w:vAlign w:val="bottom"/>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$47,041</w:t>
            </w:r>
          </w:p>
        </w:tc>
        <w:tc>
          <w:tcPr>
            <w:tcW w:w="24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1040" w:type="dxa"/>
            <w:vAlign w:val="bottom"/>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$16,733</w:t>
            </w:r>
          </w:p>
        </w:tc>
        <w:tc>
          <w:tcPr>
            <w:tcW w:w="0" w:type="dxa"/>
            <w:vAlign w:val="bottom"/>
          </w:tcPr>
          <w:p>
            <w:pPr>
              <w:spacing w:after="0"/>
              <w:rPr>
                <w:sz w:val="1"/>
                <w:szCs w:val="1"/>
                <w:color w:val="auto"/>
              </w:rPr>
            </w:pPr>
          </w:p>
        </w:tc>
      </w:tr>
      <w:tr>
        <w:trPr>
          <w:trHeight w:val="405"/>
        </w:trPr>
        <w:tc>
          <w:tcPr>
            <w:tcW w:w="8600" w:type="dxa"/>
            <w:vAlign w:val="bottom"/>
            <w:gridSpan w:val="2"/>
          </w:tcPr>
          <w:p>
            <w:pPr>
              <w:ind w:left="100"/>
              <w:spacing w:after="0"/>
              <w:rPr>
                <w:sz w:val="20"/>
                <w:szCs w:val="20"/>
                <w:color w:val="auto"/>
              </w:rPr>
            </w:pPr>
            <w:r>
              <w:rPr>
                <w:rFonts w:ascii="Arial" w:cs="Arial" w:eastAsia="Arial" w:hAnsi="Arial"/>
                <w:sz w:val="18"/>
                <w:szCs w:val="18"/>
                <w:color w:val="auto"/>
              </w:rPr>
              <w:t>Other comprehensive income/(loss), before tax:</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600" w:type="dxa"/>
            <w:vAlign w:val="bottom"/>
            <w:gridSpan w:val="2"/>
            <w:shd w:val="clear" w:color="auto" w:fill="BFBFBF"/>
          </w:tcPr>
          <w:p>
            <w:pPr>
              <w:ind w:left="160"/>
              <w:spacing w:after="0" w:line="202" w:lineRule="exact"/>
              <w:rPr>
                <w:sz w:val="20"/>
                <w:szCs w:val="20"/>
                <w:color w:val="auto"/>
              </w:rPr>
            </w:pPr>
            <w:r>
              <w:rPr>
                <w:rFonts w:ascii="Arial" w:cs="Arial" w:eastAsia="Arial" w:hAnsi="Arial"/>
                <w:sz w:val="18"/>
                <w:szCs w:val="18"/>
                <w:color w:val="auto"/>
              </w:rPr>
              <w:t>Foreign currency translation adjustments</w:t>
            </w:r>
          </w:p>
        </w:tc>
        <w:tc>
          <w:tcPr>
            <w:tcW w:w="11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13,318</w:t>
            </w:r>
          </w:p>
        </w:tc>
        <w:tc>
          <w:tcPr>
            <w:tcW w:w="24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104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25,912</w:t>
            </w:r>
          </w:p>
        </w:tc>
        <w:tc>
          <w:tcPr>
            <w:tcW w:w="0" w:type="dxa"/>
            <w:vAlign w:val="bottom"/>
          </w:tcPr>
          <w:p>
            <w:pPr>
              <w:spacing w:after="0"/>
              <w:rPr>
                <w:sz w:val="1"/>
                <w:szCs w:val="1"/>
                <w:color w:val="auto"/>
              </w:rPr>
            </w:pPr>
          </w:p>
        </w:tc>
      </w:tr>
      <w:tr>
        <w:trPr>
          <w:trHeight w:val="202"/>
        </w:trPr>
        <w:tc>
          <w:tcPr>
            <w:tcW w:w="860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Pension settlement</w:t>
            </w:r>
          </w:p>
        </w:tc>
        <w:tc>
          <w:tcPr>
            <w:tcW w:w="11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8,153</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600" w:type="dxa"/>
            <w:vAlign w:val="bottom"/>
            <w:gridSpan w:val="2"/>
          </w:tcPr>
          <w:p>
            <w:pPr>
              <w:ind w:left="140"/>
              <w:spacing w:after="0" w:line="203" w:lineRule="exact"/>
              <w:rPr>
                <w:sz w:val="20"/>
                <w:szCs w:val="20"/>
                <w:color w:val="auto"/>
              </w:rPr>
            </w:pPr>
            <w:r>
              <w:rPr>
                <w:rFonts w:ascii="Arial" w:cs="Arial" w:eastAsia="Arial" w:hAnsi="Arial"/>
                <w:sz w:val="18"/>
                <w:szCs w:val="18"/>
                <w:color w:val="auto"/>
              </w:rPr>
              <w:t>Amortization of Pension liability adjustment</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0" w:type="dxa"/>
            <w:vAlign w:val="bottom"/>
            <w:gridSpan w:val="2"/>
            <w:shd w:val="clear" w:color="auto" w:fill="BFBFBF"/>
          </w:tcPr>
          <w:p>
            <w:pPr>
              <w:ind w:left="280"/>
              <w:spacing w:after="0" w:line="202" w:lineRule="exact"/>
              <w:rPr>
                <w:sz w:val="20"/>
                <w:szCs w:val="20"/>
                <w:color w:val="auto"/>
              </w:rPr>
            </w:pPr>
            <w:r>
              <w:rPr>
                <w:rFonts w:ascii="Arial" w:cs="Arial" w:eastAsia="Arial" w:hAnsi="Arial"/>
                <w:sz w:val="18"/>
                <w:szCs w:val="18"/>
                <w:color w:val="auto"/>
              </w:rPr>
              <w:t>Transition obligation</w:t>
            </w:r>
          </w:p>
        </w:tc>
        <w:tc>
          <w:tcPr>
            <w:tcW w:w="11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19</w:t>
            </w:r>
          </w:p>
        </w:tc>
        <w:tc>
          <w:tcPr>
            <w:tcW w:w="24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104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3"/>
        </w:trPr>
        <w:tc>
          <w:tcPr>
            <w:tcW w:w="86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Prior service cost/(credit)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(908)</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03"/>
        </w:trPr>
        <w:tc>
          <w:tcPr>
            <w:tcW w:w="8600" w:type="dxa"/>
            <w:vAlign w:val="bottom"/>
            <w:gridSpan w:val="2"/>
            <w:shd w:val="clear" w:color="auto" w:fill="BFBFBF"/>
          </w:tcPr>
          <w:p>
            <w:pPr>
              <w:ind w:left="280"/>
              <w:spacing w:after="0" w:line="202" w:lineRule="exact"/>
              <w:rPr>
                <w:sz w:val="20"/>
                <w:szCs w:val="20"/>
                <w:color w:val="auto"/>
              </w:rPr>
            </w:pPr>
            <w:r>
              <w:rPr>
                <w:rFonts w:ascii="Arial" w:cs="Arial" w:eastAsia="Arial" w:hAnsi="Arial"/>
                <w:sz w:val="18"/>
                <w:szCs w:val="18"/>
                <w:color w:val="auto"/>
              </w:rPr>
              <w:t>Net actuarial loss</w:t>
            </w:r>
          </w:p>
        </w:tc>
        <w:tc>
          <w:tcPr>
            <w:tcW w:w="11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2,577</w:t>
            </w:r>
          </w:p>
        </w:tc>
        <w:tc>
          <w:tcPr>
            <w:tcW w:w="24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104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217"/>
        </w:trPr>
        <w:tc>
          <w:tcPr>
            <w:tcW w:w="8600" w:type="dxa"/>
            <w:vAlign w:val="bottom"/>
            <w:gridSpan w:val="2"/>
          </w:tcPr>
          <w:p>
            <w:pPr>
              <w:ind w:left="160"/>
              <w:spacing w:after="0"/>
              <w:rPr>
                <w:sz w:val="20"/>
                <w:szCs w:val="20"/>
                <w:color w:val="auto"/>
              </w:rPr>
            </w:pPr>
            <w:r>
              <w:rPr>
                <w:rFonts w:ascii="Arial" w:cs="Arial" w:eastAsia="Arial" w:hAnsi="Arial"/>
                <w:sz w:val="18"/>
                <w:szCs w:val="18"/>
                <w:color w:val="auto"/>
              </w:rPr>
              <w:t>Derivative valuation adjustment</w:t>
            </w:r>
          </w:p>
        </w:tc>
        <w:tc>
          <w:tcPr>
            <w:tcW w:w="1100" w:type="dxa"/>
            <w:vAlign w:val="bottom"/>
          </w:tcPr>
          <w:p>
            <w:pPr>
              <w:jc w:val="right"/>
              <w:spacing w:after="0"/>
              <w:rPr>
                <w:sz w:val="20"/>
                <w:szCs w:val="20"/>
                <w:color w:val="auto"/>
              </w:rPr>
            </w:pPr>
            <w:r>
              <w:rPr>
                <w:rFonts w:ascii="Arial" w:cs="Arial" w:eastAsia="Arial" w:hAnsi="Arial"/>
                <w:sz w:val="18"/>
                <w:szCs w:val="18"/>
                <w:color w:val="auto"/>
              </w:rPr>
              <w:t>(346)</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390"/>
        </w:trPr>
        <w:tc>
          <w:tcPr>
            <w:tcW w:w="8600" w:type="dxa"/>
            <w:vAlign w:val="bottom"/>
            <w:gridSpan w:val="2"/>
          </w:tcPr>
          <w:p>
            <w:pPr>
              <w:ind w:left="100"/>
              <w:spacing w:after="0"/>
              <w:rPr>
                <w:sz w:val="20"/>
                <w:szCs w:val="20"/>
                <w:color w:val="auto"/>
              </w:rPr>
            </w:pPr>
            <w:r>
              <w:rPr>
                <w:rFonts w:ascii="Arial" w:cs="Arial" w:eastAsia="Arial" w:hAnsi="Arial"/>
                <w:sz w:val="18"/>
                <w:szCs w:val="18"/>
                <w:color w:val="auto"/>
              </w:rPr>
              <w:t>Income taxes related to items of other comprehensive (loss)/income:</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600" w:type="dxa"/>
            <w:vAlign w:val="bottom"/>
            <w:gridSpan w:val="2"/>
          </w:tcPr>
          <w:p>
            <w:pPr>
              <w:ind w:left="160"/>
              <w:spacing w:after="0" w:line="203" w:lineRule="exact"/>
              <w:rPr>
                <w:sz w:val="20"/>
                <w:szCs w:val="20"/>
                <w:color w:val="auto"/>
              </w:rPr>
            </w:pPr>
            <w:r>
              <w:rPr>
                <w:rFonts w:ascii="Arial" w:cs="Arial" w:eastAsia="Arial" w:hAnsi="Arial"/>
                <w:sz w:val="18"/>
                <w:szCs w:val="18"/>
                <w:color w:val="auto"/>
              </w:rPr>
              <w:t>Pension settlement</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(2,144)</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600" w:type="dxa"/>
            <w:vAlign w:val="bottom"/>
            <w:gridSpan w:val="2"/>
            <w:shd w:val="clear" w:color="auto" w:fill="BFBFBF"/>
          </w:tcPr>
          <w:p>
            <w:pPr>
              <w:ind w:left="140"/>
              <w:spacing w:after="0" w:line="202" w:lineRule="exact"/>
              <w:rPr>
                <w:sz w:val="20"/>
                <w:szCs w:val="20"/>
                <w:color w:val="auto"/>
              </w:rPr>
            </w:pPr>
            <w:r>
              <w:rPr>
                <w:rFonts w:ascii="Arial" w:cs="Arial" w:eastAsia="Arial" w:hAnsi="Arial"/>
                <w:sz w:val="18"/>
                <w:szCs w:val="18"/>
                <w:color w:val="auto"/>
              </w:rPr>
              <w:t>Amortization of Pension liability adjustment</w:t>
            </w:r>
          </w:p>
        </w:tc>
        <w:tc>
          <w:tcPr>
            <w:tcW w:w="11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(523)</w:t>
            </w:r>
          </w:p>
        </w:tc>
        <w:tc>
          <w:tcPr>
            <w:tcW w:w="24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104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7"/>
        </w:trPr>
        <w:tc>
          <w:tcPr>
            <w:tcW w:w="8600" w:type="dxa"/>
            <w:vAlign w:val="bottom"/>
            <w:gridSpan w:val="2"/>
          </w:tcPr>
          <w:p>
            <w:pPr>
              <w:ind w:left="160"/>
              <w:spacing w:after="0"/>
              <w:rPr>
                <w:sz w:val="20"/>
                <w:szCs w:val="20"/>
                <w:color w:val="auto"/>
              </w:rPr>
            </w:pPr>
            <w:r>
              <w:rPr>
                <w:rFonts w:ascii="Arial" w:cs="Arial" w:eastAsia="Arial" w:hAnsi="Arial"/>
                <w:sz w:val="18"/>
                <w:szCs w:val="18"/>
                <w:color w:val="auto"/>
              </w:rPr>
              <w:t>Derivative valuation adjustment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188"/>
        </w:trPr>
        <w:tc>
          <w:tcPr>
            <w:tcW w:w="8320" w:type="dxa"/>
            <w:vAlign w:val="bottom"/>
            <w:tcBorders>
              <w:bottom w:val="single" w:sz="8" w:color="BFBFB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40" w:type="dxa"/>
            <w:vAlign w:val="bottom"/>
            <w:tcBorders>
              <w:bottom w:val="single" w:sz="8" w:color="BFBFB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320" w:type="dxa"/>
            <w:vAlign w:val="bottom"/>
            <w:shd w:val="clear" w:color="auto" w:fill="BFBFBF"/>
          </w:tcPr>
          <w:p>
            <w:pPr>
              <w:ind w:left="100"/>
              <w:spacing w:after="0" w:line="196" w:lineRule="exact"/>
              <w:rPr>
                <w:sz w:val="20"/>
                <w:szCs w:val="20"/>
                <w:color w:val="auto"/>
              </w:rPr>
            </w:pPr>
            <w:r>
              <w:rPr>
                <w:rFonts w:ascii="Arial" w:cs="Arial" w:eastAsia="Arial" w:hAnsi="Arial"/>
                <w:sz w:val="18"/>
                <w:szCs w:val="18"/>
                <w:color w:val="auto"/>
              </w:rPr>
              <w:t>Other comprehensive income, net of tax</w:t>
            </w:r>
          </w:p>
        </w:tc>
        <w:tc>
          <w:tcPr>
            <w:tcW w:w="280" w:type="dxa"/>
            <w:vAlign w:val="bottom"/>
            <w:shd w:val="clear" w:color="auto" w:fill="BFBFBF"/>
          </w:tcPr>
          <w:p>
            <w:pPr>
              <w:spacing w:after="0"/>
              <w:rPr>
                <w:sz w:val="17"/>
                <w:szCs w:val="17"/>
                <w:color w:val="auto"/>
              </w:rPr>
            </w:pPr>
          </w:p>
        </w:tc>
        <w:tc>
          <w:tcPr>
            <w:tcW w:w="1100" w:type="dxa"/>
            <w:vAlign w:val="bottom"/>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$20,281</w:t>
            </w:r>
          </w:p>
        </w:tc>
        <w:tc>
          <w:tcPr>
            <w:tcW w:w="24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1040" w:type="dxa"/>
            <w:vAlign w:val="bottom"/>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$27,204</w:t>
            </w:r>
          </w:p>
        </w:tc>
        <w:tc>
          <w:tcPr>
            <w:tcW w:w="0" w:type="dxa"/>
            <w:vAlign w:val="bottom"/>
          </w:tcPr>
          <w:p>
            <w:pPr>
              <w:spacing w:after="0"/>
              <w:rPr>
                <w:sz w:val="1"/>
                <w:szCs w:val="1"/>
                <w:color w:val="auto"/>
              </w:rPr>
            </w:pPr>
          </w:p>
        </w:tc>
      </w:tr>
      <w:tr>
        <w:trPr>
          <w:trHeight w:val="203"/>
        </w:trPr>
        <w:tc>
          <w:tcPr>
            <w:tcW w:w="8600" w:type="dxa"/>
            <w:vAlign w:val="bottom"/>
            <w:gridSpan w:val="2"/>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20" w:type="dxa"/>
            <w:vAlign w:val="bottom"/>
          </w:tcPr>
          <w:p>
            <w:pPr>
              <w:ind w:left="100"/>
              <w:spacing w:after="0" w:line="196" w:lineRule="exact"/>
              <w:rPr>
                <w:sz w:val="20"/>
                <w:szCs w:val="20"/>
                <w:color w:val="auto"/>
              </w:rPr>
            </w:pPr>
            <w:r>
              <w:rPr>
                <w:rFonts w:ascii="Arial" w:cs="Arial" w:eastAsia="Arial" w:hAnsi="Arial"/>
                <w:sz w:val="18"/>
                <w:szCs w:val="18"/>
                <w:color w:val="auto"/>
              </w:rPr>
              <w:t>Comprehensive income</w:t>
            </w:r>
          </w:p>
        </w:tc>
        <w:tc>
          <w:tcPr>
            <w:tcW w:w="2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$67,322</w:t>
            </w:r>
          </w:p>
        </w:tc>
        <w:tc>
          <w:tcPr>
            <w:tcW w:w="240" w:type="dxa"/>
            <w:vAlign w:val="bottom"/>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$43,937</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74" w:right="239" w:bottom="1440" w:gutter="0" w:footer="0" w:header="0"/>
        </w:sectPr>
      </w:pPr>
    </w:p>
    <w:bookmarkStart w:id="4" w:name="page5"/>
    <w:bookmarkEnd w:id="4"/>
    <w:p>
      <w:pPr>
        <w:ind w:left="4640"/>
        <w:spacing w:after="0"/>
        <w:rPr>
          <w:sz w:val="20"/>
          <w:szCs w:val="20"/>
          <w:color w:val="auto"/>
        </w:rPr>
      </w:pPr>
      <w:r>
        <w:rPr>
          <w:rFonts w:ascii="Arial" w:cs="Arial" w:eastAsia="Arial" w:hAnsi="Arial"/>
          <w:sz w:val="18"/>
          <w:szCs w:val="18"/>
          <w:color w:val="auto"/>
        </w:rPr>
        <w:t>ALBANY INTERNATIONAL CORP.</w:t>
      </w:r>
    </w:p>
    <w:p>
      <w:pPr>
        <w:ind w:left="4180"/>
        <w:spacing w:after="0" w:line="234" w:lineRule="auto"/>
        <w:rPr>
          <w:sz w:val="20"/>
          <w:szCs w:val="20"/>
          <w:color w:val="auto"/>
        </w:rPr>
      </w:pPr>
      <w:r>
        <w:rPr>
          <w:rFonts w:ascii="Arial" w:cs="Arial" w:eastAsia="Arial" w:hAnsi="Arial"/>
          <w:sz w:val="18"/>
          <w:szCs w:val="18"/>
          <w:color w:val="auto"/>
        </w:rPr>
        <w:t>CONSOLIDATED BALANCE SHEETS</w:t>
      </w:r>
    </w:p>
    <w:p>
      <w:pPr>
        <w:jc w:val="center"/>
        <w:spacing w:after="0" w:line="235" w:lineRule="auto"/>
        <w:rPr>
          <w:sz w:val="20"/>
          <w:szCs w:val="20"/>
          <w:color w:val="auto"/>
        </w:rPr>
      </w:pPr>
      <w:r>
        <w:rPr>
          <w:rFonts w:ascii="Arial" w:cs="Arial" w:eastAsia="Arial" w:hAnsi="Arial"/>
          <w:sz w:val="18"/>
          <w:szCs w:val="18"/>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tcPr>
          <w:p>
            <w:pPr>
              <w:spacing w:after="0"/>
              <w:rPr>
                <w:sz w:val="17"/>
                <w:szCs w:val="17"/>
                <w:color w:val="auto"/>
              </w:rPr>
            </w:pPr>
          </w:p>
        </w:tc>
        <w:tc>
          <w:tcPr>
            <w:tcW w:w="1700" w:type="dxa"/>
            <w:vAlign w:val="bottom"/>
          </w:tcPr>
          <w:p>
            <w:pPr>
              <w:jc w:val="right"/>
              <w:ind w:right="350"/>
              <w:spacing w:after="0"/>
              <w:rPr>
                <w:sz w:val="20"/>
                <w:szCs w:val="20"/>
                <w:color w:val="auto"/>
              </w:rPr>
            </w:pPr>
            <w:r>
              <w:rPr>
                <w:rFonts w:ascii="Arial" w:cs="Arial" w:eastAsia="Arial" w:hAnsi="Arial"/>
                <w:sz w:val="18"/>
                <w:szCs w:val="18"/>
                <w:color w:val="auto"/>
              </w:rPr>
              <w:t>March 31,</w:t>
            </w:r>
          </w:p>
        </w:tc>
        <w:tc>
          <w:tcPr>
            <w:tcW w:w="580" w:type="dxa"/>
            <w:vAlign w:val="bottom"/>
          </w:tcPr>
          <w:p>
            <w:pPr>
              <w:spacing w:after="0"/>
              <w:rPr>
                <w:sz w:val="17"/>
                <w:szCs w:val="17"/>
                <w:color w:val="auto"/>
              </w:rPr>
            </w:pPr>
          </w:p>
        </w:tc>
        <w:tc>
          <w:tcPr>
            <w:tcW w:w="1820" w:type="dxa"/>
            <w:vAlign w:val="bottom"/>
          </w:tcPr>
          <w:p>
            <w:pPr>
              <w:jc w:val="right"/>
              <w:ind w:right="25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03"/>
        </w:trPr>
        <w:tc>
          <w:tcPr>
            <w:tcW w:w="7320" w:type="dxa"/>
            <w:vAlign w:val="bottom"/>
            <w:vMerge w:val="restart"/>
          </w:tcPr>
          <w:p>
            <w:pPr>
              <w:ind w:left="100"/>
              <w:spacing w:after="0"/>
              <w:rPr>
                <w:sz w:val="20"/>
                <w:szCs w:val="20"/>
                <w:color w:val="auto"/>
              </w:rPr>
            </w:pPr>
            <w:r>
              <w:rPr>
                <w:rFonts w:ascii="Arial" w:cs="Arial" w:eastAsia="Arial" w:hAnsi="Arial"/>
                <w:sz w:val="18"/>
                <w:szCs w:val="18"/>
                <w:color w:val="auto"/>
              </w:rPr>
              <w:t>ASSETS</w:t>
            </w:r>
          </w:p>
        </w:tc>
        <w:tc>
          <w:tcPr>
            <w:tcW w:w="1700" w:type="dxa"/>
            <w:vAlign w:val="bottom"/>
          </w:tcPr>
          <w:p>
            <w:pPr>
              <w:jc w:val="right"/>
              <w:ind w:right="550"/>
              <w:spacing w:after="0" w:line="203" w:lineRule="exact"/>
              <w:rPr>
                <w:sz w:val="20"/>
                <w:szCs w:val="20"/>
                <w:color w:val="auto"/>
              </w:rPr>
            </w:pPr>
            <w:r>
              <w:rPr>
                <w:rFonts w:ascii="Arial" w:cs="Arial" w:eastAsia="Arial" w:hAnsi="Arial"/>
                <w:sz w:val="18"/>
                <w:szCs w:val="18"/>
                <w:color w:val="auto"/>
              </w:rPr>
              <w:t>2012</w:t>
            </w:r>
          </w:p>
        </w:tc>
        <w:tc>
          <w:tcPr>
            <w:tcW w:w="2400" w:type="dxa"/>
            <w:vAlign w:val="bottom"/>
            <w:gridSpan w:val="2"/>
          </w:tcPr>
          <w:p>
            <w:pPr>
              <w:jc w:val="right"/>
              <w:ind w:right="630"/>
              <w:spacing w:after="0" w:line="203" w:lineRule="exact"/>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196"/>
        </w:trPr>
        <w:tc>
          <w:tcPr>
            <w:tcW w:w="7320" w:type="dxa"/>
            <w:vAlign w:val="bottom"/>
            <w:vMerge w:val="continue"/>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0C0C0"/>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170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$ 140,925</w:t>
            </w:r>
          </w:p>
        </w:tc>
        <w:tc>
          <w:tcPr>
            <w:tcW w:w="2400" w:type="dxa"/>
            <w:vAlign w:val="bottom"/>
            <w:gridSpan w:val="2"/>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$ 118,909</w:t>
            </w:r>
          </w:p>
        </w:tc>
        <w:tc>
          <w:tcPr>
            <w:tcW w:w="0" w:type="dxa"/>
            <w:vAlign w:val="bottom"/>
          </w:tcPr>
          <w:p>
            <w:pPr>
              <w:spacing w:after="0"/>
              <w:rPr>
                <w:sz w:val="1"/>
                <w:szCs w:val="1"/>
                <w:color w:val="auto"/>
              </w:rPr>
            </w:pPr>
          </w:p>
        </w:tc>
      </w:tr>
      <w:tr>
        <w:trPr>
          <w:trHeight w:val="203"/>
        </w:trPr>
        <w:tc>
          <w:tcPr>
            <w:tcW w:w="7320" w:type="dxa"/>
            <w:vAlign w:val="bottom"/>
          </w:tcPr>
          <w:p>
            <w:pPr>
              <w:ind w:left="200"/>
              <w:spacing w:after="0" w:line="202" w:lineRule="exact"/>
              <w:rPr>
                <w:sz w:val="20"/>
                <w:szCs w:val="20"/>
                <w:color w:val="auto"/>
              </w:rPr>
            </w:pPr>
            <w:r>
              <w:rPr>
                <w:rFonts w:ascii="Arial" w:cs="Arial" w:eastAsia="Arial" w:hAnsi="Arial"/>
                <w:sz w:val="18"/>
                <w:szCs w:val="18"/>
                <w:color w:val="auto"/>
              </w:rPr>
              <w:t>Accounts receivable, net</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152,126</w:t>
            </w:r>
          </w:p>
        </w:tc>
        <w:tc>
          <w:tcPr>
            <w:tcW w:w="24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148,849</w:t>
            </w:r>
          </w:p>
        </w:tc>
        <w:tc>
          <w:tcPr>
            <w:tcW w:w="0" w:type="dxa"/>
            <w:vAlign w:val="bottom"/>
          </w:tcPr>
          <w:p>
            <w:pPr>
              <w:spacing w:after="0"/>
              <w:rPr>
                <w:sz w:val="1"/>
                <w:szCs w:val="1"/>
                <w:color w:val="auto"/>
              </w:rPr>
            </w:pPr>
          </w:p>
        </w:tc>
      </w:tr>
      <w:tr>
        <w:trPr>
          <w:trHeight w:val="203"/>
        </w:trPr>
        <w:tc>
          <w:tcPr>
            <w:tcW w:w="7320" w:type="dxa"/>
            <w:vAlign w:val="bottom"/>
            <w:shd w:val="clear" w:color="auto" w:fill="C0C0C0"/>
          </w:tcPr>
          <w:p>
            <w:pPr>
              <w:ind w:left="200"/>
              <w:spacing w:after="0" w:line="202" w:lineRule="exact"/>
              <w:rPr>
                <w:sz w:val="20"/>
                <w:szCs w:val="20"/>
                <w:color w:val="auto"/>
              </w:rPr>
            </w:pPr>
            <w:r>
              <w:rPr>
                <w:rFonts w:ascii="Arial" w:cs="Arial" w:eastAsia="Arial" w:hAnsi="Arial"/>
                <w:sz w:val="18"/>
                <w:szCs w:val="18"/>
                <w:color w:val="auto"/>
              </w:rPr>
              <w:t>Inventories</w:t>
            </w:r>
          </w:p>
        </w:tc>
        <w:tc>
          <w:tcPr>
            <w:tcW w:w="170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138,299</w:t>
            </w:r>
          </w:p>
        </w:tc>
        <w:tc>
          <w:tcPr>
            <w:tcW w:w="2400" w:type="dxa"/>
            <w:vAlign w:val="bottom"/>
            <w:gridSpan w:val="2"/>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133,649</w:t>
            </w:r>
          </w:p>
        </w:tc>
        <w:tc>
          <w:tcPr>
            <w:tcW w:w="0" w:type="dxa"/>
            <w:vAlign w:val="bottom"/>
          </w:tcPr>
          <w:p>
            <w:pPr>
              <w:spacing w:after="0"/>
              <w:rPr>
                <w:sz w:val="1"/>
                <w:szCs w:val="1"/>
                <w:color w:val="auto"/>
              </w:rPr>
            </w:pPr>
          </w:p>
        </w:tc>
      </w:tr>
      <w:tr>
        <w:trPr>
          <w:trHeight w:val="203"/>
        </w:trPr>
        <w:tc>
          <w:tcPr>
            <w:tcW w:w="7320" w:type="dxa"/>
            <w:vAlign w:val="bottom"/>
          </w:tcPr>
          <w:p>
            <w:pPr>
              <w:ind w:left="200"/>
              <w:spacing w:after="0" w:line="202" w:lineRule="exact"/>
              <w:rPr>
                <w:sz w:val="20"/>
                <w:szCs w:val="20"/>
                <w:color w:val="auto"/>
              </w:rPr>
            </w:pPr>
            <w:r>
              <w:rPr>
                <w:rFonts w:ascii="Arial" w:cs="Arial" w:eastAsia="Arial" w:hAnsi="Arial"/>
                <w:sz w:val="18"/>
                <w:szCs w:val="18"/>
                <w:color w:val="auto"/>
              </w:rPr>
              <w:t>Income taxes receivable and deferred</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23,724</w:t>
            </w:r>
          </w:p>
        </w:tc>
        <w:tc>
          <w:tcPr>
            <w:tcW w:w="24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30,010</w:t>
            </w:r>
          </w:p>
        </w:tc>
        <w:tc>
          <w:tcPr>
            <w:tcW w:w="0" w:type="dxa"/>
            <w:vAlign w:val="bottom"/>
          </w:tcPr>
          <w:p>
            <w:pPr>
              <w:spacing w:after="0"/>
              <w:rPr>
                <w:sz w:val="1"/>
                <w:szCs w:val="1"/>
                <w:color w:val="auto"/>
              </w:rPr>
            </w:pPr>
          </w:p>
        </w:tc>
      </w:tr>
      <w:tr>
        <w:trPr>
          <w:trHeight w:val="203"/>
        </w:trPr>
        <w:tc>
          <w:tcPr>
            <w:tcW w:w="7320" w:type="dxa"/>
            <w:vAlign w:val="bottom"/>
            <w:shd w:val="clear" w:color="auto" w:fill="BFBFBF"/>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70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13,464</w:t>
            </w:r>
          </w:p>
        </w:tc>
        <w:tc>
          <w:tcPr>
            <w:tcW w:w="2400" w:type="dxa"/>
            <w:vAlign w:val="bottom"/>
            <w:gridSpan w:val="2"/>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13,409</w:t>
            </w:r>
          </w:p>
        </w:tc>
        <w:tc>
          <w:tcPr>
            <w:tcW w:w="0" w:type="dxa"/>
            <w:vAlign w:val="bottom"/>
          </w:tcPr>
          <w:p>
            <w:pPr>
              <w:spacing w:after="0"/>
              <w:rPr>
                <w:sz w:val="1"/>
                <w:szCs w:val="1"/>
                <w:color w:val="auto"/>
              </w:rPr>
            </w:pPr>
          </w:p>
        </w:tc>
      </w:tr>
      <w:tr>
        <w:trPr>
          <w:trHeight w:val="203"/>
        </w:trPr>
        <w:tc>
          <w:tcPr>
            <w:tcW w:w="7320" w:type="dxa"/>
            <w:vAlign w:val="bottom"/>
          </w:tcPr>
          <w:p>
            <w:pPr>
              <w:ind w:left="200"/>
              <w:spacing w:after="0" w:line="202" w:lineRule="exact"/>
              <w:rPr>
                <w:sz w:val="20"/>
                <w:szCs w:val="20"/>
                <w:color w:val="auto"/>
              </w:rPr>
            </w:pPr>
            <w:r>
              <w:rPr>
                <w:rFonts w:ascii="Arial" w:cs="Arial" w:eastAsia="Arial" w:hAnsi="Arial"/>
                <w:sz w:val="18"/>
                <w:szCs w:val="18"/>
                <w:color w:val="auto"/>
              </w:rPr>
              <w:t>Current assets of discontinued operations</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2,596</w:t>
            </w:r>
          </w:p>
        </w:tc>
        <w:tc>
          <w:tcPr>
            <w:tcW w:w="24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62,107</w:t>
            </w:r>
          </w:p>
        </w:tc>
        <w:tc>
          <w:tcPr>
            <w:tcW w:w="0" w:type="dxa"/>
            <w:vAlign w:val="bottom"/>
          </w:tcPr>
          <w:p>
            <w:pPr>
              <w:spacing w:after="0"/>
              <w:rPr>
                <w:sz w:val="1"/>
                <w:szCs w:val="1"/>
                <w:color w:val="auto"/>
              </w:rPr>
            </w:pPr>
          </w:p>
        </w:tc>
      </w:tr>
      <w:tr>
        <w:trPr>
          <w:trHeight w:val="196"/>
        </w:trPr>
        <w:tc>
          <w:tcPr>
            <w:tcW w:w="7320" w:type="dxa"/>
            <w:vAlign w:val="bottom"/>
            <w:tcBorders>
              <w:top w:val="single" w:sz="8" w:color="BFBFBF"/>
            </w:tcBorders>
            <w:shd w:val="clear" w:color="auto" w:fill="BFBFBF"/>
          </w:tcPr>
          <w:p>
            <w:pPr>
              <w:ind w:left="400"/>
              <w:spacing w:after="0" w:line="196" w:lineRule="exact"/>
              <w:rPr>
                <w:sz w:val="20"/>
                <w:szCs w:val="20"/>
                <w:color w:val="auto"/>
              </w:rPr>
            </w:pPr>
            <w:r>
              <w:rPr>
                <w:rFonts w:ascii="Arial" w:cs="Arial" w:eastAsia="Arial" w:hAnsi="Arial"/>
                <w:sz w:val="18"/>
                <w:szCs w:val="18"/>
                <w:color w:val="auto"/>
              </w:rPr>
              <w:t>Total current assets</w:t>
            </w:r>
          </w:p>
        </w:tc>
        <w:tc>
          <w:tcPr>
            <w:tcW w:w="1700" w:type="dxa"/>
            <w:vAlign w:val="bottom"/>
            <w:tcBorders>
              <w:top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471,134</w:t>
            </w:r>
          </w:p>
        </w:tc>
        <w:tc>
          <w:tcPr>
            <w:tcW w:w="580" w:type="dxa"/>
            <w:vAlign w:val="bottom"/>
            <w:tcBorders>
              <w:top w:val="single" w:sz="8" w:color="BFBFBF"/>
            </w:tcBorders>
            <w:shd w:val="clear" w:color="auto" w:fill="BFBFBF"/>
          </w:tcPr>
          <w:p>
            <w:pPr>
              <w:spacing w:after="0"/>
              <w:rPr>
                <w:sz w:val="17"/>
                <w:szCs w:val="17"/>
                <w:color w:val="auto"/>
              </w:rPr>
            </w:pPr>
          </w:p>
        </w:tc>
        <w:tc>
          <w:tcPr>
            <w:tcW w:w="1820" w:type="dxa"/>
            <w:vAlign w:val="bottom"/>
            <w:tcBorders>
              <w:top w:val="single" w:sz="8" w:color="auto"/>
            </w:tcBorders>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506,933</w:t>
            </w:r>
          </w:p>
        </w:tc>
        <w:tc>
          <w:tcPr>
            <w:tcW w:w="0" w:type="dxa"/>
            <w:vAlign w:val="bottom"/>
          </w:tcPr>
          <w:p>
            <w:pPr>
              <w:spacing w:after="0"/>
              <w:rPr>
                <w:sz w:val="1"/>
                <w:szCs w:val="1"/>
                <w:color w:val="auto"/>
              </w:rPr>
            </w:pPr>
          </w:p>
        </w:tc>
      </w:tr>
      <w:tr>
        <w:trPr>
          <w:trHeight w:val="405"/>
        </w:trPr>
        <w:tc>
          <w:tcPr>
            <w:tcW w:w="7320" w:type="dxa"/>
            <w:vAlign w:val="bottom"/>
          </w:tcPr>
          <w:p>
            <w:pPr>
              <w:ind w:left="200"/>
              <w:spacing w:after="0"/>
              <w:rPr>
                <w:sz w:val="20"/>
                <w:szCs w:val="20"/>
                <w:color w:val="auto"/>
              </w:rPr>
            </w:pPr>
            <w:r>
              <w:rPr>
                <w:rFonts w:ascii="Arial" w:cs="Arial" w:eastAsia="Arial" w:hAnsi="Arial"/>
                <w:sz w:val="18"/>
                <w:szCs w:val="18"/>
                <w:color w:val="auto"/>
              </w:rPr>
              <w:t>Property, plant and equipment, net</w:t>
            </w:r>
          </w:p>
        </w:tc>
        <w:tc>
          <w:tcPr>
            <w:tcW w:w="1700" w:type="dxa"/>
            <w:vAlign w:val="bottom"/>
          </w:tcPr>
          <w:p>
            <w:pPr>
              <w:jc w:val="right"/>
              <w:spacing w:after="0"/>
              <w:rPr>
                <w:sz w:val="20"/>
                <w:szCs w:val="20"/>
                <w:color w:val="auto"/>
              </w:rPr>
            </w:pPr>
            <w:r>
              <w:rPr>
                <w:rFonts w:ascii="Arial" w:cs="Arial" w:eastAsia="Arial" w:hAnsi="Arial"/>
                <w:sz w:val="18"/>
                <w:szCs w:val="18"/>
                <w:color w:val="auto"/>
              </w:rPr>
              <w:t>434,266</w:t>
            </w:r>
          </w:p>
        </w:tc>
        <w:tc>
          <w:tcPr>
            <w:tcW w:w="2400" w:type="dxa"/>
            <w:vAlign w:val="bottom"/>
            <w:gridSpan w:val="2"/>
          </w:tcPr>
          <w:p>
            <w:pPr>
              <w:jc w:val="right"/>
              <w:ind w:right="10"/>
              <w:spacing w:after="0"/>
              <w:rPr>
                <w:sz w:val="20"/>
                <w:szCs w:val="20"/>
                <w:color w:val="auto"/>
              </w:rPr>
            </w:pPr>
            <w:r>
              <w:rPr>
                <w:rFonts w:ascii="Arial" w:cs="Arial" w:eastAsia="Arial" w:hAnsi="Arial"/>
                <w:sz w:val="18"/>
                <w:szCs w:val="18"/>
                <w:color w:val="auto"/>
              </w:rPr>
              <w:t>439,516</w:t>
            </w:r>
          </w:p>
        </w:tc>
        <w:tc>
          <w:tcPr>
            <w:tcW w:w="0" w:type="dxa"/>
            <w:vAlign w:val="bottom"/>
          </w:tcPr>
          <w:p>
            <w:pPr>
              <w:spacing w:after="0"/>
              <w:rPr>
                <w:sz w:val="1"/>
                <w:szCs w:val="1"/>
                <w:color w:val="auto"/>
              </w:rPr>
            </w:pPr>
          </w:p>
        </w:tc>
      </w:tr>
      <w:tr>
        <w:trPr>
          <w:trHeight w:val="203"/>
        </w:trPr>
        <w:tc>
          <w:tcPr>
            <w:tcW w:w="7320" w:type="dxa"/>
            <w:vAlign w:val="bottom"/>
            <w:shd w:val="clear" w:color="auto" w:fill="BFBFBF"/>
          </w:tcPr>
          <w:p>
            <w:pPr>
              <w:ind w:left="200"/>
              <w:spacing w:after="0" w:line="202" w:lineRule="exact"/>
              <w:rPr>
                <w:sz w:val="20"/>
                <w:szCs w:val="20"/>
                <w:color w:val="auto"/>
              </w:rPr>
            </w:pPr>
            <w:r>
              <w:rPr>
                <w:rFonts w:ascii="Arial" w:cs="Arial" w:eastAsia="Arial" w:hAnsi="Arial"/>
                <w:sz w:val="18"/>
                <w:szCs w:val="18"/>
                <w:color w:val="auto"/>
              </w:rPr>
              <w:t>Intangibles</w:t>
            </w:r>
          </w:p>
        </w:tc>
        <w:tc>
          <w:tcPr>
            <w:tcW w:w="17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1,021</w:t>
            </w:r>
          </w:p>
        </w:tc>
        <w:tc>
          <w:tcPr>
            <w:tcW w:w="2400" w:type="dxa"/>
            <w:vAlign w:val="bottom"/>
            <w:gridSpan w:val="2"/>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03"/>
        </w:trPr>
        <w:tc>
          <w:tcPr>
            <w:tcW w:w="7320" w:type="dxa"/>
            <w:vAlign w:val="bottom"/>
          </w:tcPr>
          <w:p>
            <w:pPr>
              <w:ind w:left="200"/>
              <w:spacing w:after="0" w:line="202" w:lineRule="exact"/>
              <w:rPr>
                <w:sz w:val="20"/>
                <w:szCs w:val="20"/>
                <w:color w:val="auto"/>
              </w:rPr>
            </w:pPr>
            <w:r>
              <w:rPr>
                <w:rFonts w:ascii="Arial" w:cs="Arial" w:eastAsia="Arial" w:hAnsi="Arial"/>
                <w:sz w:val="18"/>
                <w:szCs w:val="18"/>
                <w:color w:val="auto"/>
              </w:rPr>
              <w:t>Goodwill</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77,148</w:t>
            </w:r>
          </w:p>
        </w:tc>
        <w:tc>
          <w:tcPr>
            <w:tcW w:w="24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75,469</w:t>
            </w:r>
          </w:p>
        </w:tc>
        <w:tc>
          <w:tcPr>
            <w:tcW w:w="0" w:type="dxa"/>
            <w:vAlign w:val="bottom"/>
          </w:tcPr>
          <w:p>
            <w:pPr>
              <w:spacing w:after="0"/>
              <w:rPr>
                <w:sz w:val="1"/>
                <w:szCs w:val="1"/>
                <w:color w:val="auto"/>
              </w:rPr>
            </w:pPr>
          </w:p>
        </w:tc>
      </w:tr>
      <w:tr>
        <w:trPr>
          <w:trHeight w:val="203"/>
        </w:trPr>
        <w:tc>
          <w:tcPr>
            <w:tcW w:w="7320" w:type="dxa"/>
            <w:vAlign w:val="bottom"/>
            <w:shd w:val="clear" w:color="auto" w:fill="BFBFBF"/>
          </w:tcPr>
          <w:p>
            <w:pPr>
              <w:ind w:left="200"/>
              <w:spacing w:after="0" w:line="202" w:lineRule="exact"/>
              <w:rPr>
                <w:sz w:val="20"/>
                <w:szCs w:val="20"/>
                <w:color w:val="auto"/>
              </w:rPr>
            </w:pPr>
            <w:r>
              <w:rPr>
                <w:rFonts w:ascii="Arial" w:cs="Arial" w:eastAsia="Arial" w:hAnsi="Arial"/>
                <w:sz w:val="18"/>
                <w:szCs w:val="18"/>
                <w:color w:val="auto"/>
              </w:rPr>
              <w:t>Deferred taxes</w:t>
            </w:r>
          </w:p>
        </w:tc>
        <w:tc>
          <w:tcPr>
            <w:tcW w:w="17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127,362</w:t>
            </w:r>
          </w:p>
        </w:tc>
        <w:tc>
          <w:tcPr>
            <w:tcW w:w="2400" w:type="dxa"/>
            <w:vAlign w:val="bottom"/>
            <w:gridSpan w:val="2"/>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134,644</w:t>
            </w:r>
          </w:p>
        </w:tc>
        <w:tc>
          <w:tcPr>
            <w:tcW w:w="0" w:type="dxa"/>
            <w:vAlign w:val="bottom"/>
          </w:tcPr>
          <w:p>
            <w:pPr>
              <w:spacing w:after="0"/>
              <w:rPr>
                <w:sz w:val="1"/>
                <w:szCs w:val="1"/>
                <w:color w:val="auto"/>
              </w:rPr>
            </w:pPr>
          </w:p>
        </w:tc>
      </w:tr>
      <w:tr>
        <w:trPr>
          <w:trHeight w:val="203"/>
        </w:trPr>
        <w:tc>
          <w:tcPr>
            <w:tcW w:w="7320" w:type="dxa"/>
            <w:vAlign w:val="bottom"/>
          </w:tcPr>
          <w:p>
            <w:pPr>
              <w:ind w:left="200"/>
              <w:spacing w:after="0" w:line="202" w:lineRule="exact"/>
              <w:rPr>
                <w:sz w:val="20"/>
                <w:szCs w:val="20"/>
                <w:color w:val="auto"/>
              </w:rPr>
            </w:pPr>
            <w:r>
              <w:rPr>
                <w:rFonts w:ascii="Arial" w:cs="Arial" w:eastAsia="Arial" w:hAnsi="Arial"/>
                <w:sz w:val="18"/>
                <w:szCs w:val="18"/>
                <w:color w:val="auto"/>
              </w:rPr>
              <w:t>Other assets</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36,448</w:t>
            </w:r>
          </w:p>
        </w:tc>
        <w:tc>
          <w:tcPr>
            <w:tcW w:w="24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22,504</w:t>
            </w:r>
          </w:p>
        </w:tc>
        <w:tc>
          <w:tcPr>
            <w:tcW w:w="0" w:type="dxa"/>
            <w:vAlign w:val="bottom"/>
          </w:tcPr>
          <w:p>
            <w:pPr>
              <w:spacing w:after="0"/>
              <w:rPr>
                <w:sz w:val="1"/>
                <w:szCs w:val="1"/>
                <w:color w:val="auto"/>
              </w:rPr>
            </w:pPr>
          </w:p>
        </w:tc>
      </w:tr>
      <w:tr>
        <w:trPr>
          <w:trHeight w:val="203"/>
        </w:trPr>
        <w:tc>
          <w:tcPr>
            <w:tcW w:w="7320" w:type="dxa"/>
            <w:vAlign w:val="bottom"/>
            <w:shd w:val="clear" w:color="auto" w:fill="BFBFBF"/>
          </w:tcPr>
          <w:p>
            <w:pPr>
              <w:ind w:left="200"/>
              <w:spacing w:after="0" w:line="202" w:lineRule="exact"/>
              <w:rPr>
                <w:sz w:val="20"/>
                <w:szCs w:val="20"/>
                <w:color w:val="auto"/>
              </w:rPr>
            </w:pPr>
            <w:r>
              <w:rPr>
                <w:rFonts w:ascii="Arial" w:cs="Arial" w:eastAsia="Arial" w:hAnsi="Arial"/>
                <w:sz w:val="18"/>
                <w:szCs w:val="18"/>
                <w:color w:val="auto"/>
              </w:rPr>
              <w:t>Noncurrent assets of discontinued operations</w:t>
            </w:r>
          </w:p>
        </w:tc>
        <w:tc>
          <w:tcPr>
            <w:tcW w:w="17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279</w:t>
            </w:r>
          </w:p>
        </w:tc>
        <w:tc>
          <w:tcPr>
            <w:tcW w:w="2400" w:type="dxa"/>
            <w:vAlign w:val="bottom"/>
            <w:gridSpan w:val="2"/>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50,783</w:t>
            </w:r>
          </w:p>
        </w:tc>
        <w:tc>
          <w:tcPr>
            <w:tcW w:w="0" w:type="dxa"/>
            <w:vAlign w:val="bottom"/>
          </w:tcPr>
          <w:p>
            <w:pPr>
              <w:spacing w:after="0"/>
              <w:rPr>
                <w:sz w:val="1"/>
                <w:szCs w:val="1"/>
                <w:color w:val="auto"/>
              </w:rPr>
            </w:pPr>
          </w:p>
        </w:tc>
      </w:tr>
      <w:tr>
        <w:trPr>
          <w:trHeight w:val="196"/>
        </w:trPr>
        <w:tc>
          <w:tcPr>
            <w:tcW w:w="7320" w:type="dxa"/>
            <w:vAlign w:val="bottom"/>
          </w:tcPr>
          <w:p>
            <w:pPr>
              <w:ind w:left="400"/>
              <w:spacing w:after="0" w:line="196" w:lineRule="exact"/>
              <w:rPr>
                <w:sz w:val="20"/>
                <w:szCs w:val="20"/>
                <w:color w:val="auto"/>
              </w:rPr>
            </w:pPr>
            <w:r>
              <w:rPr>
                <w:rFonts w:ascii="Arial" w:cs="Arial" w:eastAsia="Arial" w:hAnsi="Arial"/>
                <w:sz w:val="18"/>
                <w:szCs w:val="18"/>
                <w:color w:val="auto"/>
              </w:rPr>
              <w:t>Total assets</w:t>
            </w:r>
          </w:p>
        </w:tc>
        <w:tc>
          <w:tcPr>
            <w:tcW w:w="1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$1,147,658</w:t>
            </w:r>
          </w:p>
        </w:tc>
        <w:tc>
          <w:tcPr>
            <w:tcW w:w="580" w:type="dxa"/>
            <w:vAlign w:val="bottom"/>
          </w:tcPr>
          <w:p>
            <w:pPr>
              <w:spacing w:after="0"/>
              <w:rPr>
                <w:sz w:val="17"/>
                <w:szCs w:val="17"/>
                <w:color w:val="auto"/>
              </w:rPr>
            </w:pPr>
          </w:p>
        </w:tc>
        <w:tc>
          <w:tcPr>
            <w:tcW w:w="182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$1,230,928</w:t>
            </w:r>
          </w:p>
        </w:tc>
        <w:tc>
          <w:tcPr>
            <w:tcW w:w="0" w:type="dxa"/>
            <w:vAlign w:val="bottom"/>
          </w:tcPr>
          <w:p>
            <w:pPr>
              <w:spacing w:after="0"/>
              <w:rPr>
                <w:sz w:val="1"/>
                <w:szCs w:val="1"/>
                <w:color w:val="auto"/>
              </w:rPr>
            </w:pPr>
          </w:p>
        </w:tc>
      </w:tr>
      <w:tr>
        <w:trPr>
          <w:trHeight w:val="20"/>
        </w:trPr>
        <w:tc>
          <w:tcPr>
            <w:tcW w:w="7320" w:type="dxa"/>
            <w:vAlign w:val="bottom"/>
            <w:vMerge w:val="restart"/>
          </w:tcPr>
          <w:p>
            <w:pPr>
              <w:ind w:left="100"/>
              <w:spacing w:after="0"/>
              <w:rPr>
                <w:sz w:val="20"/>
                <w:szCs w:val="20"/>
                <w:color w:val="auto"/>
              </w:rPr>
            </w:pPr>
            <w:r>
              <w:rPr>
                <w:rFonts w:ascii="Arial" w:cs="Arial" w:eastAsia="Arial" w:hAnsi="Arial"/>
                <w:sz w:val="18"/>
                <w:szCs w:val="18"/>
                <w:color w:val="auto"/>
              </w:rPr>
              <w:t>LIABILITIES AND SHAREHOLDERS' EQUITY</w:t>
            </w:r>
          </w:p>
        </w:tc>
        <w:tc>
          <w:tcPr>
            <w:tcW w:w="17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32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BFBFBF"/>
          </w:tcPr>
          <w:p>
            <w:pPr>
              <w:ind w:left="200"/>
              <w:spacing w:after="0" w:line="202" w:lineRule="exact"/>
              <w:rPr>
                <w:sz w:val="20"/>
                <w:szCs w:val="20"/>
                <w:color w:val="auto"/>
              </w:rPr>
            </w:pPr>
            <w:r>
              <w:rPr>
                <w:rFonts w:ascii="Arial" w:cs="Arial" w:eastAsia="Arial" w:hAnsi="Arial"/>
                <w:sz w:val="18"/>
                <w:szCs w:val="18"/>
                <w:color w:val="auto"/>
              </w:rPr>
              <w:t>Notes and loans payable</w:t>
            </w:r>
          </w:p>
        </w:tc>
        <w:tc>
          <w:tcPr>
            <w:tcW w:w="17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$193</w:t>
            </w:r>
          </w:p>
        </w:tc>
        <w:tc>
          <w:tcPr>
            <w:tcW w:w="2400" w:type="dxa"/>
            <w:vAlign w:val="bottom"/>
            <w:gridSpan w:val="2"/>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03"/>
        </w:trPr>
        <w:tc>
          <w:tcPr>
            <w:tcW w:w="732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37,732</w:t>
            </w:r>
          </w:p>
        </w:tc>
        <w:tc>
          <w:tcPr>
            <w:tcW w:w="24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33,663</w:t>
            </w:r>
          </w:p>
        </w:tc>
        <w:tc>
          <w:tcPr>
            <w:tcW w:w="0" w:type="dxa"/>
            <w:vAlign w:val="bottom"/>
          </w:tcPr>
          <w:p>
            <w:pPr>
              <w:spacing w:after="0"/>
              <w:rPr>
                <w:sz w:val="1"/>
                <w:szCs w:val="1"/>
                <w:color w:val="auto"/>
              </w:rPr>
            </w:pPr>
          </w:p>
        </w:tc>
      </w:tr>
      <w:tr>
        <w:trPr>
          <w:trHeight w:val="203"/>
        </w:trPr>
        <w:tc>
          <w:tcPr>
            <w:tcW w:w="7320" w:type="dxa"/>
            <w:vAlign w:val="bottom"/>
            <w:shd w:val="clear" w:color="auto" w:fill="BFBFBF"/>
          </w:tcPr>
          <w:p>
            <w:pPr>
              <w:ind w:left="200"/>
              <w:spacing w:after="0" w:line="202" w:lineRule="exact"/>
              <w:rPr>
                <w:sz w:val="20"/>
                <w:szCs w:val="20"/>
                <w:color w:val="auto"/>
              </w:rPr>
            </w:pPr>
            <w:r>
              <w:rPr>
                <w:rFonts w:ascii="Arial" w:cs="Arial" w:eastAsia="Arial" w:hAnsi="Arial"/>
                <w:sz w:val="18"/>
                <w:szCs w:val="18"/>
                <w:color w:val="auto"/>
              </w:rPr>
              <w:t>Accrued liabilities</w:t>
            </w:r>
          </w:p>
        </w:tc>
        <w:tc>
          <w:tcPr>
            <w:tcW w:w="17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104,989</w:t>
            </w:r>
          </w:p>
        </w:tc>
        <w:tc>
          <w:tcPr>
            <w:tcW w:w="2400" w:type="dxa"/>
            <w:vAlign w:val="bottom"/>
            <w:gridSpan w:val="2"/>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105,649</w:t>
            </w:r>
          </w:p>
        </w:tc>
        <w:tc>
          <w:tcPr>
            <w:tcW w:w="0" w:type="dxa"/>
            <w:vAlign w:val="bottom"/>
          </w:tcPr>
          <w:p>
            <w:pPr>
              <w:spacing w:after="0"/>
              <w:rPr>
                <w:sz w:val="1"/>
                <w:szCs w:val="1"/>
                <w:color w:val="auto"/>
              </w:rPr>
            </w:pPr>
          </w:p>
        </w:tc>
      </w:tr>
      <w:tr>
        <w:trPr>
          <w:trHeight w:val="203"/>
        </w:trPr>
        <w:tc>
          <w:tcPr>
            <w:tcW w:w="7320" w:type="dxa"/>
            <w:vAlign w:val="bottom"/>
          </w:tcPr>
          <w:p>
            <w:pPr>
              <w:ind w:left="200"/>
              <w:spacing w:after="0" w:line="202" w:lineRule="exact"/>
              <w:rPr>
                <w:sz w:val="20"/>
                <w:szCs w:val="20"/>
                <w:color w:val="auto"/>
              </w:rPr>
            </w:pPr>
            <w:r>
              <w:rPr>
                <w:rFonts w:ascii="Arial" w:cs="Arial" w:eastAsia="Arial" w:hAnsi="Arial"/>
                <w:sz w:val="18"/>
                <w:szCs w:val="18"/>
                <w:color w:val="auto"/>
              </w:rPr>
              <w:t>Current maturities of long-term debt</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30,145</w:t>
            </w:r>
          </w:p>
        </w:tc>
        <w:tc>
          <w:tcPr>
            <w:tcW w:w="24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03"/>
        </w:trPr>
        <w:tc>
          <w:tcPr>
            <w:tcW w:w="7320" w:type="dxa"/>
            <w:vAlign w:val="bottom"/>
            <w:shd w:val="clear" w:color="auto" w:fill="BFBFBF"/>
          </w:tcPr>
          <w:p>
            <w:pPr>
              <w:ind w:left="200"/>
              <w:spacing w:after="0" w:line="202" w:lineRule="exact"/>
              <w:rPr>
                <w:sz w:val="20"/>
                <w:szCs w:val="20"/>
                <w:color w:val="auto"/>
              </w:rPr>
            </w:pPr>
            <w:r>
              <w:rPr>
                <w:rFonts w:ascii="Arial" w:cs="Arial" w:eastAsia="Arial" w:hAnsi="Arial"/>
                <w:sz w:val="18"/>
                <w:szCs w:val="18"/>
                <w:color w:val="auto"/>
              </w:rPr>
              <w:t>Income taxes payable and deferred</w:t>
            </w:r>
          </w:p>
        </w:tc>
        <w:tc>
          <w:tcPr>
            <w:tcW w:w="17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7,010</w:t>
            </w:r>
          </w:p>
        </w:tc>
        <w:tc>
          <w:tcPr>
            <w:tcW w:w="2400" w:type="dxa"/>
            <w:vAlign w:val="bottom"/>
            <w:gridSpan w:val="2"/>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8,766</w:t>
            </w:r>
          </w:p>
        </w:tc>
        <w:tc>
          <w:tcPr>
            <w:tcW w:w="0" w:type="dxa"/>
            <w:vAlign w:val="bottom"/>
          </w:tcPr>
          <w:p>
            <w:pPr>
              <w:spacing w:after="0"/>
              <w:rPr>
                <w:sz w:val="1"/>
                <w:szCs w:val="1"/>
                <w:color w:val="auto"/>
              </w:rPr>
            </w:pPr>
          </w:p>
        </w:tc>
      </w:tr>
      <w:tr>
        <w:trPr>
          <w:trHeight w:val="203"/>
        </w:trPr>
        <w:tc>
          <w:tcPr>
            <w:tcW w:w="7320" w:type="dxa"/>
            <w:vAlign w:val="bottom"/>
          </w:tcPr>
          <w:p>
            <w:pPr>
              <w:ind w:left="200"/>
              <w:spacing w:after="0" w:line="202" w:lineRule="exact"/>
              <w:rPr>
                <w:sz w:val="20"/>
                <w:szCs w:val="20"/>
                <w:color w:val="auto"/>
              </w:rPr>
            </w:pPr>
            <w:r>
              <w:rPr>
                <w:rFonts w:ascii="Arial" w:cs="Arial" w:eastAsia="Arial" w:hAnsi="Arial"/>
                <w:sz w:val="18"/>
                <w:szCs w:val="18"/>
                <w:color w:val="auto"/>
              </w:rPr>
              <w:t>Current liabilities of discontinued operations</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2,675</w:t>
            </w:r>
          </w:p>
        </w:tc>
        <w:tc>
          <w:tcPr>
            <w:tcW w:w="24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20,946</w:t>
            </w:r>
          </w:p>
        </w:tc>
        <w:tc>
          <w:tcPr>
            <w:tcW w:w="0" w:type="dxa"/>
            <w:vAlign w:val="bottom"/>
          </w:tcPr>
          <w:p>
            <w:pPr>
              <w:spacing w:after="0"/>
              <w:rPr>
                <w:sz w:val="1"/>
                <w:szCs w:val="1"/>
                <w:color w:val="auto"/>
              </w:rPr>
            </w:pPr>
          </w:p>
        </w:tc>
      </w:tr>
      <w:tr>
        <w:trPr>
          <w:trHeight w:val="196"/>
        </w:trPr>
        <w:tc>
          <w:tcPr>
            <w:tcW w:w="7320" w:type="dxa"/>
            <w:vAlign w:val="bottom"/>
            <w:tcBorders>
              <w:top w:val="single" w:sz="8" w:color="BFBFBF"/>
            </w:tcBorders>
            <w:shd w:val="clear" w:color="auto" w:fill="BFBFBF"/>
          </w:tcPr>
          <w:p>
            <w:pPr>
              <w:ind w:left="400"/>
              <w:spacing w:after="0" w:line="196" w:lineRule="exact"/>
              <w:rPr>
                <w:sz w:val="20"/>
                <w:szCs w:val="20"/>
                <w:color w:val="auto"/>
              </w:rPr>
            </w:pPr>
            <w:r>
              <w:rPr>
                <w:rFonts w:ascii="Arial" w:cs="Arial" w:eastAsia="Arial" w:hAnsi="Arial"/>
                <w:sz w:val="18"/>
                <w:szCs w:val="18"/>
                <w:color w:val="auto"/>
              </w:rPr>
              <w:t>Total current liabilities</w:t>
            </w:r>
          </w:p>
        </w:tc>
        <w:tc>
          <w:tcPr>
            <w:tcW w:w="1700" w:type="dxa"/>
            <w:vAlign w:val="bottom"/>
            <w:tcBorders>
              <w:top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182,744</w:t>
            </w:r>
          </w:p>
        </w:tc>
        <w:tc>
          <w:tcPr>
            <w:tcW w:w="580" w:type="dxa"/>
            <w:vAlign w:val="bottom"/>
            <w:tcBorders>
              <w:top w:val="single" w:sz="8" w:color="BFBFBF"/>
            </w:tcBorders>
            <w:shd w:val="clear" w:color="auto" w:fill="BFBFBF"/>
          </w:tcPr>
          <w:p>
            <w:pPr>
              <w:spacing w:after="0"/>
              <w:rPr>
                <w:sz w:val="17"/>
                <w:szCs w:val="17"/>
                <w:color w:val="auto"/>
              </w:rPr>
            </w:pPr>
          </w:p>
        </w:tc>
        <w:tc>
          <w:tcPr>
            <w:tcW w:w="1820" w:type="dxa"/>
            <w:vAlign w:val="bottom"/>
            <w:tcBorders>
              <w:top w:val="single" w:sz="8" w:color="auto"/>
            </w:tcBorders>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170,711</w:t>
            </w:r>
          </w:p>
        </w:tc>
        <w:tc>
          <w:tcPr>
            <w:tcW w:w="0" w:type="dxa"/>
            <w:vAlign w:val="bottom"/>
          </w:tcPr>
          <w:p>
            <w:pPr>
              <w:spacing w:after="0"/>
              <w:rPr>
                <w:sz w:val="1"/>
                <w:szCs w:val="1"/>
                <w:color w:val="auto"/>
              </w:rPr>
            </w:pPr>
          </w:p>
        </w:tc>
      </w:tr>
      <w:tr>
        <w:trPr>
          <w:trHeight w:val="405"/>
        </w:trPr>
        <w:tc>
          <w:tcPr>
            <w:tcW w:w="7320" w:type="dxa"/>
            <w:vAlign w:val="bottom"/>
          </w:tcPr>
          <w:p>
            <w:pPr>
              <w:ind w:left="200"/>
              <w:spacing w:after="0"/>
              <w:rPr>
                <w:sz w:val="20"/>
                <w:szCs w:val="20"/>
                <w:color w:val="auto"/>
              </w:rPr>
            </w:pPr>
            <w:r>
              <w:rPr>
                <w:rFonts w:ascii="Arial" w:cs="Arial" w:eastAsia="Arial" w:hAnsi="Arial"/>
                <w:sz w:val="18"/>
                <w:szCs w:val="18"/>
                <w:color w:val="auto"/>
              </w:rPr>
              <w:t>Long-term debt</w:t>
            </w:r>
          </w:p>
        </w:tc>
        <w:tc>
          <w:tcPr>
            <w:tcW w:w="1700" w:type="dxa"/>
            <w:vAlign w:val="bottom"/>
          </w:tcPr>
          <w:p>
            <w:pPr>
              <w:jc w:val="right"/>
              <w:spacing w:after="0"/>
              <w:rPr>
                <w:sz w:val="20"/>
                <w:szCs w:val="20"/>
                <w:color w:val="auto"/>
              </w:rPr>
            </w:pPr>
            <w:r>
              <w:rPr>
                <w:rFonts w:ascii="Arial" w:cs="Arial" w:eastAsia="Arial" w:hAnsi="Arial"/>
                <w:sz w:val="18"/>
                <w:szCs w:val="18"/>
                <w:color w:val="auto"/>
              </w:rPr>
              <w:t>296,636</w:t>
            </w:r>
          </w:p>
        </w:tc>
        <w:tc>
          <w:tcPr>
            <w:tcW w:w="2400" w:type="dxa"/>
            <w:vAlign w:val="bottom"/>
            <w:gridSpan w:val="2"/>
          </w:tcPr>
          <w:p>
            <w:pPr>
              <w:jc w:val="right"/>
              <w:ind w:right="10"/>
              <w:spacing w:after="0"/>
              <w:rPr>
                <w:sz w:val="20"/>
                <w:szCs w:val="20"/>
                <w:color w:val="auto"/>
              </w:rPr>
            </w:pPr>
            <w:r>
              <w:rPr>
                <w:rFonts w:ascii="Arial" w:cs="Arial" w:eastAsia="Arial" w:hAnsi="Arial"/>
                <w:sz w:val="18"/>
                <w:szCs w:val="18"/>
                <w:color w:val="auto"/>
              </w:rPr>
              <w:t>373,125</w:t>
            </w:r>
          </w:p>
        </w:tc>
        <w:tc>
          <w:tcPr>
            <w:tcW w:w="0" w:type="dxa"/>
            <w:vAlign w:val="bottom"/>
          </w:tcPr>
          <w:p>
            <w:pPr>
              <w:spacing w:after="0"/>
              <w:rPr>
                <w:sz w:val="1"/>
                <w:szCs w:val="1"/>
                <w:color w:val="auto"/>
              </w:rPr>
            </w:pPr>
          </w:p>
        </w:tc>
      </w:tr>
      <w:tr>
        <w:trPr>
          <w:trHeight w:val="203"/>
        </w:trPr>
        <w:tc>
          <w:tcPr>
            <w:tcW w:w="7320" w:type="dxa"/>
            <w:vAlign w:val="bottom"/>
            <w:shd w:val="clear" w:color="auto" w:fill="BFBFBF"/>
          </w:tcPr>
          <w:p>
            <w:pPr>
              <w:ind w:left="200"/>
              <w:spacing w:after="0" w:line="202" w:lineRule="exact"/>
              <w:rPr>
                <w:sz w:val="20"/>
                <w:szCs w:val="20"/>
                <w:color w:val="auto"/>
              </w:rPr>
            </w:pPr>
            <w:r>
              <w:rPr>
                <w:rFonts w:ascii="Arial" w:cs="Arial" w:eastAsia="Arial" w:hAnsi="Arial"/>
                <w:sz w:val="18"/>
                <w:szCs w:val="18"/>
                <w:color w:val="auto"/>
              </w:rPr>
              <w:t>Other noncurrent liabilities</w:t>
            </w:r>
          </w:p>
        </w:tc>
        <w:tc>
          <w:tcPr>
            <w:tcW w:w="17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127,993</w:t>
            </w:r>
          </w:p>
        </w:tc>
        <w:tc>
          <w:tcPr>
            <w:tcW w:w="2400" w:type="dxa"/>
            <w:vAlign w:val="bottom"/>
            <w:gridSpan w:val="2"/>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185,648</w:t>
            </w:r>
          </w:p>
        </w:tc>
        <w:tc>
          <w:tcPr>
            <w:tcW w:w="0" w:type="dxa"/>
            <w:vAlign w:val="bottom"/>
          </w:tcPr>
          <w:p>
            <w:pPr>
              <w:spacing w:after="0"/>
              <w:rPr>
                <w:sz w:val="1"/>
                <w:szCs w:val="1"/>
                <w:color w:val="auto"/>
              </w:rPr>
            </w:pPr>
          </w:p>
        </w:tc>
      </w:tr>
      <w:tr>
        <w:trPr>
          <w:trHeight w:val="203"/>
        </w:trPr>
        <w:tc>
          <w:tcPr>
            <w:tcW w:w="7320" w:type="dxa"/>
            <w:vAlign w:val="bottom"/>
          </w:tcPr>
          <w:p>
            <w:pPr>
              <w:ind w:left="200"/>
              <w:spacing w:after="0" w:line="202" w:lineRule="exact"/>
              <w:rPr>
                <w:sz w:val="20"/>
                <w:szCs w:val="20"/>
                <w:color w:val="auto"/>
              </w:rPr>
            </w:pPr>
            <w:r>
              <w:rPr>
                <w:rFonts w:ascii="Arial" w:cs="Arial" w:eastAsia="Arial" w:hAnsi="Arial"/>
                <w:sz w:val="18"/>
                <w:szCs w:val="18"/>
                <w:color w:val="auto"/>
              </w:rPr>
              <w:t>Deferred taxes and other credits</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61,066</w:t>
            </w:r>
          </w:p>
        </w:tc>
        <w:tc>
          <w:tcPr>
            <w:tcW w:w="24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71,529</w:t>
            </w:r>
          </w:p>
        </w:tc>
        <w:tc>
          <w:tcPr>
            <w:tcW w:w="0" w:type="dxa"/>
            <w:vAlign w:val="bottom"/>
          </w:tcPr>
          <w:p>
            <w:pPr>
              <w:spacing w:after="0"/>
              <w:rPr>
                <w:sz w:val="1"/>
                <w:szCs w:val="1"/>
                <w:color w:val="auto"/>
              </w:rPr>
            </w:pPr>
          </w:p>
        </w:tc>
      </w:tr>
      <w:tr>
        <w:trPr>
          <w:trHeight w:val="203"/>
        </w:trPr>
        <w:tc>
          <w:tcPr>
            <w:tcW w:w="7320" w:type="dxa"/>
            <w:vAlign w:val="bottom"/>
            <w:shd w:val="clear" w:color="auto" w:fill="BFBFBF"/>
          </w:tcPr>
          <w:p>
            <w:pPr>
              <w:ind w:left="200"/>
              <w:spacing w:after="0" w:line="202" w:lineRule="exact"/>
              <w:rPr>
                <w:sz w:val="20"/>
                <w:szCs w:val="20"/>
                <w:color w:val="auto"/>
              </w:rPr>
            </w:pPr>
            <w:r>
              <w:rPr>
                <w:rFonts w:ascii="Arial" w:cs="Arial" w:eastAsia="Arial" w:hAnsi="Arial"/>
                <w:sz w:val="18"/>
                <w:szCs w:val="18"/>
                <w:color w:val="auto"/>
              </w:rPr>
              <w:t>Noncurrent liabilities of discontinued operations</w:t>
            </w:r>
          </w:p>
        </w:tc>
        <w:tc>
          <w:tcPr>
            <w:tcW w:w="17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w:t>
            </w:r>
          </w:p>
        </w:tc>
        <w:tc>
          <w:tcPr>
            <w:tcW w:w="2400" w:type="dxa"/>
            <w:vAlign w:val="bottom"/>
            <w:gridSpan w:val="2"/>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14,065</w:t>
            </w:r>
          </w:p>
        </w:tc>
        <w:tc>
          <w:tcPr>
            <w:tcW w:w="0" w:type="dxa"/>
            <w:vAlign w:val="bottom"/>
          </w:tcPr>
          <w:p>
            <w:pPr>
              <w:spacing w:after="0"/>
              <w:rPr>
                <w:sz w:val="1"/>
                <w:szCs w:val="1"/>
                <w:color w:val="auto"/>
              </w:rPr>
            </w:pPr>
          </w:p>
        </w:tc>
      </w:tr>
      <w:tr>
        <w:trPr>
          <w:trHeight w:val="196"/>
        </w:trPr>
        <w:tc>
          <w:tcPr>
            <w:tcW w:w="7320" w:type="dxa"/>
            <w:vAlign w:val="bottom"/>
          </w:tcPr>
          <w:p>
            <w:pPr>
              <w:ind w:left="400"/>
              <w:spacing w:after="0" w:line="196" w:lineRule="exact"/>
              <w:rPr>
                <w:sz w:val="20"/>
                <w:szCs w:val="20"/>
                <w:color w:val="auto"/>
              </w:rPr>
            </w:pPr>
            <w:r>
              <w:rPr>
                <w:rFonts w:ascii="Arial" w:cs="Arial" w:eastAsia="Arial" w:hAnsi="Arial"/>
                <w:sz w:val="18"/>
                <w:szCs w:val="18"/>
                <w:color w:val="auto"/>
              </w:rPr>
              <w:t>Total liabilities</w:t>
            </w:r>
          </w:p>
        </w:tc>
        <w:tc>
          <w:tcPr>
            <w:tcW w:w="1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668,439</w:t>
            </w:r>
          </w:p>
        </w:tc>
        <w:tc>
          <w:tcPr>
            <w:tcW w:w="580" w:type="dxa"/>
            <w:vAlign w:val="bottom"/>
          </w:tcPr>
          <w:p>
            <w:pPr>
              <w:spacing w:after="0"/>
              <w:rPr>
                <w:sz w:val="17"/>
                <w:szCs w:val="17"/>
                <w:color w:val="auto"/>
              </w:rPr>
            </w:pPr>
          </w:p>
        </w:tc>
        <w:tc>
          <w:tcPr>
            <w:tcW w:w="182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815,078</w:t>
            </w:r>
          </w:p>
        </w:tc>
        <w:tc>
          <w:tcPr>
            <w:tcW w:w="0" w:type="dxa"/>
            <w:vAlign w:val="bottom"/>
          </w:tcPr>
          <w:p>
            <w:pPr>
              <w:spacing w:after="0"/>
              <w:rPr>
                <w:sz w:val="1"/>
                <w:szCs w:val="1"/>
                <w:color w:val="auto"/>
              </w:rPr>
            </w:pPr>
          </w:p>
        </w:tc>
      </w:tr>
      <w:tr>
        <w:trPr>
          <w:trHeight w:val="196"/>
        </w:trPr>
        <w:tc>
          <w:tcPr>
            <w:tcW w:w="73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Commitments and Contingencies</w:t>
            </w:r>
          </w:p>
        </w:tc>
        <w:tc>
          <w:tcPr>
            <w:tcW w:w="17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w:t>
            </w:r>
          </w:p>
        </w:tc>
        <w:tc>
          <w:tcPr>
            <w:tcW w:w="2400" w:type="dxa"/>
            <w:vAlign w:val="bottom"/>
            <w:gridSpan w:val="2"/>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4"/>
        </w:trPr>
        <w:tc>
          <w:tcPr>
            <w:tcW w:w="7320" w:type="dxa"/>
            <w:vAlign w:val="bottom"/>
          </w:tcPr>
          <w:p>
            <w:pPr>
              <w:ind w:left="100"/>
              <w:spacing w:after="0"/>
              <w:rPr>
                <w:sz w:val="20"/>
                <w:szCs w:val="20"/>
                <w:color w:val="auto"/>
              </w:rPr>
            </w:pPr>
            <w:r>
              <w:rPr>
                <w:rFonts w:ascii="Arial" w:cs="Arial" w:eastAsia="Arial" w:hAnsi="Arial"/>
                <w:sz w:val="18"/>
                <w:szCs w:val="18"/>
                <w:color w:val="auto"/>
              </w:rPr>
              <w:t>SHAREHOLDERS' EQUITY</w:t>
            </w:r>
          </w:p>
        </w:tc>
        <w:tc>
          <w:tcPr>
            <w:tcW w:w="1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200"/>
              <w:spacing w:after="0" w:line="202" w:lineRule="exact"/>
              <w:rPr>
                <w:sz w:val="20"/>
                <w:szCs w:val="20"/>
                <w:color w:val="auto"/>
              </w:rPr>
            </w:pPr>
            <w:r>
              <w:rPr>
                <w:rFonts w:ascii="Arial" w:cs="Arial" w:eastAsia="Arial" w:hAnsi="Arial"/>
                <w:sz w:val="18"/>
                <w:szCs w:val="18"/>
                <w:color w:val="auto"/>
              </w:rPr>
              <w:t>Preferred stock, par value $5.00 per share;</w:t>
            </w:r>
          </w:p>
        </w:tc>
        <w:tc>
          <w:tcPr>
            <w:tcW w:w="1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300"/>
              <w:spacing w:after="0" w:line="203" w:lineRule="exact"/>
              <w:rPr>
                <w:sz w:val="20"/>
                <w:szCs w:val="20"/>
                <w:color w:val="auto"/>
              </w:rPr>
            </w:pPr>
            <w:r>
              <w:rPr>
                <w:rFonts w:ascii="Arial" w:cs="Arial" w:eastAsia="Arial" w:hAnsi="Arial"/>
                <w:sz w:val="18"/>
                <w:szCs w:val="18"/>
                <w:color w:val="auto"/>
              </w:rPr>
              <w:t>authorized 2,000,000 shares; none issued</w:t>
            </w:r>
          </w:p>
        </w:tc>
        <w:tc>
          <w:tcPr>
            <w:tcW w:w="17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400" w:type="dxa"/>
            <w:vAlign w:val="bottom"/>
            <w:gridSpan w:val="2"/>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320" w:type="dxa"/>
            <w:vAlign w:val="bottom"/>
            <w:shd w:val="clear" w:color="auto" w:fill="BFBFBF"/>
          </w:tcPr>
          <w:p>
            <w:pPr>
              <w:ind w:left="200"/>
              <w:spacing w:after="0" w:line="201" w:lineRule="exact"/>
              <w:rPr>
                <w:sz w:val="20"/>
                <w:szCs w:val="20"/>
                <w:color w:val="auto"/>
              </w:rPr>
            </w:pPr>
            <w:r>
              <w:rPr>
                <w:rFonts w:ascii="Arial" w:cs="Arial" w:eastAsia="Arial" w:hAnsi="Arial"/>
                <w:sz w:val="18"/>
                <w:szCs w:val="18"/>
                <w:color w:val="auto"/>
              </w:rPr>
              <w:t>Class A Common Stock, par value $.001 per share;</w:t>
            </w:r>
          </w:p>
        </w:tc>
        <w:tc>
          <w:tcPr>
            <w:tcW w:w="1700" w:type="dxa"/>
            <w:vAlign w:val="bottom"/>
            <w:shd w:val="clear" w:color="auto" w:fill="BFBFBF"/>
          </w:tcPr>
          <w:p>
            <w:pPr>
              <w:spacing w:after="0"/>
              <w:rPr>
                <w:sz w:val="17"/>
                <w:szCs w:val="17"/>
                <w:color w:val="auto"/>
              </w:rPr>
            </w:pPr>
          </w:p>
        </w:tc>
        <w:tc>
          <w:tcPr>
            <w:tcW w:w="580" w:type="dxa"/>
            <w:vAlign w:val="bottom"/>
            <w:shd w:val="clear" w:color="auto" w:fill="BFBFBF"/>
          </w:tcPr>
          <w:p>
            <w:pPr>
              <w:spacing w:after="0"/>
              <w:rPr>
                <w:sz w:val="17"/>
                <w:szCs w:val="17"/>
                <w:color w:val="auto"/>
              </w:rPr>
            </w:pPr>
          </w:p>
        </w:tc>
        <w:tc>
          <w:tcPr>
            <w:tcW w:w="182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BFBFBF"/>
          </w:tcPr>
          <w:p>
            <w:pPr>
              <w:ind w:left="300"/>
              <w:spacing w:after="0" w:line="202" w:lineRule="exact"/>
              <w:rPr>
                <w:sz w:val="20"/>
                <w:szCs w:val="20"/>
                <w:color w:val="auto"/>
              </w:rPr>
            </w:pPr>
            <w:r>
              <w:rPr>
                <w:rFonts w:ascii="Arial" w:cs="Arial" w:eastAsia="Arial" w:hAnsi="Arial"/>
                <w:sz w:val="18"/>
                <w:szCs w:val="18"/>
                <w:color w:val="auto"/>
              </w:rPr>
              <w:t>authorized 100,000,000 shares; issued</w:t>
            </w:r>
          </w:p>
        </w:tc>
        <w:tc>
          <w:tcPr>
            <w:tcW w:w="1700" w:type="dxa"/>
            <w:vAlign w:val="bottom"/>
            <w:shd w:val="clear" w:color="auto" w:fill="BFBFBF"/>
          </w:tcPr>
          <w:p>
            <w:pPr>
              <w:spacing w:after="0"/>
              <w:rPr>
                <w:sz w:val="17"/>
                <w:szCs w:val="17"/>
                <w:color w:val="auto"/>
              </w:rPr>
            </w:pPr>
          </w:p>
        </w:tc>
        <w:tc>
          <w:tcPr>
            <w:tcW w:w="580" w:type="dxa"/>
            <w:vAlign w:val="bottom"/>
            <w:shd w:val="clear" w:color="auto" w:fill="BFBFBF"/>
          </w:tcPr>
          <w:p>
            <w:pPr>
              <w:spacing w:after="0"/>
              <w:rPr>
                <w:sz w:val="17"/>
                <w:szCs w:val="17"/>
                <w:color w:val="auto"/>
              </w:rPr>
            </w:pPr>
          </w:p>
        </w:tc>
        <w:tc>
          <w:tcPr>
            <w:tcW w:w="182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BFBFBF"/>
          </w:tcPr>
          <w:p>
            <w:pPr>
              <w:ind w:left="300"/>
              <w:spacing w:after="0" w:line="203" w:lineRule="exact"/>
              <w:rPr>
                <w:sz w:val="20"/>
                <w:szCs w:val="20"/>
                <w:color w:val="auto"/>
              </w:rPr>
            </w:pPr>
            <w:r>
              <w:rPr>
                <w:rFonts w:ascii="Arial" w:cs="Arial" w:eastAsia="Arial" w:hAnsi="Arial"/>
                <w:sz w:val="18"/>
                <w:szCs w:val="18"/>
                <w:color w:val="auto"/>
              </w:rPr>
              <w:t>36,585,004 in 2012 and 36,540,842 in 2011</w:t>
            </w:r>
          </w:p>
        </w:tc>
        <w:tc>
          <w:tcPr>
            <w:tcW w:w="1700" w:type="dxa"/>
            <w:vAlign w:val="bottom"/>
            <w:shd w:val="clear" w:color="auto" w:fill="BFBFBF"/>
          </w:tcPr>
          <w:p>
            <w:pPr>
              <w:jc w:val="right"/>
              <w:spacing w:after="0" w:line="203" w:lineRule="exact"/>
              <w:rPr>
                <w:sz w:val="20"/>
                <w:szCs w:val="20"/>
                <w:color w:val="auto"/>
              </w:rPr>
            </w:pPr>
            <w:r>
              <w:rPr>
                <w:rFonts w:ascii="Arial" w:cs="Arial" w:eastAsia="Arial" w:hAnsi="Arial"/>
                <w:sz w:val="18"/>
                <w:szCs w:val="18"/>
                <w:color w:val="auto"/>
              </w:rPr>
              <w:t>37</w:t>
            </w:r>
          </w:p>
        </w:tc>
        <w:tc>
          <w:tcPr>
            <w:tcW w:w="2400" w:type="dxa"/>
            <w:vAlign w:val="bottom"/>
            <w:gridSpan w:val="2"/>
            <w:shd w:val="clear" w:color="auto" w:fill="BFBFBF"/>
          </w:tcPr>
          <w:p>
            <w:pPr>
              <w:jc w:val="right"/>
              <w:ind w:right="10"/>
              <w:spacing w:after="0" w:line="203"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2"/>
        </w:trPr>
        <w:tc>
          <w:tcPr>
            <w:tcW w:w="7320" w:type="dxa"/>
            <w:vAlign w:val="bottom"/>
          </w:tcPr>
          <w:p>
            <w:pPr>
              <w:ind w:left="200"/>
              <w:spacing w:after="0" w:line="201" w:lineRule="exact"/>
              <w:rPr>
                <w:sz w:val="20"/>
                <w:szCs w:val="20"/>
                <w:color w:val="auto"/>
              </w:rPr>
            </w:pPr>
            <w:r>
              <w:rPr>
                <w:rFonts w:ascii="Arial" w:cs="Arial" w:eastAsia="Arial" w:hAnsi="Arial"/>
                <w:sz w:val="18"/>
                <w:szCs w:val="18"/>
                <w:color w:val="auto"/>
              </w:rPr>
              <w:t>Class B Common Stock, par value $.001 per share;</w:t>
            </w:r>
          </w:p>
        </w:tc>
        <w:tc>
          <w:tcPr>
            <w:tcW w:w="1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300"/>
              <w:spacing w:after="0" w:line="202" w:lineRule="exact"/>
              <w:rPr>
                <w:sz w:val="20"/>
                <w:szCs w:val="20"/>
                <w:color w:val="auto"/>
              </w:rPr>
            </w:pPr>
            <w:r>
              <w:rPr>
                <w:rFonts w:ascii="Arial" w:cs="Arial" w:eastAsia="Arial" w:hAnsi="Arial"/>
                <w:sz w:val="18"/>
                <w:szCs w:val="18"/>
                <w:color w:val="auto"/>
              </w:rPr>
              <w:t>authorized 25,000,000 shares; issued and</w:t>
            </w:r>
          </w:p>
        </w:tc>
        <w:tc>
          <w:tcPr>
            <w:tcW w:w="1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300"/>
              <w:spacing w:after="0" w:line="203" w:lineRule="exact"/>
              <w:rPr>
                <w:sz w:val="20"/>
                <w:szCs w:val="20"/>
                <w:color w:val="auto"/>
              </w:rPr>
            </w:pPr>
            <w:r>
              <w:rPr>
                <w:rFonts w:ascii="Arial" w:cs="Arial" w:eastAsia="Arial" w:hAnsi="Arial"/>
                <w:sz w:val="18"/>
                <w:szCs w:val="18"/>
                <w:color w:val="auto"/>
              </w:rPr>
              <w:t>outstanding 3,236,098 in 2012 and 2011</w:t>
            </w:r>
          </w:p>
        </w:tc>
        <w:tc>
          <w:tcPr>
            <w:tcW w:w="1700" w:type="dxa"/>
            <w:vAlign w:val="bottom"/>
          </w:tcPr>
          <w:p>
            <w:pPr>
              <w:jc w:val="right"/>
              <w:spacing w:after="0" w:line="203" w:lineRule="exact"/>
              <w:rPr>
                <w:sz w:val="20"/>
                <w:szCs w:val="20"/>
                <w:color w:val="auto"/>
              </w:rPr>
            </w:pPr>
            <w:r>
              <w:rPr>
                <w:rFonts w:ascii="Arial" w:cs="Arial" w:eastAsia="Arial" w:hAnsi="Arial"/>
                <w:sz w:val="18"/>
                <w:szCs w:val="18"/>
                <w:color w:val="auto"/>
              </w:rPr>
              <w:t>3</w:t>
            </w:r>
          </w:p>
        </w:tc>
        <w:tc>
          <w:tcPr>
            <w:tcW w:w="2400" w:type="dxa"/>
            <w:vAlign w:val="bottom"/>
            <w:gridSpan w:val="2"/>
          </w:tcPr>
          <w:p>
            <w:pPr>
              <w:jc w:val="right"/>
              <w:ind w:right="10"/>
              <w:spacing w:after="0" w:line="203"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7320" w:type="dxa"/>
            <w:vAlign w:val="bottom"/>
            <w:shd w:val="clear" w:color="auto" w:fill="BFBFBF"/>
          </w:tcPr>
          <w:p>
            <w:pPr>
              <w:ind w:left="200"/>
              <w:spacing w:after="0" w:line="202" w:lineRule="exact"/>
              <w:rPr>
                <w:sz w:val="20"/>
                <w:szCs w:val="20"/>
                <w:color w:val="auto"/>
              </w:rPr>
            </w:pPr>
            <w:r>
              <w:rPr>
                <w:rFonts w:ascii="Arial" w:cs="Arial" w:eastAsia="Arial" w:hAnsi="Arial"/>
                <w:sz w:val="18"/>
                <w:szCs w:val="18"/>
                <w:color w:val="auto"/>
              </w:rPr>
              <w:t>Additional paid in capital</w:t>
            </w:r>
          </w:p>
        </w:tc>
        <w:tc>
          <w:tcPr>
            <w:tcW w:w="17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391,611</w:t>
            </w:r>
          </w:p>
        </w:tc>
        <w:tc>
          <w:tcPr>
            <w:tcW w:w="2400" w:type="dxa"/>
            <w:vAlign w:val="bottom"/>
            <w:gridSpan w:val="2"/>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391,495</w:t>
            </w:r>
          </w:p>
        </w:tc>
        <w:tc>
          <w:tcPr>
            <w:tcW w:w="0" w:type="dxa"/>
            <w:vAlign w:val="bottom"/>
          </w:tcPr>
          <w:p>
            <w:pPr>
              <w:spacing w:after="0"/>
              <w:rPr>
                <w:sz w:val="1"/>
                <w:szCs w:val="1"/>
                <w:color w:val="auto"/>
              </w:rPr>
            </w:pPr>
          </w:p>
        </w:tc>
      </w:tr>
      <w:tr>
        <w:trPr>
          <w:trHeight w:val="202"/>
        </w:trPr>
        <w:tc>
          <w:tcPr>
            <w:tcW w:w="7320" w:type="dxa"/>
            <w:vAlign w:val="bottom"/>
          </w:tcPr>
          <w:p>
            <w:pPr>
              <w:ind w:left="200"/>
              <w:spacing w:after="0" w:line="201" w:lineRule="exact"/>
              <w:rPr>
                <w:sz w:val="20"/>
                <w:szCs w:val="20"/>
                <w:color w:val="auto"/>
              </w:rPr>
            </w:pPr>
            <w:r>
              <w:rPr>
                <w:rFonts w:ascii="Arial" w:cs="Arial" w:eastAsia="Arial" w:hAnsi="Arial"/>
                <w:sz w:val="18"/>
                <w:szCs w:val="18"/>
                <w:color w:val="auto"/>
              </w:rPr>
              <w:t>Retained earnings</w:t>
            </w:r>
          </w:p>
        </w:tc>
        <w:tc>
          <w:tcPr>
            <w:tcW w:w="1700" w:type="dxa"/>
            <w:vAlign w:val="bottom"/>
          </w:tcPr>
          <w:p>
            <w:pPr>
              <w:jc w:val="right"/>
              <w:spacing w:after="0" w:line="201" w:lineRule="exact"/>
              <w:rPr>
                <w:sz w:val="20"/>
                <w:szCs w:val="20"/>
                <w:color w:val="auto"/>
              </w:rPr>
            </w:pPr>
            <w:r>
              <w:rPr>
                <w:rFonts w:ascii="Arial" w:cs="Arial" w:eastAsia="Arial" w:hAnsi="Arial"/>
                <w:sz w:val="18"/>
                <w:szCs w:val="18"/>
                <w:color w:val="auto"/>
              </w:rPr>
              <w:t>465,016</w:t>
            </w:r>
          </w:p>
        </w:tc>
        <w:tc>
          <w:tcPr>
            <w:tcW w:w="2400" w:type="dxa"/>
            <w:vAlign w:val="bottom"/>
            <w:gridSpan w:val="2"/>
          </w:tcPr>
          <w:p>
            <w:pPr>
              <w:jc w:val="right"/>
              <w:ind w:right="10"/>
              <w:spacing w:after="0" w:line="201" w:lineRule="exact"/>
              <w:rPr>
                <w:sz w:val="20"/>
                <w:szCs w:val="20"/>
                <w:color w:val="auto"/>
              </w:rPr>
            </w:pPr>
            <w:r>
              <w:rPr>
                <w:rFonts w:ascii="Arial" w:cs="Arial" w:eastAsia="Arial" w:hAnsi="Arial"/>
                <w:sz w:val="18"/>
                <w:szCs w:val="18"/>
                <w:color w:val="auto"/>
              </w:rPr>
              <w:t>422,044</w:t>
            </w:r>
          </w:p>
        </w:tc>
        <w:tc>
          <w:tcPr>
            <w:tcW w:w="0" w:type="dxa"/>
            <w:vAlign w:val="bottom"/>
          </w:tcPr>
          <w:p>
            <w:pPr>
              <w:spacing w:after="0"/>
              <w:rPr>
                <w:sz w:val="1"/>
                <w:szCs w:val="1"/>
                <w:color w:val="auto"/>
              </w:rPr>
            </w:pPr>
          </w:p>
        </w:tc>
      </w:tr>
      <w:tr>
        <w:trPr>
          <w:trHeight w:val="203"/>
        </w:trPr>
        <w:tc>
          <w:tcPr>
            <w:tcW w:w="7320" w:type="dxa"/>
            <w:vAlign w:val="bottom"/>
          </w:tcPr>
          <w:p>
            <w:pPr>
              <w:ind w:left="200"/>
              <w:spacing w:after="0" w:line="203" w:lineRule="exact"/>
              <w:rPr>
                <w:sz w:val="20"/>
                <w:szCs w:val="20"/>
                <w:color w:val="auto"/>
              </w:rPr>
            </w:pPr>
            <w:r>
              <w:rPr>
                <w:rFonts w:ascii="Arial" w:cs="Arial" w:eastAsia="Arial" w:hAnsi="Arial"/>
                <w:sz w:val="18"/>
                <w:szCs w:val="18"/>
                <w:color w:val="auto"/>
              </w:rPr>
              <w:t>Accumulated items of other comprehensive income:</w:t>
            </w:r>
          </w:p>
        </w:tc>
        <w:tc>
          <w:tcPr>
            <w:tcW w:w="1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BFBFBF"/>
          </w:tcPr>
          <w:p>
            <w:pPr>
              <w:ind w:left="300"/>
              <w:spacing w:after="0" w:line="202" w:lineRule="exact"/>
              <w:rPr>
                <w:sz w:val="20"/>
                <w:szCs w:val="20"/>
                <w:color w:val="auto"/>
              </w:rPr>
            </w:pPr>
            <w:r>
              <w:rPr>
                <w:rFonts w:ascii="Arial" w:cs="Arial" w:eastAsia="Arial" w:hAnsi="Arial"/>
                <w:sz w:val="18"/>
                <w:szCs w:val="18"/>
                <w:color w:val="auto"/>
              </w:rPr>
              <w:t>Translation adjustments</w:t>
            </w:r>
          </w:p>
        </w:tc>
        <w:tc>
          <w:tcPr>
            <w:tcW w:w="17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(6,244)</w:t>
            </w:r>
          </w:p>
        </w:tc>
        <w:tc>
          <w:tcPr>
            <w:tcW w:w="240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(19,111)</w:t>
            </w:r>
          </w:p>
        </w:tc>
        <w:tc>
          <w:tcPr>
            <w:tcW w:w="0" w:type="dxa"/>
            <w:vAlign w:val="bottom"/>
          </w:tcPr>
          <w:p>
            <w:pPr>
              <w:spacing w:after="0"/>
              <w:rPr>
                <w:sz w:val="1"/>
                <w:szCs w:val="1"/>
                <w:color w:val="auto"/>
              </w:rPr>
            </w:pPr>
          </w:p>
        </w:tc>
      </w:tr>
      <w:tr>
        <w:trPr>
          <w:trHeight w:val="203"/>
        </w:trPr>
        <w:tc>
          <w:tcPr>
            <w:tcW w:w="7320" w:type="dxa"/>
            <w:vAlign w:val="bottom"/>
          </w:tcPr>
          <w:p>
            <w:pPr>
              <w:ind w:left="300"/>
              <w:spacing w:after="0" w:line="202" w:lineRule="exact"/>
              <w:rPr>
                <w:sz w:val="20"/>
                <w:szCs w:val="20"/>
                <w:color w:val="auto"/>
              </w:rPr>
            </w:pPr>
            <w:r>
              <w:rPr>
                <w:rFonts w:ascii="Arial" w:cs="Arial" w:eastAsia="Arial" w:hAnsi="Arial"/>
                <w:sz w:val="18"/>
                <w:szCs w:val="18"/>
                <w:color w:val="auto"/>
              </w:rPr>
              <w:t>Pension and post retirement liability adjustments</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(110,480)</w:t>
            </w:r>
          </w:p>
        </w:tc>
        <w:tc>
          <w:tcPr>
            <w:tcW w:w="2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(118,104)</w:t>
            </w:r>
          </w:p>
        </w:tc>
        <w:tc>
          <w:tcPr>
            <w:tcW w:w="0" w:type="dxa"/>
            <w:vAlign w:val="bottom"/>
          </w:tcPr>
          <w:p>
            <w:pPr>
              <w:spacing w:after="0"/>
              <w:rPr>
                <w:sz w:val="1"/>
                <w:szCs w:val="1"/>
                <w:color w:val="auto"/>
              </w:rPr>
            </w:pPr>
          </w:p>
        </w:tc>
      </w:tr>
      <w:tr>
        <w:trPr>
          <w:trHeight w:val="203"/>
        </w:trPr>
        <w:tc>
          <w:tcPr>
            <w:tcW w:w="7320" w:type="dxa"/>
            <w:vAlign w:val="bottom"/>
            <w:shd w:val="clear" w:color="auto" w:fill="BFBFBF"/>
          </w:tcPr>
          <w:p>
            <w:pPr>
              <w:ind w:left="300"/>
              <w:spacing w:after="0" w:line="202" w:lineRule="exact"/>
              <w:rPr>
                <w:sz w:val="20"/>
                <w:szCs w:val="20"/>
                <w:color w:val="auto"/>
              </w:rPr>
            </w:pPr>
            <w:r>
              <w:rPr>
                <w:rFonts w:ascii="Arial" w:cs="Arial" w:eastAsia="Arial" w:hAnsi="Arial"/>
                <w:sz w:val="18"/>
                <w:szCs w:val="18"/>
                <w:color w:val="auto"/>
              </w:rPr>
              <w:t>Derivative valuation adjustment</w:t>
            </w:r>
          </w:p>
        </w:tc>
        <w:tc>
          <w:tcPr>
            <w:tcW w:w="17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(2,804)</w:t>
            </w:r>
          </w:p>
        </w:tc>
        <w:tc>
          <w:tcPr>
            <w:tcW w:w="240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(2,594)</w:t>
            </w:r>
          </w:p>
        </w:tc>
        <w:tc>
          <w:tcPr>
            <w:tcW w:w="0" w:type="dxa"/>
            <w:vAlign w:val="bottom"/>
          </w:tcPr>
          <w:p>
            <w:pPr>
              <w:spacing w:after="0"/>
              <w:rPr>
                <w:sz w:val="1"/>
                <w:szCs w:val="1"/>
                <w:color w:val="auto"/>
              </w:rPr>
            </w:pPr>
          </w:p>
        </w:tc>
      </w:tr>
      <w:tr>
        <w:trPr>
          <w:trHeight w:val="202"/>
        </w:trPr>
        <w:tc>
          <w:tcPr>
            <w:tcW w:w="7320" w:type="dxa"/>
            <w:vAlign w:val="bottom"/>
          </w:tcPr>
          <w:p>
            <w:pPr>
              <w:ind w:left="200"/>
              <w:spacing w:after="0" w:line="201" w:lineRule="exact"/>
              <w:rPr>
                <w:sz w:val="20"/>
                <w:szCs w:val="20"/>
                <w:color w:val="auto"/>
              </w:rPr>
            </w:pPr>
            <w:r>
              <w:rPr>
                <w:rFonts w:ascii="Arial" w:cs="Arial" w:eastAsia="Arial" w:hAnsi="Arial"/>
                <w:sz w:val="18"/>
                <w:szCs w:val="18"/>
                <w:color w:val="auto"/>
              </w:rPr>
              <w:t>Treasury stock (Class A), at cost 8,479,487 shares</w:t>
            </w:r>
          </w:p>
        </w:tc>
        <w:tc>
          <w:tcPr>
            <w:tcW w:w="1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300"/>
              <w:spacing w:after="0" w:line="203" w:lineRule="exact"/>
              <w:rPr>
                <w:sz w:val="20"/>
                <w:szCs w:val="20"/>
                <w:color w:val="auto"/>
              </w:rPr>
            </w:pPr>
            <w:r>
              <w:rPr>
                <w:rFonts w:ascii="Arial" w:cs="Arial" w:eastAsia="Arial" w:hAnsi="Arial"/>
                <w:sz w:val="18"/>
                <w:szCs w:val="18"/>
                <w:color w:val="auto"/>
              </w:rPr>
              <w:t>in 2012 and 2011</w:t>
            </w:r>
          </w:p>
        </w:tc>
        <w:tc>
          <w:tcPr>
            <w:tcW w:w="1700" w:type="dxa"/>
            <w:vAlign w:val="bottom"/>
          </w:tcPr>
          <w:p>
            <w:pPr>
              <w:jc w:val="right"/>
              <w:spacing w:after="0" w:line="203" w:lineRule="exact"/>
              <w:rPr>
                <w:sz w:val="20"/>
                <w:szCs w:val="20"/>
                <w:color w:val="auto"/>
              </w:rPr>
            </w:pPr>
            <w:r>
              <w:rPr>
                <w:rFonts w:ascii="Arial" w:cs="Arial" w:eastAsia="Arial" w:hAnsi="Arial"/>
                <w:sz w:val="18"/>
                <w:szCs w:val="18"/>
                <w:color w:val="auto"/>
              </w:rPr>
              <w:t>(257,920)</w:t>
            </w:r>
          </w:p>
        </w:tc>
        <w:tc>
          <w:tcPr>
            <w:tcW w:w="24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(257,920)</w:t>
            </w:r>
          </w:p>
        </w:tc>
        <w:tc>
          <w:tcPr>
            <w:tcW w:w="0" w:type="dxa"/>
            <w:vAlign w:val="bottom"/>
          </w:tcPr>
          <w:p>
            <w:pPr>
              <w:spacing w:after="0"/>
              <w:rPr>
                <w:sz w:val="1"/>
                <w:szCs w:val="1"/>
                <w:color w:val="auto"/>
              </w:rPr>
            </w:pPr>
          </w:p>
        </w:tc>
      </w:tr>
      <w:tr>
        <w:trPr>
          <w:trHeight w:val="196"/>
        </w:trPr>
        <w:tc>
          <w:tcPr>
            <w:tcW w:w="7320" w:type="dxa"/>
            <w:vAlign w:val="bottom"/>
            <w:tcBorders>
              <w:top w:val="single" w:sz="8" w:color="BFBFBF"/>
            </w:tcBorders>
            <w:shd w:val="clear" w:color="auto" w:fill="BFBFBF"/>
          </w:tcPr>
          <w:p>
            <w:pPr>
              <w:ind w:left="400"/>
              <w:spacing w:after="0" w:line="196" w:lineRule="exact"/>
              <w:rPr>
                <w:sz w:val="20"/>
                <w:szCs w:val="20"/>
                <w:color w:val="auto"/>
              </w:rPr>
            </w:pPr>
            <w:r>
              <w:rPr>
                <w:rFonts w:ascii="Arial" w:cs="Arial" w:eastAsia="Arial" w:hAnsi="Arial"/>
                <w:sz w:val="18"/>
                <w:szCs w:val="18"/>
                <w:color w:val="auto"/>
              </w:rPr>
              <w:t>Total shareholders' equity</w:t>
            </w:r>
          </w:p>
        </w:tc>
        <w:tc>
          <w:tcPr>
            <w:tcW w:w="170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479,219</w:t>
            </w:r>
          </w:p>
        </w:tc>
        <w:tc>
          <w:tcPr>
            <w:tcW w:w="580" w:type="dxa"/>
            <w:vAlign w:val="bottom"/>
            <w:tcBorders>
              <w:top w:val="single" w:sz="8" w:color="BFBFBF"/>
            </w:tcBorders>
            <w:shd w:val="clear" w:color="auto" w:fill="BFBFBF"/>
          </w:tcPr>
          <w:p>
            <w:pPr>
              <w:spacing w:after="0"/>
              <w:rPr>
                <w:sz w:val="17"/>
                <w:szCs w:val="17"/>
                <w:color w:val="auto"/>
              </w:rPr>
            </w:pPr>
          </w:p>
        </w:tc>
        <w:tc>
          <w:tcPr>
            <w:tcW w:w="1820" w:type="dxa"/>
            <w:vAlign w:val="bottom"/>
            <w:tcBorders>
              <w:top w:val="single" w:sz="8" w:color="auto"/>
              <w:bottom w:val="single" w:sz="8" w:color="auto"/>
            </w:tcBorders>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415,850</w:t>
            </w:r>
          </w:p>
        </w:tc>
        <w:tc>
          <w:tcPr>
            <w:tcW w:w="0" w:type="dxa"/>
            <w:vAlign w:val="bottom"/>
          </w:tcPr>
          <w:p>
            <w:pPr>
              <w:spacing w:after="0"/>
              <w:rPr>
                <w:sz w:val="1"/>
                <w:szCs w:val="1"/>
                <w:color w:val="auto"/>
              </w:rPr>
            </w:pPr>
          </w:p>
        </w:tc>
      </w:tr>
      <w:tr>
        <w:trPr>
          <w:trHeight w:val="196"/>
        </w:trPr>
        <w:tc>
          <w:tcPr>
            <w:tcW w:w="7320" w:type="dxa"/>
            <w:vAlign w:val="bottom"/>
          </w:tcPr>
          <w:p>
            <w:pPr>
              <w:ind w:left="400"/>
              <w:spacing w:after="0" w:line="196" w:lineRule="exact"/>
              <w:rPr>
                <w:sz w:val="20"/>
                <w:szCs w:val="20"/>
                <w:color w:val="auto"/>
              </w:rPr>
            </w:pPr>
            <w:r>
              <w:rPr>
                <w:rFonts w:ascii="Arial" w:cs="Arial" w:eastAsia="Arial" w:hAnsi="Arial"/>
                <w:sz w:val="18"/>
                <w:szCs w:val="18"/>
                <w:color w:val="auto"/>
              </w:rPr>
              <w:t>Total liabilities and shareholders' equity</w:t>
            </w:r>
          </w:p>
        </w:tc>
        <w:tc>
          <w:tcPr>
            <w:tcW w:w="1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$1,147,658</w:t>
            </w:r>
          </w:p>
        </w:tc>
        <w:tc>
          <w:tcPr>
            <w:tcW w:w="580" w:type="dxa"/>
            <w:vAlign w:val="bottom"/>
          </w:tcPr>
          <w:p>
            <w:pPr>
              <w:spacing w:after="0"/>
              <w:rPr>
                <w:sz w:val="17"/>
                <w:szCs w:val="17"/>
                <w:color w:val="auto"/>
              </w:rPr>
            </w:pPr>
          </w:p>
        </w:tc>
        <w:tc>
          <w:tcPr>
            <w:tcW w:w="18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$1,230,928</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74" w:right="239" w:bottom="1440" w:gutter="0" w:footer="0" w:header="0"/>
        </w:sectPr>
      </w:pPr>
    </w:p>
    <w:bookmarkStart w:id="5" w:name="page6"/>
    <w:bookmarkEnd w:id="5"/>
    <w:p>
      <w:pPr>
        <w:ind w:left="4640"/>
        <w:spacing w:after="0"/>
        <w:rPr>
          <w:sz w:val="20"/>
          <w:szCs w:val="20"/>
          <w:color w:val="auto"/>
        </w:rPr>
      </w:pPr>
      <w:r>
        <w:rPr>
          <w:rFonts w:ascii="Arial" w:cs="Arial" w:eastAsia="Arial" w:hAnsi="Arial"/>
          <w:sz w:val="18"/>
          <w:szCs w:val="18"/>
          <w:color w:val="auto"/>
        </w:rPr>
        <w:t>ALBANY INTERNATIONAL CORP.</w:t>
      </w:r>
    </w:p>
    <w:p>
      <w:pPr>
        <w:ind w:left="3620"/>
        <w:spacing w:after="0" w:line="234" w:lineRule="auto"/>
        <w:rPr>
          <w:sz w:val="20"/>
          <w:szCs w:val="20"/>
          <w:color w:val="auto"/>
        </w:rPr>
      </w:pPr>
      <w:r>
        <w:rPr>
          <w:rFonts w:ascii="Arial" w:cs="Arial" w:eastAsia="Arial" w:hAnsi="Arial"/>
          <w:sz w:val="18"/>
          <w:szCs w:val="18"/>
          <w:color w:val="auto"/>
        </w:rPr>
        <w:t>CONSOLIDATED STATEMENTS OF CASH FLOWS</w:t>
      </w:r>
    </w:p>
    <w:p>
      <w:pPr>
        <w:jc w:val="center"/>
        <w:spacing w:after="0" w:line="235" w:lineRule="auto"/>
        <w:rPr>
          <w:sz w:val="20"/>
          <w:szCs w:val="20"/>
          <w:color w:val="auto"/>
        </w:rPr>
      </w:pPr>
      <w:r>
        <w:rPr>
          <w:rFonts w:ascii="Arial" w:cs="Arial" w:eastAsia="Arial" w:hAnsi="Arial"/>
          <w:sz w:val="18"/>
          <w:szCs w:val="18"/>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jc w:val="center"/>
        <w:ind w:left="8440"/>
        <w:spacing w:after="0"/>
        <w:rPr>
          <w:sz w:val="20"/>
          <w:szCs w:val="20"/>
          <w:color w:val="auto"/>
        </w:rPr>
      </w:pPr>
      <w:r>
        <w:rPr>
          <w:rFonts w:ascii="Arial" w:cs="Arial" w:eastAsia="Arial" w:hAnsi="Arial"/>
          <w:sz w:val="18"/>
          <w:szCs w:val="18"/>
          <w:color w:val="auto"/>
        </w:rPr>
        <w:t>Three Months Ended</w:t>
      </w:r>
    </w:p>
    <w:p>
      <w:pPr>
        <w:jc w:val="center"/>
        <w:ind w:left="8440"/>
        <w:spacing w:after="0"/>
        <w:rPr>
          <w:sz w:val="20"/>
          <w:szCs w:val="20"/>
          <w:color w:val="auto"/>
        </w:rPr>
      </w:pPr>
      <w:r>
        <w:rPr>
          <w:rFonts w:ascii="Arial" w:cs="Arial" w:eastAsia="Arial" w:hAnsi="Arial"/>
          <w:sz w:val="18"/>
          <w:szCs w:val="18"/>
          <w:color w:val="auto"/>
        </w:rPr>
        <w:t>March 31,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40" w:type="dxa"/>
            <w:vAlign w:val="bottom"/>
            <w:vMerge w:val="restart"/>
          </w:tcPr>
          <w:p>
            <w:pPr>
              <w:ind w:left="100"/>
              <w:spacing w:after="0"/>
              <w:rPr>
                <w:sz w:val="20"/>
                <w:szCs w:val="20"/>
                <w:color w:val="auto"/>
              </w:rPr>
            </w:pPr>
            <w:r>
              <w:rPr>
                <w:rFonts w:ascii="Arial" w:cs="Arial" w:eastAsia="Arial" w:hAnsi="Arial"/>
                <w:sz w:val="18"/>
                <w:szCs w:val="18"/>
                <w:color w:val="auto"/>
              </w:rPr>
              <w:t>OPERATING ACTIVITIES</w:t>
            </w: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2012</w:t>
            </w:r>
          </w:p>
        </w:tc>
        <w:tc>
          <w:tcPr>
            <w:tcW w:w="260" w:type="dxa"/>
            <w:vAlign w:val="bottom"/>
          </w:tcPr>
          <w:p>
            <w:pPr>
              <w:spacing w:after="0"/>
              <w:rPr>
                <w:sz w:val="17"/>
                <w:szCs w:val="17"/>
                <w:color w:val="auto"/>
              </w:rPr>
            </w:pP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196"/>
        </w:trPr>
        <w:tc>
          <w:tcPr>
            <w:tcW w:w="844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Net income</w:t>
            </w:r>
          </w:p>
        </w:tc>
        <w:tc>
          <w:tcPr>
            <w:tcW w:w="136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$47,041</w:t>
            </w:r>
          </w:p>
        </w:tc>
        <w:tc>
          <w:tcPr>
            <w:tcW w:w="260" w:type="dxa"/>
            <w:vAlign w:val="bottom"/>
            <w:shd w:val="clear" w:color="auto" w:fill="BFBFBF"/>
          </w:tcPr>
          <w:p>
            <w:pPr>
              <w:spacing w:after="0"/>
              <w:rPr>
                <w:sz w:val="17"/>
                <w:szCs w:val="17"/>
                <w:color w:val="auto"/>
              </w:rPr>
            </w:pPr>
          </w:p>
        </w:tc>
        <w:tc>
          <w:tcPr>
            <w:tcW w:w="136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$16,733</w:t>
            </w:r>
          </w:p>
        </w:tc>
        <w:tc>
          <w:tcPr>
            <w:tcW w:w="0" w:type="dxa"/>
            <w:vAlign w:val="bottom"/>
          </w:tcPr>
          <w:p>
            <w:pPr>
              <w:spacing w:after="0"/>
              <w:rPr>
                <w:sz w:val="1"/>
                <w:szCs w:val="1"/>
                <w:color w:val="auto"/>
              </w:rPr>
            </w:pPr>
          </w:p>
        </w:tc>
      </w:tr>
      <w:tr>
        <w:trPr>
          <w:trHeight w:val="203"/>
        </w:trPr>
        <w:tc>
          <w:tcPr>
            <w:tcW w:w="8440" w:type="dxa"/>
            <w:vAlign w:val="bottom"/>
          </w:tcPr>
          <w:p>
            <w:pPr>
              <w:ind w:left="100"/>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BFBFBF"/>
          </w:tcPr>
          <w:p>
            <w:pPr>
              <w:ind w:left="340"/>
              <w:spacing w:after="0" w:line="202" w:lineRule="exact"/>
              <w:rPr>
                <w:sz w:val="20"/>
                <w:szCs w:val="20"/>
                <w:color w:val="auto"/>
              </w:rPr>
            </w:pPr>
            <w:r>
              <w:rPr>
                <w:rFonts w:ascii="Arial" w:cs="Arial" w:eastAsia="Arial" w:hAnsi="Arial"/>
                <w:sz w:val="18"/>
                <w:szCs w:val="18"/>
                <w:color w:val="auto"/>
              </w:rPr>
              <w:t>Depreciation</w:t>
            </w:r>
          </w:p>
        </w:tc>
        <w:tc>
          <w:tcPr>
            <w:tcW w:w="136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14,345</w:t>
            </w:r>
          </w:p>
        </w:tc>
        <w:tc>
          <w:tcPr>
            <w:tcW w:w="260" w:type="dxa"/>
            <w:vAlign w:val="bottom"/>
            <w:shd w:val="clear" w:color="auto" w:fill="BFBFBF"/>
          </w:tcPr>
          <w:p>
            <w:pPr>
              <w:spacing w:after="0"/>
              <w:rPr>
                <w:sz w:val="17"/>
                <w:szCs w:val="17"/>
                <w:color w:val="auto"/>
              </w:rPr>
            </w:pPr>
          </w:p>
        </w:tc>
        <w:tc>
          <w:tcPr>
            <w:tcW w:w="136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14,133</w:t>
            </w:r>
          </w:p>
        </w:tc>
        <w:tc>
          <w:tcPr>
            <w:tcW w:w="0" w:type="dxa"/>
            <w:vAlign w:val="bottom"/>
          </w:tcPr>
          <w:p>
            <w:pPr>
              <w:spacing w:after="0"/>
              <w:rPr>
                <w:sz w:val="1"/>
                <w:szCs w:val="1"/>
                <w:color w:val="auto"/>
              </w:rPr>
            </w:pPr>
          </w:p>
        </w:tc>
      </w:tr>
      <w:tr>
        <w:trPr>
          <w:trHeight w:val="203"/>
        </w:trPr>
        <w:tc>
          <w:tcPr>
            <w:tcW w:w="8440" w:type="dxa"/>
            <w:vAlign w:val="bottom"/>
          </w:tcPr>
          <w:p>
            <w:pPr>
              <w:ind w:left="340"/>
              <w:spacing w:after="0" w:line="202" w:lineRule="exact"/>
              <w:rPr>
                <w:sz w:val="20"/>
                <w:szCs w:val="20"/>
                <w:color w:val="auto"/>
              </w:rPr>
            </w:pPr>
            <w:r>
              <w:rPr>
                <w:rFonts w:ascii="Arial" w:cs="Arial" w:eastAsia="Arial" w:hAnsi="Arial"/>
                <w:sz w:val="18"/>
                <w:szCs w:val="18"/>
                <w:color w:val="auto"/>
              </w:rPr>
              <w:t>Amortization</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1,786</w:t>
            </w:r>
          </w:p>
        </w:tc>
        <w:tc>
          <w:tcPr>
            <w:tcW w:w="260" w:type="dxa"/>
            <w:vAlign w:val="bottom"/>
          </w:tcPr>
          <w:p>
            <w:pPr>
              <w:spacing w:after="0"/>
              <w:rPr>
                <w:sz w:val="17"/>
                <w:szCs w:val="17"/>
                <w:color w:val="auto"/>
              </w:rPr>
            </w:pP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2,177</w:t>
            </w:r>
          </w:p>
        </w:tc>
        <w:tc>
          <w:tcPr>
            <w:tcW w:w="0" w:type="dxa"/>
            <w:vAlign w:val="bottom"/>
          </w:tcPr>
          <w:p>
            <w:pPr>
              <w:spacing w:after="0"/>
              <w:rPr>
                <w:sz w:val="1"/>
                <w:szCs w:val="1"/>
                <w:color w:val="auto"/>
              </w:rPr>
            </w:pPr>
          </w:p>
        </w:tc>
      </w:tr>
      <w:tr>
        <w:trPr>
          <w:trHeight w:val="203"/>
        </w:trPr>
        <w:tc>
          <w:tcPr>
            <w:tcW w:w="8440" w:type="dxa"/>
            <w:vAlign w:val="bottom"/>
            <w:shd w:val="clear" w:color="auto" w:fill="BFBFBF"/>
          </w:tcPr>
          <w:p>
            <w:pPr>
              <w:ind w:left="340"/>
              <w:spacing w:after="0" w:line="202" w:lineRule="exact"/>
              <w:rPr>
                <w:sz w:val="20"/>
                <w:szCs w:val="20"/>
                <w:color w:val="auto"/>
              </w:rPr>
            </w:pPr>
            <w:r>
              <w:rPr>
                <w:rFonts w:ascii="Arial" w:cs="Arial" w:eastAsia="Arial" w:hAnsi="Arial"/>
                <w:sz w:val="18"/>
                <w:szCs w:val="18"/>
                <w:color w:val="auto"/>
              </w:rPr>
              <w:t>Noncash interest expense</w:t>
            </w:r>
          </w:p>
        </w:tc>
        <w:tc>
          <w:tcPr>
            <w:tcW w:w="136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405</w:t>
            </w:r>
          </w:p>
        </w:tc>
        <w:tc>
          <w:tcPr>
            <w:tcW w:w="260" w:type="dxa"/>
            <w:vAlign w:val="bottom"/>
            <w:shd w:val="clear" w:color="auto" w:fill="BFBFBF"/>
          </w:tcPr>
          <w:p>
            <w:pPr>
              <w:spacing w:after="0"/>
              <w:rPr>
                <w:sz w:val="17"/>
                <w:szCs w:val="17"/>
                <w:color w:val="auto"/>
              </w:rPr>
            </w:pPr>
          </w:p>
        </w:tc>
        <w:tc>
          <w:tcPr>
            <w:tcW w:w="136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2"/>
        </w:trPr>
        <w:tc>
          <w:tcPr>
            <w:tcW w:w="8440" w:type="dxa"/>
            <w:vAlign w:val="bottom"/>
          </w:tcPr>
          <w:p>
            <w:pPr>
              <w:ind w:left="340"/>
              <w:spacing w:after="0" w:line="201" w:lineRule="exact"/>
              <w:rPr>
                <w:sz w:val="20"/>
                <w:szCs w:val="20"/>
                <w:color w:val="auto"/>
              </w:rPr>
            </w:pPr>
            <w:r>
              <w:rPr>
                <w:rFonts w:ascii="Arial" w:cs="Arial" w:eastAsia="Arial" w:hAnsi="Arial"/>
                <w:sz w:val="18"/>
                <w:szCs w:val="18"/>
                <w:color w:val="auto"/>
              </w:rPr>
              <w:t>Change in long-term liabilities, deferred taxes and other credits</w:t>
            </w:r>
          </w:p>
        </w:tc>
        <w:tc>
          <w:tcPr>
            <w:tcW w:w="1360" w:type="dxa"/>
            <w:vAlign w:val="bottom"/>
          </w:tcPr>
          <w:p>
            <w:pPr>
              <w:jc w:val="right"/>
              <w:spacing w:after="0" w:line="201" w:lineRule="exact"/>
              <w:rPr>
                <w:sz w:val="20"/>
                <w:szCs w:val="20"/>
                <w:color w:val="auto"/>
              </w:rPr>
            </w:pPr>
            <w:r>
              <w:rPr>
                <w:rFonts w:ascii="Arial" w:cs="Arial" w:eastAsia="Arial" w:hAnsi="Arial"/>
                <w:sz w:val="18"/>
                <w:szCs w:val="18"/>
                <w:color w:val="auto"/>
              </w:rPr>
              <w:t>(60,559)</w:t>
            </w:r>
          </w:p>
        </w:tc>
        <w:tc>
          <w:tcPr>
            <w:tcW w:w="260" w:type="dxa"/>
            <w:vAlign w:val="bottom"/>
          </w:tcPr>
          <w:p>
            <w:pPr>
              <w:spacing w:after="0"/>
              <w:rPr>
                <w:sz w:val="17"/>
                <w:szCs w:val="17"/>
                <w:color w:val="auto"/>
              </w:rPr>
            </w:pPr>
          </w:p>
        </w:tc>
        <w:tc>
          <w:tcPr>
            <w:tcW w:w="1360" w:type="dxa"/>
            <w:vAlign w:val="bottom"/>
          </w:tcPr>
          <w:p>
            <w:pPr>
              <w:jc w:val="right"/>
              <w:spacing w:after="0" w:line="201" w:lineRule="exact"/>
              <w:rPr>
                <w:sz w:val="20"/>
                <w:szCs w:val="20"/>
                <w:color w:val="auto"/>
              </w:rPr>
            </w:pPr>
            <w:r>
              <w:rPr>
                <w:rFonts w:ascii="Arial" w:cs="Arial" w:eastAsia="Arial" w:hAnsi="Arial"/>
                <w:sz w:val="18"/>
                <w:szCs w:val="18"/>
                <w:color w:val="auto"/>
              </w:rPr>
              <w:t>(2,213)</w:t>
            </w:r>
          </w:p>
        </w:tc>
        <w:tc>
          <w:tcPr>
            <w:tcW w:w="0" w:type="dxa"/>
            <w:vAlign w:val="bottom"/>
          </w:tcPr>
          <w:p>
            <w:pPr>
              <w:spacing w:after="0"/>
              <w:rPr>
                <w:sz w:val="1"/>
                <w:szCs w:val="1"/>
                <w:color w:val="auto"/>
              </w:rPr>
            </w:pPr>
          </w:p>
        </w:tc>
      </w:tr>
      <w:tr>
        <w:trPr>
          <w:trHeight w:val="203"/>
        </w:trPr>
        <w:tc>
          <w:tcPr>
            <w:tcW w:w="8440" w:type="dxa"/>
            <w:vAlign w:val="bottom"/>
          </w:tcPr>
          <w:p>
            <w:pPr>
              <w:ind w:left="340"/>
              <w:spacing w:after="0" w:line="203" w:lineRule="exact"/>
              <w:rPr>
                <w:sz w:val="20"/>
                <w:szCs w:val="20"/>
                <w:color w:val="auto"/>
              </w:rPr>
            </w:pPr>
            <w:r>
              <w:rPr>
                <w:rFonts w:ascii="Arial" w:cs="Arial" w:eastAsia="Arial" w:hAnsi="Arial"/>
                <w:sz w:val="18"/>
                <w:szCs w:val="18"/>
                <w:color w:val="auto"/>
              </w:rPr>
              <w:t>Write-off of pension liability adjustment due to settlement</w:t>
            </w:r>
          </w:p>
        </w:tc>
        <w:tc>
          <w:tcPr>
            <w:tcW w:w="1360" w:type="dxa"/>
            <w:vAlign w:val="bottom"/>
          </w:tcPr>
          <w:p>
            <w:pPr>
              <w:jc w:val="right"/>
              <w:ind w:right="10"/>
              <w:spacing w:after="0" w:line="203" w:lineRule="exact"/>
              <w:rPr>
                <w:sz w:val="20"/>
                <w:szCs w:val="20"/>
                <w:color w:val="auto"/>
              </w:rPr>
            </w:pPr>
            <w:r>
              <w:rPr>
                <w:rFonts w:ascii="Arial" w:cs="Arial" w:eastAsia="Arial" w:hAnsi="Arial"/>
                <w:sz w:val="18"/>
                <w:szCs w:val="18"/>
                <w:color w:val="auto"/>
              </w:rPr>
              <w:t>8,153</w:t>
            </w:r>
          </w:p>
        </w:tc>
        <w:tc>
          <w:tcPr>
            <w:tcW w:w="260" w:type="dxa"/>
            <w:vAlign w:val="bottom"/>
          </w:tcPr>
          <w:p>
            <w:pPr>
              <w:spacing w:after="0"/>
              <w:rPr>
                <w:sz w:val="17"/>
                <w:szCs w:val="17"/>
                <w:color w:val="auto"/>
              </w:rPr>
            </w:pPr>
          </w:p>
        </w:tc>
        <w:tc>
          <w:tcPr>
            <w:tcW w:w="1360" w:type="dxa"/>
            <w:vAlign w:val="bottom"/>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440" w:type="dxa"/>
            <w:vAlign w:val="bottom"/>
            <w:shd w:val="clear" w:color="auto" w:fill="BFBFBF"/>
          </w:tcPr>
          <w:p>
            <w:pPr>
              <w:ind w:left="340"/>
              <w:spacing w:after="0" w:line="202" w:lineRule="exact"/>
              <w:rPr>
                <w:sz w:val="20"/>
                <w:szCs w:val="20"/>
                <w:color w:val="auto"/>
              </w:rPr>
            </w:pPr>
            <w:r>
              <w:rPr>
                <w:rFonts w:ascii="Arial" w:cs="Arial" w:eastAsia="Arial" w:hAnsi="Arial"/>
                <w:sz w:val="18"/>
                <w:szCs w:val="18"/>
                <w:color w:val="auto"/>
              </w:rPr>
              <w:t>Provision for write-off of property, plant and equipment</w:t>
            </w:r>
          </w:p>
        </w:tc>
        <w:tc>
          <w:tcPr>
            <w:tcW w:w="13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(477)</w:t>
            </w:r>
          </w:p>
        </w:tc>
        <w:tc>
          <w:tcPr>
            <w:tcW w:w="260" w:type="dxa"/>
            <w:vAlign w:val="bottom"/>
            <w:shd w:val="clear" w:color="auto" w:fill="BFBFBF"/>
          </w:tcPr>
          <w:p>
            <w:pPr>
              <w:spacing w:after="0"/>
              <w:rPr>
                <w:sz w:val="17"/>
                <w:szCs w:val="17"/>
                <w:color w:val="auto"/>
              </w:rPr>
            </w:pPr>
          </w:p>
        </w:tc>
        <w:tc>
          <w:tcPr>
            <w:tcW w:w="136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3"/>
        </w:trPr>
        <w:tc>
          <w:tcPr>
            <w:tcW w:w="8440" w:type="dxa"/>
            <w:vAlign w:val="bottom"/>
          </w:tcPr>
          <w:p>
            <w:pPr>
              <w:ind w:left="340"/>
              <w:spacing w:after="0" w:line="202" w:lineRule="exact"/>
              <w:rPr>
                <w:sz w:val="20"/>
                <w:szCs w:val="20"/>
                <w:color w:val="auto"/>
              </w:rPr>
            </w:pPr>
            <w:r>
              <w:rPr>
                <w:rFonts w:ascii="Arial" w:cs="Arial" w:eastAsia="Arial" w:hAnsi="Arial"/>
                <w:sz w:val="18"/>
                <w:szCs w:val="18"/>
                <w:color w:val="auto"/>
              </w:rPr>
              <w:t>(Gain) on disposition of assets</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(57,968)</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03"/>
        </w:trPr>
        <w:tc>
          <w:tcPr>
            <w:tcW w:w="8440" w:type="dxa"/>
            <w:vAlign w:val="bottom"/>
            <w:shd w:val="clear" w:color="auto" w:fill="BFBFBF"/>
          </w:tcPr>
          <w:p>
            <w:pPr>
              <w:ind w:left="340"/>
              <w:spacing w:after="0" w:line="202" w:lineRule="exact"/>
              <w:rPr>
                <w:sz w:val="20"/>
                <w:szCs w:val="20"/>
                <w:color w:val="auto"/>
              </w:rPr>
            </w:pPr>
            <w:r>
              <w:rPr>
                <w:rFonts w:ascii="Arial" w:cs="Arial" w:eastAsia="Arial" w:hAnsi="Arial"/>
                <w:sz w:val="18"/>
                <w:szCs w:val="18"/>
                <w:color w:val="auto"/>
              </w:rPr>
              <w:t>Excess tax benefit of options exercised</w:t>
            </w:r>
          </w:p>
        </w:tc>
        <w:tc>
          <w:tcPr>
            <w:tcW w:w="13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w:t>
            </w:r>
          </w:p>
        </w:tc>
        <w:tc>
          <w:tcPr>
            <w:tcW w:w="260" w:type="dxa"/>
            <w:vAlign w:val="bottom"/>
            <w:shd w:val="clear" w:color="auto" w:fill="BFBFBF"/>
          </w:tcPr>
          <w:p>
            <w:pPr>
              <w:spacing w:after="0"/>
              <w:rPr>
                <w:sz w:val="17"/>
                <w:szCs w:val="17"/>
                <w:color w:val="auto"/>
              </w:rPr>
            </w:pPr>
          </w:p>
        </w:tc>
        <w:tc>
          <w:tcPr>
            <w:tcW w:w="13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7"/>
        </w:trPr>
        <w:tc>
          <w:tcPr>
            <w:tcW w:w="8440" w:type="dxa"/>
            <w:vAlign w:val="bottom"/>
          </w:tcPr>
          <w:p>
            <w:pPr>
              <w:ind w:left="340"/>
              <w:spacing w:after="0"/>
              <w:rPr>
                <w:sz w:val="20"/>
                <w:szCs w:val="20"/>
                <w:color w:val="auto"/>
              </w:rPr>
            </w:pPr>
            <w:r>
              <w:rPr>
                <w:rFonts w:ascii="Arial" w:cs="Arial" w:eastAsia="Arial" w:hAnsi="Arial"/>
                <w:sz w:val="18"/>
                <w:szCs w:val="18"/>
                <w:color w:val="auto"/>
              </w:rPr>
              <w:t>Compensation and benefits paid or payable in Class A Common Stock</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837</w:t>
            </w:r>
          </w:p>
        </w:tc>
        <w:tc>
          <w:tcPr>
            <w:tcW w:w="26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391"/>
        </w:trPr>
        <w:tc>
          <w:tcPr>
            <w:tcW w:w="8440" w:type="dxa"/>
            <w:vAlign w:val="bottom"/>
          </w:tcPr>
          <w:p>
            <w:pPr>
              <w:ind w:left="100"/>
              <w:spacing w:after="0"/>
              <w:rPr>
                <w:sz w:val="20"/>
                <w:szCs w:val="20"/>
                <w:color w:val="auto"/>
              </w:rPr>
            </w:pPr>
            <w:r>
              <w:rPr>
                <w:rFonts w:ascii="Arial" w:cs="Arial" w:eastAsia="Arial" w:hAnsi="Arial"/>
                <w:sz w:val="18"/>
                <w:szCs w:val="18"/>
                <w:color w:val="auto"/>
              </w:rPr>
              <w:t>Changes in operating assets and liabilities, net of business divestitures:</w:t>
            </w: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BFBFBF"/>
          </w:tcPr>
          <w:p>
            <w:pPr>
              <w:ind w:left="340"/>
              <w:spacing w:after="0" w:line="202" w:lineRule="exact"/>
              <w:rPr>
                <w:sz w:val="20"/>
                <w:szCs w:val="20"/>
                <w:color w:val="auto"/>
              </w:rPr>
            </w:pPr>
            <w:r>
              <w:rPr>
                <w:rFonts w:ascii="Arial" w:cs="Arial" w:eastAsia="Arial" w:hAnsi="Arial"/>
                <w:sz w:val="18"/>
                <w:szCs w:val="18"/>
                <w:color w:val="auto"/>
              </w:rPr>
              <w:t>Accounts receivable</w:t>
            </w:r>
          </w:p>
        </w:tc>
        <w:tc>
          <w:tcPr>
            <w:tcW w:w="136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3,368</w:t>
            </w:r>
          </w:p>
        </w:tc>
        <w:tc>
          <w:tcPr>
            <w:tcW w:w="260" w:type="dxa"/>
            <w:vAlign w:val="bottom"/>
            <w:shd w:val="clear" w:color="auto" w:fill="BFBFBF"/>
          </w:tcPr>
          <w:p>
            <w:pPr>
              <w:spacing w:after="0"/>
              <w:rPr>
                <w:sz w:val="17"/>
                <w:szCs w:val="17"/>
                <w:color w:val="auto"/>
              </w:rPr>
            </w:pPr>
          </w:p>
        </w:tc>
        <w:tc>
          <w:tcPr>
            <w:tcW w:w="136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1,856</w:t>
            </w:r>
          </w:p>
        </w:tc>
        <w:tc>
          <w:tcPr>
            <w:tcW w:w="0" w:type="dxa"/>
            <w:vAlign w:val="bottom"/>
          </w:tcPr>
          <w:p>
            <w:pPr>
              <w:spacing w:after="0"/>
              <w:rPr>
                <w:sz w:val="1"/>
                <w:szCs w:val="1"/>
                <w:color w:val="auto"/>
              </w:rPr>
            </w:pPr>
          </w:p>
        </w:tc>
      </w:tr>
      <w:tr>
        <w:trPr>
          <w:trHeight w:val="203"/>
        </w:trPr>
        <w:tc>
          <w:tcPr>
            <w:tcW w:w="8440" w:type="dxa"/>
            <w:vAlign w:val="bottom"/>
          </w:tcPr>
          <w:p>
            <w:pPr>
              <w:ind w:left="340"/>
              <w:spacing w:after="0" w:line="202" w:lineRule="exact"/>
              <w:rPr>
                <w:sz w:val="20"/>
                <w:szCs w:val="20"/>
                <w:color w:val="auto"/>
              </w:rPr>
            </w:pPr>
            <w:r>
              <w:rPr>
                <w:rFonts w:ascii="Arial" w:cs="Arial" w:eastAsia="Arial" w:hAnsi="Arial"/>
                <w:sz w:val="18"/>
                <w:szCs w:val="18"/>
                <w:color w:val="auto"/>
              </w:rPr>
              <w:t>Inventories</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(3,912)</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(8,372)</w:t>
            </w:r>
          </w:p>
        </w:tc>
        <w:tc>
          <w:tcPr>
            <w:tcW w:w="0" w:type="dxa"/>
            <w:vAlign w:val="bottom"/>
          </w:tcPr>
          <w:p>
            <w:pPr>
              <w:spacing w:after="0"/>
              <w:rPr>
                <w:sz w:val="1"/>
                <w:szCs w:val="1"/>
                <w:color w:val="auto"/>
              </w:rPr>
            </w:pPr>
          </w:p>
        </w:tc>
      </w:tr>
      <w:tr>
        <w:trPr>
          <w:trHeight w:val="203"/>
        </w:trPr>
        <w:tc>
          <w:tcPr>
            <w:tcW w:w="8440" w:type="dxa"/>
            <w:vAlign w:val="bottom"/>
            <w:shd w:val="clear" w:color="auto" w:fill="BFBFBF"/>
          </w:tcPr>
          <w:p>
            <w:pPr>
              <w:ind w:left="34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3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(1,616)</w:t>
            </w:r>
          </w:p>
        </w:tc>
        <w:tc>
          <w:tcPr>
            <w:tcW w:w="260" w:type="dxa"/>
            <w:vAlign w:val="bottom"/>
            <w:shd w:val="clear" w:color="auto" w:fill="BFBFBF"/>
          </w:tcPr>
          <w:p>
            <w:pPr>
              <w:spacing w:after="0"/>
              <w:rPr>
                <w:sz w:val="17"/>
                <w:szCs w:val="17"/>
                <w:color w:val="auto"/>
              </w:rPr>
            </w:pPr>
          </w:p>
        </w:tc>
        <w:tc>
          <w:tcPr>
            <w:tcW w:w="13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(3,270)</w:t>
            </w:r>
          </w:p>
        </w:tc>
        <w:tc>
          <w:tcPr>
            <w:tcW w:w="0" w:type="dxa"/>
            <w:vAlign w:val="bottom"/>
          </w:tcPr>
          <w:p>
            <w:pPr>
              <w:spacing w:after="0"/>
              <w:rPr>
                <w:sz w:val="1"/>
                <w:szCs w:val="1"/>
                <w:color w:val="auto"/>
              </w:rPr>
            </w:pPr>
          </w:p>
        </w:tc>
      </w:tr>
      <w:tr>
        <w:trPr>
          <w:trHeight w:val="203"/>
        </w:trPr>
        <w:tc>
          <w:tcPr>
            <w:tcW w:w="8440" w:type="dxa"/>
            <w:vAlign w:val="bottom"/>
          </w:tcPr>
          <w:p>
            <w:pPr>
              <w:ind w:left="340"/>
              <w:spacing w:after="0" w:line="202" w:lineRule="exact"/>
              <w:rPr>
                <w:sz w:val="20"/>
                <w:szCs w:val="20"/>
                <w:color w:val="auto"/>
              </w:rPr>
            </w:pPr>
            <w:r>
              <w:rPr>
                <w:rFonts w:ascii="Arial" w:cs="Arial" w:eastAsia="Arial" w:hAnsi="Arial"/>
                <w:sz w:val="18"/>
                <w:szCs w:val="18"/>
                <w:color w:val="auto"/>
              </w:rPr>
              <w:t>Accounts payable</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6,174</w:t>
            </w:r>
          </w:p>
        </w:tc>
        <w:tc>
          <w:tcPr>
            <w:tcW w:w="260" w:type="dxa"/>
            <w:vAlign w:val="bottom"/>
          </w:tcPr>
          <w:p>
            <w:pPr>
              <w:spacing w:after="0"/>
              <w:rPr>
                <w:sz w:val="17"/>
                <w:szCs w:val="17"/>
                <w:color w:val="auto"/>
              </w:rPr>
            </w:pP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2,248</w:t>
            </w:r>
          </w:p>
        </w:tc>
        <w:tc>
          <w:tcPr>
            <w:tcW w:w="0" w:type="dxa"/>
            <w:vAlign w:val="bottom"/>
          </w:tcPr>
          <w:p>
            <w:pPr>
              <w:spacing w:after="0"/>
              <w:rPr>
                <w:sz w:val="1"/>
                <w:szCs w:val="1"/>
                <w:color w:val="auto"/>
              </w:rPr>
            </w:pPr>
          </w:p>
        </w:tc>
      </w:tr>
      <w:tr>
        <w:trPr>
          <w:trHeight w:val="203"/>
        </w:trPr>
        <w:tc>
          <w:tcPr>
            <w:tcW w:w="8440" w:type="dxa"/>
            <w:vAlign w:val="bottom"/>
            <w:shd w:val="clear" w:color="auto" w:fill="BFBFBF"/>
          </w:tcPr>
          <w:p>
            <w:pPr>
              <w:ind w:left="340"/>
              <w:spacing w:after="0" w:line="202" w:lineRule="exact"/>
              <w:rPr>
                <w:sz w:val="20"/>
                <w:szCs w:val="20"/>
                <w:color w:val="auto"/>
              </w:rPr>
            </w:pPr>
            <w:r>
              <w:rPr>
                <w:rFonts w:ascii="Arial" w:cs="Arial" w:eastAsia="Arial" w:hAnsi="Arial"/>
                <w:sz w:val="18"/>
                <w:szCs w:val="18"/>
                <w:color w:val="auto"/>
              </w:rPr>
              <w:t>Accrued liabilities</w:t>
            </w:r>
          </w:p>
        </w:tc>
        <w:tc>
          <w:tcPr>
            <w:tcW w:w="13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(1,815)</w:t>
            </w:r>
          </w:p>
        </w:tc>
        <w:tc>
          <w:tcPr>
            <w:tcW w:w="260" w:type="dxa"/>
            <w:vAlign w:val="bottom"/>
            <w:shd w:val="clear" w:color="auto" w:fill="BFBFBF"/>
          </w:tcPr>
          <w:p>
            <w:pPr>
              <w:spacing w:after="0"/>
              <w:rPr>
                <w:sz w:val="17"/>
                <w:szCs w:val="17"/>
                <w:color w:val="auto"/>
              </w:rPr>
            </w:pPr>
          </w:p>
        </w:tc>
        <w:tc>
          <w:tcPr>
            <w:tcW w:w="13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(5,433)</w:t>
            </w:r>
          </w:p>
        </w:tc>
        <w:tc>
          <w:tcPr>
            <w:tcW w:w="0" w:type="dxa"/>
            <w:vAlign w:val="bottom"/>
          </w:tcPr>
          <w:p>
            <w:pPr>
              <w:spacing w:after="0"/>
              <w:rPr>
                <w:sz w:val="1"/>
                <w:szCs w:val="1"/>
                <w:color w:val="auto"/>
              </w:rPr>
            </w:pPr>
          </w:p>
        </w:tc>
      </w:tr>
      <w:tr>
        <w:trPr>
          <w:trHeight w:val="203"/>
        </w:trPr>
        <w:tc>
          <w:tcPr>
            <w:tcW w:w="8440" w:type="dxa"/>
            <w:vAlign w:val="bottom"/>
          </w:tcPr>
          <w:p>
            <w:pPr>
              <w:ind w:left="340"/>
              <w:spacing w:after="0" w:line="202" w:lineRule="exact"/>
              <w:rPr>
                <w:sz w:val="20"/>
                <w:szCs w:val="20"/>
                <w:color w:val="auto"/>
              </w:rPr>
            </w:pPr>
            <w:r>
              <w:rPr>
                <w:rFonts w:ascii="Arial" w:cs="Arial" w:eastAsia="Arial" w:hAnsi="Arial"/>
                <w:sz w:val="18"/>
                <w:szCs w:val="18"/>
                <w:color w:val="auto"/>
              </w:rPr>
              <w:t>Income taxes payable</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1,956</w:t>
            </w:r>
          </w:p>
        </w:tc>
        <w:tc>
          <w:tcPr>
            <w:tcW w:w="260" w:type="dxa"/>
            <w:vAlign w:val="bottom"/>
          </w:tcPr>
          <w:p>
            <w:pPr>
              <w:spacing w:after="0"/>
              <w:rPr>
                <w:sz w:val="17"/>
                <w:szCs w:val="17"/>
                <w:color w:val="auto"/>
              </w:rPr>
            </w:pP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3,698</w:t>
            </w:r>
          </w:p>
        </w:tc>
        <w:tc>
          <w:tcPr>
            <w:tcW w:w="0" w:type="dxa"/>
            <w:vAlign w:val="bottom"/>
          </w:tcPr>
          <w:p>
            <w:pPr>
              <w:spacing w:after="0"/>
              <w:rPr>
                <w:sz w:val="1"/>
                <w:szCs w:val="1"/>
                <w:color w:val="auto"/>
              </w:rPr>
            </w:pPr>
          </w:p>
        </w:tc>
      </w:tr>
      <w:tr>
        <w:trPr>
          <w:trHeight w:val="203"/>
        </w:trPr>
        <w:tc>
          <w:tcPr>
            <w:tcW w:w="8440" w:type="dxa"/>
            <w:vAlign w:val="bottom"/>
            <w:shd w:val="clear" w:color="auto" w:fill="BFBFBF"/>
          </w:tcPr>
          <w:p>
            <w:pPr>
              <w:ind w:left="340"/>
              <w:spacing w:after="0" w:line="202" w:lineRule="exact"/>
              <w:rPr>
                <w:sz w:val="20"/>
                <w:szCs w:val="20"/>
                <w:color w:val="auto"/>
              </w:rPr>
            </w:pPr>
            <w:r>
              <w:rPr>
                <w:rFonts w:ascii="Arial" w:cs="Arial" w:eastAsia="Arial" w:hAnsi="Arial"/>
                <w:sz w:val="18"/>
                <w:szCs w:val="18"/>
                <w:color w:val="auto"/>
              </w:rPr>
              <w:t>Other, net</w:t>
            </w:r>
          </w:p>
        </w:tc>
        <w:tc>
          <w:tcPr>
            <w:tcW w:w="1360" w:type="dxa"/>
            <w:vAlign w:val="bottom"/>
            <w:tcBorders>
              <w:bottom w:val="single" w:sz="8" w:color="auto"/>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(383)</w:t>
            </w:r>
          </w:p>
        </w:tc>
        <w:tc>
          <w:tcPr>
            <w:tcW w:w="260" w:type="dxa"/>
            <w:vAlign w:val="bottom"/>
            <w:shd w:val="clear" w:color="auto" w:fill="BFBFBF"/>
          </w:tcPr>
          <w:p>
            <w:pPr>
              <w:spacing w:after="0"/>
              <w:rPr>
                <w:sz w:val="17"/>
                <w:szCs w:val="17"/>
                <w:color w:val="auto"/>
              </w:rPr>
            </w:pPr>
          </w:p>
        </w:tc>
        <w:tc>
          <w:tcPr>
            <w:tcW w:w="1360" w:type="dxa"/>
            <w:vAlign w:val="bottom"/>
            <w:tcBorders>
              <w:bottom w:val="single" w:sz="8" w:color="auto"/>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196"/>
        </w:trPr>
        <w:tc>
          <w:tcPr>
            <w:tcW w:w="8440" w:type="dxa"/>
            <w:vAlign w:val="bottom"/>
          </w:tcPr>
          <w:p>
            <w:pPr>
              <w:ind w:left="340"/>
              <w:spacing w:after="0" w:line="196" w:lineRule="exact"/>
              <w:rPr>
                <w:sz w:val="20"/>
                <w:szCs w:val="20"/>
                <w:color w:val="auto"/>
              </w:rPr>
            </w:pPr>
            <w:r>
              <w:rPr>
                <w:rFonts w:ascii="Arial" w:cs="Arial" w:eastAsia="Arial" w:hAnsi="Arial"/>
                <w:sz w:val="18"/>
                <w:szCs w:val="18"/>
                <w:color w:val="auto"/>
              </w:rPr>
              <w:t>Net cash (used in)/provided by operating activities</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(42,668)</w:t>
            </w:r>
          </w:p>
        </w:tc>
        <w:tc>
          <w:tcPr>
            <w:tcW w:w="260" w:type="dxa"/>
            <w:vAlign w:val="bottom"/>
          </w:tcPr>
          <w:p>
            <w:pPr>
              <w:spacing w:after="0"/>
              <w:rPr>
                <w:sz w:val="17"/>
                <w:szCs w:val="17"/>
                <w:color w:val="auto"/>
              </w:rPr>
            </w:pPr>
          </w:p>
        </w:tc>
        <w:tc>
          <w:tcPr>
            <w:tcW w:w="13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21,048</w:t>
            </w:r>
          </w:p>
        </w:tc>
        <w:tc>
          <w:tcPr>
            <w:tcW w:w="0" w:type="dxa"/>
            <w:vAlign w:val="bottom"/>
          </w:tcPr>
          <w:p>
            <w:pPr>
              <w:spacing w:after="0"/>
              <w:rPr>
                <w:sz w:val="1"/>
                <w:szCs w:val="1"/>
                <w:color w:val="auto"/>
              </w:rPr>
            </w:pPr>
          </w:p>
        </w:tc>
      </w:tr>
      <w:tr>
        <w:trPr>
          <w:trHeight w:val="399"/>
        </w:trPr>
        <w:tc>
          <w:tcPr>
            <w:tcW w:w="8440" w:type="dxa"/>
            <w:vAlign w:val="bottom"/>
          </w:tcPr>
          <w:p>
            <w:pPr>
              <w:ind w:left="100"/>
              <w:spacing w:after="0"/>
              <w:rPr>
                <w:sz w:val="20"/>
                <w:szCs w:val="20"/>
                <w:color w:val="auto"/>
              </w:rPr>
            </w:pPr>
            <w:r>
              <w:rPr>
                <w:rFonts w:ascii="Arial" w:cs="Arial" w:eastAsia="Arial" w:hAnsi="Arial"/>
                <w:sz w:val="18"/>
                <w:szCs w:val="18"/>
                <w:color w:val="auto"/>
              </w:rPr>
              <w:t>INVESTING ACTIVITIES</w:t>
            </w: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BFBFBF"/>
          </w:tcPr>
          <w:p>
            <w:pPr>
              <w:ind w:left="340"/>
              <w:spacing w:after="0" w:line="202" w:lineRule="exact"/>
              <w:rPr>
                <w:sz w:val="20"/>
                <w:szCs w:val="20"/>
                <w:color w:val="auto"/>
              </w:rPr>
            </w:pPr>
            <w:r>
              <w:rPr>
                <w:rFonts w:ascii="Arial" w:cs="Arial" w:eastAsia="Arial" w:hAnsi="Arial"/>
                <w:sz w:val="18"/>
                <w:szCs w:val="18"/>
                <w:color w:val="auto"/>
              </w:rPr>
              <w:t>Purchases of property, plant and equipment</w:t>
            </w:r>
          </w:p>
        </w:tc>
        <w:tc>
          <w:tcPr>
            <w:tcW w:w="13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(4,309)</w:t>
            </w:r>
          </w:p>
        </w:tc>
        <w:tc>
          <w:tcPr>
            <w:tcW w:w="260" w:type="dxa"/>
            <w:vAlign w:val="bottom"/>
            <w:shd w:val="clear" w:color="auto" w:fill="BFBFBF"/>
          </w:tcPr>
          <w:p>
            <w:pPr>
              <w:spacing w:after="0"/>
              <w:rPr>
                <w:sz w:val="17"/>
                <w:szCs w:val="17"/>
                <w:color w:val="auto"/>
              </w:rPr>
            </w:pPr>
          </w:p>
        </w:tc>
        <w:tc>
          <w:tcPr>
            <w:tcW w:w="13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(4,919)</w:t>
            </w:r>
          </w:p>
        </w:tc>
        <w:tc>
          <w:tcPr>
            <w:tcW w:w="0" w:type="dxa"/>
            <w:vAlign w:val="bottom"/>
          </w:tcPr>
          <w:p>
            <w:pPr>
              <w:spacing w:after="0"/>
              <w:rPr>
                <w:sz w:val="1"/>
                <w:szCs w:val="1"/>
                <w:color w:val="auto"/>
              </w:rPr>
            </w:pPr>
          </w:p>
        </w:tc>
      </w:tr>
      <w:tr>
        <w:trPr>
          <w:trHeight w:val="203"/>
        </w:trPr>
        <w:tc>
          <w:tcPr>
            <w:tcW w:w="8440" w:type="dxa"/>
            <w:vAlign w:val="bottom"/>
          </w:tcPr>
          <w:p>
            <w:pPr>
              <w:ind w:left="340"/>
              <w:spacing w:after="0" w:line="202" w:lineRule="exact"/>
              <w:rPr>
                <w:sz w:val="20"/>
                <w:szCs w:val="20"/>
                <w:color w:val="auto"/>
              </w:rPr>
            </w:pPr>
            <w:r>
              <w:rPr>
                <w:rFonts w:ascii="Arial" w:cs="Arial" w:eastAsia="Arial" w:hAnsi="Arial"/>
                <w:sz w:val="18"/>
                <w:szCs w:val="18"/>
                <w:color w:val="auto"/>
              </w:rPr>
              <w:t>Purchased software</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03"/>
        </w:trPr>
        <w:tc>
          <w:tcPr>
            <w:tcW w:w="8440" w:type="dxa"/>
            <w:vAlign w:val="bottom"/>
            <w:shd w:val="clear" w:color="auto" w:fill="BFBFBF"/>
          </w:tcPr>
          <w:p>
            <w:pPr>
              <w:ind w:left="340"/>
              <w:spacing w:after="0" w:line="202" w:lineRule="exact"/>
              <w:rPr>
                <w:sz w:val="20"/>
                <w:szCs w:val="20"/>
                <w:color w:val="auto"/>
              </w:rPr>
            </w:pPr>
            <w:r>
              <w:rPr>
                <w:rFonts w:ascii="Arial" w:cs="Arial" w:eastAsia="Arial" w:hAnsi="Arial"/>
                <w:sz w:val="18"/>
                <w:szCs w:val="18"/>
                <w:color w:val="auto"/>
              </w:rPr>
              <w:t>Proceeds from sale of assets</w:t>
            </w:r>
          </w:p>
        </w:tc>
        <w:tc>
          <w:tcPr>
            <w:tcW w:w="136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BFBFBF"/>
          </w:tcPr>
          <w:p>
            <w:pPr>
              <w:spacing w:after="0"/>
              <w:rPr>
                <w:sz w:val="17"/>
                <w:szCs w:val="17"/>
                <w:color w:val="auto"/>
              </w:rPr>
            </w:pPr>
          </w:p>
        </w:tc>
        <w:tc>
          <w:tcPr>
            <w:tcW w:w="136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03"/>
        </w:trPr>
        <w:tc>
          <w:tcPr>
            <w:tcW w:w="8440" w:type="dxa"/>
            <w:vAlign w:val="bottom"/>
            <w:tcBorders>
              <w:bottom w:val="single" w:sz="8" w:color="BFBFBF"/>
            </w:tcBorders>
          </w:tcPr>
          <w:p>
            <w:pPr>
              <w:ind w:left="340"/>
              <w:spacing w:after="0" w:line="202" w:lineRule="exact"/>
              <w:rPr>
                <w:sz w:val="20"/>
                <w:szCs w:val="20"/>
                <w:color w:val="auto"/>
              </w:rPr>
            </w:pPr>
            <w:r>
              <w:rPr>
                <w:rFonts w:ascii="Arial" w:cs="Arial" w:eastAsia="Arial" w:hAnsi="Arial"/>
                <w:sz w:val="18"/>
                <w:szCs w:val="18"/>
                <w:color w:val="auto"/>
              </w:rPr>
              <w:t>Proceeds from sale of discontinued operations, net of expenses</w:t>
            </w:r>
          </w:p>
        </w:tc>
        <w:tc>
          <w:tcPr>
            <w:tcW w:w="13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112,573</w:t>
            </w:r>
          </w:p>
        </w:tc>
        <w:tc>
          <w:tcPr>
            <w:tcW w:w="260" w:type="dxa"/>
            <w:vAlign w:val="bottom"/>
            <w:tcBorders>
              <w:bottom w:val="single" w:sz="8" w:color="BFBFBF"/>
            </w:tcBorders>
          </w:tcPr>
          <w:p>
            <w:pPr>
              <w:spacing w:after="0"/>
              <w:rPr>
                <w:sz w:val="17"/>
                <w:szCs w:val="17"/>
                <w:color w:val="auto"/>
              </w:rPr>
            </w:pPr>
          </w:p>
        </w:tc>
        <w:tc>
          <w:tcPr>
            <w:tcW w:w="13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8440" w:type="dxa"/>
            <w:vAlign w:val="bottom"/>
            <w:shd w:val="clear" w:color="auto" w:fill="BFBFBF"/>
          </w:tcPr>
          <w:p>
            <w:pPr>
              <w:ind w:left="340"/>
              <w:spacing w:after="0" w:line="196" w:lineRule="exact"/>
              <w:rPr>
                <w:sz w:val="20"/>
                <w:szCs w:val="20"/>
                <w:color w:val="auto"/>
              </w:rPr>
            </w:pPr>
            <w:r>
              <w:rPr>
                <w:rFonts w:ascii="Arial" w:cs="Arial" w:eastAsia="Arial" w:hAnsi="Arial"/>
                <w:sz w:val="18"/>
                <w:szCs w:val="18"/>
                <w:color w:val="auto"/>
              </w:rPr>
              <w:t>Net cash provided by/(used in) investing activities</w:t>
            </w:r>
          </w:p>
        </w:tc>
        <w:tc>
          <w:tcPr>
            <w:tcW w:w="1360" w:type="dxa"/>
            <w:vAlign w:val="bottom"/>
            <w:tcBorders>
              <w:bottom w:val="single" w:sz="8" w:color="auto"/>
            </w:tcBorders>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108,234</w:t>
            </w:r>
          </w:p>
        </w:tc>
        <w:tc>
          <w:tcPr>
            <w:tcW w:w="260" w:type="dxa"/>
            <w:vAlign w:val="bottom"/>
            <w:shd w:val="clear" w:color="auto" w:fill="BFBFBF"/>
          </w:tcPr>
          <w:p>
            <w:pPr>
              <w:spacing w:after="0"/>
              <w:rPr>
                <w:sz w:val="17"/>
                <w:szCs w:val="17"/>
                <w:color w:val="auto"/>
              </w:rPr>
            </w:pPr>
          </w:p>
        </w:tc>
        <w:tc>
          <w:tcPr>
            <w:tcW w:w="1360" w:type="dxa"/>
            <w:vAlign w:val="bottom"/>
            <w:tcBorders>
              <w:bottom w:val="single" w:sz="8" w:color="auto"/>
            </w:tcBorders>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(4,265)</w:t>
            </w:r>
          </w:p>
        </w:tc>
        <w:tc>
          <w:tcPr>
            <w:tcW w:w="0" w:type="dxa"/>
            <w:vAlign w:val="bottom"/>
          </w:tcPr>
          <w:p>
            <w:pPr>
              <w:spacing w:after="0"/>
              <w:rPr>
                <w:sz w:val="1"/>
                <w:szCs w:val="1"/>
                <w:color w:val="auto"/>
              </w:rPr>
            </w:pPr>
          </w:p>
        </w:tc>
      </w:tr>
      <w:tr>
        <w:trPr>
          <w:trHeight w:val="399"/>
        </w:trPr>
        <w:tc>
          <w:tcPr>
            <w:tcW w:w="8440" w:type="dxa"/>
            <w:vAlign w:val="bottom"/>
          </w:tcPr>
          <w:p>
            <w:pPr>
              <w:ind w:left="100"/>
              <w:spacing w:after="0"/>
              <w:rPr>
                <w:sz w:val="20"/>
                <w:szCs w:val="20"/>
                <w:color w:val="auto"/>
              </w:rPr>
            </w:pPr>
            <w:r>
              <w:rPr>
                <w:rFonts w:ascii="Arial" w:cs="Arial" w:eastAsia="Arial" w:hAnsi="Arial"/>
                <w:sz w:val="18"/>
                <w:szCs w:val="18"/>
                <w:color w:val="auto"/>
              </w:rPr>
              <w:t>FINANCING ACTIVITIES</w:t>
            </w: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BFBFBF"/>
          </w:tcPr>
          <w:p>
            <w:pPr>
              <w:ind w:left="340"/>
              <w:spacing w:after="0" w:line="202" w:lineRule="exact"/>
              <w:rPr>
                <w:sz w:val="20"/>
                <w:szCs w:val="20"/>
                <w:color w:val="auto"/>
              </w:rPr>
            </w:pPr>
            <w:r>
              <w:rPr>
                <w:rFonts w:ascii="Arial" w:cs="Arial" w:eastAsia="Arial" w:hAnsi="Arial"/>
                <w:sz w:val="18"/>
                <w:szCs w:val="18"/>
                <w:color w:val="auto"/>
              </w:rPr>
              <w:t>Proceeds from borrowings</w:t>
            </w:r>
          </w:p>
        </w:tc>
        <w:tc>
          <w:tcPr>
            <w:tcW w:w="136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9,000</w:t>
            </w:r>
          </w:p>
        </w:tc>
        <w:tc>
          <w:tcPr>
            <w:tcW w:w="260" w:type="dxa"/>
            <w:vAlign w:val="bottom"/>
            <w:shd w:val="clear" w:color="auto" w:fill="BFBFBF"/>
          </w:tcPr>
          <w:p>
            <w:pPr>
              <w:spacing w:after="0"/>
              <w:rPr>
                <w:sz w:val="17"/>
                <w:szCs w:val="17"/>
                <w:color w:val="auto"/>
              </w:rPr>
            </w:pPr>
          </w:p>
        </w:tc>
        <w:tc>
          <w:tcPr>
            <w:tcW w:w="136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03"/>
        </w:trPr>
        <w:tc>
          <w:tcPr>
            <w:tcW w:w="8440" w:type="dxa"/>
            <w:vAlign w:val="bottom"/>
          </w:tcPr>
          <w:p>
            <w:pPr>
              <w:ind w:left="340"/>
              <w:spacing w:after="0" w:line="202" w:lineRule="exact"/>
              <w:rPr>
                <w:sz w:val="20"/>
                <w:szCs w:val="20"/>
                <w:color w:val="auto"/>
              </w:rPr>
            </w:pPr>
            <w:r>
              <w:rPr>
                <w:rFonts w:ascii="Arial" w:cs="Arial" w:eastAsia="Arial" w:hAnsi="Arial"/>
                <w:sz w:val="18"/>
                <w:szCs w:val="18"/>
                <w:color w:val="auto"/>
              </w:rPr>
              <w:t>Principal payments on debt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(57,242)</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(7,017)</w:t>
            </w:r>
          </w:p>
        </w:tc>
        <w:tc>
          <w:tcPr>
            <w:tcW w:w="0" w:type="dxa"/>
            <w:vAlign w:val="bottom"/>
          </w:tcPr>
          <w:p>
            <w:pPr>
              <w:spacing w:after="0"/>
              <w:rPr>
                <w:sz w:val="1"/>
                <w:szCs w:val="1"/>
                <w:color w:val="auto"/>
              </w:rPr>
            </w:pPr>
          </w:p>
        </w:tc>
      </w:tr>
      <w:tr>
        <w:trPr>
          <w:trHeight w:val="203"/>
        </w:trPr>
        <w:tc>
          <w:tcPr>
            <w:tcW w:w="8440" w:type="dxa"/>
            <w:vAlign w:val="bottom"/>
            <w:shd w:val="clear" w:color="auto" w:fill="BFBFBF"/>
          </w:tcPr>
          <w:p>
            <w:pPr>
              <w:ind w:left="340"/>
              <w:spacing w:after="0" w:line="202" w:lineRule="exact"/>
              <w:rPr>
                <w:sz w:val="20"/>
                <w:szCs w:val="20"/>
                <w:color w:val="auto"/>
              </w:rPr>
            </w:pPr>
            <w:r>
              <w:rPr>
                <w:rFonts w:ascii="Arial" w:cs="Arial" w:eastAsia="Arial" w:hAnsi="Arial"/>
                <w:sz w:val="18"/>
                <w:szCs w:val="18"/>
                <w:color w:val="auto"/>
              </w:rPr>
              <w:t>Proceeds from options exercised</w:t>
            </w:r>
          </w:p>
        </w:tc>
        <w:tc>
          <w:tcPr>
            <w:tcW w:w="136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189</w:t>
            </w:r>
          </w:p>
        </w:tc>
        <w:tc>
          <w:tcPr>
            <w:tcW w:w="260" w:type="dxa"/>
            <w:vAlign w:val="bottom"/>
            <w:shd w:val="clear" w:color="auto" w:fill="BFBFBF"/>
          </w:tcPr>
          <w:p>
            <w:pPr>
              <w:spacing w:after="0"/>
              <w:rPr>
                <w:sz w:val="17"/>
                <w:szCs w:val="17"/>
                <w:color w:val="auto"/>
              </w:rPr>
            </w:pPr>
          </w:p>
        </w:tc>
        <w:tc>
          <w:tcPr>
            <w:tcW w:w="136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3"/>
        </w:trPr>
        <w:tc>
          <w:tcPr>
            <w:tcW w:w="8440" w:type="dxa"/>
            <w:vAlign w:val="bottom"/>
          </w:tcPr>
          <w:p>
            <w:pPr>
              <w:ind w:left="340"/>
              <w:spacing w:after="0" w:line="202" w:lineRule="exact"/>
              <w:rPr>
                <w:sz w:val="20"/>
                <w:szCs w:val="20"/>
                <w:color w:val="auto"/>
              </w:rPr>
            </w:pPr>
            <w:r>
              <w:rPr>
                <w:rFonts w:ascii="Arial" w:cs="Arial" w:eastAsia="Arial" w:hAnsi="Arial"/>
                <w:sz w:val="18"/>
                <w:szCs w:val="18"/>
                <w:color w:val="auto"/>
              </w:rPr>
              <w:t>Excess tax benefit of options exercised</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w:t>
            </w:r>
          </w:p>
        </w:tc>
        <w:tc>
          <w:tcPr>
            <w:tcW w:w="260" w:type="dxa"/>
            <w:vAlign w:val="bottom"/>
          </w:tcPr>
          <w:p>
            <w:pPr>
              <w:spacing w:after="0"/>
              <w:rPr>
                <w:sz w:val="17"/>
                <w:szCs w:val="17"/>
                <w:color w:val="auto"/>
              </w:rPr>
            </w:pP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8440" w:type="dxa"/>
            <w:vAlign w:val="bottom"/>
            <w:shd w:val="clear" w:color="auto" w:fill="BFBFBF"/>
          </w:tcPr>
          <w:p>
            <w:pPr>
              <w:ind w:left="340"/>
              <w:spacing w:after="0" w:line="202" w:lineRule="exact"/>
              <w:rPr>
                <w:sz w:val="20"/>
                <w:szCs w:val="20"/>
                <w:color w:val="auto"/>
              </w:rPr>
            </w:pPr>
            <w:r>
              <w:rPr>
                <w:rFonts w:ascii="Arial" w:cs="Arial" w:eastAsia="Arial" w:hAnsi="Arial"/>
                <w:sz w:val="18"/>
                <w:szCs w:val="18"/>
                <w:color w:val="auto"/>
              </w:rPr>
              <w:t>Dividends paid</w:t>
            </w:r>
          </w:p>
        </w:tc>
        <w:tc>
          <w:tcPr>
            <w:tcW w:w="1360" w:type="dxa"/>
            <w:vAlign w:val="bottom"/>
            <w:tcBorders>
              <w:bottom w:val="single" w:sz="8" w:color="auto"/>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(4,069)</w:t>
            </w:r>
          </w:p>
        </w:tc>
        <w:tc>
          <w:tcPr>
            <w:tcW w:w="260" w:type="dxa"/>
            <w:vAlign w:val="bottom"/>
            <w:shd w:val="clear" w:color="auto" w:fill="BFBFBF"/>
          </w:tcPr>
          <w:p>
            <w:pPr>
              <w:spacing w:after="0"/>
              <w:rPr>
                <w:sz w:val="17"/>
                <w:szCs w:val="17"/>
                <w:color w:val="auto"/>
              </w:rPr>
            </w:pPr>
          </w:p>
        </w:tc>
        <w:tc>
          <w:tcPr>
            <w:tcW w:w="1360" w:type="dxa"/>
            <w:vAlign w:val="bottom"/>
            <w:tcBorders>
              <w:bottom w:val="single" w:sz="8" w:color="auto"/>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(3,744)</w:t>
            </w:r>
          </w:p>
        </w:tc>
        <w:tc>
          <w:tcPr>
            <w:tcW w:w="0" w:type="dxa"/>
            <w:vAlign w:val="bottom"/>
          </w:tcPr>
          <w:p>
            <w:pPr>
              <w:spacing w:after="0"/>
              <w:rPr>
                <w:sz w:val="1"/>
                <w:szCs w:val="1"/>
                <w:color w:val="auto"/>
              </w:rPr>
            </w:pPr>
          </w:p>
        </w:tc>
      </w:tr>
      <w:tr>
        <w:trPr>
          <w:trHeight w:val="196"/>
        </w:trPr>
        <w:tc>
          <w:tcPr>
            <w:tcW w:w="8440" w:type="dxa"/>
            <w:vAlign w:val="bottom"/>
          </w:tcPr>
          <w:p>
            <w:pPr>
              <w:ind w:left="340"/>
              <w:spacing w:after="0" w:line="196" w:lineRule="exact"/>
              <w:rPr>
                <w:sz w:val="20"/>
                <w:szCs w:val="20"/>
                <w:color w:val="auto"/>
              </w:rPr>
            </w:pPr>
            <w:r>
              <w:rPr>
                <w:rFonts w:ascii="Arial" w:cs="Arial" w:eastAsia="Arial" w:hAnsi="Arial"/>
                <w:sz w:val="18"/>
                <w:szCs w:val="18"/>
                <w:color w:val="auto"/>
              </w:rPr>
              <w:t>Net cash (used in) financing activities</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(52,119)</w:t>
            </w:r>
          </w:p>
        </w:tc>
        <w:tc>
          <w:tcPr>
            <w:tcW w:w="260" w:type="dxa"/>
            <w:vAlign w:val="bottom"/>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(9,998)</w:t>
            </w:r>
          </w:p>
        </w:tc>
        <w:tc>
          <w:tcPr>
            <w:tcW w:w="0" w:type="dxa"/>
            <w:vAlign w:val="bottom"/>
          </w:tcPr>
          <w:p>
            <w:pPr>
              <w:spacing w:after="0"/>
              <w:rPr>
                <w:sz w:val="1"/>
                <w:szCs w:val="1"/>
                <w:color w:val="auto"/>
              </w:rPr>
            </w:pPr>
          </w:p>
        </w:tc>
      </w:tr>
      <w:tr>
        <w:trPr>
          <w:trHeight w:val="196"/>
        </w:trPr>
        <w:tc>
          <w:tcPr>
            <w:tcW w:w="8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Effect of exchange rate changes on cash and cash equivalents</w:t>
            </w:r>
          </w:p>
        </w:tc>
        <w:tc>
          <w:tcPr>
            <w:tcW w:w="1360" w:type="dxa"/>
            <w:vAlign w:val="bottom"/>
            <w:tcBorders>
              <w:bottom w:val="single" w:sz="8" w:color="auto"/>
            </w:tcBorders>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8,569</w:t>
            </w:r>
          </w:p>
        </w:tc>
        <w:tc>
          <w:tcPr>
            <w:tcW w:w="260" w:type="dxa"/>
            <w:vAlign w:val="bottom"/>
            <w:shd w:val="clear" w:color="auto" w:fill="BFBFBF"/>
          </w:tcPr>
          <w:p>
            <w:pPr>
              <w:spacing w:after="0"/>
              <w:rPr>
                <w:sz w:val="17"/>
                <w:szCs w:val="17"/>
                <w:color w:val="auto"/>
              </w:rPr>
            </w:pPr>
          </w:p>
        </w:tc>
        <w:tc>
          <w:tcPr>
            <w:tcW w:w="1360" w:type="dxa"/>
            <w:vAlign w:val="bottom"/>
            <w:tcBorders>
              <w:bottom w:val="single" w:sz="8" w:color="auto"/>
            </w:tcBorders>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8,432</w:t>
            </w:r>
          </w:p>
        </w:tc>
        <w:tc>
          <w:tcPr>
            <w:tcW w:w="0" w:type="dxa"/>
            <w:vAlign w:val="bottom"/>
          </w:tcPr>
          <w:p>
            <w:pPr>
              <w:spacing w:after="0"/>
              <w:rPr>
                <w:sz w:val="1"/>
                <w:szCs w:val="1"/>
                <w:color w:val="auto"/>
              </w:rPr>
            </w:pPr>
          </w:p>
        </w:tc>
      </w:tr>
      <w:tr>
        <w:trPr>
          <w:trHeight w:val="399"/>
        </w:trPr>
        <w:tc>
          <w:tcPr>
            <w:tcW w:w="8440" w:type="dxa"/>
            <w:vAlign w:val="bottom"/>
          </w:tcPr>
          <w:p>
            <w:pPr>
              <w:ind w:left="100"/>
              <w:spacing w:after="0"/>
              <w:rPr>
                <w:sz w:val="20"/>
                <w:szCs w:val="20"/>
                <w:color w:val="auto"/>
              </w:rPr>
            </w:pPr>
            <w:r>
              <w:rPr>
                <w:rFonts w:ascii="Arial" w:cs="Arial" w:eastAsia="Arial" w:hAnsi="Arial"/>
                <w:sz w:val="18"/>
                <w:szCs w:val="18"/>
                <w:color w:val="auto"/>
              </w:rPr>
              <w:t>Increase in cash and cash equivalents</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22,016</w:t>
            </w:r>
          </w:p>
        </w:tc>
        <w:tc>
          <w:tcPr>
            <w:tcW w:w="260" w:type="dxa"/>
            <w:vAlign w:val="bottom"/>
          </w:tcPr>
          <w:p>
            <w:pPr>
              <w:spacing w:after="0"/>
              <w:rPr>
                <w:sz w:val="24"/>
                <w:szCs w:val="24"/>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15,217</w:t>
            </w:r>
          </w:p>
        </w:tc>
        <w:tc>
          <w:tcPr>
            <w:tcW w:w="0" w:type="dxa"/>
            <w:vAlign w:val="bottom"/>
          </w:tcPr>
          <w:p>
            <w:pPr>
              <w:spacing w:after="0"/>
              <w:rPr>
                <w:sz w:val="1"/>
                <w:szCs w:val="1"/>
                <w:color w:val="auto"/>
              </w:rPr>
            </w:pPr>
          </w:p>
        </w:tc>
      </w:tr>
      <w:tr>
        <w:trPr>
          <w:trHeight w:val="203"/>
        </w:trPr>
        <w:tc>
          <w:tcPr>
            <w:tcW w:w="844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Change in cash balances of discontinued operations</w:t>
            </w:r>
          </w:p>
        </w:tc>
        <w:tc>
          <w:tcPr>
            <w:tcW w:w="136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BFBFBF"/>
          </w:tcPr>
          <w:p>
            <w:pPr>
              <w:spacing w:after="0"/>
              <w:rPr>
                <w:sz w:val="17"/>
                <w:szCs w:val="17"/>
                <w:color w:val="auto"/>
              </w:rPr>
            </w:pPr>
          </w:p>
        </w:tc>
        <w:tc>
          <w:tcPr>
            <w:tcW w:w="136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4,376</w:t>
            </w:r>
          </w:p>
        </w:tc>
        <w:tc>
          <w:tcPr>
            <w:tcW w:w="0" w:type="dxa"/>
            <w:vAlign w:val="bottom"/>
          </w:tcPr>
          <w:p>
            <w:pPr>
              <w:spacing w:after="0"/>
              <w:rPr>
                <w:sz w:val="1"/>
                <w:szCs w:val="1"/>
                <w:color w:val="auto"/>
              </w:rPr>
            </w:pPr>
          </w:p>
        </w:tc>
      </w:tr>
      <w:tr>
        <w:trPr>
          <w:trHeight w:val="203"/>
        </w:trPr>
        <w:tc>
          <w:tcPr>
            <w:tcW w:w="8440" w:type="dxa"/>
            <w:vAlign w:val="bottom"/>
            <w:tcBorders>
              <w:bottom w:val="single" w:sz="8" w:color="BFBFBF"/>
            </w:tcBorders>
          </w:tcPr>
          <w:p>
            <w:pPr>
              <w:ind w:left="100"/>
              <w:spacing w:after="0" w:line="202" w:lineRule="exact"/>
              <w:rPr>
                <w:sz w:val="20"/>
                <w:szCs w:val="20"/>
                <w:color w:val="auto"/>
              </w:rPr>
            </w:pPr>
            <w:r>
              <w:rPr>
                <w:rFonts w:ascii="Arial" w:cs="Arial" w:eastAsia="Arial" w:hAnsi="Arial"/>
                <w:sz w:val="18"/>
                <w:szCs w:val="18"/>
                <w:color w:val="auto"/>
              </w:rPr>
              <w:t>Cash and cash equivalents at beginning of period</w:t>
            </w:r>
          </w:p>
        </w:tc>
        <w:tc>
          <w:tcPr>
            <w:tcW w:w="13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118,909</w:t>
            </w:r>
          </w:p>
        </w:tc>
        <w:tc>
          <w:tcPr>
            <w:tcW w:w="260" w:type="dxa"/>
            <w:vAlign w:val="bottom"/>
            <w:tcBorders>
              <w:bottom w:val="single" w:sz="8" w:color="BFBFBF"/>
            </w:tcBorders>
          </w:tcPr>
          <w:p>
            <w:pPr>
              <w:spacing w:after="0"/>
              <w:rPr>
                <w:sz w:val="17"/>
                <w:szCs w:val="17"/>
                <w:color w:val="auto"/>
              </w:rPr>
            </w:pPr>
          </w:p>
        </w:tc>
        <w:tc>
          <w:tcPr>
            <w:tcW w:w="13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117,925</w:t>
            </w:r>
          </w:p>
        </w:tc>
        <w:tc>
          <w:tcPr>
            <w:tcW w:w="0" w:type="dxa"/>
            <w:vAlign w:val="bottom"/>
          </w:tcPr>
          <w:p>
            <w:pPr>
              <w:spacing w:after="0"/>
              <w:rPr>
                <w:sz w:val="1"/>
                <w:szCs w:val="1"/>
                <w:color w:val="auto"/>
              </w:rPr>
            </w:pPr>
          </w:p>
        </w:tc>
      </w:tr>
      <w:tr>
        <w:trPr>
          <w:trHeight w:val="196"/>
        </w:trPr>
        <w:tc>
          <w:tcPr>
            <w:tcW w:w="8440" w:type="dxa"/>
            <w:vAlign w:val="bottom"/>
            <w:tcBorders>
              <w:bottom w:val="single" w:sz="8" w:color="BFBFBF"/>
            </w:tcBorders>
            <w:shd w:val="clear" w:color="auto" w:fill="BFBFBF"/>
          </w:tcPr>
          <w:p>
            <w:pPr>
              <w:ind w:left="100"/>
              <w:spacing w:after="0" w:line="196" w:lineRule="exact"/>
              <w:rPr>
                <w:sz w:val="20"/>
                <w:szCs w:val="20"/>
                <w:color w:val="auto"/>
              </w:rPr>
            </w:pPr>
            <w:r>
              <w:rPr>
                <w:rFonts w:ascii="Arial" w:cs="Arial" w:eastAsia="Arial" w:hAnsi="Arial"/>
                <w:sz w:val="18"/>
                <w:szCs w:val="18"/>
                <w:color w:val="auto"/>
              </w:rPr>
              <w:t>Cash and cash equivalents at end of period</w:t>
            </w:r>
          </w:p>
        </w:tc>
        <w:tc>
          <w:tcPr>
            <w:tcW w:w="1360" w:type="dxa"/>
            <w:vAlign w:val="bottom"/>
            <w:tcBorders>
              <w:bottom w:val="single" w:sz="8" w:color="auto"/>
            </w:tcBorders>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$140,925</w:t>
            </w:r>
          </w:p>
        </w:tc>
        <w:tc>
          <w:tcPr>
            <w:tcW w:w="260" w:type="dxa"/>
            <w:vAlign w:val="bottom"/>
            <w:tcBorders>
              <w:bottom w:val="single" w:sz="8" w:color="BFBFBF"/>
            </w:tcBorders>
            <w:shd w:val="clear" w:color="auto" w:fill="BFBFBF"/>
          </w:tcPr>
          <w:p>
            <w:pPr>
              <w:spacing w:after="0"/>
              <w:rPr>
                <w:sz w:val="17"/>
                <w:szCs w:val="17"/>
                <w:color w:val="auto"/>
              </w:rPr>
            </w:pPr>
          </w:p>
        </w:tc>
        <w:tc>
          <w:tcPr>
            <w:tcW w:w="1360" w:type="dxa"/>
            <w:vAlign w:val="bottom"/>
            <w:tcBorders>
              <w:bottom w:val="single" w:sz="8" w:color="auto"/>
            </w:tcBorders>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$137,518</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74" w:right="239" w:bottom="1440" w:gutter="0" w:footer="0" w:header="0"/>
        </w:sectPr>
      </w:pPr>
    </w:p>
    <w:bookmarkStart w:id="6" w:name="page7"/>
    <w:bookmarkEnd w:id="6"/>
    <w:p>
      <w:pPr>
        <w:ind w:left="4640"/>
        <w:spacing w:after="0"/>
        <w:rPr>
          <w:sz w:val="20"/>
          <w:szCs w:val="20"/>
          <w:color w:val="auto"/>
        </w:rPr>
      </w:pPr>
      <w:r>
        <w:rPr>
          <w:rFonts w:ascii="Arial" w:cs="Arial" w:eastAsia="Arial" w:hAnsi="Arial"/>
          <w:sz w:val="18"/>
          <w:szCs w:val="18"/>
          <w:color w:val="auto"/>
        </w:rPr>
        <w:t>ALBANY INTERNATIONAL CORP.</w:t>
      </w:r>
    </w:p>
    <w:p>
      <w:pPr>
        <w:ind w:left="3420"/>
        <w:spacing w:after="0" w:line="234" w:lineRule="auto"/>
        <w:rPr>
          <w:sz w:val="20"/>
          <w:szCs w:val="20"/>
          <w:color w:val="auto"/>
        </w:rPr>
      </w:pPr>
      <w:r>
        <w:rPr>
          <w:rFonts w:ascii="Arial" w:cs="Arial" w:eastAsia="Arial" w:hAnsi="Arial"/>
          <w:sz w:val="18"/>
          <w:szCs w:val="18"/>
          <w:color w:val="auto"/>
        </w:rPr>
        <w:t>NOTES TO CONSOLIDATED FINANCIAL STATEMENTS</w:t>
      </w:r>
    </w:p>
    <w:p>
      <w:pPr>
        <w:jc w:val="center"/>
        <w:ind w:right="-59"/>
        <w:spacing w:after="0" w:line="235"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12" w:lineRule="exact"/>
        <w:rPr>
          <w:sz w:val="20"/>
          <w:szCs w:val="20"/>
          <w:color w:val="auto"/>
        </w:rPr>
      </w:pPr>
    </w:p>
    <w:p>
      <w:pPr>
        <w:jc w:val="both"/>
        <w:ind w:right="220"/>
        <w:spacing w:after="0" w:line="234" w:lineRule="auto"/>
        <w:rPr>
          <w:sz w:val="20"/>
          <w:szCs w:val="20"/>
          <w:color w:val="auto"/>
        </w:rPr>
      </w:pPr>
      <w:r>
        <w:rPr>
          <w:rFonts w:ascii="Arial" w:cs="Arial" w:eastAsia="Arial" w:hAnsi="Arial"/>
          <w:sz w:val="18"/>
          <w:szCs w:val="18"/>
          <w:color w:val="auto"/>
        </w:rPr>
        <w:t>In our opinion, the accompanying unaudited consolidated financial statements contain all adjustments, consisting of only normal, recurring adjustments, necessary for a fair presentation of results for such periods. The results for any interim period are not necessarily indicative of results for the full year. The preparation of financial statements for interim periods does not require all of the disclosures normally included in financial statements prepared in accordance with accounting principles generally accepted in the United States of America (U.S. GAAP).</w:t>
      </w:r>
    </w:p>
    <w:p>
      <w:pPr>
        <w:spacing w:after="0" w:line="3"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Accordingly, certain information and footnote disclosures normally included in financial statements prepared in accordance with accounting principles generally accepted in the United States of America have been omitted. The December 31, 2011 financial position data included herein was derived from the audited consolidated financial statements included in the 2011 Form 10-K but does not include all disclosures required by U.S. GAAP. These consolidated financial statements should be read in conjunction with our Annual Report on Form 10-K as filed with the SEC for the year ended December 31, 2011.</w:t>
      </w:r>
    </w:p>
    <w:p>
      <w:pPr>
        <w:spacing w:after="0" w:line="203"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Effective with the first quarter of 2012, we merged our Paper Machine Clothing (PMC) and Engineered Fabrics (EF) business segments. The combined segment is called Machine Clothing (MC). The change was made to better align financial reporting with our organizational structure. Additionally, in the fourth quarter of 2011, we announced the sale of our Albany Doors business (ADS) and, beginning with the fourth quarter of 2011, we presented the results of that business as a discontinued operation. In the tables below, we have presented the consolidated income statement and segment data as reported in the first quarter of 2011, and the modifications made to conform to the current year presentation.</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674" w:right="2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9"/>
        </w:trPr>
        <w:tc>
          <w:tcPr>
            <w:tcW w:w="4120" w:type="dxa"/>
            <w:vAlign w:val="bottom"/>
          </w:tcPr>
          <w:p>
            <w:pPr>
              <w:spacing w:after="0"/>
              <w:rPr>
                <w:sz w:val="16"/>
                <w:szCs w:val="16"/>
                <w:color w:val="auto"/>
              </w:rPr>
            </w:pPr>
          </w:p>
        </w:tc>
        <w:tc>
          <w:tcPr>
            <w:tcW w:w="1600" w:type="dxa"/>
            <w:vAlign w:val="bottom"/>
          </w:tcPr>
          <w:p>
            <w:pPr>
              <w:jc w:val="center"/>
              <w:ind w:left="599"/>
              <w:spacing w:after="0"/>
              <w:rPr>
                <w:sz w:val="20"/>
                <w:szCs w:val="20"/>
                <w:color w:val="auto"/>
              </w:rPr>
            </w:pPr>
            <w:r>
              <w:rPr>
                <w:rFonts w:ascii="Arial" w:cs="Arial" w:eastAsia="Arial" w:hAnsi="Arial"/>
                <w:sz w:val="16"/>
                <w:szCs w:val="16"/>
                <w:color w:val="auto"/>
              </w:rPr>
              <w:t>As reported</w:t>
            </w:r>
          </w:p>
        </w:tc>
        <w:tc>
          <w:tcPr>
            <w:tcW w:w="840" w:type="dxa"/>
            <w:vAlign w:val="bottom"/>
          </w:tcPr>
          <w:p>
            <w:pPr>
              <w:spacing w:after="0"/>
              <w:rPr>
                <w:sz w:val="16"/>
                <w:szCs w:val="16"/>
                <w:color w:val="auto"/>
              </w:rPr>
            </w:pPr>
          </w:p>
        </w:tc>
        <w:tc>
          <w:tcPr>
            <w:tcW w:w="1680" w:type="dxa"/>
            <w:vAlign w:val="bottom"/>
            <w:gridSpan w:val="3"/>
          </w:tcPr>
          <w:p>
            <w:pPr>
              <w:jc w:val="center"/>
              <w:ind w:right="280"/>
              <w:spacing w:after="0"/>
              <w:rPr>
                <w:sz w:val="20"/>
                <w:szCs w:val="20"/>
                <w:color w:val="auto"/>
              </w:rPr>
            </w:pPr>
            <w:r>
              <w:rPr>
                <w:rFonts w:ascii="Arial" w:cs="Arial" w:eastAsia="Arial" w:hAnsi="Arial"/>
                <w:sz w:val="16"/>
                <w:szCs w:val="16"/>
                <w:color w:val="auto"/>
              </w:rPr>
              <w:t>Reclassify ADS</w:t>
            </w: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center"/>
              <w:ind w:right="99"/>
              <w:spacing w:after="0"/>
              <w:rPr>
                <w:sz w:val="20"/>
                <w:szCs w:val="20"/>
                <w:color w:val="auto"/>
              </w:rPr>
            </w:pPr>
            <w:r>
              <w:rPr>
                <w:rFonts w:ascii="Arial" w:cs="Arial" w:eastAsia="Arial" w:hAnsi="Arial"/>
                <w:sz w:val="16"/>
                <w:szCs w:val="16"/>
                <w:color w:val="auto"/>
              </w:rPr>
              <w:t>Q1 2011</w:t>
            </w:r>
          </w:p>
        </w:tc>
      </w:tr>
      <w:tr>
        <w:trPr>
          <w:trHeight w:val="189"/>
        </w:trPr>
        <w:tc>
          <w:tcPr>
            <w:tcW w:w="4120" w:type="dxa"/>
            <w:vAlign w:val="bottom"/>
          </w:tcPr>
          <w:p>
            <w:pPr>
              <w:spacing w:after="0"/>
              <w:rPr>
                <w:sz w:val="16"/>
                <w:szCs w:val="16"/>
                <w:color w:val="auto"/>
              </w:rPr>
            </w:pPr>
          </w:p>
        </w:tc>
        <w:tc>
          <w:tcPr>
            <w:tcW w:w="1600" w:type="dxa"/>
            <w:vAlign w:val="bottom"/>
          </w:tcPr>
          <w:p>
            <w:pPr>
              <w:jc w:val="center"/>
              <w:ind w:left="599"/>
              <w:spacing w:after="0"/>
              <w:rPr>
                <w:sz w:val="20"/>
                <w:szCs w:val="20"/>
                <w:color w:val="auto"/>
              </w:rPr>
            </w:pPr>
            <w:r>
              <w:rPr>
                <w:rFonts w:ascii="Arial" w:cs="Arial" w:eastAsia="Arial" w:hAnsi="Arial"/>
                <w:sz w:val="16"/>
                <w:szCs w:val="16"/>
                <w:color w:val="auto"/>
              </w:rPr>
              <w:t>March 31,</w:t>
            </w:r>
          </w:p>
        </w:tc>
        <w:tc>
          <w:tcPr>
            <w:tcW w:w="840" w:type="dxa"/>
            <w:vAlign w:val="bottom"/>
          </w:tcPr>
          <w:p>
            <w:pPr>
              <w:spacing w:after="0"/>
              <w:rPr>
                <w:sz w:val="16"/>
                <w:szCs w:val="16"/>
                <w:color w:val="auto"/>
              </w:rPr>
            </w:pPr>
          </w:p>
        </w:tc>
        <w:tc>
          <w:tcPr>
            <w:tcW w:w="1680" w:type="dxa"/>
            <w:vAlign w:val="bottom"/>
            <w:gridSpan w:val="3"/>
          </w:tcPr>
          <w:p>
            <w:pPr>
              <w:jc w:val="center"/>
              <w:ind w:right="300"/>
              <w:spacing w:after="0"/>
              <w:rPr>
                <w:sz w:val="20"/>
                <w:szCs w:val="20"/>
                <w:color w:val="auto"/>
              </w:rPr>
            </w:pPr>
            <w:r>
              <w:rPr>
                <w:rFonts w:ascii="Arial" w:cs="Arial" w:eastAsia="Arial" w:hAnsi="Arial"/>
                <w:sz w:val="16"/>
                <w:szCs w:val="16"/>
                <w:color w:val="auto"/>
              </w:rPr>
              <w:t>to discontinued</w:t>
            </w:r>
          </w:p>
        </w:tc>
        <w:tc>
          <w:tcPr>
            <w:tcW w:w="1320" w:type="dxa"/>
            <w:vAlign w:val="bottom"/>
          </w:tcPr>
          <w:p>
            <w:pPr>
              <w:jc w:val="center"/>
              <w:ind w:left="19"/>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center"/>
              <w:ind w:right="99"/>
              <w:spacing w:after="0"/>
              <w:rPr>
                <w:sz w:val="20"/>
                <w:szCs w:val="20"/>
                <w:color w:val="auto"/>
              </w:rPr>
            </w:pPr>
            <w:r>
              <w:rPr>
                <w:rFonts w:ascii="Arial" w:cs="Arial" w:eastAsia="Arial" w:hAnsi="Arial"/>
                <w:sz w:val="16"/>
                <w:szCs w:val="16"/>
                <w:color w:val="auto"/>
              </w:rPr>
              <w:t>reported in</w:t>
            </w:r>
          </w:p>
        </w:tc>
      </w:tr>
      <w:tr>
        <w:trPr>
          <w:trHeight w:val="187"/>
        </w:trPr>
        <w:tc>
          <w:tcPr>
            <w:tcW w:w="5720" w:type="dxa"/>
            <w:vAlign w:val="bottom"/>
            <w:gridSpan w:val="2"/>
          </w:tcPr>
          <w:p>
            <w:pPr>
              <w:jc w:val="center"/>
              <w:ind w:left="4719"/>
              <w:spacing w:after="0"/>
              <w:rPr>
                <w:sz w:val="20"/>
                <w:szCs w:val="20"/>
                <w:color w:val="auto"/>
              </w:rPr>
            </w:pPr>
            <w:r>
              <w:rPr>
                <w:rFonts w:ascii="Arial" w:cs="Arial" w:eastAsia="Arial" w:hAnsi="Arial"/>
                <w:sz w:val="16"/>
                <w:szCs w:val="16"/>
                <w:color w:val="auto"/>
              </w:rPr>
              <w:t>2011</w:t>
            </w:r>
          </w:p>
        </w:tc>
        <w:tc>
          <w:tcPr>
            <w:tcW w:w="840" w:type="dxa"/>
            <w:vAlign w:val="bottom"/>
          </w:tcPr>
          <w:p>
            <w:pPr>
              <w:spacing w:after="0"/>
              <w:rPr>
                <w:sz w:val="16"/>
                <w:szCs w:val="16"/>
                <w:color w:val="auto"/>
              </w:rPr>
            </w:pPr>
          </w:p>
        </w:tc>
        <w:tc>
          <w:tcPr>
            <w:tcW w:w="1680" w:type="dxa"/>
            <w:vAlign w:val="bottom"/>
            <w:gridSpan w:val="3"/>
          </w:tcPr>
          <w:p>
            <w:pPr>
              <w:jc w:val="center"/>
              <w:ind w:right="280"/>
              <w:spacing w:after="0"/>
              <w:rPr>
                <w:sz w:val="20"/>
                <w:szCs w:val="20"/>
                <w:color w:val="auto"/>
              </w:rPr>
            </w:pPr>
            <w:r>
              <w:rPr>
                <w:rFonts w:ascii="Arial" w:cs="Arial" w:eastAsia="Arial" w:hAnsi="Arial"/>
                <w:sz w:val="16"/>
                <w:szCs w:val="16"/>
                <w:color w:val="auto"/>
              </w:rPr>
              <w:t>operations</w:t>
            </w:r>
          </w:p>
        </w:tc>
        <w:tc>
          <w:tcPr>
            <w:tcW w:w="1320" w:type="dxa"/>
            <w:vAlign w:val="bottom"/>
          </w:tcPr>
          <w:p>
            <w:pPr>
              <w:jc w:val="center"/>
              <w:ind w:left="19"/>
              <w:spacing w:after="0"/>
              <w:rPr>
                <w:sz w:val="20"/>
                <w:szCs w:val="20"/>
                <w:color w:val="auto"/>
              </w:rPr>
            </w:pPr>
            <w:r>
              <w:rPr>
                <w:rFonts w:ascii="Arial" w:cs="Arial" w:eastAsia="Arial" w:hAnsi="Arial"/>
                <w:sz w:val="16"/>
                <w:szCs w:val="16"/>
                <w:color w:val="auto"/>
              </w:rPr>
              <w:t>reclassifications</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center"/>
              <w:ind w:right="99"/>
              <w:spacing w:after="0"/>
              <w:rPr>
                <w:sz w:val="20"/>
                <w:szCs w:val="20"/>
                <w:color w:val="auto"/>
              </w:rPr>
            </w:pPr>
            <w:r>
              <w:rPr>
                <w:rFonts w:ascii="Arial" w:cs="Arial" w:eastAsia="Arial" w:hAnsi="Arial"/>
                <w:sz w:val="16"/>
                <w:szCs w:val="16"/>
                <w:color w:val="auto"/>
              </w:rPr>
              <w:t>2012 format</w:t>
            </w:r>
          </w:p>
        </w:tc>
      </w:tr>
      <w:tr>
        <w:trPr>
          <w:trHeight w:val="183"/>
        </w:trPr>
        <w:tc>
          <w:tcPr>
            <w:tcW w:w="4120" w:type="dxa"/>
            <w:vAlign w:val="bottom"/>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r>
      <w:tr>
        <w:trPr>
          <w:trHeight w:val="189"/>
        </w:trPr>
        <w:tc>
          <w:tcPr>
            <w:tcW w:w="5720" w:type="dxa"/>
            <w:vAlign w:val="bottom"/>
            <w:gridSpan w:val="2"/>
            <w:shd w:val="clear" w:color="auto" w:fill="C0C0C0"/>
          </w:tcPr>
          <w:p>
            <w:pPr>
              <w:spacing w:after="0"/>
              <w:rPr>
                <w:sz w:val="20"/>
                <w:szCs w:val="20"/>
                <w:color w:val="auto"/>
              </w:rPr>
            </w:pPr>
            <w:r>
              <w:rPr>
                <w:rFonts w:ascii="Arial" w:cs="Arial" w:eastAsia="Arial" w:hAnsi="Arial"/>
                <w:sz w:val="16"/>
                <w:szCs w:val="16"/>
                <w:color w:val="auto"/>
              </w:rPr>
              <w:t>Net sales</w:t>
            </w:r>
          </w:p>
        </w:tc>
        <w:tc>
          <w:tcPr>
            <w:tcW w:w="840" w:type="dxa"/>
            <w:vAlign w:val="bottom"/>
            <w:shd w:val="clear" w:color="auto" w:fill="C0C0C0"/>
          </w:tcPr>
          <w:p>
            <w:pPr>
              <w:jc w:val="right"/>
              <w:ind w:right="79"/>
              <w:spacing w:after="0"/>
              <w:rPr>
                <w:sz w:val="20"/>
                <w:szCs w:val="20"/>
                <w:color w:val="auto"/>
              </w:rPr>
            </w:pPr>
            <w:r>
              <w:rPr>
                <w:rFonts w:ascii="Arial" w:cs="Arial" w:eastAsia="Arial" w:hAnsi="Arial"/>
                <w:sz w:val="16"/>
                <w:szCs w:val="16"/>
                <w:color w:val="auto"/>
                <w:w w:val="98"/>
              </w:rPr>
              <w:t>$251,850</w:t>
            </w:r>
          </w:p>
        </w:tc>
        <w:tc>
          <w:tcPr>
            <w:tcW w:w="154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($45,128)</w:t>
            </w:r>
          </w:p>
        </w:tc>
        <w:tc>
          <w:tcPr>
            <w:tcW w:w="140" w:type="dxa"/>
            <w:vAlign w:val="bottom"/>
            <w:shd w:val="clear" w:color="auto" w:fill="C0C0C0"/>
          </w:tcPr>
          <w:p>
            <w:pPr>
              <w:spacing w:after="0"/>
              <w:rPr>
                <w:sz w:val="16"/>
                <w:szCs w:val="16"/>
                <w:color w:val="auto"/>
              </w:rPr>
            </w:pPr>
          </w:p>
        </w:tc>
        <w:tc>
          <w:tcPr>
            <w:tcW w:w="132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180" w:type="dxa"/>
            <w:vAlign w:val="bottom"/>
            <w:shd w:val="clear" w:color="auto" w:fill="C0C0C0"/>
          </w:tcPr>
          <w:p>
            <w:pPr>
              <w:spacing w:after="0"/>
              <w:rPr>
                <w:sz w:val="16"/>
                <w:szCs w:val="16"/>
                <w:color w:val="auto"/>
              </w:rPr>
            </w:pPr>
          </w:p>
        </w:tc>
        <w:tc>
          <w:tcPr>
            <w:tcW w:w="1440" w:type="dxa"/>
            <w:vAlign w:val="bottom"/>
            <w:shd w:val="clear" w:color="auto" w:fill="C0C0C0"/>
          </w:tcPr>
          <w:p>
            <w:pPr>
              <w:jc w:val="right"/>
              <w:spacing w:after="0"/>
              <w:rPr>
                <w:sz w:val="20"/>
                <w:szCs w:val="20"/>
                <w:color w:val="auto"/>
              </w:rPr>
            </w:pPr>
            <w:r>
              <w:rPr>
                <w:rFonts w:ascii="Arial" w:cs="Arial" w:eastAsia="Arial" w:hAnsi="Arial"/>
                <w:sz w:val="16"/>
                <w:szCs w:val="16"/>
                <w:color w:val="auto"/>
              </w:rPr>
              <w:t>$206,722</w:t>
            </w:r>
          </w:p>
        </w:tc>
      </w:tr>
      <w:tr>
        <w:trPr>
          <w:trHeight w:val="189"/>
        </w:trPr>
        <w:tc>
          <w:tcPr>
            <w:tcW w:w="5720" w:type="dxa"/>
            <w:vAlign w:val="bottom"/>
            <w:gridSpan w:val="2"/>
          </w:tcPr>
          <w:p>
            <w:pPr>
              <w:spacing w:after="0"/>
              <w:rPr>
                <w:sz w:val="20"/>
                <w:szCs w:val="20"/>
                <w:color w:val="auto"/>
              </w:rPr>
            </w:pPr>
            <w:r>
              <w:rPr>
                <w:rFonts w:ascii="Arial" w:cs="Arial" w:eastAsia="Arial" w:hAnsi="Arial"/>
                <w:sz w:val="16"/>
                <w:szCs w:val="16"/>
                <w:color w:val="auto"/>
              </w:rPr>
              <w:t>Cost of goods sold</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146,857</w:t>
            </w:r>
          </w:p>
        </w:tc>
        <w:tc>
          <w:tcPr>
            <w:tcW w:w="9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(28,980)</w:t>
            </w: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117,877</w:t>
            </w:r>
          </w:p>
        </w:tc>
      </w:tr>
      <w:tr>
        <w:trPr>
          <w:trHeight w:val="183"/>
        </w:trPr>
        <w:tc>
          <w:tcPr>
            <w:tcW w:w="4120" w:type="dxa"/>
            <w:vAlign w:val="bottom"/>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r>
      <w:tr>
        <w:trPr>
          <w:trHeight w:val="189"/>
        </w:trPr>
        <w:tc>
          <w:tcPr>
            <w:tcW w:w="5720" w:type="dxa"/>
            <w:vAlign w:val="bottom"/>
            <w:gridSpan w:val="2"/>
            <w:shd w:val="clear" w:color="auto" w:fill="C0C0C0"/>
          </w:tcPr>
          <w:p>
            <w:pPr>
              <w:spacing w:after="0"/>
              <w:rPr>
                <w:sz w:val="20"/>
                <w:szCs w:val="20"/>
                <w:color w:val="auto"/>
              </w:rPr>
            </w:pPr>
            <w:r>
              <w:rPr>
                <w:rFonts w:ascii="Arial" w:cs="Arial" w:eastAsia="Arial" w:hAnsi="Arial"/>
                <w:sz w:val="16"/>
                <w:szCs w:val="16"/>
                <w:color w:val="auto"/>
              </w:rPr>
              <w:t>Gross profit</w:t>
            </w:r>
          </w:p>
        </w:tc>
        <w:tc>
          <w:tcPr>
            <w:tcW w:w="840" w:type="dxa"/>
            <w:vAlign w:val="bottom"/>
            <w:shd w:val="clear" w:color="auto" w:fill="C0C0C0"/>
          </w:tcPr>
          <w:p>
            <w:pPr>
              <w:jc w:val="right"/>
              <w:ind w:right="79"/>
              <w:spacing w:after="0"/>
              <w:rPr>
                <w:sz w:val="20"/>
                <w:szCs w:val="20"/>
                <w:color w:val="auto"/>
              </w:rPr>
            </w:pPr>
            <w:r>
              <w:rPr>
                <w:rFonts w:ascii="Arial" w:cs="Arial" w:eastAsia="Arial" w:hAnsi="Arial"/>
                <w:sz w:val="16"/>
                <w:szCs w:val="16"/>
                <w:color w:val="auto"/>
              </w:rPr>
              <w:t>104,993</w:t>
            </w:r>
          </w:p>
        </w:tc>
        <w:tc>
          <w:tcPr>
            <w:tcW w:w="900" w:type="dxa"/>
            <w:vAlign w:val="bottom"/>
            <w:shd w:val="clear" w:color="auto" w:fill="C0C0C0"/>
          </w:tcPr>
          <w:p>
            <w:pPr>
              <w:spacing w:after="0"/>
              <w:rPr>
                <w:sz w:val="16"/>
                <w:szCs w:val="16"/>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(16,148)</w:t>
            </w:r>
          </w:p>
        </w:tc>
        <w:tc>
          <w:tcPr>
            <w:tcW w:w="140" w:type="dxa"/>
            <w:vAlign w:val="bottom"/>
            <w:shd w:val="clear" w:color="auto" w:fill="C0C0C0"/>
          </w:tcPr>
          <w:p>
            <w:pPr>
              <w:spacing w:after="0"/>
              <w:rPr>
                <w:sz w:val="16"/>
                <w:szCs w:val="16"/>
                <w:color w:val="auto"/>
              </w:rPr>
            </w:pPr>
          </w:p>
        </w:tc>
        <w:tc>
          <w:tcPr>
            <w:tcW w:w="1320" w:type="dxa"/>
            <w:vAlign w:val="bottom"/>
            <w:shd w:val="clear" w:color="auto" w:fill="C0C0C0"/>
          </w:tcPr>
          <w:p>
            <w:pPr>
              <w:spacing w:after="0"/>
              <w:rPr>
                <w:sz w:val="16"/>
                <w:szCs w:val="16"/>
                <w:color w:val="auto"/>
              </w:rPr>
            </w:pPr>
          </w:p>
        </w:tc>
        <w:tc>
          <w:tcPr>
            <w:tcW w:w="240" w:type="dxa"/>
            <w:vAlign w:val="bottom"/>
            <w:shd w:val="clear" w:color="auto" w:fill="C0C0C0"/>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0C0C0"/>
          </w:tcPr>
          <w:p>
            <w:pPr>
              <w:spacing w:after="0"/>
              <w:rPr>
                <w:sz w:val="16"/>
                <w:szCs w:val="16"/>
                <w:color w:val="auto"/>
              </w:rPr>
            </w:pPr>
          </w:p>
        </w:tc>
        <w:tc>
          <w:tcPr>
            <w:tcW w:w="1440" w:type="dxa"/>
            <w:vAlign w:val="bottom"/>
            <w:shd w:val="clear" w:color="auto" w:fill="C0C0C0"/>
          </w:tcPr>
          <w:p>
            <w:pPr>
              <w:jc w:val="right"/>
              <w:spacing w:after="0"/>
              <w:rPr>
                <w:sz w:val="20"/>
                <w:szCs w:val="20"/>
                <w:color w:val="auto"/>
              </w:rPr>
            </w:pPr>
            <w:r>
              <w:rPr>
                <w:rFonts w:ascii="Arial" w:cs="Arial" w:eastAsia="Arial" w:hAnsi="Arial"/>
                <w:sz w:val="16"/>
                <w:szCs w:val="16"/>
                <w:color w:val="auto"/>
              </w:rPr>
              <w:t>88,845</w:t>
            </w:r>
          </w:p>
        </w:tc>
      </w:tr>
      <w:tr>
        <w:trPr>
          <w:trHeight w:val="189"/>
        </w:trPr>
        <w:tc>
          <w:tcPr>
            <w:tcW w:w="5720" w:type="dxa"/>
            <w:vAlign w:val="bottom"/>
            <w:gridSpan w:val="2"/>
          </w:tcPr>
          <w:p>
            <w:pPr>
              <w:ind w:left="140"/>
              <w:spacing w:after="0"/>
              <w:rPr>
                <w:sz w:val="20"/>
                <w:szCs w:val="20"/>
                <w:color w:val="auto"/>
              </w:rPr>
            </w:pPr>
            <w:r>
              <w:rPr>
                <w:rFonts w:ascii="Arial" w:cs="Arial" w:eastAsia="Arial" w:hAnsi="Arial"/>
                <w:sz w:val="16"/>
                <w:szCs w:val="16"/>
                <w:color w:val="auto"/>
              </w:rPr>
              <w:t>Selling, general, and administrative expenses</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57,765</w:t>
            </w:r>
          </w:p>
        </w:tc>
        <w:tc>
          <w:tcPr>
            <w:tcW w:w="9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(10,289)</w:t>
            </w: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47,476</w:t>
            </w:r>
          </w:p>
        </w:tc>
      </w:tr>
      <w:tr>
        <w:trPr>
          <w:trHeight w:val="189"/>
        </w:trPr>
        <w:tc>
          <w:tcPr>
            <w:tcW w:w="5720" w:type="dxa"/>
            <w:vAlign w:val="bottom"/>
            <w:gridSpan w:val="2"/>
            <w:shd w:val="clear" w:color="auto" w:fill="BFBFBF"/>
          </w:tcPr>
          <w:p>
            <w:pPr>
              <w:ind w:left="140"/>
              <w:spacing w:after="0"/>
              <w:rPr>
                <w:sz w:val="20"/>
                <w:szCs w:val="20"/>
                <w:color w:val="auto"/>
              </w:rPr>
            </w:pPr>
            <w:r>
              <w:rPr>
                <w:rFonts w:ascii="Arial" w:cs="Arial" w:eastAsia="Arial" w:hAnsi="Arial"/>
                <w:sz w:val="16"/>
                <w:szCs w:val="16"/>
                <w:color w:val="auto"/>
              </w:rPr>
              <w:t>Technical, product engineering, and research expenses</w:t>
            </w:r>
          </w:p>
        </w:tc>
        <w:tc>
          <w:tcPr>
            <w:tcW w:w="840" w:type="dxa"/>
            <w:vAlign w:val="bottom"/>
            <w:shd w:val="clear" w:color="auto" w:fill="BFBFBF"/>
          </w:tcPr>
          <w:p>
            <w:pPr>
              <w:jc w:val="right"/>
              <w:ind w:right="79"/>
              <w:spacing w:after="0"/>
              <w:rPr>
                <w:sz w:val="20"/>
                <w:szCs w:val="20"/>
                <w:color w:val="auto"/>
              </w:rPr>
            </w:pPr>
            <w:r>
              <w:rPr>
                <w:rFonts w:ascii="Arial" w:cs="Arial" w:eastAsia="Arial" w:hAnsi="Arial"/>
                <w:sz w:val="16"/>
                <w:szCs w:val="16"/>
                <w:color w:val="auto"/>
              </w:rPr>
              <w:t>15,135</w:t>
            </w:r>
          </w:p>
        </w:tc>
        <w:tc>
          <w:tcPr>
            <w:tcW w:w="900" w:type="dxa"/>
            <w:vAlign w:val="bottom"/>
            <w:shd w:val="clear" w:color="auto" w:fill="BFBFBF"/>
          </w:tcPr>
          <w:p>
            <w:pPr>
              <w:spacing w:after="0"/>
              <w:rPr>
                <w:sz w:val="16"/>
                <w:szCs w:val="16"/>
                <w:color w:val="auto"/>
              </w:rPr>
            </w:pPr>
          </w:p>
        </w:tc>
        <w:tc>
          <w:tcPr>
            <w:tcW w:w="780" w:type="dxa"/>
            <w:vAlign w:val="bottom"/>
            <w:gridSpan w:val="2"/>
            <w:shd w:val="clear" w:color="auto" w:fill="BFBFBF"/>
          </w:tcPr>
          <w:p>
            <w:pPr>
              <w:jc w:val="right"/>
              <w:ind w:right="140"/>
              <w:spacing w:after="0"/>
              <w:rPr>
                <w:sz w:val="20"/>
                <w:szCs w:val="20"/>
                <w:color w:val="auto"/>
              </w:rPr>
            </w:pPr>
            <w:r>
              <w:rPr>
                <w:rFonts w:ascii="Arial" w:cs="Arial" w:eastAsia="Arial" w:hAnsi="Arial"/>
                <w:sz w:val="16"/>
                <w:szCs w:val="16"/>
                <w:color w:val="auto"/>
              </w:rPr>
              <w:t>(781)</w:t>
            </w:r>
          </w:p>
        </w:tc>
        <w:tc>
          <w:tcPr>
            <w:tcW w:w="1320" w:type="dxa"/>
            <w:vAlign w:val="bottom"/>
            <w:shd w:val="clear" w:color="auto" w:fill="BFBFBF"/>
          </w:tcPr>
          <w:p>
            <w:pPr>
              <w:spacing w:after="0"/>
              <w:rPr>
                <w:sz w:val="16"/>
                <w:szCs w:val="16"/>
                <w:color w:val="auto"/>
              </w:rPr>
            </w:pPr>
          </w:p>
        </w:tc>
        <w:tc>
          <w:tcPr>
            <w:tcW w:w="240" w:type="dxa"/>
            <w:vAlign w:val="bottom"/>
            <w:shd w:val="clear" w:color="auto" w:fill="BFBFBF"/>
          </w:tcPr>
          <w:p>
            <w:pPr>
              <w:spacing w:after="0"/>
              <w:rPr>
                <w:sz w:val="16"/>
                <w:szCs w:val="16"/>
                <w:color w:val="auto"/>
              </w:rPr>
            </w:pPr>
          </w:p>
        </w:tc>
        <w:tc>
          <w:tcPr>
            <w:tcW w:w="180" w:type="dxa"/>
            <w:vAlign w:val="bottom"/>
            <w:shd w:val="clear" w:color="auto" w:fill="BFBFBF"/>
          </w:tcPr>
          <w:p>
            <w:pPr>
              <w:spacing w:after="0"/>
              <w:rPr>
                <w:sz w:val="16"/>
                <w:szCs w:val="16"/>
                <w:color w:val="auto"/>
              </w:rPr>
            </w:pPr>
          </w:p>
        </w:tc>
        <w:tc>
          <w:tcPr>
            <w:tcW w:w="1440" w:type="dxa"/>
            <w:vAlign w:val="bottom"/>
            <w:shd w:val="clear" w:color="auto" w:fill="BFBFBF"/>
          </w:tcPr>
          <w:p>
            <w:pPr>
              <w:jc w:val="right"/>
              <w:spacing w:after="0"/>
              <w:rPr>
                <w:sz w:val="20"/>
                <w:szCs w:val="20"/>
                <w:color w:val="auto"/>
              </w:rPr>
            </w:pPr>
            <w:r>
              <w:rPr>
                <w:rFonts w:ascii="Arial" w:cs="Arial" w:eastAsia="Arial" w:hAnsi="Arial"/>
                <w:sz w:val="16"/>
                <w:szCs w:val="16"/>
                <w:color w:val="auto"/>
              </w:rPr>
              <w:t>14,354</w:t>
            </w:r>
          </w:p>
        </w:tc>
      </w:tr>
      <w:tr>
        <w:trPr>
          <w:trHeight w:val="189"/>
        </w:trPr>
        <w:tc>
          <w:tcPr>
            <w:tcW w:w="5720" w:type="dxa"/>
            <w:vAlign w:val="bottom"/>
            <w:gridSpan w:val="2"/>
          </w:tcPr>
          <w:p>
            <w:pPr>
              <w:ind w:left="140"/>
              <w:spacing w:after="0"/>
              <w:rPr>
                <w:sz w:val="20"/>
                <w:szCs w:val="20"/>
                <w:color w:val="auto"/>
              </w:rPr>
            </w:pPr>
            <w:r>
              <w:rPr>
                <w:rFonts w:ascii="Arial" w:cs="Arial" w:eastAsia="Arial" w:hAnsi="Arial"/>
                <w:sz w:val="16"/>
                <w:szCs w:val="16"/>
                <w:color w:val="auto"/>
              </w:rPr>
              <w:t>Restructuring and other, net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186</w:t>
            </w:r>
          </w:p>
        </w:tc>
        <w:tc>
          <w:tcPr>
            <w:tcW w:w="9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(152)</w:t>
            </w: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189"/>
        </w:trPr>
        <w:tc>
          <w:tcPr>
            <w:tcW w:w="5720" w:type="dxa"/>
            <w:vAlign w:val="bottom"/>
            <w:gridSpan w:val="2"/>
            <w:shd w:val="clear" w:color="auto" w:fill="BFBFBF"/>
          </w:tcPr>
          <w:p>
            <w:pPr>
              <w:ind w:left="140"/>
              <w:spacing w:after="0"/>
              <w:rPr>
                <w:sz w:val="20"/>
                <w:szCs w:val="20"/>
                <w:color w:val="auto"/>
              </w:rPr>
            </w:pPr>
            <w:r>
              <w:rPr>
                <w:rFonts w:ascii="Arial" w:cs="Arial" w:eastAsia="Arial" w:hAnsi="Arial"/>
                <w:sz w:val="16"/>
                <w:szCs w:val="16"/>
                <w:color w:val="auto"/>
              </w:rPr>
              <w:t>Pension settlement expense</w:t>
            </w:r>
          </w:p>
        </w:tc>
        <w:tc>
          <w:tcPr>
            <w:tcW w:w="840" w:type="dxa"/>
            <w:vAlign w:val="bottom"/>
            <w:shd w:val="clear" w:color="auto" w:fill="BFBFB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shd w:val="clear" w:color="auto" w:fill="BFBFBF"/>
          </w:tcPr>
          <w:p>
            <w:pPr>
              <w:spacing w:after="0"/>
              <w:rPr>
                <w:sz w:val="16"/>
                <w:szCs w:val="16"/>
                <w:color w:val="auto"/>
              </w:rPr>
            </w:pPr>
          </w:p>
        </w:tc>
        <w:tc>
          <w:tcPr>
            <w:tcW w:w="640" w:type="dxa"/>
            <w:vAlign w:val="bottom"/>
            <w:shd w:val="clear" w:color="auto" w:fill="BFBFB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BFBFBF"/>
          </w:tcPr>
          <w:p>
            <w:pPr>
              <w:spacing w:after="0"/>
              <w:rPr>
                <w:sz w:val="16"/>
                <w:szCs w:val="16"/>
                <w:color w:val="auto"/>
              </w:rPr>
            </w:pPr>
          </w:p>
        </w:tc>
        <w:tc>
          <w:tcPr>
            <w:tcW w:w="1320" w:type="dxa"/>
            <w:vAlign w:val="bottom"/>
            <w:shd w:val="clear" w:color="auto" w:fill="BFBFBF"/>
          </w:tcPr>
          <w:p>
            <w:pPr>
              <w:spacing w:after="0"/>
              <w:rPr>
                <w:sz w:val="16"/>
                <w:szCs w:val="16"/>
                <w:color w:val="auto"/>
              </w:rPr>
            </w:pPr>
          </w:p>
        </w:tc>
        <w:tc>
          <w:tcPr>
            <w:tcW w:w="240" w:type="dxa"/>
            <w:vAlign w:val="bottom"/>
            <w:shd w:val="clear" w:color="auto" w:fill="BFBFBF"/>
          </w:tcPr>
          <w:p>
            <w:pPr>
              <w:spacing w:after="0"/>
              <w:rPr>
                <w:sz w:val="16"/>
                <w:szCs w:val="16"/>
                <w:color w:val="auto"/>
              </w:rPr>
            </w:pPr>
          </w:p>
        </w:tc>
        <w:tc>
          <w:tcPr>
            <w:tcW w:w="180" w:type="dxa"/>
            <w:vAlign w:val="bottom"/>
            <w:shd w:val="clear" w:color="auto" w:fill="BFBFBF"/>
          </w:tcPr>
          <w:p>
            <w:pPr>
              <w:spacing w:after="0"/>
              <w:rPr>
                <w:sz w:val="16"/>
                <w:szCs w:val="16"/>
                <w:color w:val="auto"/>
              </w:rPr>
            </w:pPr>
          </w:p>
        </w:tc>
        <w:tc>
          <w:tcPr>
            <w:tcW w:w="1440" w:type="dxa"/>
            <w:vAlign w:val="bottom"/>
            <w:shd w:val="clear" w:color="auto" w:fill="BFBFBF"/>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4120" w:type="dxa"/>
            <w:vAlign w:val="bottom"/>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r>
      <w:tr>
        <w:trPr>
          <w:trHeight w:val="189"/>
        </w:trPr>
        <w:tc>
          <w:tcPr>
            <w:tcW w:w="5720" w:type="dxa"/>
            <w:vAlign w:val="bottom"/>
            <w:gridSpan w:val="2"/>
            <w:shd w:val="clear" w:color="auto" w:fill="BFBFBF"/>
          </w:tcPr>
          <w:p>
            <w:pPr>
              <w:spacing w:after="0"/>
              <w:rPr>
                <w:sz w:val="20"/>
                <w:szCs w:val="20"/>
                <w:color w:val="auto"/>
              </w:rPr>
            </w:pPr>
            <w:r>
              <w:rPr>
                <w:rFonts w:ascii="Arial" w:cs="Arial" w:eastAsia="Arial" w:hAnsi="Arial"/>
                <w:sz w:val="16"/>
                <w:szCs w:val="16"/>
                <w:color w:val="auto"/>
              </w:rPr>
              <w:t>Operating income</w:t>
            </w:r>
          </w:p>
        </w:tc>
        <w:tc>
          <w:tcPr>
            <w:tcW w:w="840" w:type="dxa"/>
            <w:vAlign w:val="bottom"/>
            <w:shd w:val="clear" w:color="auto" w:fill="BFBFBF"/>
          </w:tcPr>
          <w:p>
            <w:pPr>
              <w:jc w:val="right"/>
              <w:ind w:right="79"/>
              <w:spacing w:after="0"/>
              <w:rPr>
                <w:sz w:val="20"/>
                <w:szCs w:val="20"/>
                <w:color w:val="auto"/>
              </w:rPr>
            </w:pPr>
            <w:r>
              <w:rPr>
                <w:rFonts w:ascii="Arial" w:cs="Arial" w:eastAsia="Arial" w:hAnsi="Arial"/>
                <w:sz w:val="16"/>
                <w:szCs w:val="16"/>
                <w:color w:val="auto"/>
              </w:rPr>
              <w:t>31,907</w:t>
            </w:r>
          </w:p>
        </w:tc>
        <w:tc>
          <w:tcPr>
            <w:tcW w:w="900" w:type="dxa"/>
            <w:vAlign w:val="bottom"/>
            <w:shd w:val="clear" w:color="auto" w:fill="BFBFBF"/>
          </w:tcPr>
          <w:p>
            <w:pPr>
              <w:spacing w:after="0"/>
              <w:rPr>
                <w:sz w:val="16"/>
                <w:szCs w:val="16"/>
                <w:color w:val="auto"/>
              </w:rPr>
            </w:pPr>
          </w:p>
        </w:tc>
        <w:tc>
          <w:tcPr>
            <w:tcW w:w="640" w:type="dxa"/>
            <w:vAlign w:val="bottom"/>
            <w:shd w:val="clear" w:color="auto" w:fill="BFBFBF"/>
          </w:tcPr>
          <w:p>
            <w:pPr>
              <w:jc w:val="right"/>
              <w:spacing w:after="0"/>
              <w:rPr>
                <w:sz w:val="20"/>
                <w:szCs w:val="20"/>
                <w:color w:val="auto"/>
              </w:rPr>
            </w:pPr>
            <w:r>
              <w:rPr>
                <w:rFonts w:ascii="Arial" w:cs="Arial" w:eastAsia="Arial" w:hAnsi="Arial"/>
                <w:sz w:val="16"/>
                <w:szCs w:val="16"/>
                <w:color w:val="auto"/>
              </w:rPr>
              <w:t>(4,926)</w:t>
            </w:r>
          </w:p>
        </w:tc>
        <w:tc>
          <w:tcPr>
            <w:tcW w:w="140" w:type="dxa"/>
            <w:vAlign w:val="bottom"/>
            <w:shd w:val="clear" w:color="auto" w:fill="C0C0C0"/>
          </w:tcPr>
          <w:p>
            <w:pPr>
              <w:spacing w:after="0"/>
              <w:rPr>
                <w:sz w:val="16"/>
                <w:szCs w:val="16"/>
                <w:color w:val="auto"/>
              </w:rPr>
            </w:pPr>
          </w:p>
        </w:tc>
        <w:tc>
          <w:tcPr>
            <w:tcW w:w="1320" w:type="dxa"/>
            <w:vAlign w:val="bottom"/>
            <w:shd w:val="clear" w:color="auto" w:fill="C0C0C0"/>
          </w:tcPr>
          <w:p>
            <w:pPr>
              <w:spacing w:after="0"/>
              <w:rPr>
                <w:sz w:val="16"/>
                <w:szCs w:val="16"/>
                <w:color w:val="auto"/>
              </w:rPr>
            </w:pPr>
          </w:p>
        </w:tc>
        <w:tc>
          <w:tcPr>
            <w:tcW w:w="240" w:type="dxa"/>
            <w:vAlign w:val="bottom"/>
            <w:shd w:val="clear" w:color="auto" w:fill="C0C0C0"/>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BFBFBF"/>
          </w:tcPr>
          <w:p>
            <w:pPr>
              <w:spacing w:after="0"/>
              <w:rPr>
                <w:sz w:val="16"/>
                <w:szCs w:val="16"/>
                <w:color w:val="auto"/>
              </w:rPr>
            </w:pPr>
          </w:p>
        </w:tc>
        <w:tc>
          <w:tcPr>
            <w:tcW w:w="1440" w:type="dxa"/>
            <w:vAlign w:val="bottom"/>
            <w:shd w:val="clear" w:color="auto" w:fill="BFBFBF"/>
          </w:tcPr>
          <w:p>
            <w:pPr>
              <w:jc w:val="right"/>
              <w:spacing w:after="0"/>
              <w:rPr>
                <w:sz w:val="20"/>
                <w:szCs w:val="20"/>
                <w:color w:val="auto"/>
              </w:rPr>
            </w:pPr>
            <w:r>
              <w:rPr>
                <w:rFonts w:ascii="Arial" w:cs="Arial" w:eastAsia="Arial" w:hAnsi="Arial"/>
                <w:sz w:val="16"/>
                <w:szCs w:val="16"/>
                <w:color w:val="auto"/>
              </w:rPr>
              <w:t>26,981</w:t>
            </w:r>
          </w:p>
        </w:tc>
      </w:tr>
      <w:tr>
        <w:trPr>
          <w:trHeight w:val="189"/>
        </w:trPr>
        <w:tc>
          <w:tcPr>
            <w:tcW w:w="5720" w:type="dxa"/>
            <w:vAlign w:val="bottom"/>
            <w:gridSpan w:val="2"/>
          </w:tcPr>
          <w:p>
            <w:pPr>
              <w:ind w:left="140"/>
              <w:spacing w:after="0"/>
              <w:rPr>
                <w:sz w:val="20"/>
                <w:szCs w:val="20"/>
                <w:color w:val="auto"/>
              </w:rPr>
            </w:pPr>
            <w:r>
              <w:rPr>
                <w:rFonts w:ascii="Arial" w:cs="Arial" w:eastAsia="Arial" w:hAnsi="Arial"/>
                <w:sz w:val="16"/>
                <w:szCs w:val="16"/>
                <w:color w:val="auto"/>
              </w:rPr>
              <w:t>Interest expense, net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4,776</w:t>
            </w:r>
          </w:p>
        </w:tc>
        <w:tc>
          <w:tcPr>
            <w:tcW w:w="9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4,776</w:t>
            </w:r>
          </w:p>
        </w:tc>
      </w:tr>
      <w:tr>
        <w:trPr>
          <w:trHeight w:val="189"/>
        </w:trPr>
        <w:tc>
          <w:tcPr>
            <w:tcW w:w="4120" w:type="dxa"/>
            <w:vAlign w:val="bottom"/>
            <w:shd w:val="clear" w:color="auto" w:fill="BFBFBF"/>
          </w:tcPr>
          <w:p>
            <w:pPr>
              <w:ind w:left="140"/>
              <w:spacing w:after="0"/>
              <w:rPr>
                <w:sz w:val="20"/>
                <w:szCs w:val="20"/>
                <w:color w:val="auto"/>
              </w:rPr>
            </w:pPr>
            <w:r>
              <w:rPr>
                <w:rFonts w:ascii="Arial" w:cs="Arial" w:eastAsia="Arial" w:hAnsi="Arial"/>
                <w:sz w:val="16"/>
                <w:szCs w:val="16"/>
                <w:color w:val="auto"/>
              </w:rPr>
              <w:t>Other expense, net</w:t>
            </w:r>
          </w:p>
        </w:tc>
        <w:tc>
          <w:tcPr>
            <w:tcW w:w="1600" w:type="dxa"/>
            <w:vAlign w:val="bottom"/>
            <w:tcBorders>
              <w:bottom w:val="single" w:sz="8" w:color="auto"/>
            </w:tcBorders>
            <w:shd w:val="clear" w:color="auto" w:fill="BFBFBF"/>
          </w:tcPr>
          <w:p>
            <w:pPr>
              <w:spacing w:after="0"/>
              <w:rPr>
                <w:sz w:val="16"/>
                <w:szCs w:val="16"/>
                <w:color w:val="auto"/>
              </w:rPr>
            </w:pPr>
          </w:p>
        </w:tc>
        <w:tc>
          <w:tcPr>
            <w:tcW w:w="840" w:type="dxa"/>
            <w:vAlign w:val="bottom"/>
            <w:tcBorders>
              <w:bottom w:val="single" w:sz="8" w:color="auto"/>
            </w:tcBorders>
            <w:shd w:val="clear" w:color="auto" w:fill="BFBFBF"/>
          </w:tcPr>
          <w:p>
            <w:pPr>
              <w:jc w:val="right"/>
              <w:ind w:right="79"/>
              <w:spacing w:after="0"/>
              <w:rPr>
                <w:sz w:val="20"/>
                <w:szCs w:val="20"/>
                <w:color w:val="auto"/>
              </w:rPr>
            </w:pPr>
            <w:r>
              <w:rPr>
                <w:rFonts w:ascii="Arial" w:cs="Arial" w:eastAsia="Arial" w:hAnsi="Arial"/>
                <w:sz w:val="16"/>
                <w:szCs w:val="16"/>
                <w:color w:val="auto"/>
              </w:rPr>
              <w:t>4,869</w:t>
            </w:r>
          </w:p>
        </w:tc>
        <w:tc>
          <w:tcPr>
            <w:tcW w:w="900" w:type="dxa"/>
            <w:vAlign w:val="bottom"/>
            <w:tcBorders>
              <w:bottom w:val="single" w:sz="8" w:color="auto"/>
            </w:tcBorders>
            <w:shd w:val="clear" w:color="auto" w:fill="BFBFBF"/>
          </w:tcPr>
          <w:p>
            <w:pPr>
              <w:spacing w:after="0"/>
              <w:rPr>
                <w:sz w:val="16"/>
                <w:szCs w:val="16"/>
                <w:color w:val="auto"/>
              </w:rPr>
            </w:pPr>
          </w:p>
        </w:tc>
        <w:tc>
          <w:tcPr>
            <w:tcW w:w="780" w:type="dxa"/>
            <w:vAlign w:val="bottom"/>
            <w:tcBorders>
              <w:bottom w:val="single" w:sz="8" w:color="auto"/>
            </w:tcBorders>
            <w:gridSpan w:val="2"/>
            <w:shd w:val="clear" w:color="auto" w:fill="BFBFBF"/>
          </w:tcPr>
          <w:p>
            <w:pPr>
              <w:jc w:val="right"/>
              <w:ind w:right="140"/>
              <w:spacing w:after="0"/>
              <w:rPr>
                <w:sz w:val="20"/>
                <w:szCs w:val="20"/>
                <w:color w:val="auto"/>
              </w:rPr>
            </w:pPr>
            <w:r>
              <w:rPr>
                <w:rFonts w:ascii="Arial" w:cs="Arial" w:eastAsia="Arial" w:hAnsi="Arial"/>
                <w:sz w:val="16"/>
                <w:szCs w:val="16"/>
                <w:color w:val="auto"/>
              </w:rPr>
              <w:t>(49)</w:t>
            </w:r>
          </w:p>
        </w:tc>
        <w:tc>
          <w:tcPr>
            <w:tcW w:w="1320" w:type="dxa"/>
            <w:vAlign w:val="bottom"/>
            <w:tcBorders>
              <w:bottom w:val="single" w:sz="8" w:color="auto"/>
            </w:tcBorders>
            <w:shd w:val="clear" w:color="auto" w:fill="BFBFBF"/>
          </w:tcPr>
          <w:p>
            <w:pPr>
              <w:spacing w:after="0"/>
              <w:rPr>
                <w:sz w:val="16"/>
                <w:szCs w:val="16"/>
                <w:color w:val="auto"/>
              </w:rPr>
            </w:pPr>
          </w:p>
        </w:tc>
        <w:tc>
          <w:tcPr>
            <w:tcW w:w="420" w:type="dxa"/>
            <w:vAlign w:val="bottom"/>
            <w:tcBorders>
              <w:bottom w:val="single" w:sz="8" w:color="auto"/>
            </w:tcBorders>
            <w:gridSpan w:val="2"/>
            <w:shd w:val="clear" w:color="auto" w:fill="BFBFBF"/>
          </w:tcPr>
          <w:p>
            <w:pPr>
              <w:jc w:val="right"/>
              <w:ind w:right="180"/>
              <w:spacing w:after="0"/>
              <w:rPr>
                <w:sz w:val="20"/>
                <w:szCs w:val="20"/>
                <w:color w:val="auto"/>
              </w:rPr>
            </w:pPr>
            <w:r>
              <w:rPr>
                <w:rFonts w:ascii="Arial" w:cs="Arial" w:eastAsia="Arial" w:hAnsi="Arial"/>
                <w:sz w:val="16"/>
                <w:szCs w:val="16"/>
                <w:color w:val="auto"/>
              </w:rPr>
              <w:t>(7)</w:t>
            </w:r>
          </w:p>
        </w:tc>
        <w:tc>
          <w:tcPr>
            <w:tcW w:w="144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6"/>
                <w:szCs w:val="16"/>
                <w:color w:val="auto"/>
              </w:rPr>
              <w:t>4,813</w:t>
            </w:r>
          </w:p>
        </w:tc>
      </w:tr>
      <w:tr>
        <w:trPr>
          <w:trHeight w:val="372"/>
        </w:trPr>
        <w:tc>
          <w:tcPr>
            <w:tcW w:w="5720" w:type="dxa"/>
            <w:vAlign w:val="bottom"/>
            <w:gridSpan w:val="2"/>
          </w:tcPr>
          <w:p>
            <w:pPr>
              <w:spacing w:after="0"/>
              <w:rPr>
                <w:sz w:val="20"/>
                <w:szCs w:val="20"/>
                <w:color w:val="auto"/>
              </w:rPr>
            </w:pPr>
            <w:r>
              <w:rPr>
                <w:rFonts w:ascii="Arial" w:cs="Arial" w:eastAsia="Arial" w:hAnsi="Arial"/>
                <w:sz w:val="16"/>
                <w:szCs w:val="16"/>
                <w:color w:val="auto"/>
              </w:rPr>
              <w:t>Income before income taxes</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22,262</w:t>
            </w:r>
          </w:p>
        </w:tc>
        <w:tc>
          <w:tcPr>
            <w:tcW w:w="9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(4,877)</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17,392</w:t>
            </w:r>
          </w:p>
        </w:tc>
      </w:tr>
      <w:tr>
        <w:trPr>
          <w:trHeight w:val="189"/>
        </w:trPr>
        <w:tc>
          <w:tcPr>
            <w:tcW w:w="4120" w:type="dxa"/>
            <w:vAlign w:val="bottom"/>
            <w:shd w:val="clear" w:color="auto" w:fill="BFBFBF"/>
          </w:tcPr>
          <w:p>
            <w:pPr>
              <w:ind w:left="140"/>
              <w:spacing w:after="0"/>
              <w:rPr>
                <w:sz w:val="20"/>
                <w:szCs w:val="20"/>
                <w:color w:val="auto"/>
              </w:rPr>
            </w:pPr>
            <w:r>
              <w:rPr>
                <w:rFonts w:ascii="Arial" w:cs="Arial" w:eastAsia="Arial" w:hAnsi="Arial"/>
                <w:sz w:val="16"/>
                <w:szCs w:val="16"/>
                <w:color w:val="auto"/>
              </w:rPr>
              <w:t>Income tax expense/(benefit)</w:t>
            </w:r>
          </w:p>
        </w:tc>
        <w:tc>
          <w:tcPr>
            <w:tcW w:w="1600" w:type="dxa"/>
            <w:vAlign w:val="bottom"/>
            <w:tcBorders>
              <w:bottom w:val="single" w:sz="8" w:color="auto"/>
            </w:tcBorders>
            <w:shd w:val="clear" w:color="auto" w:fill="BFBFBF"/>
          </w:tcPr>
          <w:p>
            <w:pPr>
              <w:spacing w:after="0"/>
              <w:rPr>
                <w:sz w:val="16"/>
                <w:szCs w:val="16"/>
                <w:color w:val="auto"/>
              </w:rPr>
            </w:pPr>
          </w:p>
        </w:tc>
        <w:tc>
          <w:tcPr>
            <w:tcW w:w="840" w:type="dxa"/>
            <w:vAlign w:val="bottom"/>
            <w:tcBorders>
              <w:bottom w:val="single" w:sz="8" w:color="auto"/>
            </w:tcBorders>
            <w:shd w:val="clear" w:color="auto" w:fill="BFBFBF"/>
          </w:tcPr>
          <w:p>
            <w:pPr>
              <w:jc w:val="right"/>
              <w:ind w:right="79"/>
              <w:spacing w:after="0"/>
              <w:rPr>
                <w:sz w:val="20"/>
                <w:szCs w:val="20"/>
                <w:color w:val="auto"/>
              </w:rPr>
            </w:pPr>
            <w:r>
              <w:rPr>
                <w:rFonts w:ascii="Arial" w:cs="Arial" w:eastAsia="Arial" w:hAnsi="Arial"/>
                <w:sz w:val="16"/>
                <w:szCs w:val="16"/>
                <w:color w:val="auto"/>
              </w:rPr>
              <w:t>5,309</w:t>
            </w:r>
          </w:p>
        </w:tc>
        <w:tc>
          <w:tcPr>
            <w:tcW w:w="900" w:type="dxa"/>
            <w:vAlign w:val="bottom"/>
            <w:tcBorders>
              <w:bottom w:val="single" w:sz="8" w:color="auto"/>
            </w:tcBorders>
            <w:shd w:val="clear" w:color="auto" w:fill="BFBFBF"/>
          </w:tcPr>
          <w:p>
            <w:pPr>
              <w:spacing w:after="0"/>
              <w:rPr>
                <w:sz w:val="16"/>
                <w:szCs w:val="16"/>
                <w:color w:val="auto"/>
              </w:rPr>
            </w:pPr>
          </w:p>
        </w:tc>
        <w:tc>
          <w:tcPr>
            <w:tcW w:w="64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6"/>
                <w:szCs w:val="16"/>
                <w:color w:val="auto"/>
              </w:rPr>
              <w:t>(1,321)</w:t>
            </w:r>
          </w:p>
        </w:tc>
        <w:tc>
          <w:tcPr>
            <w:tcW w:w="140" w:type="dxa"/>
            <w:vAlign w:val="bottom"/>
            <w:tcBorders>
              <w:bottom w:val="single" w:sz="8" w:color="auto"/>
            </w:tcBorders>
            <w:shd w:val="clear" w:color="auto" w:fill="BFBFBF"/>
          </w:tcPr>
          <w:p>
            <w:pPr>
              <w:spacing w:after="0"/>
              <w:rPr>
                <w:sz w:val="16"/>
                <w:szCs w:val="16"/>
                <w:color w:val="auto"/>
              </w:rPr>
            </w:pPr>
          </w:p>
        </w:tc>
        <w:tc>
          <w:tcPr>
            <w:tcW w:w="1320" w:type="dxa"/>
            <w:vAlign w:val="bottom"/>
            <w:tcBorders>
              <w:bottom w:val="single" w:sz="8" w:color="auto"/>
            </w:tcBorders>
            <w:shd w:val="clear" w:color="auto" w:fill="BFBFBF"/>
          </w:tcPr>
          <w:p>
            <w:pPr>
              <w:spacing w:after="0"/>
              <w:rPr>
                <w:sz w:val="16"/>
                <w:szCs w:val="16"/>
                <w:color w:val="auto"/>
              </w:rPr>
            </w:pPr>
          </w:p>
        </w:tc>
        <w:tc>
          <w:tcPr>
            <w:tcW w:w="240" w:type="dxa"/>
            <w:vAlign w:val="bottom"/>
            <w:tcBorders>
              <w:bottom w:val="single" w:sz="8" w:color="auto"/>
            </w:tcBorders>
            <w:shd w:val="clear" w:color="auto" w:fill="BFBFBF"/>
          </w:tcPr>
          <w:p>
            <w:pPr>
              <w:spacing w:after="0"/>
              <w:rPr>
                <w:sz w:val="16"/>
                <w:szCs w:val="16"/>
                <w:color w:val="auto"/>
              </w:rPr>
            </w:pPr>
          </w:p>
        </w:tc>
        <w:tc>
          <w:tcPr>
            <w:tcW w:w="180" w:type="dxa"/>
            <w:vAlign w:val="bottom"/>
            <w:tcBorders>
              <w:bottom w:val="single" w:sz="8" w:color="auto"/>
            </w:tcBorders>
            <w:shd w:val="clear" w:color="auto" w:fill="BFBFBF"/>
          </w:tcPr>
          <w:p>
            <w:pPr>
              <w:spacing w:after="0"/>
              <w:rPr>
                <w:sz w:val="16"/>
                <w:szCs w:val="16"/>
                <w:color w:val="auto"/>
              </w:rPr>
            </w:pPr>
          </w:p>
        </w:tc>
        <w:tc>
          <w:tcPr>
            <w:tcW w:w="144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6"/>
                <w:szCs w:val="16"/>
                <w:color w:val="auto"/>
              </w:rPr>
              <w:t>3,988</w:t>
            </w:r>
          </w:p>
        </w:tc>
      </w:tr>
      <w:tr>
        <w:trPr>
          <w:trHeight w:val="374"/>
        </w:trPr>
        <w:tc>
          <w:tcPr>
            <w:tcW w:w="5720" w:type="dxa"/>
            <w:vAlign w:val="bottom"/>
            <w:gridSpan w:val="2"/>
          </w:tcPr>
          <w:p>
            <w:pPr>
              <w:spacing w:after="0"/>
              <w:rPr>
                <w:sz w:val="20"/>
                <w:szCs w:val="20"/>
                <w:color w:val="auto"/>
              </w:rPr>
            </w:pPr>
            <w:r>
              <w:rPr>
                <w:rFonts w:ascii="Arial" w:cs="Arial" w:eastAsia="Arial" w:hAnsi="Arial"/>
                <w:sz w:val="16"/>
                <w:szCs w:val="16"/>
                <w:color w:val="auto"/>
              </w:rPr>
              <w:t>Income from continuing operations before earnings of</w:t>
            </w: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87"/>
        </w:trPr>
        <w:tc>
          <w:tcPr>
            <w:tcW w:w="5720" w:type="dxa"/>
            <w:vAlign w:val="bottom"/>
            <w:gridSpan w:val="2"/>
          </w:tcPr>
          <w:p>
            <w:pPr>
              <w:spacing w:after="0"/>
              <w:rPr>
                <w:sz w:val="20"/>
                <w:szCs w:val="20"/>
                <w:color w:val="auto"/>
              </w:rPr>
            </w:pPr>
            <w:r>
              <w:rPr>
                <w:rFonts w:ascii="Arial" w:cs="Arial" w:eastAsia="Arial" w:hAnsi="Arial"/>
                <w:sz w:val="16"/>
                <w:szCs w:val="16"/>
                <w:color w:val="auto"/>
              </w:rPr>
              <w:t>associated companies</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16,953</w:t>
            </w:r>
          </w:p>
        </w:tc>
        <w:tc>
          <w:tcPr>
            <w:tcW w:w="9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(3,556)</w:t>
            </w:r>
          </w:p>
        </w:tc>
        <w:tc>
          <w:tcPr>
            <w:tcW w:w="132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13,404</w:t>
            </w:r>
          </w:p>
        </w:tc>
      </w:tr>
      <w:tr>
        <w:trPr>
          <w:trHeight w:val="189"/>
        </w:trPr>
        <w:tc>
          <w:tcPr>
            <w:tcW w:w="4120" w:type="dxa"/>
            <w:vAlign w:val="bottom"/>
            <w:shd w:val="clear" w:color="auto" w:fill="BFBFBF"/>
          </w:tcPr>
          <w:p>
            <w:pPr>
              <w:spacing w:after="0"/>
              <w:rPr>
                <w:sz w:val="20"/>
                <w:szCs w:val="20"/>
                <w:color w:val="auto"/>
              </w:rPr>
            </w:pPr>
            <w:r>
              <w:rPr>
                <w:rFonts w:ascii="Arial" w:cs="Arial" w:eastAsia="Arial" w:hAnsi="Arial"/>
                <w:sz w:val="16"/>
                <w:szCs w:val="16"/>
                <w:color w:val="auto"/>
              </w:rPr>
              <w:t>Equity in losses from associated companies</w:t>
            </w:r>
          </w:p>
        </w:tc>
        <w:tc>
          <w:tcPr>
            <w:tcW w:w="1600" w:type="dxa"/>
            <w:vAlign w:val="bottom"/>
            <w:tcBorders>
              <w:bottom w:val="single" w:sz="8" w:color="auto"/>
            </w:tcBorders>
            <w:shd w:val="clear" w:color="auto" w:fill="BFBFBF"/>
          </w:tcPr>
          <w:p>
            <w:pPr>
              <w:spacing w:after="0"/>
              <w:rPr>
                <w:sz w:val="16"/>
                <w:szCs w:val="16"/>
                <w:color w:val="auto"/>
              </w:rPr>
            </w:pPr>
          </w:p>
        </w:tc>
        <w:tc>
          <w:tcPr>
            <w:tcW w:w="840" w:type="dxa"/>
            <w:vAlign w:val="bottom"/>
            <w:tcBorders>
              <w:bottom w:val="single" w:sz="8" w:color="auto"/>
            </w:tcBorders>
            <w:shd w:val="clear" w:color="auto" w:fill="BFBFBF"/>
          </w:tcPr>
          <w:p>
            <w:pPr>
              <w:jc w:val="right"/>
              <w:ind w:right="79"/>
              <w:spacing w:after="0"/>
              <w:rPr>
                <w:sz w:val="20"/>
                <w:szCs w:val="20"/>
                <w:color w:val="auto"/>
              </w:rPr>
            </w:pPr>
            <w:r>
              <w:rPr>
                <w:rFonts w:ascii="Arial" w:cs="Arial" w:eastAsia="Arial" w:hAnsi="Arial"/>
                <w:sz w:val="16"/>
                <w:szCs w:val="16"/>
                <w:color w:val="auto"/>
              </w:rPr>
              <w:t>220</w:t>
            </w:r>
          </w:p>
        </w:tc>
        <w:tc>
          <w:tcPr>
            <w:tcW w:w="900" w:type="dxa"/>
            <w:vAlign w:val="bottom"/>
            <w:tcBorders>
              <w:bottom w:val="single" w:sz="8" w:color="auto"/>
            </w:tcBorders>
            <w:shd w:val="clear" w:color="auto" w:fill="BFBFBF"/>
          </w:tcPr>
          <w:p>
            <w:pPr>
              <w:spacing w:after="0"/>
              <w:rPr>
                <w:sz w:val="16"/>
                <w:szCs w:val="16"/>
                <w:color w:val="auto"/>
              </w:rPr>
            </w:pPr>
          </w:p>
        </w:tc>
        <w:tc>
          <w:tcPr>
            <w:tcW w:w="780" w:type="dxa"/>
            <w:vAlign w:val="bottom"/>
            <w:tcBorders>
              <w:bottom w:val="single" w:sz="8" w:color="auto"/>
            </w:tcBorders>
            <w:gridSpan w:val="2"/>
            <w:shd w:val="clear" w:color="auto" w:fill="BFBFBF"/>
          </w:tcPr>
          <w:p>
            <w:pPr>
              <w:jc w:val="right"/>
              <w:ind w:right="140"/>
              <w:spacing w:after="0"/>
              <w:rPr>
                <w:sz w:val="20"/>
                <w:szCs w:val="20"/>
                <w:color w:val="auto"/>
              </w:rPr>
            </w:pPr>
            <w:r>
              <w:rPr>
                <w:rFonts w:ascii="Arial" w:cs="Arial" w:eastAsia="Arial" w:hAnsi="Arial"/>
                <w:sz w:val="16"/>
                <w:szCs w:val="16"/>
                <w:color w:val="auto"/>
              </w:rPr>
              <w:t>(227)</w:t>
            </w:r>
          </w:p>
        </w:tc>
        <w:tc>
          <w:tcPr>
            <w:tcW w:w="1320" w:type="dxa"/>
            <w:vAlign w:val="bottom"/>
            <w:tcBorders>
              <w:bottom w:val="single" w:sz="8" w:color="auto"/>
            </w:tcBorders>
            <w:shd w:val="clear" w:color="auto" w:fill="BFBFBF"/>
          </w:tcPr>
          <w:p>
            <w:pPr>
              <w:spacing w:after="0"/>
              <w:rPr>
                <w:sz w:val="16"/>
                <w:szCs w:val="16"/>
                <w:color w:val="auto"/>
              </w:rPr>
            </w:pPr>
          </w:p>
        </w:tc>
        <w:tc>
          <w:tcPr>
            <w:tcW w:w="24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6"/>
                <w:szCs w:val="16"/>
                <w:color w:val="auto"/>
              </w:rPr>
              <w:t>7</w:t>
            </w:r>
          </w:p>
        </w:tc>
        <w:tc>
          <w:tcPr>
            <w:tcW w:w="180" w:type="dxa"/>
            <w:vAlign w:val="bottom"/>
            <w:tcBorders>
              <w:bottom w:val="single" w:sz="8" w:color="auto"/>
            </w:tcBorders>
            <w:shd w:val="clear" w:color="auto" w:fill="BFBFBF"/>
          </w:tcPr>
          <w:p>
            <w:pPr>
              <w:spacing w:after="0"/>
              <w:rPr>
                <w:sz w:val="16"/>
                <w:szCs w:val="16"/>
                <w:color w:val="auto"/>
              </w:rPr>
            </w:pPr>
          </w:p>
        </w:tc>
        <w:tc>
          <w:tcPr>
            <w:tcW w:w="144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6"/>
                <w:szCs w:val="16"/>
                <w:color w:val="auto"/>
              </w:rPr>
              <w:t>-</w:t>
            </w:r>
          </w:p>
        </w:tc>
      </w:tr>
      <w:tr>
        <w:trPr>
          <w:trHeight w:val="379"/>
        </w:trPr>
        <w:tc>
          <w:tcPr>
            <w:tcW w:w="5720" w:type="dxa"/>
            <w:vAlign w:val="bottom"/>
            <w:gridSpan w:val="2"/>
          </w:tcPr>
          <w:p>
            <w:pPr>
              <w:spacing w:after="0"/>
              <w:rPr>
                <w:sz w:val="20"/>
                <w:szCs w:val="20"/>
                <w:color w:val="auto"/>
              </w:rPr>
            </w:pPr>
            <w:r>
              <w:rPr>
                <w:rFonts w:ascii="Arial" w:cs="Arial" w:eastAsia="Arial" w:hAnsi="Arial"/>
                <w:sz w:val="16"/>
                <w:szCs w:val="16"/>
                <w:color w:val="auto"/>
              </w:rPr>
              <w:t>Income from continuing operations</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16,733</w:t>
            </w:r>
          </w:p>
        </w:tc>
        <w:tc>
          <w:tcPr>
            <w:tcW w:w="9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(3,329)</w:t>
            </w:r>
          </w:p>
        </w:tc>
        <w:tc>
          <w:tcPr>
            <w:tcW w:w="13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13,404</w:t>
            </w:r>
          </w:p>
        </w:tc>
      </w:tr>
      <w:tr>
        <w:trPr>
          <w:trHeight w:val="182"/>
        </w:trPr>
        <w:tc>
          <w:tcPr>
            <w:tcW w:w="4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9"/>
        </w:trPr>
        <w:tc>
          <w:tcPr>
            <w:tcW w:w="5720" w:type="dxa"/>
            <w:vAlign w:val="bottom"/>
            <w:gridSpan w:val="2"/>
            <w:shd w:val="clear" w:color="auto" w:fill="BFBFBF"/>
          </w:tcPr>
          <w:p>
            <w:pPr>
              <w:ind w:left="140"/>
              <w:spacing w:after="0"/>
              <w:rPr>
                <w:sz w:val="20"/>
                <w:szCs w:val="20"/>
                <w:color w:val="auto"/>
              </w:rPr>
            </w:pPr>
            <w:r>
              <w:rPr>
                <w:rFonts w:ascii="Arial" w:cs="Arial" w:eastAsia="Arial" w:hAnsi="Arial"/>
                <w:sz w:val="16"/>
                <w:szCs w:val="16"/>
                <w:color w:val="auto"/>
              </w:rPr>
              <w:t>Income from operations of discontinued business</w:t>
            </w:r>
          </w:p>
        </w:tc>
        <w:tc>
          <w:tcPr>
            <w:tcW w:w="840" w:type="dxa"/>
            <w:vAlign w:val="bottom"/>
            <w:shd w:val="clear" w:color="auto" w:fill="BFBFBF"/>
          </w:tcPr>
          <w:p>
            <w:pPr>
              <w:spacing w:after="0"/>
              <w:rPr>
                <w:sz w:val="16"/>
                <w:szCs w:val="16"/>
                <w:color w:val="auto"/>
              </w:rPr>
            </w:pPr>
          </w:p>
        </w:tc>
        <w:tc>
          <w:tcPr>
            <w:tcW w:w="900" w:type="dxa"/>
            <w:vAlign w:val="bottom"/>
            <w:shd w:val="clear" w:color="auto" w:fill="BFBFBF"/>
          </w:tcPr>
          <w:p>
            <w:pPr>
              <w:spacing w:after="0"/>
              <w:rPr>
                <w:sz w:val="16"/>
                <w:szCs w:val="16"/>
                <w:color w:val="auto"/>
              </w:rPr>
            </w:pPr>
          </w:p>
        </w:tc>
        <w:tc>
          <w:tcPr>
            <w:tcW w:w="640" w:type="dxa"/>
            <w:vAlign w:val="bottom"/>
            <w:shd w:val="clear" w:color="auto" w:fill="BFBFBF"/>
          </w:tcPr>
          <w:p>
            <w:pPr>
              <w:jc w:val="right"/>
              <w:spacing w:after="0"/>
              <w:rPr>
                <w:sz w:val="20"/>
                <w:szCs w:val="20"/>
                <w:color w:val="auto"/>
              </w:rPr>
            </w:pPr>
            <w:r>
              <w:rPr>
                <w:rFonts w:ascii="Arial" w:cs="Arial" w:eastAsia="Arial" w:hAnsi="Arial"/>
                <w:sz w:val="16"/>
                <w:szCs w:val="16"/>
                <w:color w:val="auto"/>
              </w:rPr>
              <w:t>4,650</w:t>
            </w:r>
          </w:p>
        </w:tc>
        <w:tc>
          <w:tcPr>
            <w:tcW w:w="140" w:type="dxa"/>
            <w:vAlign w:val="bottom"/>
            <w:shd w:val="clear" w:color="auto" w:fill="BFBFBF"/>
          </w:tcPr>
          <w:p>
            <w:pPr>
              <w:spacing w:after="0"/>
              <w:rPr>
                <w:sz w:val="16"/>
                <w:szCs w:val="16"/>
                <w:color w:val="auto"/>
              </w:rPr>
            </w:pPr>
          </w:p>
        </w:tc>
        <w:tc>
          <w:tcPr>
            <w:tcW w:w="1320" w:type="dxa"/>
            <w:vAlign w:val="bottom"/>
            <w:shd w:val="clear" w:color="auto" w:fill="BFBFBF"/>
          </w:tcPr>
          <w:p>
            <w:pPr>
              <w:spacing w:after="0"/>
              <w:rPr>
                <w:sz w:val="16"/>
                <w:szCs w:val="16"/>
                <w:color w:val="auto"/>
              </w:rPr>
            </w:pPr>
          </w:p>
        </w:tc>
        <w:tc>
          <w:tcPr>
            <w:tcW w:w="240" w:type="dxa"/>
            <w:vAlign w:val="bottom"/>
            <w:shd w:val="clear" w:color="auto" w:fill="BFBFBF"/>
          </w:tcPr>
          <w:p>
            <w:pPr>
              <w:spacing w:after="0"/>
              <w:rPr>
                <w:sz w:val="16"/>
                <w:szCs w:val="16"/>
                <w:color w:val="auto"/>
              </w:rPr>
            </w:pPr>
          </w:p>
        </w:tc>
        <w:tc>
          <w:tcPr>
            <w:tcW w:w="180" w:type="dxa"/>
            <w:vAlign w:val="bottom"/>
            <w:shd w:val="clear" w:color="auto" w:fill="BFBFBF"/>
          </w:tcPr>
          <w:p>
            <w:pPr>
              <w:spacing w:after="0"/>
              <w:rPr>
                <w:sz w:val="16"/>
                <w:szCs w:val="16"/>
                <w:color w:val="auto"/>
              </w:rPr>
            </w:pPr>
          </w:p>
        </w:tc>
        <w:tc>
          <w:tcPr>
            <w:tcW w:w="1440" w:type="dxa"/>
            <w:vAlign w:val="bottom"/>
            <w:shd w:val="clear" w:color="auto" w:fill="BFBFBF"/>
          </w:tcPr>
          <w:p>
            <w:pPr>
              <w:jc w:val="right"/>
              <w:spacing w:after="0"/>
              <w:rPr>
                <w:sz w:val="20"/>
                <w:szCs w:val="20"/>
                <w:color w:val="auto"/>
              </w:rPr>
            </w:pPr>
            <w:r>
              <w:rPr>
                <w:rFonts w:ascii="Arial" w:cs="Arial" w:eastAsia="Arial" w:hAnsi="Arial"/>
                <w:sz w:val="16"/>
                <w:szCs w:val="16"/>
                <w:color w:val="auto"/>
              </w:rPr>
              <w:t>4,650</w:t>
            </w:r>
          </w:p>
        </w:tc>
      </w:tr>
      <w:tr>
        <w:trPr>
          <w:trHeight w:val="189"/>
        </w:trPr>
        <w:tc>
          <w:tcPr>
            <w:tcW w:w="5720" w:type="dxa"/>
            <w:vAlign w:val="bottom"/>
            <w:gridSpan w:val="2"/>
          </w:tcPr>
          <w:p>
            <w:pPr>
              <w:ind w:left="140"/>
              <w:spacing w:after="0"/>
              <w:rPr>
                <w:sz w:val="20"/>
                <w:szCs w:val="20"/>
                <w:color w:val="auto"/>
              </w:rPr>
            </w:pPr>
            <w:r>
              <w:rPr>
                <w:rFonts w:ascii="Arial" w:cs="Arial" w:eastAsia="Arial" w:hAnsi="Arial"/>
                <w:sz w:val="16"/>
                <w:szCs w:val="16"/>
                <w:color w:val="auto"/>
              </w:rPr>
              <w:t>Gain on sale of discontinued business</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120" w:type="dxa"/>
            <w:vAlign w:val="bottom"/>
            <w:shd w:val="clear" w:color="auto" w:fill="BFBFBF"/>
          </w:tcPr>
          <w:p>
            <w:pPr>
              <w:ind w:left="140"/>
              <w:spacing w:after="0"/>
              <w:rPr>
                <w:sz w:val="20"/>
                <w:szCs w:val="20"/>
                <w:color w:val="auto"/>
              </w:rPr>
            </w:pPr>
            <w:r>
              <w:rPr>
                <w:rFonts w:ascii="Arial" w:cs="Arial" w:eastAsia="Arial" w:hAnsi="Arial"/>
                <w:sz w:val="16"/>
                <w:szCs w:val="16"/>
                <w:color w:val="auto"/>
              </w:rPr>
              <w:t>Income tax expense on discontinued operations</w:t>
            </w:r>
          </w:p>
        </w:tc>
        <w:tc>
          <w:tcPr>
            <w:tcW w:w="1600" w:type="dxa"/>
            <w:vAlign w:val="bottom"/>
            <w:tcBorders>
              <w:bottom w:val="single" w:sz="8" w:color="auto"/>
            </w:tcBorders>
            <w:shd w:val="clear" w:color="auto" w:fill="BFBFBF"/>
          </w:tcPr>
          <w:p>
            <w:pPr>
              <w:spacing w:after="0"/>
              <w:rPr>
                <w:sz w:val="16"/>
                <w:szCs w:val="16"/>
                <w:color w:val="auto"/>
              </w:rPr>
            </w:pPr>
          </w:p>
        </w:tc>
        <w:tc>
          <w:tcPr>
            <w:tcW w:w="840" w:type="dxa"/>
            <w:vAlign w:val="bottom"/>
            <w:tcBorders>
              <w:bottom w:val="single" w:sz="8" w:color="auto"/>
            </w:tcBorders>
            <w:shd w:val="clear" w:color="auto" w:fill="BFBFB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BFBFBF"/>
          </w:tcPr>
          <w:p>
            <w:pPr>
              <w:spacing w:after="0"/>
              <w:rPr>
                <w:sz w:val="16"/>
                <w:szCs w:val="16"/>
                <w:color w:val="auto"/>
              </w:rPr>
            </w:pPr>
          </w:p>
        </w:tc>
        <w:tc>
          <w:tcPr>
            <w:tcW w:w="64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6"/>
                <w:szCs w:val="16"/>
                <w:color w:val="auto"/>
              </w:rPr>
              <w:t>1,321</w:t>
            </w:r>
          </w:p>
        </w:tc>
        <w:tc>
          <w:tcPr>
            <w:tcW w:w="140" w:type="dxa"/>
            <w:vAlign w:val="bottom"/>
            <w:tcBorders>
              <w:bottom w:val="single" w:sz="8" w:color="auto"/>
            </w:tcBorders>
            <w:shd w:val="clear" w:color="auto" w:fill="BFBFBF"/>
          </w:tcPr>
          <w:p>
            <w:pPr>
              <w:spacing w:after="0"/>
              <w:rPr>
                <w:sz w:val="16"/>
                <w:szCs w:val="16"/>
                <w:color w:val="auto"/>
              </w:rPr>
            </w:pPr>
          </w:p>
        </w:tc>
        <w:tc>
          <w:tcPr>
            <w:tcW w:w="1320" w:type="dxa"/>
            <w:vAlign w:val="bottom"/>
            <w:tcBorders>
              <w:bottom w:val="single" w:sz="8" w:color="auto"/>
            </w:tcBorders>
            <w:shd w:val="clear" w:color="auto" w:fill="BFBFBF"/>
          </w:tcPr>
          <w:p>
            <w:pPr>
              <w:spacing w:after="0"/>
              <w:rPr>
                <w:sz w:val="16"/>
                <w:szCs w:val="16"/>
                <w:color w:val="auto"/>
              </w:rPr>
            </w:pPr>
          </w:p>
        </w:tc>
        <w:tc>
          <w:tcPr>
            <w:tcW w:w="240" w:type="dxa"/>
            <w:vAlign w:val="bottom"/>
            <w:tcBorders>
              <w:bottom w:val="single" w:sz="8" w:color="auto"/>
            </w:tcBorders>
            <w:shd w:val="clear" w:color="auto" w:fill="BFBFBF"/>
          </w:tcPr>
          <w:p>
            <w:pPr>
              <w:spacing w:after="0"/>
              <w:rPr>
                <w:sz w:val="16"/>
                <w:szCs w:val="16"/>
                <w:color w:val="auto"/>
              </w:rPr>
            </w:pPr>
          </w:p>
        </w:tc>
        <w:tc>
          <w:tcPr>
            <w:tcW w:w="180" w:type="dxa"/>
            <w:vAlign w:val="bottom"/>
            <w:tcBorders>
              <w:bottom w:val="single" w:sz="8" w:color="auto"/>
            </w:tcBorders>
            <w:shd w:val="clear" w:color="auto" w:fill="BFBFBF"/>
          </w:tcPr>
          <w:p>
            <w:pPr>
              <w:spacing w:after="0"/>
              <w:rPr>
                <w:sz w:val="16"/>
                <w:szCs w:val="16"/>
                <w:color w:val="auto"/>
              </w:rPr>
            </w:pPr>
          </w:p>
        </w:tc>
        <w:tc>
          <w:tcPr>
            <w:tcW w:w="144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6"/>
                <w:szCs w:val="16"/>
                <w:color w:val="auto"/>
              </w:rPr>
              <w:t>1,321</w:t>
            </w:r>
          </w:p>
        </w:tc>
      </w:tr>
      <w:tr>
        <w:trPr>
          <w:trHeight w:val="183"/>
        </w:trPr>
        <w:tc>
          <w:tcPr>
            <w:tcW w:w="4120" w:type="dxa"/>
            <w:vAlign w:val="bottom"/>
            <w:tcBorders>
              <w:bottom w:val="single" w:sz="8" w:color="BFBFBF"/>
            </w:tcBorders>
          </w:tcPr>
          <w:p>
            <w:pPr>
              <w:spacing w:after="0" w:line="183" w:lineRule="exact"/>
              <w:rPr>
                <w:sz w:val="20"/>
                <w:szCs w:val="20"/>
                <w:color w:val="auto"/>
              </w:rPr>
            </w:pPr>
            <w:r>
              <w:rPr>
                <w:rFonts w:ascii="Arial" w:cs="Arial" w:eastAsia="Arial" w:hAnsi="Arial"/>
                <w:sz w:val="16"/>
                <w:szCs w:val="16"/>
                <w:color w:val="auto"/>
              </w:rPr>
              <w:t>Income from discontinued operations</w:t>
            </w:r>
          </w:p>
        </w:tc>
        <w:tc>
          <w:tcPr>
            <w:tcW w:w="16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3,329</w:t>
            </w: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3,329</w:t>
            </w:r>
          </w:p>
        </w:tc>
      </w:tr>
      <w:tr>
        <w:trPr>
          <w:trHeight w:val="183"/>
        </w:trPr>
        <w:tc>
          <w:tcPr>
            <w:tcW w:w="5720" w:type="dxa"/>
            <w:vAlign w:val="bottom"/>
            <w:gridSpan w:val="2"/>
            <w:shd w:val="clear" w:color="auto" w:fill="BFBFBF"/>
          </w:tcPr>
          <w:p>
            <w:pPr>
              <w:spacing w:after="0" w:line="183" w:lineRule="exact"/>
              <w:rPr>
                <w:sz w:val="20"/>
                <w:szCs w:val="20"/>
                <w:color w:val="auto"/>
              </w:rPr>
            </w:pPr>
            <w:r>
              <w:rPr>
                <w:rFonts w:ascii="Arial" w:cs="Arial" w:eastAsia="Arial" w:hAnsi="Arial"/>
                <w:sz w:val="16"/>
                <w:szCs w:val="16"/>
                <w:color w:val="auto"/>
              </w:rPr>
              <w:t>Net income</w:t>
            </w:r>
          </w:p>
        </w:tc>
        <w:tc>
          <w:tcPr>
            <w:tcW w:w="840" w:type="dxa"/>
            <w:vAlign w:val="bottom"/>
            <w:shd w:val="clear" w:color="auto" w:fill="BFBFBF"/>
          </w:tcPr>
          <w:p>
            <w:pPr>
              <w:jc w:val="right"/>
              <w:ind w:right="79"/>
              <w:spacing w:after="0" w:line="183" w:lineRule="exact"/>
              <w:rPr>
                <w:sz w:val="20"/>
                <w:szCs w:val="20"/>
                <w:color w:val="auto"/>
              </w:rPr>
            </w:pPr>
            <w:r>
              <w:rPr>
                <w:rFonts w:ascii="Arial" w:cs="Arial" w:eastAsia="Arial" w:hAnsi="Arial"/>
                <w:sz w:val="16"/>
                <w:szCs w:val="16"/>
                <w:color w:val="auto"/>
              </w:rPr>
              <w:t>$16,733</w:t>
            </w:r>
          </w:p>
        </w:tc>
        <w:tc>
          <w:tcPr>
            <w:tcW w:w="900" w:type="dxa"/>
            <w:vAlign w:val="bottom"/>
            <w:shd w:val="clear" w:color="auto" w:fill="BFBFBF"/>
          </w:tcPr>
          <w:p>
            <w:pPr>
              <w:jc w:val="right"/>
              <w:spacing w:after="0" w:line="183" w:lineRule="exact"/>
              <w:rPr>
                <w:sz w:val="20"/>
                <w:szCs w:val="20"/>
                <w:color w:val="auto"/>
              </w:rPr>
            </w:pPr>
            <w:r>
              <w:rPr>
                <w:rFonts w:ascii="Arial" w:cs="Arial" w:eastAsia="Arial" w:hAnsi="Arial"/>
                <w:sz w:val="16"/>
                <w:szCs w:val="16"/>
                <w:color w:val="auto"/>
              </w:rPr>
              <w:t>$</w:t>
            </w:r>
          </w:p>
        </w:tc>
        <w:tc>
          <w:tcPr>
            <w:tcW w:w="640" w:type="dxa"/>
            <w:vAlign w:val="bottom"/>
            <w:shd w:val="clear" w:color="auto" w:fill="BFBFBF"/>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shd w:val="clear" w:color="auto" w:fill="BFBFBF"/>
          </w:tcPr>
          <w:p>
            <w:pPr>
              <w:spacing w:after="0"/>
              <w:rPr>
                <w:sz w:val="15"/>
                <w:szCs w:val="15"/>
                <w:color w:val="auto"/>
              </w:rPr>
            </w:pPr>
          </w:p>
        </w:tc>
        <w:tc>
          <w:tcPr>
            <w:tcW w:w="1320" w:type="dxa"/>
            <w:vAlign w:val="bottom"/>
            <w:shd w:val="clear" w:color="auto" w:fill="BFBFBF"/>
          </w:tcPr>
          <w:p>
            <w:pPr>
              <w:jc w:val="right"/>
              <w:ind w:right="379"/>
              <w:spacing w:after="0" w:line="183" w:lineRule="exact"/>
              <w:rPr>
                <w:sz w:val="20"/>
                <w:szCs w:val="20"/>
                <w:color w:val="auto"/>
              </w:rPr>
            </w:pPr>
            <w:r>
              <w:rPr>
                <w:rFonts w:ascii="Arial" w:cs="Arial" w:eastAsia="Arial" w:hAnsi="Arial"/>
                <w:sz w:val="16"/>
                <w:szCs w:val="16"/>
                <w:color w:val="auto"/>
              </w:rPr>
              <w:t>$</w:t>
            </w:r>
          </w:p>
        </w:tc>
        <w:tc>
          <w:tcPr>
            <w:tcW w:w="240" w:type="dxa"/>
            <w:vAlign w:val="bottom"/>
            <w:shd w:val="clear" w:color="auto" w:fill="BFBFBF"/>
          </w:tcPr>
          <w:p>
            <w:pPr>
              <w:jc w:val="right"/>
              <w:spacing w:after="0" w:line="183" w:lineRule="exact"/>
              <w:rPr>
                <w:sz w:val="20"/>
                <w:szCs w:val="20"/>
                <w:color w:val="auto"/>
              </w:rPr>
            </w:pPr>
            <w:r>
              <w:rPr>
                <w:rFonts w:ascii="Arial" w:cs="Arial" w:eastAsia="Arial" w:hAnsi="Arial"/>
                <w:sz w:val="16"/>
                <w:szCs w:val="16"/>
                <w:color w:val="auto"/>
              </w:rPr>
              <w:t>-</w:t>
            </w:r>
          </w:p>
        </w:tc>
        <w:tc>
          <w:tcPr>
            <w:tcW w:w="180" w:type="dxa"/>
            <w:vAlign w:val="bottom"/>
            <w:shd w:val="clear" w:color="auto" w:fill="BFBFBF"/>
          </w:tcPr>
          <w:p>
            <w:pPr>
              <w:spacing w:after="0"/>
              <w:rPr>
                <w:sz w:val="15"/>
                <w:szCs w:val="15"/>
                <w:color w:val="auto"/>
              </w:rPr>
            </w:pPr>
          </w:p>
        </w:tc>
        <w:tc>
          <w:tcPr>
            <w:tcW w:w="1440" w:type="dxa"/>
            <w:vAlign w:val="bottom"/>
            <w:shd w:val="clear" w:color="auto" w:fill="BFBFBF"/>
          </w:tcPr>
          <w:p>
            <w:pPr>
              <w:jc w:val="right"/>
              <w:spacing w:after="0" w:line="183" w:lineRule="exact"/>
              <w:rPr>
                <w:sz w:val="20"/>
                <w:szCs w:val="20"/>
                <w:color w:val="auto"/>
              </w:rPr>
            </w:pPr>
            <w:r>
              <w:rPr>
                <w:rFonts w:ascii="Arial" w:cs="Arial" w:eastAsia="Arial" w:hAnsi="Arial"/>
                <w:sz w:val="16"/>
                <w:szCs w:val="16"/>
                <w:color w:val="auto"/>
              </w:rPr>
              <w:t>$16,733</w:t>
            </w:r>
          </w:p>
        </w:tc>
      </w:tr>
      <w:tr>
        <w:trPr>
          <w:trHeight w:val="20"/>
        </w:trPr>
        <w:tc>
          <w:tcPr>
            <w:tcW w:w="4120" w:type="dxa"/>
            <w:vAlign w:val="bottom"/>
            <w:tcBorders>
              <w:top w:val="single" w:sz="8" w:color="BFBFB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ectPr>
          <w:pgSz w:w="11900" w:h="16838" w:orient="portrait"/>
          <w:cols w:equalWidth="0" w:num="1">
            <w:col w:w="11420"/>
          </w:cols>
          <w:pgMar w:left="240" w:top="884" w:right="239" w:bottom="1440" w:gutter="0" w:footer="0" w:header="0"/>
        </w:sectPr>
      </w:pPr>
    </w:p>
    <w:p>
      <w:pPr>
        <w:ind w:right="420"/>
        <w:spacing w:after="0" w:line="253" w:lineRule="auto"/>
        <w:rPr>
          <w:sz w:val="20"/>
          <w:szCs w:val="20"/>
          <w:color w:val="auto"/>
        </w:rPr>
      </w:pPr>
      <w:r>
        <w:rPr>
          <w:rFonts w:ascii="Arial" w:cs="Arial" w:eastAsia="Arial" w:hAnsi="Arial"/>
          <w:sz w:val="16"/>
          <w:szCs w:val="16"/>
          <w:color w:val="auto"/>
        </w:rPr>
        <w:t>Earnings per share - Basic (Loss)/income from continuing operations Discontinued operations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Net (loss)/income</w:t>
      </w:r>
    </w:p>
    <w:p>
      <w:pPr>
        <w:spacing w:after="0" w:line="221" w:lineRule="exact"/>
        <w:rPr>
          <w:sz w:val="20"/>
          <w:szCs w:val="20"/>
          <w:color w:val="auto"/>
        </w:rPr>
      </w:pPr>
    </w:p>
    <w:p>
      <w:pPr>
        <w:ind w:right="420"/>
        <w:spacing w:after="0" w:line="253" w:lineRule="auto"/>
        <w:rPr>
          <w:sz w:val="20"/>
          <w:szCs w:val="20"/>
          <w:color w:val="auto"/>
        </w:rPr>
      </w:pPr>
      <w:r>
        <w:rPr>
          <w:rFonts w:ascii="Arial" w:cs="Arial" w:eastAsia="Arial" w:hAnsi="Arial"/>
          <w:sz w:val="16"/>
          <w:szCs w:val="16"/>
          <w:color w:val="auto"/>
        </w:rPr>
        <w:t>Earnings per share - Diluted (Loss)/income from continuing operations Discontinued operations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Net (loss)/income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Shares used in computing earnings per share:</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Basic</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Diluted</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4540" w:type="dxa"/>
            <w:vAlign w:val="bottom"/>
          </w:tcPr>
          <w:p>
            <w:pPr>
              <w:jc w:val="right"/>
              <w:ind w:right="2179"/>
              <w:spacing w:after="0"/>
              <w:rPr>
                <w:sz w:val="20"/>
                <w:szCs w:val="20"/>
                <w:color w:val="auto"/>
              </w:rPr>
            </w:pPr>
            <w:r>
              <w:rPr>
                <w:rFonts w:ascii="Arial" w:cs="Arial" w:eastAsia="Arial" w:hAnsi="Arial"/>
                <w:sz w:val="16"/>
                <w:szCs w:val="16"/>
                <w:color w:val="auto"/>
              </w:rPr>
              <w:t>$0.54</w:t>
            </w:r>
          </w:p>
        </w:tc>
        <w:tc>
          <w:tcPr>
            <w:tcW w:w="2760" w:type="dxa"/>
            <w:vAlign w:val="bottom"/>
          </w:tcPr>
          <w:p>
            <w:pPr>
              <w:jc w:val="right"/>
              <w:spacing w:after="0"/>
              <w:rPr>
                <w:sz w:val="20"/>
                <w:szCs w:val="20"/>
                <w:color w:val="auto"/>
              </w:rPr>
            </w:pPr>
            <w:r>
              <w:rPr>
                <w:rFonts w:ascii="Arial" w:cs="Arial" w:eastAsia="Arial" w:hAnsi="Arial"/>
                <w:sz w:val="16"/>
                <w:szCs w:val="16"/>
                <w:color w:val="auto"/>
              </w:rPr>
              <w:t>$0.43</w:t>
            </w:r>
          </w:p>
        </w:tc>
      </w:tr>
      <w:tr>
        <w:trPr>
          <w:trHeight w:val="187"/>
        </w:trPr>
        <w:tc>
          <w:tcPr>
            <w:tcW w:w="4540" w:type="dxa"/>
            <w:vAlign w:val="bottom"/>
            <w:tcBorders>
              <w:bottom w:val="single" w:sz="8" w:color="auto"/>
            </w:tcBorders>
          </w:tcPr>
          <w:p>
            <w:pPr>
              <w:jc w:val="right"/>
              <w:ind w:right="2179"/>
              <w:spacing w:after="0"/>
              <w:rPr>
                <w:sz w:val="20"/>
                <w:szCs w:val="20"/>
                <w:color w:val="auto"/>
              </w:rPr>
            </w:pPr>
            <w:r>
              <w:rPr>
                <w:rFonts w:ascii="Arial" w:cs="Arial" w:eastAsia="Arial" w:hAnsi="Arial"/>
                <w:sz w:val="16"/>
                <w:szCs w:val="16"/>
                <w:color w:val="auto"/>
              </w:rPr>
              <w:t>0.00</w:t>
            </w: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0.11</w:t>
            </w:r>
          </w:p>
        </w:tc>
      </w:tr>
      <w:tr>
        <w:trPr>
          <w:trHeight w:val="183"/>
        </w:trPr>
        <w:tc>
          <w:tcPr>
            <w:tcW w:w="4540" w:type="dxa"/>
            <w:vAlign w:val="bottom"/>
            <w:tcBorders>
              <w:bottom w:val="single" w:sz="8" w:color="auto"/>
            </w:tcBorders>
          </w:tcPr>
          <w:p>
            <w:pPr>
              <w:jc w:val="right"/>
              <w:ind w:right="2179"/>
              <w:spacing w:after="0" w:line="183" w:lineRule="exact"/>
              <w:rPr>
                <w:sz w:val="20"/>
                <w:szCs w:val="20"/>
                <w:color w:val="auto"/>
              </w:rPr>
            </w:pPr>
            <w:r>
              <w:rPr>
                <w:rFonts w:ascii="Arial" w:cs="Arial" w:eastAsia="Arial" w:hAnsi="Arial"/>
                <w:sz w:val="16"/>
                <w:szCs w:val="16"/>
                <w:color w:val="auto"/>
              </w:rPr>
              <w:t>$0.54</w:t>
            </w:r>
          </w:p>
        </w:tc>
        <w:tc>
          <w:tcPr>
            <w:tcW w:w="2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$0.54</w:t>
            </w:r>
          </w:p>
        </w:tc>
      </w:tr>
      <w:tr>
        <w:trPr>
          <w:trHeight w:val="20"/>
        </w:trPr>
        <w:tc>
          <w:tcPr>
            <w:tcW w:w="454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r>
      <w:tr>
        <w:trPr>
          <w:trHeight w:val="550"/>
        </w:trPr>
        <w:tc>
          <w:tcPr>
            <w:tcW w:w="4540" w:type="dxa"/>
            <w:vAlign w:val="bottom"/>
          </w:tcPr>
          <w:p>
            <w:pPr>
              <w:jc w:val="right"/>
              <w:ind w:right="2179"/>
              <w:spacing w:after="0"/>
              <w:rPr>
                <w:sz w:val="20"/>
                <w:szCs w:val="20"/>
                <w:color w:val="auto"/>
              </w:rPr>
            </w:pPr>
            <w:r>
              <w:rPr>
                <w:rFonts w:ascii="Arial" w:cs="Arial" w:eastAsia="Arial" w:hAnsi="Arial"/>
                <w:sz w:val="16"/>
                <w:szCs w:val="16"/>
                <w:color w:val="auto"/>
              </w:rPr>
              <w:t>$0.54</w:t>
            </w:r>
          </w:p>
        </w:tc>
        <w:tc>
          <w:tcPr>
            <w:tcW w:w="2760" w:type="dxa"/>
            <w:vAlign w:val="bottom"/>
          </w:tcPr>
          <w:p>
            <w:pPr>
              <w:jc w:val="right"/>
              <w:spacing w:after="0"/>
              <w:rPr>
                <w:sz w:val="20"/>
                <w:szCs w:val="20"/>
                <w:color w:val="auto"/>
              </w:rPr>
            </w:pPr>
            <w:r>
              <w:rPr>
                <w:rFonts w:ascii="Arial" w:cs="Arial" w:eastAsia="Arial" w:hAnsi="Arial"/>
                <w:sz w:val="16"/>
                <w:szCs w:val="16"/>
                <w:color w:val="auto"/>
              </w:rPr>
              <w:t>$0.43</w:t>
            </w:r>
          </w:p>
        </w:tc>
      </w:tr>
      <w:tr>
        <w:trPr>
          <w:trHeight w:val="187"/>
        </w:trPr>
        <w:tc>
          <w:tcPr>
            <w:tcW w:w="4540" w:type="dxa"/>
            <w:vAlign w:val="bottom"/>
            <w:tcBorders>
              <w:bottom w:val="single" w:sz="8" w:color="auto"/>
            </w:tcBorders>
          </w:tcPr>
          <w:p>
            <w:pPr>
              <w:jc w:val="right"/>
              <w:ind w:right="2179"/>
              <w:spacing w:after="0"/>
              <w:rPr>
                <w:sz w:val="20"/>
                <w:szCs w:val="20"/>
                <w:color w:val="auto"/>
              </w:rPr>
            </w:pPr>
            <w:r>
              <w:rPr>
                <w:rFonts w:ascii="Arial" w:cs="Arial" w:eastAsia="Arial" w:hAnsi="Arial"/>
                <w:sz w:val="16"/>
                <w:szCs w:val="16"/>
                <w:color w:val="auto"/>
              </w:rPr>
              <w:t>0.00</w:t>
            </w: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0.10</w:t>
            </w:r>
          </w:p>
        </w:tc>
      </w:tr>
      <w:tr>
        <w:trPr>
          <w:trHeight w:val="183"/>
        </w:trPr>
        <w:tc>
          <w:tcPr>
            <w:tcW w:w="4540" w:type="dxa"/>
            <w:vAlign w:val="bottom"/>
            <w:tcBorders>
              <w:bottom w:val="single" w:sz="8" w:color="auto"/>
            </w:tcBorders>
          </w:tcPr>
          <w:p>
            <w:pPr>
              <w:jc w:val="right"/>
              <w:ind w:right="2179"/>
              <w:spacing w:after="0" w:line="183" w:lineRule="exact"/>
              <w:rPr>
                <w:sz w:val="20"/>
                <w:szCs w:val="20"/>
                <w:color w:val="auto"/>
              </w:rPr>
            </w:pPr>
            <w:r>
              <w:rPr>
                <w:rFonts w:ascii="Arial" w:cs="Arial" w:eastAsia="Arial" w:hAnsi="Arial"/>
                <w:sz w:val="16"/>
                <w:szCs w:val="16"/>
                <w:color w:val="auto"/>
              </w:rPr>
              <w:t>$0.54</w:t>
            </w:r>
          </w:p>
        </w:tc>
        <w:tc>
          <w:tcPr>
            <w:tcW w:w="2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$0.53</w:t>
            </w:r>
          </w:p>
        </w:tc>
      </w:tr>
      <w:tr>
        <w:trPr>
          <w:trHeight w:val="20"/>
        </w:trPr>
        <w:tc>
          <w:tcPr>
            <w:tcW w:w="454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r>
      <w:tr>
        <w:trPr>
          <w:trHeight w:val="550"/>
        </w:trPr>
        <w:tc>
          <w:tcPr>
            <w:tcW w:w="4540" w:type="dxa"/>
            <w:vAlign w:val="bottom"/>
          </w:tcPr>
          <w:p>
            <w:pPr>
              <w:jc w:val="right"/>
              <w:ind w:right="2179"/>
              <w:spacing w:after="0"/>
              <w:rPr>
                <w:sz w:val="20"/>
                <w:szCs w:val="20"/>
                <w:color w:val="auto"/>
              </w:rPr>
            </w:pPr>
            <w:r>
              <w:rPr>
                <w:rFonts w:ascii="Arial" w:cs="Arial" w:eastAsia="Arial" w:hAnsi="Arial"/>
                <w:sz w:val="16"/>
                <w:szCs w:val="16"/>
                <w:color w:val="auto"/>
              </w:rPr>
              <w:t>31,223</w:t>
            </w:r>
          </w:p>
        </w:tc>
        <w:tc>
          <w:tcPr>
            <w:tcW w:w="2760" w:type="dxa"/>
            <w:vAlign w:val="bottom"/>
          </w:tcPr>
          <w:p>
            <w:pPr>
              <w:jc w:val="right"/>
              <w:spacing w:after="0"/>
              <w:rPr>
                <w:sz w:val="20"/>
                <w:szCs w:val="20"/>
                <w:color w:val="auto"/>
              </w:rPr>
            </w:pPr>
            <w:r>
              <w:rPr>
                <w:rFonts w:ascii="Arial" w:cs="Arial" w:eastAsia="Arial" w:hAnsi="Arial"/>
                <w:sz w:val="16"/>
                <w:szCs w:val="16"/>
                <w:color w:val="auto"/>
              </w:rPr>
              <w:t>31,223</w:t>
            </w:r>
          </w:p>
        </w:tc>
      </w:tr>
      <w:tr>
        <w:trPr>
          <w:trHeight w:val="195"/>
        </w:trPr>
        <w:tc>
          <w:tcPr>
            <w:tcW w:w="4540" w:type="dxa"/>
            <w:vAlign w:val="bottom"/>
          </w:tcPr>
          <w:p>
            <w:pPr>
              <w:jc w:val="right"/>
              <w:ind w:right="2179"/>
              <w:spacing w:after="0"/>
              <w:rPr>
                <w:sz w:val="20"/>
                <w:szCs w:val="20"/>
                <w:color w:val="auto"/>
              </w:rPr>
            </w:pPr>
            <w:r>
              <w:rPr>
                <w:rFonts w:ascii="Arial" w:cs="Arial" w:eastAsia="Arial" w:hAnsi="Arial"/>
                <w:sz w:val="16"/>
                <w:szCs w:val="16"/>
                <w:color w:val="auto"/>
              </w:rPr>
              <w:t>31,384</w:t>
            </w:r>
          </w:p>
        </w:tc>
        <w:tc>
          <w:tcPr>
            <w:tcW w:w="2760" w:type="dxa"/>
            <w:vAlign w:val="bottom"/>
          </w:tcPr>
          <w:p>
            <w:pPr>
              <w:jc w:val="right"/>
              <w:spacing w:after="0"/>
              <w:rPr>
                <w:sz w:val="20"/>
                <w:szCs w:val="20"/>
                <w:color w:val="auto"/>
              </w:rPr>
            </w:pPr>
            <w:r>
              <w:rPr>
                <w:rFonts w:ascii="Arial" w:cs="Arial" w:eastAsia="Arial" w:hAnsi="Arial"/>
                <w:sz w:val="16"/>
                <w:szCs w:val="16"/>
                <w:color w:val="auto"/>
              </w:rPr>
              <w:t>31,384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-1513205</wp:posOffset>
            </wp:positionV>
            <wp:extent cx="7246620" cy="1200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-1273175</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-878840</wp:posOffset>
            </wp:positionV>
            <wp:extent cx="7246620" cy="1200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-638810</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-124460</wp:posOffset>
            </wp:positionV>
            <wp:extent cx="7246620" cy="1200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00" w:space="720"/>
            <w:col w:w="7300"/>
          </w:cols>
          <w:pgMar w:left="240" w:top="884" w:right="239" w:bottom="1440" w:gutter="0" w:footer="0" w:header="0"/>
          <w:type w:val="continuous"/>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884" w:right="239" w:bottom="1440" w:gutter="0" w:footer="0" w:header="0"/>
          <w:type w:val="continuous"/>
        </w:sectPr>
      </w:pPr>
    </w:p>
    <w:bookmarkStart w:id="8" w:name="page9"/>
    <w:bookmarkEnd w:id="8"/>
    <w:p>
      <w:pPr>
        <w:ind w:left="100"/>
        <w:spacing w:after="0"/>
        <w:rPr>
          <w:sz w:val="20"/>
          <w:szCs w:val="20"/>
          <w:color w:val="auto"/>
        </w:rPr>
      </w:pPr>
      <w:r>
        <w:rPr>
          <w:rFonts w:ascii="Arial" w:cs="Arial" w:eastAsia="Arial" w:hAnsi="Arial"/>
          <w:sz w:val="18"/>
          <w:szCs w:val="18"/>
          <w:color w:val="auto"/>
        </w:rPr>
        <w:t>Modifications to segment reporting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20" w:type="dxa"/>
            <w:vAlign w:val="bottom"/>
            <w:tcBorders>
              <w:top w:val="single" w:sz="8" w:color="auto"/>
            </w:tcBorders>
          </w:tcPr>
          <w:p>
            <w:pPr>
              <w:spacing w:after="0"/>
              <w:rPr>
                <w:sz w:val="18"/>
                <w:szCs w:val="18"/>
                <w:color w:val="auto"/>
              </w:rPr>
            </w:pPr>
          </w:p>
        </w:tc>
        <w:tc>
          <w:tcPr>
            <w:tcW w:w="304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Reclassify ADS</w:t>
            </w:r>
          </w:p>
        </w:tc>
        <w:tc>
          <w:tcPr>
            <w:tcW w:w="17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Q1 2011</w:t>
            </w:r>
          </w:p>
        </w:tc>
      </w:tr>
      <w:tr>
        <w:trPr>
          <w:trHeight w:val="203"/>
        </w:trPr>
        <w:tc>
          <w:tcPr>
            <w:tcW w:w="3420" w:type="dxa"/>
            <w:vAlign w:val="bottom"/>
          </w:tcPr>
          <w:p>
            <w:pPr>
              <w:ind w:left="100"/>
              <w:spacing w:after="0" w:line="202" w:lineRule="exact"/>
              <w:rPr>
                <w:sz w:val="20"/>
                <w:szCs w:val="20"/>
                <w:color w:val="auto"/>
              </w:rPr>
            </w:pPr>
            <w:r>
              <w:rPr>
                <w:rFonts w:ascii="Arial" w:cs="Arial" w:eastAsia="Arial" w:hAnsi="Arial"/>
                <w:sz w:val="18"/>
                <w:szCs w:val="18"/>
                <w:color w:val="auto"/>
              </w:rPr>
              <w:t>Net sales</w:t>
            </w:r>
          </w:p>
        </w:tc>
        <w:tc>
          <w:tcPr>
            <w:tcW w:w="3040" w:type="dxa"/>
            <w:vAlign w:val="bottom"/>
          </w:tcPr>
          <w:p>
            <w:pPr>
              <w:jc w:val="center"/>
              <w:ind w:left="1170"/>
              <w:spacing w:after="0" w:line="202" w:lineRule="exact"/>
              <w:rPr>
                <w:sz w:val="20"/>
                <w:szCs w:val="20"/>
                <w:color w:val="auto"/>
              </w:rPr>
            </w:pPr>
            <w:r>
              <w:rPr>
                <w:rFonts w:ascii="Arial" w:cs="Arial" w:eastAsia="Arial" w:hAnsi="Arial"/>
                <w:sz w:val="18"/>
                <w:szCs w:val="18"/>
                <w:color w:val="auto"/>
              </w:rPr>
              <w:t>As reported</w:t>
            </w:r>
          </w:p>
        </w:tc>
        <w:tc>
          <w:tcPr>
            <w:tcW w:w="1720" w:type="dxa"/>
            <w:vAlign w:val="bottom"/>
          </w:tcPr>
          <w:p>
            <w:pPr>
              <w:jc w:val="center"/>
              <w:spacing w:after="0" w:line="202" w:lineRule="exact"/>
              <w:rPr>
                <w:sz w:val="20"/>
                <w:szCs w:val="20"/>
                <w:color w:val="auto"/>
              </w:rPr>
            </w:pPr>
            <w:r>
              <w:rPr>
                <w:rFonts w:ascii="Arial" w:cs="Arial" w:eastAsia="Arial" w:hAnsi="Arial"/>
                <w:sz w:val="18"/>
                <w:szCs w:val="18"/>
                <w:color w:val="auto"/>
              </w:rPr>
              <w:t>to discontinued</w:t>
            </w:r>
          </w:p>
        </w:tc>
        <w:tc>
          <w:tcPr>
            <w:tcW w:w="178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9"/>
              </w:rPr>
              <w:t>Merger of PMC</w:t>
            </w:r>
          </w:p>
        </w:tc>
        <w:tc>
          <w:tcPr>
            <w:tcW w:w="1460" w:type="dxa"/>
            <w:vAlign w:val="bottom"/>
          </w:tcPr>
          <w:p>
            <w:pPr>
              <w:ind w:left="300"/>
              <w:spacing w:after="0" w:line="202" w:lineRule="exact"/>
              <w:rPr>
                <w:sz w:val="20"/>
                <w:szCs w:val="20"/>
                <w:color w:val="auto"/>
              </w:rPr>
            </w:pPr>
            <w:r>
              <w:rPr>
                <w:rFonts w:ascii="Arial" w:cs="Arial" w:eastAsia="Arial" w:hAnsi="Arial"/>
                <w:sz w:val="18"/>
                <w:szCs w:val="18"/>
                <w:color w:val="auto"/>
              </w:rPr>
              <w:t>reported in</w:t>
            </w:r>
          </w:p>
        </w:tc>
      </w:tr>
      <w:tr>
        <w:trPr>
          <w:trHeight w:val="203"/>
        </w:trPr>
        <w:tc>
          <w:tcPr>
            <w:tcW w:w="342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(000's)</w:t>
            </w:r>
          </w:p>
        </w:tc>
        <w:tc>
          <w:tcPr>
            <w:tcW w:w="3040" w:type="dxa"/>
            <w:vAlign w:val="bottom"/>
            <w:tcBorders>
              <w:bottom w:val="single" w:sz="8" w:color="auto"/>
            </w:tcBorders>
          </w:tcPr>
          <w:p>
            <w:pPr>
              <w:jc w:val="center"/>
              <w:ind w:left="1210"/>
              <w:spacing w:after="0" w:line="203" w:lineRule="exact"/>
              <w:rPr>
                <w:sz w:val="20"/>
                <w:szCs w:val="20"/>
                <w:color w:val="auto"/>
              </w:rPr>
            </w:pPr>
            <w:r>
              <w:rPr>
                <w:rFonts w:ascii="Arial" w:cs="Arial" w:eastAsia="Arial" w:hAnsi="Arial"/>
                <w:sz w:val="18"/>
                <w:szCs w:val="18"/>
                <w:color w:val="auto"/>
              </w:rPr>
              <w:t>Q1 2011</w:t>
            </w:r>
          </w:p>
        </w:tc>
        <w:tc>
          <w:tcPr>
            <w:tcW w:w="172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operations</w:t>
            </w:r>
          </w:p>
        </w:tc>
        <w:tc>
          <w:tcPr>
            <w:tcW w:w="178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8"/>
              </w:rPr>
              <w:t>PMC and EF</w:t>
            </w:r>
          </w:p>
        </w:tc>
        <w:tc>
          <w:tcPr>
            <w:tcW w:w="1460" w:type="dxa"/>
            <w:vAlign w:val="bottom"/>
            <w:tcBorders>
              <w:bottom w:val="single" w:sz="8" w:color="auto"/>
            </w:tcBorders>
          </w:tcPr>
          <w:p>
            <w:pPr>
              <w:ind w:left="280"/>
              <w:spacing w:after="0" w:line="203" w:lineRule="exact"/>
              <w:rPr>
                <w:sz w:val="20"/>
                <w:szCs w:val="20"/>
                <w:color w:val="auto"/>
              </w:rPr>
            </w:pPr>
            <w:r>
              <w:rPr>
                <w:rFonts w:ascii="Arial" w:cs="Arial" w:eastAsia="Arial" w:hAnsi="Arial"/>
                <w:sz w:val="18"/>
                <w:szCs w:val="18"/>
                <w:color w:val="auto"/>
              </w:rPr>
              <w:t>2012 format</w:t>
            </w:r>
          </w:p>
        </w:tc>
      </w:tr>
      <w:tr>
        <w:trPr>
          <w:trHeight w:val="195"/>
        </w:trPr>
        <w:tc>
          <w:tcPr>
            <w:tcW w:w="3420" w:type="dxa"/>
            <w:vAlign w:val="bottom"/>
          </w:tcPr>
          <w:p>
            <w:pPr>
              <w:ind w:left="100"/>
              <w:spacing w:after="0" w:line="195" w:lineRule="exact"/>
              <w:rPr>
                <w:sz w:val="20"/>
                <w:szCs w:val="20"/>
                <w:color w:val="auto"/>
              </w:rPr>
            </w:pPr>
            <w:r>
              <w:rPr>
                <w:rFonts w:ascii="Arial" w:cs="Arial" w:eastAsia="Arial" w:hAnsi="Arial"/>
                <w:sz w:val="18"/>
                <w:szCs w:val="18"/>
                <w:color w:val="auto"/>
              </w:rPr>
              <w:t>PMC</w:t>
            </w:r>
          </w:p>
        </w:tc>
        <w:tc>
          <w:tcPr>
            <w:tcW w:w="304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167,896</w:t>
            </w:r>
          </w:p>
        </w:tc>
        <w:tc>
          <w:tcPr>
            <w:tcW w:w="1720" w:type="dxa"/>
            <w:vAlign w:val="bottom"/>
          </w:tcPr>
          <w:p>
            <w:pPr>
              <w:spacing w:after="0"/>
              <w:rPr>
                <w:sz w:val="16"/>
                <w:szCs w:val="16"/>
                <w:color w:val="auto"/>
              </w:rPr>
            </w:pPr>
          </w:p>
        </w:tc>
        <w:tc>
          <w:tcPr>
            <w:tcW w:w="178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(167,896)</w:t>
            </w:r>
          </w:p>
        </w:tc>
        <w:tc>
          <w:tcPr>
            <w:tcW w:w="146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w:t>
            </w:r>
          </w:p>
        </w:tc>
      </w:tr>
      <w:tr>
        <w:trPr>
          <w:trHeight w:val="203"/>
        </w:trPr>
        <w:tc>
          <w:tcPr>
            <w:tcW w:w="3420" w:type="dxa"/>
            <w:vAlign w:val="bottom"/>
          </w:tcPr>
          <w:p>
            <w:pPr>
              <w:ind w:left="100"/>
              <w:spacing w:after="0" w:line="202" w:lineRule="exact"/>
              <w:rPr>
                <w:sz w:val="20"/>
                <w:szCs w:val="20"/>
                <w:color w:val="auto"/>
              </w:rPr>
            </w:pPr>
            <w:r>
              <w:rPr>
                <w:rFonts w:ascii="Arial" w:cs="Arial" w:eastAsia="Arial" w:hAnsi="Arial"/>
                <w:sz w:val="18"/>
                <w:szCs w:val="18"/>
                <w:color w:val="auto"/>
              </w:rPr>
              <w:t>Machine Clothing</w:t>
            </w:r>
          </w:p>
        </w:tc>
        <w:tc>
          <w:tcPr>
            <w:tcW w:w="30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7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188,482</w:t>
            </w:r>
          </w:p>
        </w:tc>
        <w:tc>
          <w:tcPr>
            <w:tcW w:w="1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188,482</w:t>
            </w:r>
          </w:p>
        </w:tc>
      </w:tr>
      <w:tr>
        <w:trPr>
          <w:trHeight w:val="203"/>
        </w:trPr>
        <w:tc>
          <w:tcPr>
            <w:tcW w:w="3420" w:type="dxa"/>
            <w:vAlign w:val="bottom"/>
          </w:tcPr>
          <w:p>
            <w:pPr>
              <w:ind w:left="100"/>
              <w:spacing w:after="0" w:line="202" w:lineRule="exact"/>
              <w:rPr>
                <w:sz w:val="20"/>
                <w:szCs w:val="20"/>
                <w:color w:val="auto"/>
              </w:rPr>
            </w:pPr>
            <w:r>
              <w:rPr>
                <w:rFonts w:ascii="Arial" w:cs="Arial" w:eastAsia="Arial" w:hAnsi="Arial"/>
                <w:sz w:val="18"/>
                <w:szCs w:val="18"/>
                <w:color w:val="auto"/>
              </w:rPr>
              <w:t>Doors</w:t>
            </w:r>
          </w:p>
        </w:tc>
        <w:tc>
          <w:tcPr>
            <w:tcW w:w="30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45,128</w:t>
            </w:r>
          </w:p>
        </w:tc>
        <w:tc>
          <w:tcPr>
            <w:tcW w:w="17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(45,128)</w:t>
            </w:r>
          </w:p>
        </w:tc>
        <w:tc>
          <w:tcPr>
            <w:tcW w:w="1780" w:type="dxa"/>
            <w:vAlign w:val="bottom"/>
          </w:tcPr>
          <w:p>
            <w:pPr>
              <w:spacing w:after="0"/>
              <w:rPr>
                <w:sz w:val="17"/>
                <w:szCs w:val="17"/>
                <w:color w:val="auto"/>
              </w:rPr>
            </w:pPr>
          </w:p>
        </w:tc>
        <w:tc>
          <w:tcPr>
            <w:tcW w:w="14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r>
      <w:tr>
        <w:trPr>
          <w:trHeight w:val="203"/>
        </w:trPr>
        <w:tc>
          <w:tcPr>
            <w:tcW w:w="3420" w:type="dxa"/>
            <w:vAlign w:val="bottom"/>
          </w:tcPr>
          <w:p>
            <w:pPr>
              <w:ind w:left="100"/>
              <w:spacing w:after="0" w:line="202" w:lineRule="exact"/>
              <w:rPr>
                <w:sz w:val="20"/>
                <w:szCs w:val="20"/>
                <w:color w:val="auto"/>
              </w:rPr>
            </w:pPr>
            <w:r>
              <w:rPr>
                <w:rFonts w:ascii="Arial" w:cs="Arial" w:eastAsia="Arial" w:hAnsi="Arial"/>
                <w:sz w:val="18"/>
                <w:szCs w:val="18"/>
                <w:color w:val="auto"/>
              </w:rPr>
              <w:t>EF</w:t>
            </w:r>
          </w:p>
        </w:tc>
        <w:tc>
          <w:tcPr>
            <w:tcW w:w="30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20,586</w:t>
            </w:r>
          </w:p>
        </w:tc>
        <w:tc>
          <w:tcPr>
            <w:tcW w:w="1720" w:type="dxa"/>
            <w:vAlign w:val="bottom"/>
          </w:tcPr>
          <w:p>
            <w:pPr>
              <w:spacing w:after="0"/>
              <w:rPr>
                <w:sz w:val="17"/>
                <w:szCs w:val="17"/>
                <w:color w:val="auto"/>
              </w:rPr>
            </w:pPr>
          </w:p>
        </w:tc>
        <w:tc>
          <w:tcPr>
            <w:tcW w:w="17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(20,586)</w:t>
            </w:r>
          </w:p>
        </w:tc>
        <w:tc>
          <w:tcPr>
            <w:tcW w:w="14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r>
      <w:tr>
        <w:trPr>
          <w:trHeight w:val="203"/>
        </w:trPr>
        <w:tc>
          <w:tcPr>
            <w:tcW w:w="3420" w:type="dxa"/>
            <w:vAlign w:val="bottom"/>
          </w:tcPr>
          <w:p>
            <w:pPr>
              <w:ind w:left="100"/>
              <w:spacing w:after="0" w:line="203" w:lineRule="exact"/>
              <w:rPr>
                <w:sz w:val="20"/>
                <w:szCs w:val="20"/>
                <w:color w:val="auto"/>
              </w:rPr>
            </w:pPr>
            <w:r>
              <w:rPr>
                <w:rFonts w:ascii="Arial" w:cs="Arial" w:eastAsia="Arial" w:hAnsi="Arial"/>
                <w:sz w:val="18"/>
                <w:szCs w:val="18"/>
                <w:color w:val="auto"/>
              </w:rPr>
              <w:t>Composites</w:t>
            </w:r>
          </w:p>
        </w:tc>
        <w:tc>
          <w:tcPr>
            <w:tcW w:w="3040" w:type="dxa"/>
            <w:vAlign w:val="bottom"/>
          </w:tcPr>
          <w:p>
            <w:pPr>
              <w:jc w:val="right"/>
              <w:ind w:right="170"/>
              <w:spacing w:after="0" w:line="203" w:lineRule="exact"/>
              <w:rPr>
                <w:sz w:val="20"/>
                <w:szCs w:val="20"/>
                <w:color w:val="auto"/>
              </w:rPr>
            </w:pPr>
            <w:r>
              <w:rPr>
                <w:rFonts w:ascii="Arial" w:cs="Arial" w:eastAsia="Arial" w:hAnsi="Arial"/>
                <w:sz w:val="18"/>
                <w:szCs w:val="18"/>
                <w:color w:val="auto"/>
              </w:rPr>
              <w:t>11,472</w:t>
            </w:r>
          </w:p>
        </w:tc>
        <w:tc>
          <w:tcPr>
            <w:tcW w:w="17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60" w:type="dxa"/>
            <w:vAlign w:val="bottom"/>
          </w:tcPr>
          <w:p>
            <w:pPr>
              <w:jc w:val="right"/>
              <w:ind w:right="10"/>
              <w:spacing w:after="0" w:line="203" w:lineRule="exact"/>
              <w:rPr>
                <w:sz w:val="20"/>
                <w:szCs w:val="20"/>
                <w:color w:val="auto"/>
              </w:rPr>
            </w:pPr>
            <w:r>
              <w:rPr>
                <w:rFonts w:ascii="Arial" w:cs="Arial" w:eastAsia="Arial" w:hAnsi="Arial"/>
                <w:sz w:val="18"/>
                <w:szCs w:val="18"/>
                <w:color w:val="auto"/>
              </w:rPr>
              <w:t>11,472</w:t>
            </w:r>
          </w:p>
        </w:tc>
      </w:tr>
      <w:tr>
        <w:trPr>
          <w:trHeight w:val="244"/>
        </w:trPr>
        <w:tc>
          <w:tcPr>
            <w:tcW w:w="3420" w:type="dxa"/>
            <w:vAlign w:val="bottom"/>
            <w:tcBorders>
              <w:bottom w:val="single" w:sz="8" w:color="auto"/>
            </w:tcBorders>
          </w:tcPr>
          <w:p>
            <w:pPr>
              <w:ind w:left="100"/>
              <w:spacing w:after="0" w:line="243" w:lineRule="exact"/>
              <w:rPr>
                <w:sz w:val="20"/>
                <w:szCs w:val="20"/>
                <w:color w:val="auto"/>
              </w:rPr>
            </w:pPr>
            <w:r>
              <w:rPr>
                <w:rFonts w:ascii="Arial" w:cs="Arial" w:eastAsia="Arial" w:hAnsi="Arial"/>
                <w:sz w:val="17"/>
                <w:szCs w:val="17"/>
                <w:color w:val="auto"/>
              </w:rPr>
              <w:t>PrimaLoft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w:t>
            </w:r>
          </w:p>
        </w:tc>
        <w:tc>
          <w:tcPr>
            <w:tcW w:w="3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6,768</w:t>
            </w:r>
          </w:p>
        </w:tc>
        <w:tc>
          <w:tcPr>
            <w:tcW w:w="17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6,768</w:t>
            </w:r>
          </w:p>
        </w:tc>
      </w:tr>
      <w:tr>
        <w:trPr>
          <w:trHeight w:val="196"/>
        </w:trPr>
        <w:tc>
          <w:tcPr>
            <w:tcW w:w="342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w:t>
            </w:r>
          </w:p>
        </w:tc>
        <w:tc>
          <w:tcPr>
            <w:tcW w:w="304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251,850</w:t>
            </w:r>
          </w:p>
        </w:tc>
        <w:tc>
          <w:tcPr>
            <w:tcW w:w="17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(45,128)</w:t>
            </w:r>
          </w:p>
        </w:tc>
        <w:tc>
          <w:tcPr>
            <w:tcW w:w="178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206,722</w:t>
            </w:r>
          </w:p>
        </w:tc>
      </w:tr>
      <w:tr>
        <w:trPr>
          <w:trHeight w:val="196"/>
        </w:trPr>
        <w:tc>
          <w:tcPr>
            <w:tcW w:w="342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r>
      <w:tr>
        <w:trPr>
          <w:trHeight w:val="195"/>
        </w:trPr>
        <w:tc>
          <w:tcPr>
            <w:tcW w:w="34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720" w:type="dxa"/>
            <w:vAlign w:val="bottom"/>
          </w:tcPr>
          <w:p>
            <w:pPr>
              <w:jc w:val="center"/>
              <w:spacing w:after="0" w:line="195" w:lineRule="exact"/>
              <w:rPr>
                <w:sz w:val="20"/>
                <w:szCs w:val="20"/>
                <w:color w:val="auto"/>
              </w:rPr>
            </w:pPr>
            <w:r>
              <w:rPr>
                <w:rFonts w:ascii="Arial" w:cs="Arial" w:eastAsia="Arial" w:hAnsi="Arial"/>
                <w:sz w:val="18"/>
                <w:szCs w:val="18"/>
                <w:color w:val="auto"/>
                <w:w w:val="99"/>
              </w:rPr>
              <w:t>Reclassify ADS</w:t>
            </w:r>
          </w:p>
        </w:tc>
        <w:tc>
          <w:tcPr>
            <w:tcW w:w="1780" w:type="dxa"/>
            <w:vAlign w:val="bottom"/>
          </w:tcPr>
          <w:p>
            <w:pPr>
              <w:spacing w:after="0"/>
              <w:rPr>
                <w:sz w:val="16"/>
                <w:szCs w:val="16"/>
                <w:color w:val="auto"/>
              </w:rPr>
            </w:pPr>
          </w:p>
        </w:tc>
        <w:tc>
          <w:tcPr>
            <w:tcW w:w="146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Q1 2011</w:t>
            </w:r>
          </w:p>
        </w:tc>
      </w:tr>
      <w:tr>
        <w:trPr>
          <w:trHeight w:val="203"/>
        </w:trPr>
        <w:tc>
          <w:tcPr>
            <w:tcW w:w="3420" w:type="dxa"/>
            <w:vAlign w:val="bottom"/>
          </w:tcPr>
          <w:p>
            <w:pPr>
              <w:ind w:left="100"/>
              <w:spacing w:after="0" w:line="202" w:lineRule="exact"/>
              <w:rPr>
                <w:sz w:val="20"/>
                <w:szCs w:val="20"/>
                <w:color w:val="auto"/>
              </w:rPr>
            </w:pPr>
            <w:r>
              <w:rPr>
                <w:rFonts w:ascii="Arial" w:cs="Arial" w:eastAsia="Arial" w:hAnsi="Arial"/>
                <w:sz w:val="18"/>
                <w:szCs w:val="18"/>
                <w:color w:val="auto"/>
              </w:rPr>
              <w:t>Gross profit</w:t>
            </w:r>
          </w:p>
        </w:tc>
        <w:tc>
          <w:tcPr>
            <w:tcW w:w="3040" w:type="dxa"/>
            <w:vAlign w:val="bottom"/>
          </w:tcPr>
          <w:p>
            <w:pPr>
              <w:jc w:val="center"/>
              <w:ind w:left="1170"/>
              <w:spacing w:after="0" w:line="202" w:lineRule="exact"/>
              <w:rPr>
                <w:sz w:val="20"/>
                <w:szCs w:val="20"/>
                <w:color w:val="auto"/>
              </w:rPr>
            </w:pPr>
            <w:r>
              <w:rPr>
                <w:rFonts w:ascii="Arial" w:cs="Arial" w:eastAsia="Arial" w:hAnsi="Arial"/>
                <w:sz w:val="18"/>
                <w:szCs w:val="18"/>
                <w:color w:val="auto"/>
              </w:rPr>
              <w:t>As reported</w:t>
            </w:r>
          </w:p>
        </w:tc>
        <w:tc>
          <w:tcPr>
            <w:tcW w:w="1720" w:type="dxa"/>
            <w:vAlign w:val="bottom"/>
          </w:tcPr>
          <w:p>
            <w:pPr>
              <w:jc w:val="center"/>
              <w:spacing w:after="0" w:line="202" w:lineRule="exact"/>
              <w:rPr>
                <w:sz w:val="20"/>
                <w:szCs w:val="20"/>
                <w:color w:val="auto"/>
              </w:rPr>
            </w:pPr>
            <w:r>
              <w:rPr>
                <w:rFonts w:ascii="Arial" w:cs="Arial" w:eastAsia="Arial" w:hAnsi="Arial"/>
                <w:sz w:val="18"/>
                <w:szCs w:val="18"/>
                <w:color w:val="auto"/>
              </w:rPr>
              <w:t>to discontinued</w:t>
            </w:r>
          </w:p>
        </w:tc>
        <w:tc>
          <w:tcPr>
            <w:tcW w:w="178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9"/>
              </w:rPr>
              <w:t>Merger of PMC</w:t>
            </w:r>
          </w:p>
        </w:tc>
        <w:tc>
          <w:tcPr>
            <w:tcW w:w="1460" w:type="dxa"/>
            <w:vAlign w:val="bottom"/>
          </w:tcPr>
          <w:p>
            <w:pPr>
              <w:ind w:left="300"/>
              <w:spacing w:after="0" w:line="202" w:lineRule="exact"/>
              <w:rPr>
                <w:sz w:val="20"/>
                <w:szCs w:val="20"/>
                <w:color w:val="auto"/>
              </w:rPr>
            </w:pPr>
            <w:r>
              <w:rPr>
                <w:rFonts w:ascii="Arial" w:cs="Arial" w:eastAsia="Arial" w:hAnsi="Arial"/>
                <w:sz w:val="18"/>
                <w:szCs w:val="18"/>
                <w:color w:val="auto"/>
              </w:rPr>
              <w:t>reported in</w:t>
            </w:r>
          </w:p>
        </w:tc>
      </w:tr>
      <w:tr>
        <w:trPr>
          <w:trHeight w:val="203"/>
        </w:trPr>
        <w:tc>
          <w:tcPr>
            <w:tcW w:w="342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(000's)</w:t>
            </w:r>
          </w:p>
        </w:tc>
        <w:tc>
          <w:tcPr>
            <w:tcW w:w="3040" w:type="dxa"/>
            <w:vAlign w:val="bottom"/>
            <w:tcBorders>
              <w:bottom w:val="single" w:sz="8" w:color="auto"/>
            </w:tcBorders>
          </w:tcPr>
          <w:p>
            <w:pPr>
              <w:jc w:val="center"/>
              <w:ind w:left="1210"/>
              <w:spacing w:after="0" w:line="203" w:lineRule="exact"/>
              <w:rPr>
                <w:sz w:val="20"/>
                <w:szCs w:val="20"/>
                <w:color w:val="auto"/>
              </w:rPr>
            </w:pPr>
            <w:r>
              <w:rPr>
                <w:rFonts w:ascii="Arial" w:cs="Arial" w:eastAsia="Arial" w:hAnsi="Arial"/>
                <w:sz w:val="18"/>
                <w:szCs w:val="18"/>
                <w:color w:val="auto"/>
              </w:rPr>
              <w:t>Q1 2011</w:t>
            </w:r>
          </w:p>
        </w:tc>
        <w:tc>
          <w:tcPr>
            <w:tcW w:w="172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operations</w:t>
            </w:r>
          </w:p>
        </w:tc>
        <w:tc>
          <w:tcPr>
            <w:tcW w:w="178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8"/>
              </w:rPr>
              <w:t>PMC and EF</w:t>
            </w:r>
          </w:p>
        </w:tc>
        <w:tc>
          <w:tcPr>
            <w:tcW w:w="1460" w:type="dxa"/>
            <w:vAlign w:val="bottom"/>
            <w:tcBorders>
              <w:bottom w:val="single" w:sz="8" w:color="auto"/>
            </w:tcBorders>
          </w:tcPr>
          <w:p>
            <w:pPr>
              <w:ind w:left="280"/>
              <w:spacing w:after="0" w:line="203" w:lineRule="exact"/>
              <w:rPr>
                <w:sz w:val="20"/>
                <w:szCs w:val="20"/>
                <w:color w:val="auto"/>
              </w:rPr>
            </w:pPr>
            <w:r>
              <w:rPr>
                <w:rFonts w:ascii="Arial" w:cs="Arial" w:eastAsia="Arial" w:hAnsi="Arial"/>
                <w:sz w:val="18"/>
                <w:szCs w:val="18"/>
                <w:color w:val="auto"/>
              </w:rPr>
              <w:t>2012 format</w:t>
            </w:r>
          </w:p>
        </w:tc>
      </w:tr>
      <w:tr>
        <w:trPr>
          <w:trHeight w:val="195"/>
        </w:trPr>
        <w:tc>
          <w:tcPr>
            <w:tcW w:w="3420" w:type="dxa"/>
            <w:vAlign w:val="bottom"/>
          </w:tcPr>
          <w:p>
            <w:pPr>
              <w:ind w:left="100"/>
              <w:spacing w:after="0" w:line="195" w:lineRule="exact"/>
              <w:rPr>
                <w:sz w:val="20"/>
                <w:szCs w:val="20"/>
                <w:color w:val="auto"/>
              </w:rPr>
            </w:pPr>
            <w:r>
              <w:rPr>
                <w:rFonts w:ascii="Arial" w:cs="Arial" w:eastAsia="Arial" w:hAnsi="Arial"/>
                <w:sz w:val="18"/>
                <w:szCs w:val="18"/>
                <w:color w:val="auto"/>
              </w:rPr>
              <w:t>PMC</w:t>
            </w:r>
          </w:p>
        </w:tc>
        <w:tc>
          <w:tcPr>
            <w:tcW w:w="304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78,320</w:t>
            </w:r>
          </w:p>
        </w:tc>
        <w:tc>
          <w:tcPr>
            <w:tcW w:w="1720" w:type="dxa"/>
            <w:vAlign w:val="bottom"/>
          </w:tcPr>
          <w:p>
            <w:pPr>
              <w:spacing w:after="0"/>
              <w:rPr>
                <w:sz w:val="16"/>
                <w:szCs w:val="16"/>
                <w:color w:val="auto"/>
              </w:rPr>
            </w:pPr>
          </w:p>
        </w:tc>
        <w:tc>
          <w:tcPr>
            <w:tcW w:w="178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(78,320)</w:t>
            </w:r>
          </w:p>
        </w:tc>
        <w:tc>
          <w:tcPr>
            <w:tcW w:w="146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w:t>
            </w:r>
          </w:p>
        </w:tc>
      </w:tr>
      <w:tr>
        <w:trPr>
          <w:trHeight w:val="203"/>
        </w:trPr>
        <w:tc>
          <w:tcPr>
            <w:tcW w:w="3420" w:type="dxa"/>
            <w:vAlign w:val="bottom"/>
          </w:tcPr>
          <w:p>
            <w:pPr>
              <w:ind w:left="100"/>
              <w:spacing w:after="0" w:line="202" w:lineRule="exact"/>
              <w:rPr>
                <w:sz w:val="20"/>
                <w:szCs w:val="20"/>
                <w:color w:val="auto"/>
              </w:rPr>
            </w:pPr>
            <w:r>
              <w:rPr>
                <w:rFonts w:ascii="Arial" w:cs="Arial" w:eastAsia="Arial" w:hAnsi="Arial"/>
                <w:sz w:val="18"/>
                <w:szCs w:val="18"/>
                <w:color w:val="auto"/>
              </w:rPr>
              <w:t>Machine Clothing</w:t>
            </w:r>
          </w:p>
        </w:tc>
        <w:tc>
          <w:tcPr>
            <w:tcW w:w="30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7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86,537</w:t>
            </w:r>
          </w:p>
        </w:tc>
        <w:tc>
          <w:tcPr>
            <w:tcW w:w="1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86,537</w:t>
            </w:r>
          </w:p>
        </w:tc>
      </w:tr>
      <w:tr>
        <w:trPr>
          <w:trHeight w:val="203"/>
        </w:trPr>
        <w:tc>
          <w:tcPr>
            <w:tcW w:w="3420" w:type="dxa"/>
            <w:vAlign w:val="bottom"/>
          </w:tcPr>
          <w:p>
            <w:pPr>
              <w:ind w:left="100"/>
              <w:spacing w:after="0" w:line="202" w:lineRule="exact"/>
              <w:rPr>
                <w:sz w:val="20"/>
                <w:szCs w:val="20"/>
                <w:color w:val="auto"/>
              </w:rPr>
            </w:pPr>
            <w:r>
              <w:rPr>
                <w:rFonts w:ascii="Arial" w:cs="Arial" w:eastAsia="Arial" w:hAnsi="Arial"/>
                <w:sz w:val="18"/>
                <w:szCs w:val="18"/>
                <w:color w:val="auto"/>
              </w:rPr>
              <w:t>Doors</w:t>
            </w:r>
          </w:p>
        </w:tc>
        <w:tc>
          <w:tcPr>
            <w:tcW w:w="30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16,148</w:t>
            </w:r>
          </w:p>
        </w:tc>
        <w:tc>
          <w:tcPr>
            <w:tcW w:w="17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(16,148)</w:t>
            </w:r>
          </w:p>
        </w:tc>
        <w:tc>
          <w:tcPr>
            <w:tcW w:w="1780" w:type="dxa"/>
            <w:vAlign w:val="bottom"/>
          </w:tcPr>
          <w:p>
            <w:pPr>
              <w:spacing w:after="0"/>
              <w:rPr>
                <w:sz w:val="17"/>
                <w:szCs w:val="17"/>
                <w:color w:val="auto"/>
              </w:rPr>
            </w:pPr>
          </w:p>
        </w:tc>
        <w:tc>
          <w:tcPr>
            <w:tcW w:w="14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r>
      <w:tr>
        <w:trPr>
          <w:trHeight w:val="203"/>
        </w:trPr>
        <w:tc>
          <w:tcPr>
            <w:tcW w:w="3420" w:type="dxa"/>
            <w:vAlign w:val="bottom"/>
          </w:tcPr>
          <w:p>
            <w:pPr>
              <w:ind w:left="100"/>
              <w:spacing w:after="0" w:line="202" w:lineRule="exact"/>
              <w:rPr>
                <w:sz w:val="20"/>
                <w:szCs w:val="20"/>
                <w:color w:val="auto"/>
              </w:rPr>
            </w:pPr>
            <w:r>
              <w:rPr>
                <w:rFonts w:ascii="Arial" w:cs="Arial" w:eastAsia="Arial" w:hAnsi="Arial"/>
                <w:sz w:val="18"/>
                <w:szCs w:val="18"/>
                <w:color w:val="auto"/>
              </w:rPr>
              <w:t>EF</w:t>
            </w:r>
          </w:p>
        </w:tc>
        <w:tc>
          <w:tcPr>
            <w:tcW w:w="30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8,217</w:t>
            </w:r>
          </w:p>
        </w:tc>
        <w:tc>
          <w:tcPr>
            <w:tcW w:w="1720" w:type="dxa"/>
            <w:vAlign w:val="bottom"/>
          </w:tcPr>
          <w:p>
            <w:pPr>
              <w:spacing w:after="0"/>
              <w:rPr>
                <w:sz w:val="17"/>
                <w:szCs w:val="17"/>
                <w:color w:val="auto"/>
              </w:rPr>
            </w:pPr>
          </w:p>
        </w:tc>
        <w:tc>
          <w:tcPr>
            <w:tcW w:w="17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(8,217)</w:t>
            </w:r>
          </w:p>
        </w:tc>
        <w:tc>
          <w:tcPr>
            <w:tcW w:w="14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r>
      <w:tr>
        <w:trPr>
          <w:trHeight w:val="203"/>
        </w:trPr>
        <w:tc>
          <w:tcPr>
            <w:tcW w:w="3420" w:type="dxa"/>
            <w:vAlign w:val="bottom"/>
          </w:tcPr>
          <w:p>
            <w:pPr>
              <w:ind w:left="100"/>
              <w:spacing w:after="0" w:line="203" w:lineRule="exact"/>
              <w:rPr>
                <w:sz w:val="20"/>
                <w:szCs w:val="20"/>
                <w:color w:val="auto"/>
              </w:rPr>
            </w:pPr>
            <w:r>
              <w:rPr>
                <w:rFonts w:ascii="Arial" w:cs="Arial" w:eastAsia="Arial" w:hAnsi="Arial"/>
                <w:sz w:val="18"/>
                <w:szCs w:val="18"/>
                <w:color w:val="auto"/>
              </w:rPr>
              <w:t>Composites</w:t>
            </w:r>
          </w:p>
        </w:tc>
        <w:tc>
          <w:tcPr>
            <w:tcW w:w="3040" w:type="dxa"/>
            <w:vAlign w:val="bottom"/>
          </w:tcPr>
          <w:p>
            <w:pPr>
              <w:jc w:val="right"/>
              <w:ind w:right="110"/>
              <w:spacing w:after="0" w:line="203" w:lineRule="exact"/>
              <w:rPr>
                <w:sz w:val="20"/>
                <w:szCs w:val="20"/>
                <w:color w:val="auto"/>
              </w:rPr>
            </w:pPr>
            <w:r>
              <w:rPr>
                <w:rFonts w:ascii="Arial" w:cs="Arial" w:eastAsia="Arial" w:hAnsi="Arial"/>
                <w:sz w:val="18"/>
                <w:szCs w:val="18"/>
                <w:color w:val="auto"/>
              </w:rPr>
              <w:t>(19)</w:t>
            </w:r>
          </w:p>
        </w:tc>
        <w:tc>
          <w:tcPr>
            <w:tcW w:w="17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Arial" w:cs="Arial" w:eastAsia="Arial" w:hAnsi="Arial"/>
                <w:sz w:val="18"/>
                <w:szCs w:val="18"/>
                <w:color w:val="auto"/>
              </w:rPr>
              <w:t>(19)</w:t>
            </w:r>
          </w:p>
        </w:tc>
      </w:tr>
      <w:tr>
        <w:trPr>
          <w:trHeight w:val="243"/>
        </w:trPr>
        <w:tc>
          <w:tcPr>
            <w:tcW w:w="3420" w:type="dxa"/>
            <w:vAlign w:val="bottom"/>
          </w:tcPr>
          <w:p>
            <w:pPr>
              <w:ind w:left="100"/>
              <w:spacing w:after="0" w:line="243" w:lineRule="exact"/>
              <w:rPr>
                <w:sz w:val="20"/>
                <w:szCs w:val="20"/>
                <w:color w:val="auto"/>
              </w:rPr>
            </w:pPr>
            <w:r>
              <w:rPr>
                <w:rFonts w:ascii="Arial" w:cs="Arial" w:eastAsia="Arial" w:hAnsi="Arial"/>
                <w:sz w:val="17"/>
                <w:szCs w:val="17"/>
                <w:color w:val="auto"/>
              </w:rPr>
              <w:t>PrimaLoft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w:t>
            </w:r>
          </w:p>
        </w:tc>
        <w:tc>
          <w:tcPr>
            <w:tcW w:w="3040" w:type="dxa"/>
            <w:vAlign w:val="bottom"/>
          </w:tcPr>
          <w:p>
            <w:pPr>
              <w:jc w:val="right"/>
              <w:ind w:right="170"/>
              <w:spacing w:after="0"/>
              <w:rPr>
                <w:sz w:val="20"/>
                <w:szCs w:val="20"/>
                <w:color w:val="auto"/>
              </w:rPr>
            </w:pPr>
            <w:r>
              <w:rPr>
                <w:rFonts w:ascii="Arial" w:cs="Arial" w:eastAsia="Arial" w:hAnsi="Arial"/>
                <w:sz w:val="18"/>
                <w:szCs w:val="18"/>
                <w:color w:val="auto"/>
              </w:rPr>
              <w:t>3,657</w:t>
            </w:r>
          </w:p>
        </w:tc>
        <w:tc>
          <w:tcPr>
            <w:tcW w:w="17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3,657</w:t>
            </w:r>
          </w:p>
        </w:tc>
      </w:tr>
      <w:tr>
        <w:trPr>
          <w:trHeight w:val="203"/>
        </w:trPr>
        <w:tc>
          <w:tcPr>
            <w:tcW w:w="342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Non Segment</w:t>
            </w:r>
          </w:p>
        </w:tc>
        <w:tc>
          <w:tcPr>
            <w:tcW w:w="304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(1,330)</w:t>
            </w:r>
          </w:p>
        </w:tc>
        <w:tc>
          <w:tcPr>
            <w:tcW w:w="17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(1,330)</w:t>
            </w:r>
          </w:p>
        </w:tc>
      </w:tr>
      <w:tr>
        <w:trPr>
          <w:trHeight w:val="196"/>
        </w:trPr>
        <w:tc>
          <w:tcPr>
            <w:tcW w:w="342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w:t>
            </w:r>
          </w:p>
        </w:tc>
        <w:tc>
          <w:tcPr>
            <w:tcW w:w="304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104,993</w:t>
            </w:r>
          </w:p>
        </w:tc>
        <w:tc>
          <w:tcPr>
            <w:tcW w:w="17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(16,148)</w:t>
            </w:r>
          </w:p>
        </w:tc>
        <w:tc>
          <w:tcPr>
            <w:tcW w:w="178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88,845</w:t>
            </w:r>
          </w:p>
        </w:tc>
      </w:tr>
      <w:tr>
        <w:trPr>
          <w:trHeight w:val="399"/>
        </w:trPr>
        <w:tc>
          <w:tcPr>
            <w:tcW w:w="34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195"/>
        </w:trPr>
        <w:tc>
          <w:tcPr>
            <w:tcW w:w="34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720" w:type="dxa"/>
            <w:vAlign w:val="bottom"/>
          </w:tcPr>
          <w:p>
            <w:pPr>
              <w:jc w:val="center"/>
              <w:spacing w:after="0" w:line="195" w:lineRule="exact"/>
              <w:rPr>
                <w:sz w:val="20"/>
                <w:szCs w:val="20"/>
                <w:color w:val="auto"/>
              </w:rPr>
            </w:pPr>
            <w:r>
              <w:rPr>
                <w:rFonts w:ascii="Arial" w:cs="Arial" w:eastAsia="Arial" w:hAnsi="Arial"/>
                <w:sz w:val="18"/>
                <w:szCs w:val="18"/>
                <w:color w:val="auto"/>
                <w:w w:val="99"/>
              </w:rPr>
              <w:t>Reclassify ADS</w:t>
            </w:r>
          </w:p>
        </w:tc>
        <w:tc>
          <w:tcPr>
            <w:tcW w:w="1780" w:type="dxa"/>
            <w:vAlign w:val="bottom"/>
          </w:tcPr>
          <w:p>
            <w:pPr>
              <w:spacing w:after="0"/>
              <w:rPr>
                <w:sz w:val="16"/>
                <w:szCs w:val="16"/>
                <w:color w:val="auto"/>
              </w:rPr>
            </w:pPr>
          </w:p>
        </w:tc>
        <w:tc>
          <w:tcPr>
            <w:tcW w:w="146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Q1 2011</w:t>
            </w:r>
          </w:p>
        </w:tc>
      </w:tr>
      <w:tr>
        <w:trPr>
          <w:trHeight w:val="203"/>
        </w:trPr>
        <w:tc>
          <w:tcPr>
            <w:tcW w:w="3420" w:type="dxa"/>
            <w:vAlign w:val="bottom"/>
          </w:tcPr>
          <w:p>
            <w:pPr>
              <w:ind w:left="100"/>
              <w:spacing w:after="0" w:line="202" w:lineRule="exact"/>
              <w:rPr>
                <w:sz w:val="20"/>
                <w:szCs w:val="20"/>
                <w:color w:val="auto"/>
              </w:rPr>
            </w:pPr>
            <w:r>
              <w:rPr>
                <w:rFonts w:ascii="Arial" w:cs="Arial" w:eastAsia="Arial" w:hAnsi="Arial"/>
                <w:sz w:val="18"/>
                <w:szCs w:val="18"/>
                <w:color w:val="auto"/>
              </w:rPr>
              <w:t>Operating income</w:t>
            </w:r>
          </w:p>
        </w:tc>
        <w:tc>
          <w:tcPr>
            <w:tcW w:w="3040" w:type="dxa"/>
            <w:vAlign w:val="bottom"/>
          </w:tcPr>
          <w:p>
            <w:pPr>
              <w:jc w:val="center"/>
              <w:ind w:left="1170"/>
              <w:spacing w:after="0" w:line="202" w:lineRule="exact"/>
              <w:rPr>
                <w:sz w:val="20"/>
                <w:szCs w:val="20"/>
                <w:color w:val="auto"/>
              </w:rPr>
            </w:pPr>
            <w:r>
              <w:rPr>
                <w:rFonts w:ascii="Arial" w:cs="Arial" w:eastAsia="Arial" w:hAnsi="Arial"/>
                <w:sz w:val="18"/>
                <w:szCs w:val="18"/>
                <w:color w:val="auto"/>
              </w:rPr>
              <w:t>As reported</w:t>
            </w:r>
          </w:p>
        </w:tc>
        <w:tc>
          <w:tcPr>
            <w:tcW w:w="1720" w:type="dxa"/>
            <w:vAlign w:val="bottom"/>
          </w:tcPr>
          <w:p>
            <w:pPr>
              <w:jc w:val="center"/>
              <w:spacing w:after="0" w:line="202" w:lineRule="exact"/>
              <w:rPr>
                <w:sz w:val="20"/>
                <w:szCs w:val="20"/>
                <w:color w:val="auto"/>
              </w:rPr>
            </w:pPr>
            <w:r>
              <w:rPr>
                <w:rFonts w:ascii="Arial" w:cs="Arial" w:eastAsia="Arial" w:hAnsi="Arial"/>
                <w:sz w:val="18"/>
                <w:szCs w:val="18"/>
                <w:color w:val="auto"/>
              </w:rPr>
              <w:t>to discontinued</w:t>
            </w:r>
          </w:p>
        </w:tc>
        <w:tc>
          <w:tcPr>
            <w:tcW w:w="178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9"/>
              </w:rPr>
              <w:t>Merger of PMC</w:t>
            </w:r>
          </w:p>
        </w:tc>
        <w:tc>
          <w:tcPr>
            <w:tcW w:w="1460" w:type="dxa"/>
            <w:vAlign w:val="bottom"/>
          </w:tcPr>
          <w:p>
            <w:pPr>
              <w:ind w:left="300"/>
              <w:spacing w:after="0" w:line="202" w:lineRule="exact"/>
              <w:rPr>
                <w:sz w:val="20"/>
                <w:szCs w:val="20"/>
                <w:color w:val="auto"/>
              </w:rPr>
            </w:pPr>
            <w:r>
              <w:rPr>
                <w:rFonts w:ascii="Arial" w:cs="Arial" w:eastAsia="Arial" w:hAnsi="Arial"/>
                <w:sz w:val="18"/>
                <w:szCs w:val="18"/>
                <w:color w:val="auto"/>
              </w:rPr>
              <w:t>reported in</w:t>
            </w:r>
          </w:p>
        </w:tc>
      </w:tr>
      <w:tr>
        <w:trPr>
          <w:trHeight w:val="203"/>
        </w:trPr>
        <w:tc>
          <w:tcPr>
            <w:tcW w:w="342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(000's)</w:t>
            </w:r>
          </w:p>
        </w:tc>
        <w:tc>
          <w:tcPr>
            <w:tcW w:w="3040" w:type="dxa"/>
            <w:vAlign w:val="bottom"/>
            <w:tcBorders>
              <w:bottom w:val="single" w:sz="8" w:color="auto"/>
            </w:tcBorders>
          </w:tcPr>
          <w:p>
            <w:pPr>
              <w:jc w:val="center"/>
              <w:ind w:left="1210"/>
              <w:spacing w:after="0" w:line="203" w:lineRule="exact"/>
              <w:rPr>
                <w:sz w:val="20"/>
                <w:szCs w:val="20"/>
                <w:color w:val="auto"/>
              </w:rPr>
            </w:pPr>
            <w:r>
              <w:rPr>
                <w:rFonts w:ascii="Arial" w:cs="Arial" w:eastAsia="Arial" w:hAnsi="Arial"/>
                <w:sz w:val="18"/>
                <w:szCs w:val="18"/>
                <w:color w:val="auto"/>
              </w:rPr>
              <w:t>Q1 2011</w:t>
            </w:r>
          </w:p>
        </w:tc>
        <w:tc>
          <w:tcPr>
            <w:tcW w:w="172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operations</w:t>
            </w:r>
          </w:p>
        </w:tc>
        <w:tc>
          <w:tcPr>
            <w:tcW w:w="178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8"/>
              </w:rPr>
              <w:t>PMC and EF</w:t>
            </w:r>
          </w:p>
        </w:tc>
        <w:tc>
          <w:tcPr>
            <w:tcW w:w="1460" w:type="dxa"/>
            <w:vAlign w:val="bottom"/>
            <w:tcBorders>
              <w:bottom w:val="single" w:sz="8" w:color="auto"/>
            </w:tcBorders>
          </w:tcPr>
          <w:p>
            <w:pPr>
              <w:ind w:left="280"/>
              <w:spacing w:after="0" w:line="203" w:lineRule="exact"/>
              <w:rPr>
                <w:sz w:val="20"/>
                <w:szCs w:val="20"/>
                <w:color w:val="auto"/>
              </w:rPr>
            </w:pPr>
            <w:r>
              <w:rPr>
                <w:rFonts w:ascii="Arial" w:cs="Arial" w:eastAsia="Arial" w:hAnsi="Arial"/>
                <w:sz w:val="18"/>
                <w:szCs w:val="18"/>
                <w:color w:val="auto"/>
              </w:rPr>
              <w:t>2012 format</w:t>
            </w:r>
          </w:p>
        </w:tc>
      </w:tr>
      <w:tr>
        <w:trPr>
          <w:trHeight w:val="195"/>
        </w:trPr>
        <w:tc>
          <w:tcPr>
            <w:tcW w:w="3420" w:type="dxa"/>
            <w:vAlign w:val="bottom"/>
          </w:tcPr>
          <w:p>
            <w:pPr>
              <w:ind w:left="100"/>
              <w:spacing w:after="0" w:line="195" w:lineRule="exact"/>
              <w:rPr>
                <w:sz w:val="20"/>
                <w:szCs w:val="20"/>
                <w:color w:val="auto"/>
              </w:rPr>
            </w:pPr>
            <w:r>
              <w:rPr>
                <w:rFonts w:ascii="Arial" w:cs="Arial" w:eastAsia="Arial" w:hAnsi="Arial"/>
                <w:sz w:val="18"/>
                <w:szCs w:val="18"/>
                <w:color w:val="auto"/>
              </w:rPr>
              <w:t>PMC</w:t>
            </w:r>
          </w:p>
        </w:tc>
        <w:tc>
          <w:tcPr>
            <w:tcW w:w="304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46,230</w:t>
            </w:r>
          </w:p>
        </w:tc>
        <w:tc>
          <w:tcPr>
            <w:tcW w:w="1720" w:type="dxa"/>
            <w:vAlign w:val="bottom"/>
          </w:tcPr>
          <w:p>
            <w:pPr>
              <w:spacing w:after="0"/>
              <w:rPr>
                <w:sz w:val="16"/>
                <w:szCs w:val="16"/>
                <w:color w:val="auto"/>
              </w:rPr>
            </w:pPr>
          </w:p>
        </w:tc>
        <w:tc>
          <w:tcPr>
            <w:tcW w:w="178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(46,230)</w:t>
            </w:r>
          </w:p>
        </w:tc>
        <w:tc>
          <w:tcPr>
            <w:tcW w:w="146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w:t>
            </w:r>
          </w:p>
        </w:tc>
      </w:tr>
      <w:tr>
        <w:trPr>
          <w:trHeight w:val="203"/>
        </w:trPr>
        <w:tc>
          <w:tcPr>
            <w:tcW w:w="3420" w:type="dxa"/>
            <w:vAlign w:val="bottom"/>
          </w:tcPr>
          <w:p>
            <w:pPr>
              <w:ind w:left="100"/>
              <w:spacing w:after="0" w:line="202" w:lineRule="exact"/>
              <w:rPr>
                <w:sz w:val="20"/>
                <w:szCs w:val="20"/>
                <w:color w:val="auto"/>
              </w:rPr>
            </w:pPr>
            <w:r>
              <w:rPr>
                <w:rFonts w:ascii="Arial" w:cs="Arial" w:eastAsia="Arial" w:hAnsi="Arial"/>
                <w:sz w:val="18"/>
                <w:szCs w:val="18"/>
                <w:color w:val="auto"/>
              </w:rPr>
              <w:t>Machine Clothing</w:t>
            </w:r>
          </w:p>
        </w:tc>
        <w:tc>
          <w:tcPr>
            <w:tcW w:w="30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7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50,271</w:t>
            </w:r>
          </w:p>
        </w:tc>
        <w:tc>
          <w:tcPr>
            <w:tcW w:w="1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50,271</w:t>
            </w:r>
          </w:p>
        </w:tc>
      </w:tr>
      <w:tr>
        <w:trPr>
          <w:trHeight w:val="203"/>
        </w:trPr>
        <w:tc>
          <w:tcPr>
            <w:tcW w:w="3420" w:type="dxa"/>
            <w:vAlign w:val="bottom"/>
          </w:tcPr>
          <w:p>
            <w:pPr>
              <w:ind w:left="100"/>
              <w:spacing w:after="0" w:line="202" w:lineRule="exact"/>
              <w:rPr>
                <w:sz w:val="20"/>
                <w:szCs w:val="20"/>
                <w:color w:val="auto"/>
              </w:rPr>
            </w:pPr>
            <w:r>
              <w:rPr>
                <w:rFonts w:ascii="Arial" w:cs="Arial" w:eastAsia="Arial" w:hAnsi="Arial"/>
                <w:sz w:val="18"/>
                <w:szCs w:val="18"/>
                <w:color w:val="auto"/>
              </w:rPr>
              <w:t>Doors</w:t>
            </w:r>
          </w:p>
        </w:tc>
        <w:tc>
          <w:tcPr>
            <w:tcW w:w="30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5,371</w:t>
            </w:r>
          </w:p>
        </w:tc>
        <w:tc>
          <w:tcPr>
            <w:tcW w:w="17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(5,371)</w:t>
            </w:r>
          </w:p>
        </w:tc>
        <w:tc>
          <w:tcPr>
            <w:tcW w:w="1780" w:type="dxa"/>
            <w:vAlign w:val="bottom"/>
          </w:tcPr>
          <w:p>
            <w:pPr>
              <w:spacing w:after="0"/>
              <w:rPr>
                <w:sz w:val="17"/>
                <w:szCs w:val="17"/>
                <w:color w:val="auto"/>
              </w:rPr>
            </w:pPr>
          </w:p>
        </w:tc>
        <w:tc>
          <w:tcPr>
            <w:tcW w:w="14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r>
      <w:tr>
        <w:trPr>
          <w:trHeight w:val="203"/>
        </w:trPr>
        <w:tc>
          <w:tcPr>
            <w:tcW w:w="3420" w:type="dxa"/>
            <w:vAlign w:val="bottom"/>
          </w:tcPr>
          <w:p>
            <w:pPr>
              <w:ind w:left="100"/>
              <w:spacing w:after="0" w:line="202" w:lineRule="exact"/>
              <w:rPr>
                <w:sz w:val="20"/>
                <w:szCs w:val="20"/>
                <w:color w:val="auto"/>
              </w:rPr>
            </w:pPr>
            <w:r>
              <w:rPr>
                <w:rFonts w:ascii="Arial" w:cs="Arial" w:eastAsia="Arial" w:hAnsi="Arial"/>
                <w:sz w:val="18"/>
                <w:szCs w:val="18"/>
                <w:color w:val="auto"/>
              </w:rPr>
              <w:t>EF</w:t>
            </w:r>
          </w:p>
        </w:tc>
        <w:tc>
          <w:tcPr>
            <w:tcW w:w="30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4,041</w:t>
            </w:r>
          </w:p>
        </w:tc>
        <w:tc>
          <w:tcPr>
            <w:tcW w:w="1720" w:type="dxa"/>
            <w:vAlign w:val="bottom"/>
          </w:tcPr>
          <w:p>
            <w:pPr>
              <w:spacing w:after="0"/>
              <w:rPr>
                <w:sz w:val="17"/>
                <w:szCs w:val="17"/>
                <w:color w:val="auto"/>
              </w:rPr>
            </w:pPr>
          </w:p>
        </w:tc>
        <w:tc>
          <w:tcPr>
            <w:tcW w:w="17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(4,041)</w:t>
            </w:r>
          </w:p>
        </w:tc>
        <w:tc>
          <w:tcPr>
            <w:tcW w:w="14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r>
      <w:tr>
        <w:trPr>
          <w:trHeight w:val="203"/>
        </w:trPr>
        <w:tc>
          <w:tcPr>
            <w:tcW w:w="3420" w:type="dxa"/>
            <w:vAlign w:val="bottom"/>
          </w:tcPr>
          <w:p>
            <w:pPr>
              <w:ind w:left="100"/>
              <w:spacing w:after="0" w:line="203" w:lineRule="exact"/>
              <w:rPr>
                <w:sz w:val="20"/>
                <w:szCs w:val="20"/>
                <w:color w:val="auto"/>
              </w:rPr>
            </w:pPr>
            <w:r>
              <w:rPr>
                <w:rFonts w:ascii="Arial" w:cs="Arial" w:eastAsia="Arial" w:hAnsi="Arial"/>
                <w:sz w:val="18"/>
                <w:szCs w:val="18"/>
                <w:color w:val="auto"/>
              </w:rPr>
              <w:t>Composites</w:t>
            </w:r>
          </w:p>
        </w:tc>
        <w:tc>
          <w:tcPr>
            <w:tcW w:w="3040" w:type="dxa"/>
            <w:vAlign w:val="bottom"/>
          </w:tcPr>
          <w:p>
            <w:pPr>
              <w:jc w:val="right"/>
              <w:ind w:right="110"/>
              <w:spacing w:after="0" w:line="203" w:lineRule="exact"/>
              <w:rPr>
                <w:sz w:val="20"/>
                <w:szCs w:val="20"/>
                <w:color w:val="auto"/>
              </w:rPr>
            </w:pPr>
            <w:r>
              <w:rPr>
                <w:rFonts w:ascii="Arial" w:cs="Arial" w:eastAsia="Arial" w:hAnsi="Arial"/>
                <w:sz w:val="18"/>
                <w:szCs w:val="18"/>
                <w:color w:val="auto"/>
              </w:rPr>
              <w:t>(1,043)</w:t>
            </w:r>
          </w:p>
        </w:tc>
        <w:tc>
          <w:tcPr>
            <w:tcW w:w="17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Arial" w:cs="Arial" w:eastAsia="Arial" w:hAnsi="Arial"/>
                <w:sz w:val="18"/>
                <w:szCs w:val="18"/>
                <w:color w:val="auto"/>
              </w:rPr>
              <w:t>(1,043)</w:t>
            </w:r>
          </w:p>
        </w:tc>
      </w:tr>
      <w:tr>
        <w:trPr>
          <w:trHeight w:val="243"/>
        </w:trPr>
        <w:tc>
          <w:tcPr>
            <w:tcW w:w="3420" w:type="dxa"/>
            <w:vAlign w:val="bottom"/>
          </w:tcPr>
          <w:p>
            <w:pPr>
              <w:ind w:left="100"/>
              <w:spacing w:after="0" w:line="243" w:lineRule="exact"/>
              <w:rPr>
                <w:sz w:val="20"/>
                <w:szCs w:val="20"/>
                <w:color w:val="auto"/>
              </w:rPr>
            </w:pPr>
            <w:r>
              <w:rPr>
                <w:rFonts w:ascii="Arial" w:cs="Arial" w:eastAsia="Arial" w:hAnsi="Arial"/>
                <w:sz w:val="17"/>
                <w:szCs w:val="17"/>
                <w:color w:val="auto"/>
              </w:rPr>
              <w:t>PrimaLoft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w:t>
            </w:r>
          </w:p>
        </w:tc>
        <w:tc>
          <w:tcPr>
            <w:tcW w:w="3040" w:type="dxa"/>
            <w:vAlign w:val="bottom"/>
          </w:tcPr>
          <w:p>
            <w:pPr>
              <w:jc w:val="right"/>
              <w:ind w:right="170"/>
              <w:spacing w:after="0"/>
              <w:rPr>
                <w:sz w:val="20"/>
                <w:szCs w:val="20"/>
                <w:color w:val="auto"/>
              </w:rPr>
            </w:pPr>
            <w:r>
              <w:rPr>
                <w:rFonts w:ascii="Arial" w:cs="Arial" w:eastAsia="Arial" w:hAnsi="Arial"/>
                <w:sz w:val="18"/>
                <w:szCs w:val="18"/>
                <w:color w:val="auto"/>
              </w:rPr>
              <w:t>1,911</w:t>
            </w:r>
          </w:p>
        </w:tc>
        <w:tc>
          <w:tcPr>
            <w:tcW w:w="17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1,911</w:t>
            </w:r>
          </w:p>
        </w:tc>
      </w:tr>
      <w:tr>
        <w:trPr>
          <w:trHeight w:val="203"/>
        </w:trPr>
        <w:tc>
          <w:tcPr>
            <w:tcW w:w="3420" w:type="dxa"/>
            <w:vAlign w:val="bottom"/>
          </w:tcPr>
          <w:p>
            <w:pPr>
              <w:ind w:left="100"/>
              <w:spacing w:after="0" w:line="202" w:lineRule="exact"/>
              <w:rPr>
                <w:sz w:val="20"/>
                <w:szCs w:val="20"/>
                <w:color w:val="auto"/>
              </w:rPr>
            </w:pPr>
            <w:r>
              <w:rPr>
                <w:rFonts w:ascii="Arial" w:cs="Arial" w:eastAsia="Arial" w:hAnsi="Arial"/>
                <w:sz w:val="18"/>
                <w:szCs w:val="18"/>
                <w:color w:val="auto"/>
              </w:rPr>
              <w:t>Research</w:t>
            </w:r>
          </w:p>
        </w:tc>
        <w:tc>
          <w:tcPr>
            <w:tcW w:w="30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(7,165)</w:t>
            </w:r>
          </w:p>
        </w:tc>
        <w:tc>
          <w:tcPr>
            <w:tcW w:w="17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(7,165)</w:t>
            </w:r>
          </w:p>
        </w:tc>
      </w:tr>
      <w:tr>
        <w:trPr>
          <w:trHeight w:val="203"/>
        </w:trPr>
        <w:tc>
          <w:tcPr>
            <w:tcW w:w="342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Non Segment</w:t>
            </w:r>
          </w:p>
        </w:tc>
        <w:tc>
          <w:tcPr>
            <w:tcW w:w="304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(17,438)</w:t>
            </w:r>
          </w:p>
        </w:tc>
        <w:tc>
          <w:tcPr>
            <w:tcW w:w="172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445</w:t>
            </w:r>
          </w:p>
        </w:tc>
        <w:tc>
          <w:tcPr>
            <w:tcW w:w="17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(16,993)</w:t>
            </w:r>
          </w:p>
        </w:tc>
      </w:tr>
      <w:tr>
        <w:trPr>
          <w:trHeight w:val="196"/>
        </w:trPr>
        <w:tc>
          <w:tcPr>
            <w:tcW w:w="342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w:t>
            </w:r>
          </w:p>
        </w:tc>
        <w:tc>
          <w:tcPr>
            <w:tcW w:w="304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31,907</w:t>
            </w:r>
          </w:p>
        </w:tc>
        <w:tc>
          <w:tcPr>
            <w:tcW w:w="17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(4,926)</w:t>
            </w:r>
          </w:p>
        </w:tc>
        <w:tc>
          <w:tcPr>
            <w:tcW w:w="178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26,981</w:t>
            </w:r>
          </w:p>
        </w:tc>
      </w:tr>
      <w:tr>
        <w:trPr>
          <w:trHeight w:val="426"/>
        </w:trPr>
        <w:tc>
          <w:tcPr>
            <w:tcW w:w="3420" w:type="dxa"/>
            <w:vAlign w:val="bottom"/>
          </w:tcPr>
          <w:p>
            <w:pPr>
              <w:spacing w:after="0"/>
              <w:rPr>
                <w:sz w:val="24"/>
                <w:szCs w:val="24"/>
                <w:color w:val="auto"/>
              </w:rPr>
            </w:pPr>
          </w:p>
        </w:tc>
        <w:tc>
          <w:tcPr>
            <w:tcW w:w="3040" w:type="dxa"/>
            <w:vAlign w:val="bottom"/>
          </w:tcPr>
          <w:p>
            <w:pPr>
              <w:jc w:val="right"/>
              <w:ind w:right="610"/>
              <w:spacing w:after="0"/>
              <w:rPr>
                <w:sz w:val="20"/>
                <w:szCs w:val="20"/>
                <w:color w:val="auto"/>
              </w:rPr>
            </w:pPr>
            <w:r>
              <w:rPr>
                <w:rFonts w:ascii="Arial" w:cs="Arial" w:eastAsia="Arial" w:hAnsi="Arial"/>
                <w:sz w:val="18"/>
                <w:szCs w:val="18"/>
                <w:color w:val="auto"/>
              </w:rPr>
              <w:t>7</w:t>
            </w:r>
          </w:p>
        </w:tc>
        <w:tc>
          <w:tcPr>
            <w:tcW w:w="17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7"/>
        </w:trPr>
        <w:tc>
          <w:tcPr>
            <w:tcW w:w="342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679"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2. Discontinued Operations</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On October 27, 2011 we entered into a contract to sell the assets and liabilities of our Albany Door Systems business to Assa Abloy AB for $130 million. Closing on the transaction occurred on January 11, 2012. Under the terms of the contract, Assa Abloy AB acquired our equity ownership of Albany Doors Systems GmbH in Germany, Albany Door Systems AB in Sweden, and other ADS affiliates in Germany, France, the Netherlands, Turkey, Poland, Belgium, New Zealand, and other countries, as well as the remaining ADS business assets, most of which are located in the United States, Australia, China, and Italy. As of March 31, 2012, the purchaser had yet to complete certain legal registration activities in China and, as a result, certain business assets and liabilities have not yet been transferred to the purchaser.</w:t>
      </w:r>
    </w:p>
    <w:p>
      <w:pPr>
        <w:spacing w:after="0" w:line="97"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Company recorded a pre-tax gain of $58.0 million, including $17.4 million which was payable by the purchaser as of March 31, 2012. The initial purchase price of $130 million included $13 million to be paid in July 2013. We recorded the value of that consideration on a present value basis and, as of March 31, 2012, we have a receivable of $12.4 million included in Other assets. Additionally, in March 2012, we agreed with the purchaser on certain post-closing adjustments and, included in Accounts receivable, net is $5.0 million to reflect that agreement. We received that payment in April 2012.</w:t>
      </w:r>
    </w:p>
    <w:p>
      <w:pPr>
        <w:spacing w:after="0" w:line="95"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In accordance with the applicable accounting guidance for discontinued businesses, the associated results of operations and financial position are reported separately in the accompanying Consolidated Statements of Operations and Balance Sheets. Cash flows of the discontinued operation were combined with cash flows from continuing operations in the consolidated statements of cash flows.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operating results of the discontinued operations: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20" w:type="dxa"/>
            <w:vAlign w:val="bottom"/>
            <w:tcBorders>
              <w:top w:val="single" w:sz="8" w:color="auto"/>
            </w:tcBorders>
          </w:tcPr>
          <w:p>
            <w:pPr>
              <w:spacing w:after="0"/>
              <w:rPr>
                <w:sz w:val="18"/>
                <w:szCs w:val="18"/>
                <w:color w:val="auto"/>
              </w:rPr>
            </w:pPr>
          </w:p>
        </w:tc>
        <w:tc>
          <w:tcPr>
            <w:tcW w:w="3040" w:type="dxa"/>
            <w:vAlign w:val="bottom"/>
            <w:tcBorders>
              <w:top w:val="single" w:sz="8" w:color="auto"/>
            </w:tcBorders>
          </w:tcPr>
          <w:p>
            <w:pPr>
              <w:jc w:val="center"/>
              <w:ind w:left="570"/>
              <w:spacing w:after="0"/>
              <w:rPr>
                <w:sz w:val="20"/>
                <w:szCs w:val="20"/>
                <w:color w:val="auto"/>
              </w:rPr>
            </w:pPr>
            <w:r>
              <w:rPr>
                <w:rFonts w:ascii="Arial" w:cs="Arial" w:eastAsia="Arial" w:hAnsi="Arial"/>
                <w:sz w:val="18"/>
                <w:szCs w:val="18"/>
                <w:color w:val="auto"/>
                <w:w w:val="98"/>
              </w:rPr>
              <w:t>January 1 to</w:t>
            </w: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Three months</w:t>
            </w:r>
          </w:p>
        </w:tc>
        <w:tc>
          <w:tcPr>
            <w:tcW w:w="0" w:type="dxa"/>
            <w:vAlign w:val="bottom"/>
          </w:tcPr>
          <w:p>
            <w:pPr>
              <w:spacing w:after="0"/>
              <w:rPr>
                <w:sz w:val="1"/>
                <w:szCs w:val="1"/>
                <w:color w:val="auto"/>
              </w:rPr>
            </w:pPr>
          </w:p>
        </w:tc>
      </w:tr>
      <w:tr>
        <w:trPr>
          <w:trHeight w:val="203"/>
        </w:trPr>
        <w:tc>
          <w:tcPr>
            <w:tcW w:w="622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(in thousands)</w:t>
            </w:r>
          </w:p>
        </w:tc>
        <w:tc>
          <w:tcPr>
            <w:tcW w:w="3040" w:type="dxa"/>
            <w:vAlign w:val="bottom"/>
          </w:tcPr>
          <w:p>
            <w:pPr>
              <w:jc w:val="center"/>
              <w:ind w:left="570"/>
              <w:spacing w:after="0" w:line="202" w:lineRule="exact"/>
              <w:rPr>
                <w:sz w:val="20"/>
                <w:szCs w:val="20"/>
                <w:color w:val="auto"/>
              </w:rPr>
            </w:pPr>
            <w:r>
              <w:rPr>
                <w:rFonts w:ascii="Arial" w:cs="Arial" w:eastAsia="Arial" w:hAnsi="Arial"/>
                <w:sz w:val="18"/>
                <w:szCs w:val="18"/>
                <w:color w:val="auto"/>
                <w:w w:val="99"/>
              </w:rPr>
              <w:t>January 11,</w:t>
            </w:r>
          </w:p>
        </w:tc>
        <w:tc>
          <w:tcPr>
            <w:tcW w:w="2160" w:type="dxa"/>
            <w:vAlign w:val="bottom"/>
          </w:tcPr>
          <w:p>
            <w:pPr>
              <w:jc w:val="center"/>
              <w:spacing w:after="0" w:line="202" w:lineRule="exact"/>
              <w:rPr>
                <w:sz w:val="20"/>
                <w:szCs w:val="20"/>
                <w:color w:val="auto"/>
              </w:rPr>
            </w:pPr>
            <w:r>
              <w:rPr>
                <w:rFonts w:ascii="Arial" w:cs="Arial" w:eastAsia="Arial" w:hAnsi="Arial"/>
                <w:sz w:val="18"/>
                <w:szCs w:val="18"/>
                <w:color w:val="auto"/>
                <w:w w:val="99"/>
              </w:rPr>
              <w:t>ended</w:t>
            </w:r>
          </w:p>
        </w:tc>
        <w:tc>
          <w:tcPr>
            <w:tcW w:w="0" w:type="dxa"/>
            <w:vAlign w:val="bottom"/>
          </w:tcPr>
          <w:p>
            <w:pPr>
              <w:spacing w:after="0"/>
              <w:rPr>
                <w:sz w:val="1"/>
                <w:szCs w:val="1"/>
                <w:color w:val="auto"/>
              </w:rPr>
            </w:pPr>
          </w:p>
        </w:tc>
      </w:tr>
      <w:tr>
        <w:trPr>
          <w:trHeight w:val="203"/>
        </w:trPr>
        <w:tc>
          <w:tcPr>
            <w:tcW w:w="6220" w:type="dxa"/>
            <w:vAlign w:val="bottom"/>
            <w:tcBorders>
              <w:bottom w:val="single" w:sz="8" w:color="auto"/>
            </w:tcBorders>
            <w:vMerge w:val="continue"/>
          </w:tcPr>
          <w:p>
            <w:pPr>
              <w:spacing w:after="0"/>
              <w:rPr>
                <w:sz w:val="17"/>
                <w:szCs w:val="17"/>
                <w:color w:val="auto"/>
              </w:rPr>
            </w:pPr>
          </w:p>
        </w:tc>
        <w:tc>
          <w:tcPr>
            <w:tcW w:w="3040" w:type="dxa"/>
            <w:vAlign w:val="bottom"/>
            <w:tcBorders>
              <w:bottom w:val="single" w:sz="8" w:color="auto"/>
            </w:tcBorders>
          </w:tcPr>
          <w:p>
            <w:pPr>
              <w:jc w:val="center"/>
              <w:ind w:left="590"/>
              <w:spacing w:after="0" w:line="203" w:lineRule="exact"/>
              <w:rPr>
                <w:sz w:val="20"/>
                <w:szCs w:val="20"/>
                <w:color w:val="auto"/>
              </w:rPr>
            </w:pPr>
            <w:r>
              <w:rPr>
                <w:rFonts w:ascii="Arial" w:cs="Arial" w:eastAsia="Arial" w:hAnsi="Arial"/>
                <w:sz w:val="18"/>
                <w:szCs w:val="18"/>
                <w:color w:val="auto"/>
                <w:w w:val="99"/>
              </w:rPr>
              <w:t>2012</w:t>
            </w:r>
          </w:p>
        </w:tc>
        <w:tc>
          <w:tcPr>
            <w:tcW w:w="216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rPr>
              <w:t>March 31, 2011</w:t>
            </w:r>
          </w:p>
        </w:tc>
        <w:tc>
          <w:tcPr>
            <w:tcW w:w="0" w:type="dxa"/>
            <w:vAlign w:val="bottom"/>
          </w:tcPr>
          <w:p>
            <w:pPr>
              <w:spacing w:after="0"/>
              <w:rPr>
                <w:sz w:val="1"/>
                <w:szCs w:val="1"/>
                <w:color w:val="auto"/>
              </w:rPr>
            </w:pPr>
          </w:p>
        </w:tc>
      </w:tr>
      <w:tr>
        <w:trPr>
          <w:trHeight w:val="412"/>
        </w:trPr>
        <w:tc>
          <w:tcPr>
            <w:tcW w:w="6220" w:type="dxa"/>
            <w:vAlign w:val="bottom"/>
          </w:tcPr>
          <w:p>
            <w:pPr>
              <w:ind w:left="100"/>
              <w:spacing w:after="0"/>
              <w:rPr>
                <w:sz w:val="20"/>
                <w:szCs w:val="20"/>
                <w:color w:val="auto"/>
              </w:rPr>
            </w:pPr>
            <w:r>
              <w:rPr>
                <w:rFonts w:ascii="Arial" w:cs="Arial" w:eastAsia="Arial" w:hAnsi="Arial"/>
                <w:sz w:val="18"/>
                <w:szCs w:val="18"/>
                <w:color w:val="auto"/>
              </w:rPr>
              <w:t>Net sales</w:t>
            </w:r>
          </w:p>
        </w:tc>
        <w:tc>
          <w:tcPr>
            <w:tcW w:w="3040" w:type="dxa"/>
            <w:vAlign w:val="bottom"/>
          </w:tcPr>
          <w:p>
            <w:pPr>
              <w:jc w:val="right"/>
              <w:ind w:right="350"/>
              <w:spacing w:after="0"/>
              <w:rPr>
                <w:sz w:val="20"/>
                <w:szCs w:val="20"/>
                <w:color w:val="auto"/>
              </w:rPr>
            </w:pPr>
            <w:r>
              <w:rPr>
                <w:rFonts w:ascii="Arial" w:cs="Arial" w:eastAsia="Arial" w:hAnsi="Arial"/>
                <w:sz w:val="18"/>
                <w:szCs w:val="18"/>
                <w:color w:val="auto"/>
              </w:rPr>
              <w:t>$4,843</w:t>
            </w: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$45,128</w:t>
            </w:r>
          </w:p>
        </w:tc>
        <w:tc>
          <w:tcPr>
            <w:tcW w:w="0" w:type="dxa"/>
            <w:vAlign w:val="bottom"/>
          </w:tcPr>
          <w:p>
            <w:pPr>
              <w:spacing w:after="0"/>
              <w:rPr>
                <w:sz w:val="1"/>
                <w:szCs w:val="1"/>
                <w:color w:val="auto"/>
              </w:rPr>
            </w:pPr>
          </w:p>
        </w:tc>
      </w:tr>
      <w:tr>
        <w:trPr>
          <w:trHeight w:val="405"/>
        </w:trPr>
        <w:tc>
          <w:tcPr>
            <w:tcW w:w="6220" w:type="dxa"/>
            <w:vAlign w:val="bottom"/>
          </w:tcPr>
          <w:p>
            <w:pPr>
              <w:ind w:left="100"/>
              <w:spacing w:after="0"/>
              <w:rPr>
                <w:sz w:val="20"/>
                <w:szCs w:val="20"/>
                <w:color w:val="auto"/>
              </w:rPr>
            </w:pPr>
            <w:r>
              <w:rPr>
                <w:rFonts w:ascii="Arial" w:cs="Arial" w:eastAsia="Arial" w:hAnsi="Arial"/>
                <w:sz w:val="18"/>
                <w:szCs w:val="18"/>
                <w:color w:val="auto"/>
              </w:rPr>
              <w:t>Income from operations of discontinued business before tax</w:t>
            </w:r>
          </w:p>
        </w:tc>
        <w:tc>
          <w:tcPr>
            <w:tcW w:w="3040" w:type="dxa"/>
            <w:vAlign w:val="bottom"/>
          </w:tcPr>
          <w:p>
            <w:pPr>
              <w:jc w:val="right"/>
              <w:ind w:right="350"/>
              <w:spacing w:after="0"/>
              <w:rPr>
                <w:sz w:val="20"/>
                <w:szCs w:val="20"/>
                <w:color w:val="auto"/>
              </w:rPr>
            </w:pPr>
            <w:r>
              <w:rPr>
                <w:rFonts w:ascii="Arial" w:cs="Arial" w:eastAsia="Arial" w:hAnsi="Arial"/>
                <w:sz w:val="18"/>
                <w:szCs w:val="18"/>
                <w:color w:val="auto"/>
              </w:rPr>
              <w:t>460</w:t>
            </w: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4,650</w:t>
            </w:r>
          </w:p>
        </w:tc>
        <w:tc>
          <w:tcPr>
            <w:tcW w:w="0" w:type="dxa"/>
            <w:vAlign w:val="bottom"/>
          </w:tcPr>
          <w:p>
            <w:pPr>
              <w:spacing w:after="0"/>
              <w:rPr>
                <w:sz w:val="1"/>
                <w:szCs w:val="1"/>
                <w:color w:val="auto"/>
              </w:rPr>
            </w:pPr>
          </w:p>
        </w:tc>
      </w:tr>
      <w:tr>
        <w:trPr>
          <w:trHeight w:val="405"/>
        </w:trPr>
        <w:tc>
          <w:tcPr>
            <w:tcW w:w="6220" w:type="dxa"/>
            <w:vAlign w:val="bottom"/>
          </w:tcPr>
          <w:p>
            <w:pPr>
              <w:ind w:left="100"/>
              <w:spacing w:after="0"/>
              <w:rPr>
                <w:sz w:val="20"/>
                <w:szCs w:val="20"/>
                <w:color w:val="auto"/>
              </w:rPr>
            </w:pPr>
            <w:r>
              <w:rPr>
                <w:rFonts w:ascii="Arial" w:cs="Arial" w:eastAsia="Arial" w:hAnsi="Arial"/>
                <w:sz w:val="18"/>
                <w:szCs w:val="18"/>
                <w:color w:val="auto"/>
              </w:rPr>
              <w:t>Gain on disposition of discontinued operations</w:t>
            </w:r>
          </w:p>
        </w:tc>
        <w:tc>
          <w:tcPr>
            <w:tcW w:w="3040" w:type="dxa"/>
            <w:vAlign w:val="bottom"/>
          </w:tcPr>
          <w:p>
            <w:pPr>
              <w:jc w:val="right"/>
              <w:ind w:right="350"/>
              <w:spacing w:after="0"/>
              <w:rPr>
                <w:sz w:val="20"/>
                <w:szCs w:val="20"/>
                <w:color w:val="auto"/>
              </w:rPr>
            </w:pPr>
            <w:r>
              <w:rPr>
                <w:rFonts w:ascii="Arial" w:cs="Arial" w:eastAsia="Arial" w:hAnsi="Arial"/>
                <w:sz w:val="18"/>
                <w:szCs w:val="18"/>
                <w:color w:val="auto"/>
              </w:rPr>
              <w:t>57,968</w:t>
            </w:r>
          </w:p>
        </w:tc>
        <w:tc>
          <w:tcPr>
            <w:tcW w:w="21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5"/>
        </w:trPr>
        <w:tc>
          <w:tcPr>
            <w:tcW w:w="6220" w:type="dxa"/>
            <w:vAlign w:val="bottom"/>
          </w:tcPr>
          <w:p>
            <w:pPr>
              <w:ind w:left="100"/>
              <w:spacing w:after="0"/>
              <w:rPr>
                <w:sz w:val="20"/>
                <w:szCs w:val="20"/>
                <w:color w:val="auto"/>
              </w:rPr>
            </w:pPr>
            <w:r>
              <w:rPr>
                <w:rFonts w:ascii="Arial" w:cs="Arial" w:eastAsia="Arial" w:hAnsi="Arial"/>
                <w:sz w:val="18"/>
                <w:szCs w:val="18"/>
                <w:color w:val="auto"/>
              </w:rPr>
              <w:t>Income tax expense</w:t>
            </w:r>
          </w:p>
        </w:tc>
        <w:tc>
          <w:tcPr>
            <w:tcW w:w="3040" w:type="dxa"/>
            <w:vAlign w:val="bottom"/>
          </w:tcPr>
          <w:p>
            <w:pPr>
              <w:jc w:val="right"/>
              <w:ind w:right="350"/>
              <w:spacing w:after="0"/>
              <w:rPr>
                <w:sz w:val="20"/>
                <w:szCs w:val="20"/>
                <w:color w:val="auto"/>
              </w:rPr>
            </w:pPr>
            <w:r>
              <w:rPr>
                <w:rFonts w:ascii="Arial" w:cs="Arial" w:eastAsia="Arial" w:hAnsi="Arial"/>
                <w:sz w:val="18"/>
                <w:szCs w:val="18"/>
                <w:color w:val="auto"/>
              </w:rPr>
              <w:t>12,221</w:t>
            </w: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major categories of assets and liabilities for the discontinued Albany Doors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(in thousands)</w:t>
            </w:r>
          </w:p>
        </w:tc>
        <w:tc>
          <w:tcPr>
            <w:tcW w:w="4460" w:type="dxa"/>
            <w:vAlign w:val="bottom"/>
            <w:gridSpan w:val="2"/>
          </w:tcPr>
          <w:p>
            <w:pPr>
              <w:jc w:val="right"/>
              <w:ind w:right="550"/>
              <w:spacing w:after="0"/>
              <w:rPr>
                <w:sz w:val="20"/>
                <w:szCs w:val="20"/>
                <w:color w:val="auto"/>
              </w:rPr>
            </w:pPr>
            <w:r>
              <w:rPr>
                <w:rFonts w:ascii="Arial" w:cs="Arial" w:eastAsia="Arial" w:hAnsi="Arial"/>
                <w:sz w:val="18"/>
                <w:szCs w:val="18"/>
                <w:color w:val="auto"/>
              </w:rPr>
              <w:t>March 31,</w:t>
            </w:r>
          </w:p>
        </w:tc>
        <w:tc>
          <w:tcPr>
            <w:tcW w:w="1700" w:type="dxa"/>
            <w:vAlign w:val="bottom"/>
            <w:gridSpan w:val="2"/>
          </w:tcPr>
          <w:p>
            <w:pPr>
              <w:jc w:val="right"/>
              <w:ind w:right="25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03"/>
        </w:trPr>
        <w:tc>
          <w:tcPr>
            <w:tcW w:w="5260" w:type="dxa"/>
            <w:vAlign w:val="bottom"/>
            <w:tcBorders>
              <w:bottom w:val="single" w:sz="8" w:color="auto"/>
            </w:tcBorders>
            <w:vMerge w:val="continue"/>
          </w:tcPr>
          <w:p>
            <w:pPr>
              <w:spacing w:after="0"/>
              <w:rPr>
                <w:sz w:val="17"/>
                <w:szCs w:val="17"/>
                <w:color w:val="auto"/>
              </w:rPr>
            </w:pPr>
          </w:p>
        </w:tc>
        <w:tc>
          <w:tcPr>
            <w:tcW w:w="3700" w:type="dxa"/>
            <w:vAlign w:val="bottom"/>
            <w:tcBorders>
              <w:bottom w:val="single" w:sz="8" w:color="auto"/>
            </w:tcBorders>
          </w:tcPr>
          <w:p>
            <w:pPr>
              <w:ind w:left="3220"/>
              <w:spacing w:after="0" w:line="203" w:lineRule="exact"/>
              <w:rPr>
                <w:sz w:val="20"/>
                <w:szCs w:val="20"/>
                <w:color w:val="auto"/>
              </w:rPr>
            </w:pPr>
            <w:r>
              <w:rPr>
                <w:rFonts w:ascii="Arial" w:cs="Arial" w:eastAsia="Arial" w:hAnsi="Arial"/>
                <w:sz w:val="18"/>
                <w:szCs w:val="18"/>
                <w:color w:val="auto"/>
              </w:rPr>
              <w:t>2012</w:t>
            </w:r>
          </w:p>
        </w:tc>
        <w:tc>
          <w:tcPr>
            <w:tcW w:w="7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ind w:left="580"/>
              <w:spacing w:after="0" w:line="203" w:lineRule="exact"/>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0"/>
        </w:trPr>
        <w:tc>
          <w:tcPr>
            <w:tcW w:w="5260" w:type="dxa"/>
            <w:vAlign w:val="bottom"/>
          </w:tcPr>
          <w:p>
            <w:pPr>
              <w:ind w:left="100"/>
              <w:spacing w:after="0"/>
              <w:rPr>
                <w:sz w:val="20"/>
                <w:szCs w:val="20"/>
                <w:color w:val="auto"/>
              </w:rPr>
            </w:pPr>
            <w:r>
              <w:rPr>
                <w:rFonts w:ascii="Arial" w:cs="Arial" w:eastAsia="Arial" w:hAnsi="Arial"/>
                <w:sz w:val="18"/>
                <w:szCs w:val="18"/>
                <w:color w:val="auto"/>
              </w:rPr>
              <w:t>Assets of Discontinued Operations:</w:t>
            </w:r>
          </w:p>
        </w:tc>
        <w:tc>
          <w:tcPr>
            <w:tcW w:w="3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5260" w:type="dxa"/>
            <w:vAlign w:val="bottom"/>
          </w:tcPr>
          <w:p>
            <w:pPr>
              <w:ind w:left="100"/>
              <w:spacing w:after="0"/>
              <w:rPr>
                <w:sz w:val="20"/>
                <w:szCs w:val="20"/>
                <w:color w:val="auto"/>
              </w:rPr>
            </w:pPr>
            <w:r>
              <w:rPr>
                <w:rFonts w:ascii="Arial" w:cs="Arial" w:eastAsia="Arial" w:hAnsi="Arial"/>
                <w:sz w:val="18"/>
                <w:szCs w:val="18"/>
                <w:color w:val="auto"/>
              </w:rPr>
              <w:t>Cash</w:t>
            </w:r>
          </w:p>
        </w:tc>
        <w:tc>
          <w:tcPr>
            <w:tcW w:w="3700" w:type="dxa"/>
            <w:vAlign w:val="bottom"/>
          </w:tcPr>
          <w:p>
            <w:pPr>
              <w:ind w:left="32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ind w:left="6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13,545</w:t>
            </w:r>
          </w:p>
        </w:tc>
        <w:tc>
          <w:tcPr>
            <w:tcW w:w="0" w:type="dxa"/>
            <w:vAlign w:val="bottom"/>
          </w:tcPr>
          <w:p>
            <w:pPr>
              <w:spacing w:after="0"/>
              <w:rPr>
                <w:sz w:val="1"/>
                <w:szCs w:val="1"/>
                <w:color w:val="auto"/>
              </w:rPr>
            </w:pPr>
          </w:p>
        </w:tc>
      </w:tr>
      <w:tr>
        <w:trPr>
          <w:trHeight w:val="203"/>
        </w:trPr>
        <w:tc>
          <w:tcPr>
            <w:tcW w:w="5260" w:type="dxa"/>
            <w:vAlign w:val="bottom"/>
          </w:tcPr>
          <w:p>
            <w:pPr>
              <w:ind w:left="100"/>
              <w:spacing w:after="0" w:line="202" w:lineRule="exact"/>
              <w:rPr>
                <w:sz w:val="20"/>
                <w:szCs w:val="20"/>
                <w:color w:val="auto"/>
              </w:rPr>
            </w:pPr>
            <w:r>
              <w:rPr>
                <w:rFonts w:ascii="Arial" w:cs="Arial" w:eastAsia="Arial" w:hAnsi="Arial"/>
                <w:sz w:val="18"/>
                <w:szCs w:val="18"/>
                <w:color w:val="auto"/>
              </w:rPr>
              <w:t>Accounts receivable, net of allowance for doubtful accounts</w:t>
            </w:r>
          </w:p>
        </w:tc>
        <w:tc>
          <w:tcPr>
            <w:tcW w:w="3700" w:type="dxa"/>
            <w:vAlign w:val="bottom"/>
          </w:tcPr>
          <w:p>
            <w:pPr>
              <w:spacing w:after="0"/>
              <w:rPr>
                <w:sz w:val="17"/>
                <w:szCs w:val="17"/>
                <w:color w:val="auto"/>
              </w:rPr>
            </w:pPr>
          </w:p>
        </w:tc>
        <w:tc>
          <w:tcPr>
            <w:tcW w:w="7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1,197</w:t>
            </w:r>
          </w:p>
        </w:tc>
        <w:tc>
          <w:tcPr>
            <w:tcW w:w="82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35,120</w:t>
            </w:r>
          </w:p>
        </w:tc>
        <w:tc>
          <w:tcPr>
            <w:tcW w:w="0" w:type="dxa"/>
            <w:vAlign w:val="bottom"/>
          </w:tcPr>
          <w:p>
            <w:pPr>
              <w:spacing w:after="0"/>
              <w:rPr>
                <w:sz w:val="1"/>
                <w:szCs w:val="1"/>
                <w:color w:val="auto"/>
              </w:rPr>
            </w:pPr>
          </w:p>
        </w:tc>
      </w:tr>
      <w:tr>
        <w:trPr>
          <w:trHeight w:val="203"/>
        </w:trPr>
        <w:tc>
          <w:tcPr>
            <w:tcW w:w="5260" w:type="dxa"/>
            <w:vAlign w:val="bottom"/>
          </w:tcPr>
          <w:p>
            <w:pPr>
              <w:ind w:left="100"/>
              <w:spacing w:after="0" w:line="202" w:lineRule="exact"/>
              <w:rPr>
                <w:sz w:val="20"/>
                <w:szCs w:val="20"/>
                <w:color w:val="auto"/>
              </w:rPr>
            </w:pPr>
            <w:r>
              <w:rPr>
                <w:rFonts w:ascii="Arial" w:cs="Arial" w:eastAsia="Arial" w:hAnsi="Arial"/>
                <w:sz w:val="18"/>
                <w:szCs w:val="18"/>
                <w:color w:val="auto"/>
              </w:rPr>
              <w:t>Inventories</w:t>
            </w:r>
          </w:p>
        </w:tc>
        <w:tc>
          <w:tcPr>
            <w:tcW w:w="3700" w:type="dxa"/>
            <w:vAlign w:val="bottom"/>
          </w:tcPr>
          <w:p>
            <w:pPr>
              <w:spacing w:after="0"/>
              <w:rPr>
                <w:sz w:val="17"/>
                <w:szCs w:val="17"/>
                <w:color w:val="auto"/>
              </w:rPr>
            </w:pPr>
          </w:p>
        </w:tc>
        <w:tc>
          <w:tcPr>
            <w:tcW w:w="7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1,309</w:t>
            </w:r>
          </w:p>
        </w:tc>
        <w:tc>
          <w:tcPr>
            <w:tcW w:w="82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12,661</w:t>
            </w:r>
          </w:p>
        </w:tc>
        <w:tc>
          <w:tcPr>
            <w:tcW w:w="0" w:type="dxa"/>
            <w:vAlign w:val="bottom"/>
          </w:tcPr>
          <w:p>
            <w:pPr>
              <w:spacing w:after="0"/>
              <w:rPr>
                <w:sz w:val="1"/>
                <w:szCs w:val="1"/>
                <w:color w:val="auto"/>
              </w:rPr>
            </w:pPr>
          </w:p>
        </w:tc>
      </w:tr>
      <w:tr>
        <w:trPr>
          <w:trHeight w:val="203"/>
        </w:trPr>
        <w:tc>
          <w:tcPr>
            <w:tcW w:w="5260" w:type="dxa"/>
            <w:vAlign w:val="bottom"/>
          </w:tcPr>
          <w:p>
            <w:pPr>
              <w:ind w:left="100"/>
              <w:spacing w:after="0" w:line="202" w:lineRule="exact"/>
              <w:rPr>
                <w:sz w:val="20"/>
                <w:szCs w:val="20"/>
                <w:color w:val="auto"/>
              </w:rPr>
            </w:pPr>
            <w:r>
              <w:rPr>
                <w:rFonts w:ascii="Arial" w:cs="Arial" w:eastAsia="Arial" w:hAnsi="Arial"/>
                <w:sz w:val="18"/>
                <w:szCs w:val="18"/>
                <w:color w:val="auto"/>
              </w:rPr>
              <w:t>Property, plant and equipment, net</w:t>
            </w:r>
          </w:p>
        </w:tc>
        <w:tc>
          <w:tcPr>
            <w:tcW w:w="3700" w:type="dxa"/>
            <w:vAlign w:val="bottom"/>
          </w:tcPr>
          <w:p>
            <w:pPr>
              <w:spacing w:after="0"/>
              <w:rPr>
                <w:sz w:val="17"/>
                <w:szCs w:val="17"/>
                <w:color w:val="auto"/>
              </w:rPr>
            </w:pPr>
          </w:p>
        </w:tc>
        <w:tc>
          <w:tcPr>
            <w:tcW w:w="7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279</w:t>
            </w:r>
          </w:p>
        </w:tc>
        <w:tc>
          <w:tcPr>
            <w:tcW w:w="82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6,344</w:t>
            </w:r>
          </w:p>
        </w:tc>
        <w:tc>
          <w:tcPr>
            <w:tcW w:w="0" w:type="dxa"/>
            <w:vAlign w:val="bottom"/>
          </w:tcPr>
          <w:p>
            <w:pPr>
              <w:spacing w:after="0"/>
              <w:rPr>
                <w:sz w:val="1"/>
                <w:szCs w:val="1"/>
                <w:color w:val="auto"/>
              </w:rPr>
            </w:pPr>
          </w:p>
        </w:tc>
      </w:tr>
      <w:tr>
        <w:trPr>
          <w:trHeight w:val="203"/>
        </w:trPr>
        <w:tc>
          <w:tcPr>
            <w:tcW w:w="5260" w:type="dxa"/>
            <w:vAlign w:val="bottom"/>
          </w:tcPr>
          <w:p>
            <w:pPr>
              <w:ind w:left="100"/>
              <w:spacing w:after="0" w:line="202" w:lineRule="exact"/>
              <w:rPr>
                <w:sz w:val="20"/>
                <w:szCs w:val="20"/>
                <w:color w:val="auto"/>
              </w:rPr>
            </w:pPr>
            <w:r>
              <w:rPr>
                <w:rFonts w:ascii="Arial" w:cs="Arial" w:eastAsia="Arial" w:hAnsi="Arial"/>
                <w:sz w:val="18"/>
                <w:szCs w:val="18"/>
                <w:color w:val="auto"/>
              </w:rPr>
              <w:t>Goodwill and intangibles</w:t>
            </w:r>
          </w:p>
        </w:tc>
        <w:tc>
          <w:tcPr>
            <w:tcW w:w="3700" w:type="dxa"/>
            <w:vAlign w:val="bottom"/>
          </w:tcPr>
          <w:p>
            <w:pPr>
              <w:spacing w:after="0"/>
              <w:rPr>
                <w:sz w:val="17"/>
                <w:szCs w:val="17"/>
                <w:color w:val="auto"/>
              </w:rPr>
            </w:pPr>
          </w:p>
        </w:tc>
        <w:tc>
          <w:tcPr>
            <w:tcW w:w="7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39,227</w:t>
            </w:r>
          </w:p>
        </w:tc>
        <w:tc>
          <w:tcPr>
            <w:tcW w:w="0" w:type="dxa"/>
            <w:vAlign w:val="bottom"/>
          </w:tcPr>
          <w:p>
            <w:pPr>
              <w:spacing w:after="0"/>
              <w:rPr>
                <w:sz w:val="1"/>
                <w:szCs w:val="1"/>
                <w:color w:val="auto"/>
              </w:rPr>
            </w:pPr>
          </w:p>
        </w:tc>
      </w:tr>
      <w:tr>
        <w:trPr>
          <w:trHeight w:val="203"/>
        </w:trPr>
        <w:tc>
          <w:tcPr>
            <w:tcW w:w="526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Other current and noncurrent assets</w:t>
            </w:r>
          </w:p>
        </w:tc>
        <w:tc>
          <w:tcPr>
            <w:tcW w:w="37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90</w:t>
            </w:r>
          </w:p>
        </w:tc>
        <w:tc>
          <w:tcPr>
            <w:tcW w:w="8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5,114</w:t>
            </w:r>
          </w:p>
        </w:tc>
        <w:tc>
          <w:tcPr>
            <w:tcW w:w="0" w:type="dxa"/>
            <w:vAlign w:val="bottom"/>
          </w:tcPr>
          <w:p>
            <w:pPr>
              <w:spacing w:after="0"/>
              <w:rPr>
                <w:sz w:val="1"/>
                <w:szCs w:val="1"/>
                <w:color w:val="auto"/>
              </w:rPr>
            </w:pPr>
          </w:p>
        </w:tc>
      </w:tr>
      <w:tr>
        <w:trPr>
          <w:trHeight w:val="196"/>
        </w:trPr>
        <w:tc>
          <w:tcPr>
            <w:tcW w:w="526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 assets of discontinued operation</w:t>
            </w:r>
          </w:p>
        </w:tc>
        <w:tc>
          <w:tcPr>
            <w:tcW w:w="370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2,875</w:t>
            </w:r>
          </w:p>
        </w:tc>
        <w:tc>
          <w:tcPr>
            <w:tcW w:w="820" w:type="dxa"/>
            <w:vAlign w:val="bottom"/>
            <w:tcBorders>
              <w:bottom w:val="single" w:sz="8" w:color="auto"/>
            </w:tcBorders>
          </w:tcPr>
          <w:p>
            <w:pPr>
              <w:ind w:left="56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112,011</w:t>
            </w:r>
          </w:p>
        </w:tc>
        <w:tc>
          <w:tcPr>
            <w:tcW w:w="0" w:type="dxa"/>
            <w:vAlign w:val="bottom"/>
          </w:tcPr>
          <w:p>
            <w:pPr>
              <w:spacing w:after="0"/>
              <w:rPr>
                <w:sz w:val="1"/>
                <w:szCs w:val="1"/>
                <w:color w:val="auto"/>
              </w:rPr>
            </w:pPr>
          </w:p>
        </w:tc>
      </w:tr>
      <w:tr>
        <w:trPr>
          <w:trHeight w:val="412"/>
        </w:trPr>
        <w:tc>
          <w:tcPr>
            <w:tcW w:w="5260" w:type="dxa"/>
            <w:vAlign w:val="bottom"/>
          </w:tcPr>
          <w:p>
            <w:pPr>
              <w:ind w:left="100"/>
              <w:spacing w:after="0"/>
              <w:rPr>
                <w:sz w:val="20"/>
                <w:szCs w:val="20"/>
                <w:color w:val="auto"/>
              </w:rPr>
            </w:pPr>
            <w:r>
              <w:rPr>
                <w:rFonts w:ascii="Arial" w:cs="Arial" w:eastAsia="Arial" w:hAnsi="Arial"/>
                <w:sz w:val="18"/>
                <w:szCs w:val="18"/>
                <w:color w:val="auto"/>
              </w:rPr>
              <w:t>Liabilities of Discontinued Operations:</w:t>
            </w: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26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37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2,638</w:t>
            </w:r>
          </w:p>
        </w:tc>
        <w:tc>
          <w:tcPr>
            <w:tcW w:w="820" w:type="dxa"/>
            <w:vAlign w:val="bottom"/>
          </w:tcPr>
          <w:p>
            <w:pPr>
              <w:ind w:left="6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8,300</w:t>
            </w:r>
          </w:p>
        </w:tc>
        <w:tc>
          <w:tcPr>
            <w:tcW w:w="0" w:type="dxa"/>
            <w:vAlign w:val="bottom"/>
          </w:tcPr>
          <w:p>
            <w:pPr>
              <w:spacing w:after="0"/>
              <w:rPr>
                <w:sz w:val="1"/>
                <w:szCs w:val="1"/>
                <w:color w:val="auto"/>
              </w:rPr>
            </w:pPr>
          </w:p>
        </w:tc>
      </w:tr>
      <w:tr>
        <w:trPr>
          <w:trHeight w:val="203"/>
        </w:trPr>
        <w:tc>
          <w:tcPr>
            <w:tcW w:w="5260" w:type="dxa"/>
            <w:vAlign w:val="bottom"/>
          </w:tcPr>
          <w:p>
            <w:pPr>
              <w:ind w:left="100"/>
              <w:spacing w:after="0" w:line="202" w:lineRule="exact"/>
              <w:rPr>
                <w:sz w:val="20"/>
                <w:szCs w:val="20"/>
                <w:color w:val="auto"/>
              </w:rPr>
            </w:pPr>
            <w:r>
              <w:rPr>
                <w:rFonts w:ascii="Arial" w:cs="Arial" w:eastAsia="Arial" w:hAnsi="Arial"/>
                <w:sz w:val="18"/>
                <w:szCs w:val="18"/>
                <w:color w:val="auto"/>
              </w:rPr>
              <w:t>Accrued liabilities</w:t>
            </w:r>
          </w:p>
        </w:tc>
        <w:tc>
          <w:tcPr>
            <w:tcW w:w="3700" w:type="dxa"/>
            <w:vAlign w:val="bottom"/>
          </w:tcPr>
          <w:p>
            <w:pPr>
              <w:spacing w:after="0"/>
              <w:rPr>
                <w:sz w:val="17"/>
                <w:szCs w:val="17"/>
                <w:color w:val="auto"/>
              </w:rPr>
            </w:pPr>
          </w:p>
        </w:tc>
        <w:tc>
          <w:tcPr>
            <w:tcW w:w="7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10,883</w:t>
            </w:r>
          </w:p>
        </w:tc>
        <w:tc>
          <w:tcPr>
            <w:tcW w:w="0" w:type="dxa"/>
            <w:vAlign w:val="bottom"/>
          </w:tcPr>
          <w:p>
            <w:pPr>
              <w:spacing w:after="0"/>
              <w:rPr>
                <w:sz w:val="1"/>
                <w:szCs w:val="1"/>
                <w:color w:val="auto"/>
              </w:rPr>
            </w:pPr>
          </w:p>
        </w:tc>
      </w:tr>
      <w:tr>
        <w:trPr>
          <w:trHeight w:val="203"/>
        </w:trPr>
        <w:tc>
          <w:tcPr>
            <w:tcW w:w="5260" w:type="dxa"/>
            <w:vAlign w:val="bottom"/>
          </w:tcPr>
          <w:p>
            <w:pPr>
              <w:ind w:left="100"/>
              <w:spacing w:after="0" w:line="202" w:lineRule="exact"/>
              <w:rPr>
                <w:sz w:val="20"/>
                <w:szCs w:val="20"/>
                <w:color w:val="auto"/>
              </w:rPr>
            </w:pPr>
            <w:r>
              <w:rPr>
                <w:rFonts w:ascii="Arial" w:cs="Arial" w:eastAsia="Arial" w:hAnsi="Arial"/>
                <w:sz w:val="18"/>
                <w:szCs w:val="18"/>
                <w:color w:val="auto"/>
              </w:rPr>
              <w:t>Other current liabilities</w:t>
            </w:r>
          </w:p>
        </w:tc>
        <w:tc>
          <w:tcPr>
            <w:tcW w:w="3700" w:type="dxa"/>
            <w:vAlign w:val="bottom"/>
          </w:tcPr>
          <w:p>
            <w:pPr>
              <w:spacing w:after="0"/>
              <w:rPr>
                <w:sz w:val="17"/>
                <w:szCs w:val="17"/>
                <w:color w:val="auto"/>
              </w:rPr>
            </w:pPr>
          </w:p>
        </w:tc>
        <w:tc>
          <w:tcPr>
            <w:tcW w:w="7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37</w:t>
            </w:r>
          </w:p>
        </w:tc>
        <w:tc>
          <w:tcPr>
            <w:tcW w:w="82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03"/>
        </w:trPr>
        <w:tc>
          <w:tcPr>
            <w:tcW w:w="5260" w:type="dxa"/>
            <w:vAlign w:val="bottom"/>
          </w:tcPr>
          <w:p>
            <w:pPr>
              <w:ind w:left="100"/>
              <w:spacing w:after="0" w:line="202" w:lineRule="exact"/>
              <w:rPr>
                <w:sz w:val="20"/>
                <w:szCs w:val="20"/>
                <w:color w:val="auto"/>
              </w:rPr>
            </w:pPr>
            <w:r>
              <w:rPr>
                <w:rFonts w:ascii="Arial" w:cs="Arial" w:eastAsia="Arial" w:hAnsi="Arial"/>
                <w:sz w:val="18"/>
                <w:szCs w:val="18"/>
                <w:color w:val="auto"/>
              </w:rPr>
              <w:t>Liabilities for defined benefit pension plans</w:t>
            </w:r>
          </w:p>
        </w:tc>
        <w:tc>
          <w:tcPr>
            <w:tcW w:w="3700" w:type="dxa"/>
            <w:vAlign w:val="bottom"/>
          </w:tcPr>
          <w:p>
            <w:pPr>
              <w:spacing w:after="0"/>
              <w:rPr>
                <w:sz w:val="17"/>
                <w:szCs w:val="17"/>
                <w:color w:val="auto"/>
              </w:rPr>
            </w:pPr>
          </w:p>
        </w:tc>
        <w:tc>
          <w:tcPr>
            <w:tcW w:w="7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9,513</w:t>
            </w:r>
          </w:p>
        </w:tc>
        <w:tc>
          <w:tcPr>
            <w:tcW w:w="0" w:type="dxa"/>
            <w:vAlign w:val="bottom"/>
          </w:tcPr>
          <w:p>
            <w:pPr>
              <w:spacing w:after="0"/>
              <w:rPr>
                <w:sz w:val="1"/>
                <w:szCs w:val="1"/>
                <w:color w:val="auto"/>
              </w:rPr>
            </w:pPr>
          </w:p>
        </w:tc>
      </w:tr>
      <w:tr>
        <w:trPr>
          <w:trHeight w:val="203"/>
        </w:trPr>
        <w:tc>
          <w:tcPr>
            <w:tcW w:w="526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Other noncurrent liabilities</w:t>
            </w:r>
          </w:p>
        </w:tc>
        <w:tc>
          <w:tcPr>
            <w:tcW w:w="37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4,552</w:t>
            </w:r>
          </w:p>
        </w:tc>
        <w:tc>
          <w:tcPr>
            <w:tcW w:w="0" w:type="dxa"/>
            <w:vAlign w:val="bottom"/>
          </w:tcPr>
          <w:p>
            <w:pPr>
              <w:spacing w:after="0"/>
              <w:rPr>
                <w:sz w:val="1"/>
                <w:szCs w:val="1"/>
                <w:color w:val="auto"/>
              </w:rPr>
            </w:pPr>
          </w:p>
        </w:tc>
      </w:tr>
      <w:tr>
        <w:trPr>
          <w:trHeight w:val="196"/>
        </w:trPr>
        <w:tc>
          <w:tcPr>
            <w:tcW w:w="526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 liabilities of discontinued operation</w:t>
            </w:r>
          </w:p>
        </w:tc>
        <w:tc>
          <w:tcPr>
            <w:tcW w:w="370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2,675</w:t>
            </w:r>
          </w:p>
        </w:tc>
        <w:tc>
          <w:tcPr>
            <w:tcW w:w="820" w:type="dxa"/>
            <w:vAlign w:val="bottom"/>
            <w:tcBorders>
              <w:bottom w:val="single" w:sz="8" w:color="auto"/>
            </w:tcBorders>
          </w:tcPr>
          <w:p>
            <w:pPr>
              <w:ind w:left="60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35,011</w:t>
            </w:r>
          </w:p>
        </w:tc>
        <w:tc>
          <w:tcPr>
            <w:tcW w:w="0" w:type="dxa"/>
            <w:vAlign w:val="bottom"/>
          </w:tcPr>
          <w:p>
            <w:pPr>
              <w:spacing w:after="0"/>
              <w:rPr>
                <w:sz w:val="1"/>
                <w:szCs w:val="1"/>
                <w:color w:val="auto"/>
              </w:rPr>
            </w:pPr>
          </w:p>
        </w:tc>
      </w:tr>
      <w:tr>
        <w:trPr>
          <w:trHeight w:val="628"/>
        </w:trPr>
        <w:tc>
          <w:tcPr>
            <w:tcW w:w="5260" w:type="dxa"/>
            <w:vAlign w:val="bottom"/>
          </w:tcPr>
          <w:p>
            <w:pPr>
              <w:spacing w:after="0"/>
              <w:rPr>
                <w:sz w:val="24"/>
                <w:szCs w:val="24"/>
                <w:color w:val="auto"/>
              </w:rPr>
            </w:pPr>
          </w:p>
        </w:tc>
        <w:tc>
          <w:tcPr>
            <w:tcW w:w="3700" w:type="dxa"/>
            <w:vAlign w:val="bottom"/>
          </w:tcPr>
          <w:p>
            <w:pPr>
              <w:jc w:val="right"/>
              <w:ind w:right="3110"/>
              <w:spacing w:after="0"/>
              <w:rPr>
                <w:sz w:val="20"/>
                <w:szCs w:val="20"/>
                <w:color w:val="auto"/>
              </w:rPr>
            </w:pPr>
            <w:r>
              <w:rPr>
                <w:rFonts w:ascii="Arial" w:cs="Arial" w:eastAsia="Arial" w:hAnsi="Arial"/>
                <w:sz w:val="18"/>
                <w:szCs w:val="18"/>
                <w:color w:val="auto"/>
              </w:rPr>
              <w:t>8</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26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5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3. Reportable Segment Data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data by reportable segment, reconciled to consolidated totals included in the financial statements: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00" w:type="dxa"/>
            <w:vAlign w:val="bottom"/>
            <w:tcBorders>
              <w:top w:val="single" w:sz="8" w:color="auto"/>
            </w:tcBorders>
          </w:tcPr>
          <w:p>
            <w:pPr>
              <w:spacing w:after="0"/>
              <w:rPr>
                <w:sz w:val="18"/>
                <w:szCs w:val="18"/>
                <w:color w:val="auto"/>
              </w:rPr>
            </w:pPr>
          </w:p>
        </w:tc>
        <w:tc>
          <w:tcPr>
            <w:tcW w:w="6820" w:type="dxa"/>
            <w:vAlign w:val="bottom"/>
            <w:tcBorders>
              <w:top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Three Months Ended</w:t>
            </w:r>
          </w:p>
        </w:tc>
      </w:tr>
      <w:tr>
        <w:trPr>
          <w:trHeight w:val="203"/>
        </w:trPr>
        <w:tc>
          <w:tcPr>
            <w:tcW w:w="4600" w:type="dxa"/>
            <w:vAlign w:val="bottom"/>
          </w:tcPr>
          <w:p>
            <w:pPr>
              <w:spacing w:after="0"/>
              <w:rPr>
                <w:sz w:val="17"/>
                <w:szCs w:val="17"/>
                <w:color w:val="auto"/>
              </w:rPr>
            </w:pPr>
          </w:p>
        </w:tc>
        <w:tc>
          <w:tcPr>
            <w:tcW w:w="5940" w:type="dxa"/>
            <w:vAlign w:val="bottom"/>
          </w:tcPr>
          <w:p>
            <w:pPr>
              <w:jc w:val="right"/>
              <w:spacing w:after="0" w:line="202" w:lineRule="exact"/>
              <w:rPr>
                <w:sz w:val="20"/>
                <w:szCs w:val="20"/>
                <w:color w:val="auto"/>
              </w:rPr>
            </w:pPr>
            <w:r>
              <w:rPr>
                <w:rFonts w:ascii="Arial" w:cs="Arial" w:eastAsia="Arial" w:hAnsi="Arial"/>
                <w:sz w:val="18"/>
                <w:szCs w:val="18"/>
                <w:color w:val="auto"/>
              </w:rPr>
              <w:t>March 31,</w:t>
            </w:r>
          </w:p>
        </w:tc>
        <w:tc>
          <w:tcPr>
            <w:tcW w:w="880" w:type="dxa"/>
            <w:vAlign w:val="bottom"/>
          </w:tcPr>
          <w:p>
            <w:pPr>
              <w:spacing w:after="0"/>
              <w:rPr>
                <w:sz w:val="17"/>
                <w:szCs w:val="17"/>
                <w:color w:val="auto"/>
              </w:rPr>
            </w:pPr>
          </w:p>
        </w:tc>
      </w:tr>
      <w:tr>
        <w:trPr>
          <w:trHeight w:val="203"/>
        </w:trPr>
        <w:tc>
          <w:tcPr>
            <w:tcW w:w="46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(in thousands)</w:t>
            </w:r>
          </w:p>
        </w:tc>
        <w:tc>
          <w:tcPr>
            <w:tcW w:w="5940" w:type="dxa"/>
            <w:vAlign w:val="bottom"/>
            <w:tcBorders>
              <w:bottom w:val="single" w:sz="8" w:color="auto"/>
            </w:tcBorders>
          </w:tcPr>
          <w:p>
            <w:pPr>
              <w:jc w:val="right"/>
              <w:ind w:right="610"/>
              <w:spacing w:after="0" w:line="203" w:lineRule="exact"/>
              <w:rPr>
                <w:sz w:val="20"/>
                <w:szCs w:val="20"/>
                <w:color w:val="auto"/>
              </w:rPr>
            </w:pPr>
            <w:r>
              <w:rPr>
                <w:rFonts w:ascii="Arial" w:cs="Arial" w:eastAsia="Arial" w:hAnsi="Arial"/>
                <w:sz w:val="18"/>
                <w:szCs w:val="18"/>
                <w:color w:val="auto"/>
              </w:rPr>
              <w:t>2012</w:t>
            </w:r>
          </w:p>
        </w:tc>
        <w:tc>
          <w:tcPr>
            <w:tcW w:w="8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2011</w:t>
            </w:r>
          </w:p>
        </w:tc>
      </w:tr>
      <w:tr>
        <w:trPr>
          <w:trHeight w:val="398"/>
        </w:trPr>
        <w:tc>
          <w:tcPr>
            <w:tcW w:w="4600" w:type="dxa"/>
            <w:vAlign w:val="bottom"/>
          </w:tcPr>
          <w:p>
            <w:pPr>
              <w:ind w:left="100"/>
              <w:spacing w:after="0"/>
              <w:rPr>
                <w:sz w:val="20"/>
                <w:szCs w:val="20"/>
                <w:color w:val="auto"/>
              </w:rPr>
            </w:pPr>
            <w:r>
              <w:rPr>
                <w:rFonts w:ascii="Arial" w:cs="Arial" w:eastAsia="Arial" w:hAnsi="Arial"/>
                <w:sz w:val="18"/>
                <w:szCs w:val="18"/>
                <w:b w:val="1"/>
                <w:bCs w:val="1"/>
                <w:color w:val="auto"/>
              </w:rPr>
              <w:t>Net Sales</w:t>
            </w:r>
          </w:p>
        </w:tc>
        <w:tc>
          <w:tcPr>
            <w:tcW w:w="59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3"/>
        </w:trPr>
        <w:tc>
          <w:tcPr>
            <w:tcW w:w="4600" w:type="dxa"/>
            <w:vAlign w:val="bottom"/>
          </w:tcPr>
          <w:p>
            <w:pPr>
              <w:ind w:left="160"/>
              <w:spacing w:after="0" w:line="202" w:lineRule="exact"/>
              <w:rPr>
                <w:sz w:val="20"/>
                <w:szCs w:val="20"/>
                <w:color w:val="auto"/>
              </w:rPr>
            </w:pPr>
            <w:r>
              <w:rPr>
                <w:rFonts w:ascii="Arial" w:cs="Arial" w:eastAsia="Arial" w:hAnsi="Arial"/>
                <w:sz w:val="18"/>
                <w:szCs w:val="18"/>
                <w:color w:val="auto"/>
              </w:rPr>
              <w:t>Machine Clothing</w:t>
            </w:r>
          </w:p>
        </w:tc>
        <w:tc>
          <w:tcPr>
            <w:tcW w:w="5940" w:type="dxa"/>
            <w:vAlign w:val="bottom"/>
          </w:tcPr>
          <w:p>
            <w:pPr>
              <w:jc w:val="right"/>
              <w:ind w:right="610"/>
              <w:spacing w:after="0" w:line="202" w:lineRule="exact"/>
              <w:rPr>
                <w:sz w:val="20"/>
                <w:szCs w:val="20"/>
                <w:color w:val="auto"/>
              </w:rPr>
            </w:pPr>
            <w:r>
              <w:rPr>
                <w:rFonts w:ascii="Arial" w:cs="Arial" w:eastAsia="Arial" w:hAnsi="Arial"/>
                <w:sz w:val="18"/>
                <w:szCs w:val="18"/>
                <w:color w:val="auto"/>
              </w:rPr>
              <w:t>$164,288</w:t>
            </w: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$188,482</w:t>
            </w:r>
          </w:p>
        </w:tc>
      </w:tr>
      <w:tr>
        <w:trPr>
          <w:trHeight w:val="203"/>
        </w:trPr>
        <w:tc>
          <w:tcPr>
            <w:tcW w:w="4600" w:type="dxa"/>
            <w:vAlign w:val="bottom"/>
          </w:tcPr>
          <w:p>
            <w:pPr>
              <w:ind w:left="160"/>
              <w:spacing w:after="0" w:line="203" w:lineRule="exact"/>
              <w:rPr>
                <w:sz w:val="20"/>
                <w:szCs w:val="20"/>
                <w:color w:val="auto"/>
              </w:rPr>
            </w:pPr>
            <w:r>
              <w:rPr>
                <w:rFonts w:ascii="Arial" w:cs="Arial" w:eastAsia="Arial" w:hAnsi="Arial"/>
                <w:sz w:val="18"/>
                <w:szCs w:val="18"/>
                <w:color w:val="auto"/>
              </w:rPr>
              <w:t>Engineered Composites</w:t>
            </w:r>
          </w:p>
        </w:tc>
        <w:tc>
          <w:tcPr>
            <w:tcW w:w="5940" w:type="dxa"/>
            <w:vAlign w:val="bottom"/>
          </w:tcPr>
          <w:p>
            <w:pPr>
              <w:jc w:val="right"/>
              <w:ind w:right="610"/>
              <w:spacing w:after="0" w:line="203" w:lineRule="exact"/>
              <w:rPr>
                <w:sz w:val="20"/>
                <w:szCs w:val="20"/>
                <w:color w:val="auto"/>
              </w:rPr>
            </w:pPr>
            <w:r>
              <w:rPr>
                <w:rFonts w:ascii="Arial" w:cs="Arial" w:eastAsia="Arial" w:hAnsi="Arial"/>
                <w:sz w:val="18"/>
                <w:szCs w:val="18"/>
                <w:color w:val="auto"/>
              </w:rPr>
              <w:t>15,789</w:t>
            </w:r>
          </w:p>
        </w:tc>
        <w:tc>
          <w:tcPr>
            <w:tcW w:w="880" w:type="dxa"/>
            <w:vAlign w:val="bottom"/>
          </w:tcPr>
          <w:p>
            <w:pPr>
              <w:jc w:val="right"/>
              <w:ind w:right="10"/>
              <w:spacing w:after="0" w:line="203" w:lineRule="exact"/>
              <w:rPr>
                <w:sz w:val="20"/>
                <w:szCs w:val="20"/>
                <w:color w:val="auto"/>
              </w:rPr>
            </w:pPr>
            <w:r>
              <w:rPr>
                <w:rFonts w:ascii="Arial" w:cs="Arial" w:eastAsia="Arial" w:hAnsi="Arial"/>
                <w:sz w:val="18"/>
                <w:szCs w:val="18"/>
                <w:color w:val="auto"/>
              </w:rPr>
              <w:t>11,472</w:t>
            </w:r>
          </w:p>
        </w:tc>
      </w:tr>
      <w:tr>
        <w:trPr>
          <w:trHeight w:val="244"/>
        </w:trPr>
        <w:tc>
          <w:tcPr>
            <w:tcW w:w="4600" w:type="dxa"/>
            <w:vAlign w:val="bottom"/>
            <w:tcBorders>
              <w:bottom w:val="single" w:sz="8" w:color="auto"/>
            </w:tcBorders>
          </w:tcPr>
          <w:p>
            <w:pPr>
              <w:ind w:left="160"/>
              <w:spacing w:after="0" w:line="243" w:lineRule="exact"/>
              <w:rPr>
                <w:sz w:val="20"/>
                <w:szCs w:val="20"/>
                <w:color w:val="auto"/>
              </w:rPr>
            </w:pPr>
            <w:r>
              <w:rPr>
                <w:rFonts w:ascii="Arial" w:cs="Arial" w:eastAsia="Arial" w:hAnsi="Arial"/>
                <w:sz w:val="17"/>
                <w:szCs w:val="17"/>
                <w:color w:val="auto"/>
              </w:rPr>
              <w:t>PrimaLoft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w:t>
            </w:r>
          </w:p>
        </w:tc>
        <w:tc>
          <w:tcPr>
            <w:tcW w:w="59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8,476</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6,768</w:t>
            </w:r>
          </w:p>
        </w:tc>
      </w:tr>
      <w:tr>
        <w:trPr>
          <w:trHeight w:val="196"/>
        </w:trPr>
        <w:tc>
          <w:tcPr>
            <w:tcW w:w="460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color w:val="auto"/>
              </w:rPr>
              <w:t>Consolidated total</w:t>
            </w:r>
          </w:p>
        </w:tc>
        <w:tc>
          <w:tcPr>
            <w:tcW w:w="5940" w:type="dxa"/>
            <w:vAlign w:val="bottom"/>
            <w:tcBorders>
              <w:bottom w:val="single" w:sz="8" w:color="auto"/>
            </w:tcBorders>
          </w:tcPr>
          <w:p>
            <w:pPr>
              <w:jc w:val="right"/>
              <w:ind w:right="610"/>
              <w:spacing w:after="0" w:line="196" w:lineRule="exact"/>
              <w:rPr>
                <w:sz w:val="20"/>
                <w:szCs w:val="20"/>
                <w:color w:val="auto"/>
              </w:rPr>
            </w:pPr>
            <w:r>
              <w:rPr>
                <w:rFonts w:ascii="Arial" w:cs="Arial" w:eastAsia="Arial" w:hAnsi="Arial"/>
                <w:sz w:val="18"/>
                <w:szCs w:val="18"/>
                <w:color w:val="auto"/>
              </w:rPr>
              <w:t>$188,553</w:t>
            </w:r>
          </w:p>
        </w:tc>
        <w:tc>
          <w:tcPr>
            <w:tcW w:w="8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$206,722</w:t>
            </w:r>
          </w:p>
        </w:tc>
      </w:tr>
      <w:tr>
        <w:trPr>
          <w:trHeight w:val="398"/>
        </w:trPr>
        <w:tc>
          <w:tcPr>
            <w:tcW w:w="4600" w:type="dxa"/>
            <w:vAlign w:val="bottom"/>
          </w:tcPr>
          <w:p>
            <w:pPr>
              <w:ind w:left="100"/>
              <w:spacing w:after="0"/>
              <w:rPr>
                <w:sz w:val="20"/>
                <w:szCs w:val="20"/>
                <w:color w:val="auto"/>
              </w:rPr>
            </w:pPr>
            <w:r>
              <w:rPr>
                <w:rFonts w:ascii="Arial" w:cs="Arial" w:eastAsia="Arial" w:hAnsi="Arial"/>
                <w:sz w:val="18"/>
                <w:szCs w:val="18"/>
                <w:b w:val="1"/>
                <w:bCs w:val="1"/>
                <w:color w:val="auto"/>
              </w:rPr>
              <w:t>Operating income</w:t>
            </w:r>
          </w:p>
        </w:tc>
        <w:tc>
          <w:tcPr>
            <w:tcW w:w="59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3"/>
        </w:trPr>
        <w:tc>
          <w:tcPr>
            <w:tcW w:w="4600" w:type="dxa"/>
            <w:vAlign w:val="bottom"/>
          </w:tcPr>
          <w:p>
            <w:pPr>
              <w:ind w:left="160"/>
              <w:spacing w:after="0" w:line="202" w:lineRule="exact"/>
              <w:rPr>
                <w:sz w:val="20"/>
                <w:szCs w:val="20"/>
                <w:color w:val="auto"/>
              </w:rPr>
            </w:pPr>
            <w:r>
              <w:rPr>
                <w:rFonts w:ascii="Arial" w:cs="Arial" w:eastAsia="Arial" w:hAnsi="Arial"/>
                <w:sz w:val="18"/>
                <w:szCs w:val="18"/>
                <w:color w:val="auto"/>
              </w:rPr>
              <w:t>Machine Clothing</w:t>
            </w:r>
          </w:p>
        </w:tc>
        <w:tc>
          <w:tcPr>
            <w:tcW w:w="5940" w:type="dxa"/>
            <w:vAlign w:val="bottom"/>
          </w:tcPr>
          <w:p>
            <w:pPr>
              <w:jc w:val="right"/>
              <w:ind w:right="610"/>
              <w:spacing w:after="0" w:line="202" w:lineRule="exact"/>
              <w:rPr>
                <w:sz w:val="20"/>
                <w:szCs w:val="20"/>
                <w:color w:val="auto"/>
              </w:rPr>
            </w:pPr>
            <w:r>
              <w:rPr>
                <w:rFonts w:ascii="Arial" w:cs="Arial" w:eastAsia="Arial" w:hAnsi="Arial"/>
                <w:sz w:val="18"/>
                <w:szCs w:val="18"/>
                <w:color w:val="auto"/>
              </w:rPr>
              <w:t>$30,845</w:t>
            </w: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$50,271</w:t>
            </w:r>
          </w:p>
        </w:tc>
      </w:tr>
      <w:tr>
        <w:trPr>
          <w:trHeight w:val="203"/>
        </w:trPr>
        <w:tc>
          <w:tcPr>
            <w:tcW w:w="4600" w:type="dxa"/>
            <w:vAlign w:val="bottom"/>
          </w:tcPr>
          <w:p>
            <w:pPr>
              <w:ind w:left="160"/>
              <w:spacing w:after="0" w:line="203" w:lineRule="exact"/>
              <w:rPr>
                <w:sz w:val="20"/>
                <w:szCs w:val="20"/>
                <w:color w:val="auto"/>
              </w:rPr>
            </w:pPr>
            <w:r>
              <w:rPr>
                <w:rFonts w:ascii="Arial" w:cs="Arial" w:eastAsia="Arial" w:hAnsi="Arial"/>
                <w:sz w:val="18"/>
                <w:szCs w:val="18"/>
                <w:color w:val="auto"/>
              </w:rPr>
              <w:t>Engineered Composites</w:t>
            </w:r>
          </w:p>
        </w:tc>
        <w:tc>
          <w:tcPr>
            <w:tcW w:w="5940" w:type="dxa"/>
            <w:vAlign w:val="bottom"/>
          </w:tcPr>
          <w:p>
            <w:pPr>
              <w:jc w:val="right"/>
              <w:ind w:right="610"/>
              <w:spacing w:after="0" w:line="203" w:lineRule="exact"/>
              <w:rPr>
                <w:sz w:val="20"/>
                <w:szCs w:val="20"/>
                <w:color w:val="auto"/>
              </w:rPr>
            </w:pPr>
            <w:r>
              <w:rPr>
                <w:rFonts w:ascii="Arial" w:cs="Arial" w:eastAsia="Arial" w:hAnsi="Arial"/>
                <w:sz w:val="18"/>
                <w:szCs w:val="18"/>
                <w:color w:val="auto"/>
              </w:rPr>
              <w:t>29</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(1,043)</w:t>
            </w:r>
          </w:p>
        </w:tc>
      </w:tr>
      <w:tr>
        <w:trPr>
          <w:trHeight w:val="243"/>
        </w:trPr>
        <w:tc>
          <w:tcPr>
            <w:tcW w:w="4600" w:type="dxa"/>
            <w:vAlign w:val="bottom"/>
          </w:tcPr>
          <w:p>
            <w:pPr>
              <w:ind w:left="160"/>
              <w:spacing w:after="0" w:line="243" w:lineRule="exact"/>
              <w:rPr>
                <w:sz w:val="20"/>
                <w:szCs w:val="20"/>
                <w:color w:val="auto"/>
              </w:rPr>
            </w:pPr>
            <w:r>
              <w:rPr>
                <w:rFonts w:ascii="Arial" w:cs="Arial" w:eastAsia="Arial" w:hAnsi="Arial"/>
                <w:sz w:val="17"/>
                <w:szCs w:val="17"/>
                <w:color w:val="auto"/>
              </w:rPr>
              <w:t>PrimaLoft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w:t>
            </w:r>
          </w:p>
        </w:tc>
        <w:tc>
          <w:tcPr>
            <w:tcW w:w="5940" w:type="dxa"/>
            <w:vAlign w:val="bottom"/>
          </w:tcPr>
          <w:p>
            <w:pPr>
              <w:jc w:val="right"/>
              <w:ind w:right="610"/>
              <w:spacing w:after="0"/>
              <w:rPr>
                <w:sz w:val="20"/>
                <w:szCs w:val="20"/>
                <w:color w:val="auto"/>
              </w:rPr>
            </w:pPr>
            <w:r>
              <w:rPr>
                <w:rFonts w:ascii="Arial" w:cs="Arial" w:eastAsia="Arial" w:hAnsi="Arial"/>
                <w:sz w:val="18"/>
                <w:szCs w:val="18"/>
                <w:color w:val="auto"/>
              </w:rPr>
              <w:t>1,556</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1,911</w:t>
            </w:r>
          </w:p>
        </w:tc>
      </w:tr>
      <w:tr>
        <w:trPr>
          <w:trHeight w:val="203"/>
        </w:trPr>
        <w:tc>
          <w:tcPr>
            <w:tcW w:w="4600" w:type="dxa"/>
            <w:vAlign w:val="bottom"/>
          </w:tcPr>
          <w:p>
            <w:pPr>
              <w:ind w:left="160"/>
              <w:spacing w:after="0" w:line="202" w:lineRule="exact"/>
              <w:rPr>
                <w:sz w:val="20"/>
                <w:szCs w:val="20"/>
                <w:color w:val="auto"/>
              </w:rPr>
            </w:pPr>
            <w:r>
              <w:rPr>
                <w:rFonts w:ascii="Arial" w:cs="Arial" w:eastAsia="Arial" w:hAnsi="Arial"/>
                <w:sz w:val="18"/>
                <w:szCs w:val="18"/>
                <w:color w:val="auto"/>
              </w:rPr>
              <w:t>Research expense</w:t>
            </w:r>
          </w:p>
        </w:tc>
        <w:tc>
          <w:tcPr>
            <w:tcW w:w="594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(6,065)</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(7,165)</w:t>
            </w:r>
          </w:p>
        </w:tc>
      </w:tr>
      <w:tr>
        <w:trPr>
          <w:trHeight w:val="203"/>
        </w:trPr>
        <w:tc>
          <w:tcPr>
            <w:tcW w:w="4600" w:type="dxa"/>
            <w:vAlign w:val="bottom"/>
            <w:tcBorders>
              <w:bottom w:val="single" w:sz="8" w:color="auto"/>
            </w:tcBorders>
          </w:tcPr>
          <w:p>
            <w:pPr>
              <w:ind w:left="160"/>
              <w:spacing w:after="0" w:line="203" w:lineRule="exact"/>
              <w:rPr>
                <w:sz w:val="20"/>
                <w:szCs w:val="20"/>
                <w:color w:val="auto"/>
              </w:rPr>
            </w:pPr>
            <w:r>
              <w:rPr>
                <w:rFonts w:ascii="Arial" w:cs="Arial" w:eastAsia="Arial" w:hAnsi="Arial"/>
                <w:sz w:val="18"/>
                <w:szCs w:val="18"/>
                <w:color w:val="auto"/>
              </w:rPr>
              <w:t>Unallocated expenses</w:t>
            </w:r>
          </w:p>
        </w:tc>
        <w:tc>
          <w:tcPr>
            <w:tcW w:w="5940" w:type="dxa"/>
            <w:vAlign w:val="bottom"/>
            <w:tcBorders>
              <w:bottom w:val="single" w:sz="8" w:color="auto"/>
            </w:tcBorders>
          </w:tcPr>
          <w:p>
            <w:pPr>
              <w:jc w:val="right"/>
              <w:ind w:right="550"/>
              <w:spacing w:after="0" w:line="203" w:lineRule="exact"/>
              <w:rPr>
                <w:sz w:val="20"/>
                <w:szCs w:val="20"/>
                <w:color w:val="auto"/>
              </w:rPr>
            </w:pPr>
            <w:r>
              <w:rPr>
                <w:rFonts w:ascii="Arial" w:cs="Arial" w:eastAsia="Arial" w:hAnsi="Arial"/>
                <w:sz w:val="18"/>
                <w:szCs w:val="18"/>
                <w:color w:val="auto"/>
              </w:rPr>
              <w:t>(25,718)</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(16,993)</w:t>
            </w:r>
          </w:p>
        </w:tc>
      </w:tr>
      <w:tr>
        <w:trPr>
          <w:trHeight w:val="210"/>
        </w:trPr>
        <w:tc>
          <w:tcPr>
            <w:tcW w:w="4600" w:type="dxa"/>
            <w:vAlign w:val="bottom"/>
          </w:tcPr>
          <w:p>
            <w:pPr>
              <w:ind w:left="160"/>
              <w:spacing w:after="0"/>
              <w:rPr>
                <w:sz w:val="20"/>
                <w:szCs w:val="20"/>
                <w:color w:val="auto"/>
              </w:rPr>
            </w:pPr>
            <w:r>
              <w:rPr>
                <w:rFonts w:ascii="Arial" w:cs="Arial" w:eastAsia="Arial" w:hAnsi="Arial"/>
                <w:sz w:val="18"/>
                <w:szCs w:val="18"/>
                <w:color w:val="auto"/>
              </w:rPr>
              <w:t>Operating income before reconciling items</w:t>
            </w:r>
          </w:p>
        </w:tc>
        <w:tc>
          <w:tcPr>
            <w:tcW w:w="5940" w:type="dxa"/>
            <w:vAlign w:val="bottom"/>
          </w:tcPr>
          <w:p>
            <w:pPr>
              <w:jc w:val="right"/>
              <w:ind w:right="610"/>
              <w:spacing w:after="0"/>
              <w:rPr>
                <w:sz w:val="20"/>
                <w:szCs w:val="20"/>
                <w:color w:val="auto"/>
              </w:rPr>
            </w:pPr>
            <w:r>
              <w:rPr>
                <w:rFonts w:ascii="Arial" w:cs="Arial" w:eastAsia="Arial" w:hAnsi="Arial"/>
                <w:sz w:val="18"/>
                <w:szCs w:val="18"/>
                <w:color w:val="auto"/>
              </w:rPr>
              <w:t>647</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26,981</w:t>
            </w:r>
          </w:p>
        </w:tc>
      </w:tr>
      <w:tr>
        <w:trPr>
          <w:trHeight w:val="390"/>
        </w:trPr>
        <w:tc>
          <w:tcPr>
            <w:tcW w:w="4600" w:type="dxa"/>
            <w:vAlign w:val="bottom"/>
          </w:tcPr>
          <w:p>
            <w:pPr>
              <w:ind w:left="100"/>
              <w:spacing w:after="0"/>
              <w:rPr>
                <w:sz w:val="20"/>
                <w:szCs w:val="20"/>
                <w:color w:val="auto"/>
              </w:rPr>
            </w:pPr>
            <w:r>
              <w:rPr>
                <w:rFonts w:ascii="Arial" w:cs="Arial" w:eastAsia="Arial" w:hAnsi="Arial"/>
                <w:sz w:val="18"/>
                <w:szCs w:val="18"/>
                <w:b w:val="1"/>
                <w:bCs w:val="1"/>
                <w:color w:val="auto"/>
              </w:rPr>
              <w:t>Reconciling items:</w:t>
            </w:r>
          </w:p>
        </w:tc>
        <w:tc>
          <w:tcPr>
            <w:tcW w:w="59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3"/>
        </w:trPr>
        <w:tc>
          <w:tcPr>
            <w:tcW w:w="4600" w:type="dxa"/>
            <w:vAlign w:val="bottom"/>
          </w:tcPr>
          <w:p>
            <w:pPr>
              <w:ind w:left="160"/>
              <w:spacing w:after="0" w:line="202" w:lineRule="exact"/>
              <w:rPr>
                <w:sz w:val="20"/>
                <w:szCs w:val="20"/>
                <w:color w:val="auto"/>
              </w:rPr>
            </w:pPr>
            <w:r>
              <w:rPr>
                <w:rFonts w:ascii="Arial" w:cs="Arial" w:eastAsia="Arial" w:hAnsi="Arial"/>
                <w:sz w:val="18"/>
                <w:szCs w:val="18"/>
                <w:color w:val="auto"/>
              </w:rPr>
              <w:t>Interest expense, net</w:t>
            </w:r>
          </w:p>
        </w:tc>
        <w:tc>
          <w:tcPr>
            <w:tcW w:w="5940" w:type="dxa"/>
            <w:vAlign w:val="bottom"/>
          </w:tcPr>
          <w:p>
            <w:pPr>
              <w:jc w:val="right"/>
              <w:ind w:right="610"/>
              <w:spacing w:after="0" w:line="202" w:lineRule="exact"/>
              <w:rPr>
                <w:sz w:val="20"/>
                <w:szCs w:val="20"/>
                <w:color w:val="auto"/>
              </w:rPr>
            </w:pPr>
            <w:r>
              <w:rPr>
                <w:rFonts w:ascii="Arial" w:cs="Arial" w:eastAsia="Arial" w:hAnsi="Arial"/>
                <w:sz w:val="18"/>
                <w:szCs w:val="18"/>
                <w:color w:val="auto"/>
              </w:rPr>
              <w:t>4,644</w:t>
            </w: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4,776</w:t>
            </w:r>
          </w:p>
        </w:tc>
      </w:tr>
      <w:tr>
        <w:trPr>
          <w:trHeight w:val="203"/>
        </w:trPr>
        <w:tc>
          <w:tcPr>
            <w:tcW w:w="4600" w:type="dxa"/>
            <w:vAlign w:val="bottom"/>
            <w:tcBorders>
              <w:bottom w:val="single" w:sz="8" w:color="auto"/>
            </w:tcBorders>
          </w:tcPr>
          <w:p>
            <w:pPr>
              <w:ind w:left="160"/>
              <w:spacing w:after="0" w:line="203" w:lineRule="exact"/>
              <w:rPr>
                <w:sz w:val="20"/>
                <w:szCs w:val="20"/>
                <w:color w:val="auto"/>
              </w:rPr>
            </w:pPr>
            <w:r>
              <w:rPr>
                <w:rFonts w:ascii="Arial" w:cs="Arial" w:eastAsia="Arial" w:hAnsi="Arial"/>
                <w:sz w:val="18"/>
                <w:szCs w:val="18"/>
                <w:color w:val="auto"/>
              </w:rPr>
              <w:t>Other expense, net</w:t>
            </w:r>
          </w:p>
        </w:tc>
        <w:tc>
          <w:tcPr>
            <w:tcW w:w="5940" w:type="dxa"/>
            <w:vAlign w:val="bottom"/>
            <w:tcBorders>
              <w:bottom w:val="single" w:sz="8" w:color="auto"/>
            </w:tcBorders>
          </w:tcPr>
          <w:p>
            <w:pPr>
              <w:jc w:val="right"/>
              <w:ind w:right="610"/>
              <w:spacing w:after="0" w:line="203" w:lineRule="exact"/>
              <w:rPr>
                <w:sz w:val="20"/>
                <w:szCs w:val="20"/>
                <w:color w:val="auto"/>
              </w:rPr>
            </w:pPr>
            <w:r>
              <w:rPr>
                <w:rFonts w:ascii="Arial" w:cs="Arial" w:eastAsia="Arial" w:hAnsi="Arial"/>
                <w:sz w:val="18"/>
                <w:szCs w:val="18"/>
                <w:color w:val="auto"/>
              </w:rPr>
              <w:t>4,548</w:t>
            </w:r>
          </w:p>
        </w:tc>
        <w:tc>
          <w:tcPr>
            <w:tcW w:w="8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4,813</w:t>
            </w:r>
          </w:p>
        </w:tc>
      </w:tr>
      <w:tr>
        <w:trPr>
          <w:trHeight w:val="196"/>
        </w:trPr>
        <w:tc>
          <w:tcPr>
            <w:tcW w:w="460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color w:val="auto"/>
              </w:rPr>
              <w:t>(Loss)/income before income taxes</w:t>
            </w:r>
          </w:p>
        </w:tc>
        <w:tc>
          <w:tcPr>
            <w:tcW w:w="594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color w:val="auto"/>
              </w:rPr>
              <w:t>($8,545)</w:t>
            </w:r>
          </w:p>
        </w:tc>
        <w:tc>
          <w:tcPr>
            <w:tcW w:w="8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$17,392</w:t>
            </w:r>
          </w:p>
        </w:tc>
      </w:tr>
      <w:tr>
        <w:trPr>
          <w:trHeight w:val="426"/>
        </w:trPr>
        <w:tc>
          <w:tcPr>
            <w:tcW w:w="4600" w:type="dxa"/>
            <w:vAlign w:val="bottom"/>
          </w:tcPr>
          <w:p>
            <w:pPr>
              <w:spacing w:after="0"/>
              <w:rPr>
                <w:sz w:val="24"/>
                <w:szCs w:val="24"/>
                <w:color w:val="auto"/>
              </w:rPr>
            </w:pPr>
          </w:p>
        </w:tc>
        <w:tc>
          <w:tcPr>
            <w:tcW w:w="5940" w:type="dxa"/>
            <w:vAlign w:val="bottom"/>
          </w:tcPr>
          <w:p>
            <w:pPr>
              <w:jc w:val="right"/>
              <w:ind w:right="4690"/>
              <w:spacing w:after="0"/>
              <w:rPr>
                <w:sz w:val="20"/>
                <w:szCs w:val="20"/>
                <w:color w:val="auto"/>
              </w:rPr>
            </w:pPr>
            <w:r>
              <w:rPr>
                <w:rFonts w:ascii="Arial" w:cs="Arial" w:eastAsia="Arial" w:hAnsi="Arial"/>
                <w:sz w:val="18"/>
                <w:szCs w:val="18"/>
                <w:color w:val="auto"/>
              </w:rPr>
              <w:t>9</w:t>
            </w:r>
          </w:p>
        </w:tc>
        <w:tc>
          <w:tcPr>
            <w:tcW w:w="880" w:type="dxa"/>
            <w:vAlign w:val="bottom"/>
          </w:tcPr>
          <w:p>
            <w:pPr>
              <w:spacing w:after="0"/>
              <w:rPr>
                <w:sz w:val="24"/>
                <w:szCs w:val="24"/>
                <w:color w:val="auto"/>
              </w:rPr>
            </w:pPr>
          </w:p>
        </w:tc>
      </w:tr>
      <w:tr>
        <w:trPr>
          <w:trHeight w:val="237"/>
        </w:trPr>
        <w:tc>
          <w:tcPr>
            <w:tcW w:w="4600" w:type="dxa"/>
            <w:vAlign w:val="bottom"/>
            <w:tcBorders>
              <w:bottom w:val="single" w:sz="8" w:color="auto"/>
            </w:tcBorders>
          </w:tcPr>
          <w:p>
            <w:pPr>
              <w:spacing w:after="0"/>
              <w:rPr>
                <w:sz w:val="20"/>
                <w:szCs w:val="20"/>
                <w:color w:val="auto"/>
              </w:rPr>
            </w:pPr>
          </w:p>
        </w:tc>
        <w:tc>
          <w:tcPr>
            <w:tcW w:w="59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657"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table below presents restructuring costs by reportable segment for the three month period ended March 31, 2012 and 2011:</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60" w:type="dxa"/>
            <w:vAlign w:val="bottom"/>
            <w:tcBorders>
              <w:top w:val="single" w:sz="8" w:color="auto"/>
            </w:tcBorders>
          </w:tcPr>
          <w:p>
            <w:pPr>
              <w:spacing w:after="0"/>
              <w:rPr>
                <w:sz w:val="18"/>
                <w:szCs w:val="18"/>
                <w:color w:val="auto"/>
              </w:rPr>
            </w:pPr>
          </w:p>
        </w:tc>
        <w:tc>
          <w:tcPr>
            <w:tcW w:w="3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181"/>
        </w:trPr>
        <w:tc>
          <w:tcPr>
            <w:tcW w:w="4160" w:type="dxa"/>
            <w:vAlign w:val="bottom"/>
          </w:tcPr>
          <w:p>
            <w:pPr>
              <w:spacing w:after="0"/>
              <w:rPr>
                <w:sz w:val="15"/>
                <w:szCs w:val="15"/>
                <w:color w:val="auto"/>
              </w:rPr>
            </w:pPr>
          </w:p>
        </w:tc>
        <w:tc>
          <w:tcPr>
            <w:tcW w:w="3340" w:type="dxa"/>
            <w:vAlign w:val="bottom"/>
          </w:tcPr>
          <w:p>
            <w:pPr>
              <w:jc w:val="right"/>
              <w:spacing w:after="0" w:line="181" w:lineRule="exact"/>
              <w:rPr>
                <w:sz w:val="20"/>
                <w:szCs w:val="20"/>
                <w:color w:val="auto"/>
              </w:rPr>
            </w:pPr>
            <w:r>
              <w:rPr>
                <w:rFonts w:ascii="Arial" w:cs="Arial" w:eastAsia="Arial" w:hAnsi="Arial"/>
                <w:sz w:val="18"/>
                <w:szCs w:val="18"/>
                <w:color w:val="auto"/>
              </w:rPr>
              <w:t>March 31,</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2011</w:t>
            </w:r>
          </w:p>
        </w:tc>
        <w:tc>
          <w:tcPr>
            <w:tcW w:w="0" w:type="dxa"/>
            <w:vAlign w:val="bottom"/>
          </w:tcPr>
          <w:p>
            <w:pPr>
              <w:spacing w:after="0"/>
              <w:rPr>
                <w:sz w:val="1"/>
                <w:szCs w:val="1"/>
                <w:color w:val="auto"/>
              </w:rPr>
            </w:pPr>
          </w:p>
        </w:tc>
      </w:tr>
      <w:tr>
        <w:trPr>
          <w:trHeight w:val="398"/>
        </w:trPr>
        <w:tc>
          <w:tcPr>
            <w:tcW w:w="4160" w:type="dxa"/>
            <w:vAlign w:val="bottom"/>
          </w:tcPr>
          <w:p>
            <w:pPr>
              <w:ind w:left="100"/>
              <w:spacing w:after="0"/>
              <w:rPr>
                <w:sz w:val="20"/>
                <w:szCs w:val="20"/>
                <w:color w:val="auto"/>
              </w:rPr>
            </w:pPr>
            <w:r>
              <w:rPr>
                <w:rFonts w:ascii="Arial" w:cs="Arial" w:eastAsia="Arial" w:hAnsi="Arial"/>
                <w:sz w:val="18"/>
                <w:szCs w:val="18"/>
                <w:b w:val="1"/>
                <w:bCs w:val="1"/>
                <w:color w:val="auto"/>
              </w:rPr>
              <w:t>Restructuring expense</w:t>
            </w:r>
          </w:p>
        </w:tc>
        <w:tc>
          <w:tcPr>
            <w:tcW w:w="334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$673</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160" w:type="dxa"/>
            <w:vAlign w:val="bottom"/>
          </w:tcPr>
          <w:p>
            <w:pPr>
              <w:ind w:left="160"/>
              <w:spacing w:after="0" w:line="181" w:lineRule="exact"/>
              <w:rPr>
                <w:sz w:val="20"/>
                <w:szCs w:val="20"/>
                <w:color w:val="auto"/>
              </w:rPr>
            </w:pPr>
            <w:r>
              <w:rPr>
                <w:rFonts w:ascii="Arial" w:cs="Arial" w:eastAsia="Arial" w:hAnsi="Arial"/>
                <w:sz w:val="18"/>
                <w:szCs w:val="18"/>
                <w:color w:val="auto"/>
              </w:rPr>
              <w:t>Machine Clothing</w:t>
            </w:r>
          </w:p>
        </w:tc>
        <w:tc>
          <w:tcPr>
            <w:tcW w:w="3340" w:type="dxa"/>
            <w:vAlign w:val="bottom"/>
            <w:vMerge w:val="continue"/>
          </w:tcPr>
          <w:p>
            <w:pPr>
              <w:spacing w:after="0"/>
              <w:rPr>
                <w:sz w:val="15"/>
                <w:szCs w:val="15"/>
                <w:color w:val="auto"/>
              </w:rPr>
            </w:pPr>
          </w:p>
        </w:tc>
        <w:tc>
          <w:tcPr>
            <w:tcW w:w="480" w:type="dxa"/>
            <w:vAlign w:val="bottom"/>
          </w:tcPr>
          <w:p>
            <w:pPr>
              <w:jc w:val="right"/>
              <w:spacing w:after="0" w:line="181"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3"/>
        </w:trPr>
        <w:tc>
          <w:tcPr>
            <w:tcW w:w="4160" w:type="dxa"/>
            <w:vAlign w:val="bottom"/>
          </w:tcPr>
          <w:p>
            <w:pPr>
              <w:ind w:left="160"/>
              <w:spacing w:after="0" w:line="202" w:lineRule="exact"/>
              <w:rPr>
                <w:sz w:val="20"/>
                <w:szCs w:val="20"/>
                <w:color w:val="auto"/>
              </w:rPr>
            </w:pPr>
            <w:r>
              <w:rPr>
                <w:rFonts w:ascii="Arial" w:cs="Arial" w:eastAsia="Arial" w:hAnsi="Arial"/>
                <w:sz w:val="18"/>
                <w:szCs w:val="18"/>
                <w:color w:val="auto"/>
              </w:rPr>
              <w:t>Engineered Composites</w:t>
            </w:r>
          </w:p>
        </w:tc>
        <w:tc>
          <w:tcPr>
            <w:tcW w:w="3340" w:type="dxa"/>
            <w:vAlign w:val="bottom"/>
          </w:tcPr>
          <w:p>
            <w:pPr>
              <w:jc w:val="right"/>
              <w:ind w:right="510"/>
              <w:spacing w:after="0" w:line="202" w:lineRule="exact"/>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5"/>
        </w:trPr>
        <w:tc>
          <w:tcPr>
            <w:tcW w:w="41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Unallocated</w:t>
            </w:r>
          </w:p>
        </w:tc>
        <w:tc>
          <w:tcPr>
            <w:tcW w:w="3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(415)</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416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color w:val="auto"/>
              </w:rPr>
              <w:t>Consolidated total</w:t>
            </w:r>
          </w:p>
        </w:tc>
        <w:tc>
          <w:tcPr>
            <w:tcW w:w="334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$258</w:t>
            </w:r>
          </w:p>
        </w:tc>
        <w:tc>
          <w:tcPr>
            <w:tcW w:w="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The 2012 expense was principally due to organizational changes associated with the integration of PMC and Engineered Fabrics. The 2011 expense was principally due to the same integration and the substantial completion of the SAP conversion project.</w:t>
      </w:r>
    </w:p>
    <w:p>
      <w:pPr>
        <w:spacing w:after="0" w:line="8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Except for the merger of PMC and Engineered Fabrics into Machine Clothing, there were no material changes in the total assets of reportable segments during this period.</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60"/>
          </w:cols>
          <w:pgMar w:left="240" w:top="679" w:right="39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4. Pensions and Other Benefits</w:t>
      </w:r>
    </w:p>
    <w:p>
      <w:pPr>
        <w:spacing w:after="0" w:line="193"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We sponsor defined benefit pension plans in various countries. The amount of contributions to the plans is based on several factors including the funding rules in each country. We also provide certain medical, dental and life insurance benefits (“Other Postretirement Benefits”) for retired United States and Canadian employees that meet program qualifications. We currently fund this plan as claims are paid.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the three months ended March 31, 2012 and 2011 are,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60" w:type="dxa"/>
            <w:vAlign w:val="bottom"/>
            <w:tcBorders>
              <w:top w:val="single" w:sz="8" w:color="auto"/>
            </w:tcBorders>
          </w:tcPr>
          <w:p>
            <w:pPr>
              <w:spacing w:after="0"/>
              <w:rPr>
                <w:sz w:val="16"/>
                <w:szCs w:val="16"/>
                <w:color w:val="auto"/>
              </w:rPr>
            </w:pPr>
          </w:p>
        </w:tc>
        <w:tc>
          <w:tcPr>
            <w:tcW w:w="3160" w:type="dxa"/>
            <w:vAlign w:val="bottom"/>
            <w:tcBorders>
              <w:top w:val="single" w:sz="8" w:color="auto"/>
            </w:tcBorders>
          </w:tcPr>
          <w:p>
            <w:pPr>
              <w:jc w:val="right"/>
              <w:ind w:right="70"/>
              <w:spacing w:after="0" w:line="194" w:lineRule="exact"/>
              <w:rPr>
                <w:sz w:val="20"/>
                <w:szCs w:val="20"/>
                <w:color w:val="auto"/>
              </w:rPr>
            </w:pPr>
            <w:r>
              <w:rPr>
                <w:rFonts w:ascii="Arial" w:cs="Arial" w:eastAsia="Arial" w:hAnsi="Arial"/>
                <w:sz w:val="18"/>
                <w:szCs w:val="18"/>
                <w:color w:val="auto"/>
              </w:rPr>
              <w:t>Pension Plans</w:t>
            </w:r>
          </w:p>
        </w:tc>
        <w:tc>
          <w:tcPr>
            <w:tcW w:w="1120" w:type="dxa"/>
            <w:vAlign w:val="bottom"/>
            <w:tcBorders>
              <w:top w:val="single" w:sz="8" w:color="auto"/>
            </w:tcBorders>
          </w:tcPr>
          <w:p>
            <w:pPr>
              <w:spacing w:after="0"/>
              <w:rPr>
                <w:sz w:val="16"/>
                <w:szCs w:val="16"/>
                <w:color w:val="auto"/>
              </w:rPr>
            </w:pPr>
          </w:p>
        </w:tc>
        <w:tc>
          <w:tcPr>
            <w:tcW w:w="3080" w:type="dxa"/>
            <w:vAlign w:val="bottom"/>
            <w:tcBorders>
              <w:top w:val="single" w:sz="8" w:color="auto"/>
            </w:tcBorders>
            <w:gridSpan w:val="2"/>
          </w:tcPr>
          <w:p>
            <w:pPr>
              <w:jc w:val="right"/>
              <w:ind w:right="250"/>
              <w:spacing w:after="0" w:line="194" w:lineRule="exact"/>
              <w:rPr>
                <w:sz w:val="20"/>
                <w:szCs w:val="20"/>
                <w:color w:val="auto"/>
              </w:rPr>
            </w:pPr>
            <w:r>
              <w:rPr>
                <w:rFonts w:ascii="Arial" w:cs="Arial" w:eastAsia="Arial" w:hAnsi="Arial"/>
                <w:sz w:val="18"/>
                <w:szCs w:val="18"/>
                <w:color w:val="auto"/>
              </w:rPr>
              <w:t>Other Postretirement Benefits</w:t>
            </w:r>
          </w:p>
        </w:tc>
        <w:tc>
          <w:tcPr>
            <w:tcW w:w="0" w:type="dxa"/>
            <w:vAlign w:val="bottom"/>
          </w:tcPr>
          <w:p>
            <w:pPr>
              <w:spacing w:after="0"/>
              <w:rPr>
                <w:sz w:val="1"/>
                <w:szCs w:val="1"/>
                <w:color w:val="auto"/>
              </w:rPr>
            </w:pPr>
          </w:p>
        </w:tc>
      </w:tr>
      <w:tr>
        <w:trPr>
          <w:trHeight w:val="225"/>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16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2012</w:t>
            </w: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2011</w:t>
            </w:r>
          </w:p>
        </w:tc>
        <w:tc>
          <w:tcPr>
            <w:tcW w:w="18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376"/>
        </w:trPr>
        <w:tc>
          <w:tcPr>
            <w:tcW w:w="4060" w:type="dxa"/>
            <w:vAlign w:val="bottom"/>
          </w:tcPr>
          <w:p>
            <w:pPr>
              <w:ind w:left="100"/>
              <w:spacing w:after="0"/>
              <w:rPr>
                <w:sz w:val="20"/>
                <w:szCs w:val="20"/>
                <w:color w:val="auto"/>
              </w:rPr>
            </w:pPr>
            <w:r>
              <w:rPr>
                <w:rFonts w:ascii="Arial" w:cs="Arial" w:eastAsia="Arial" w:hAnsi="Arial"/>
                <w:sz w:val="18"/>
                <w:szCs w:val="18"/>
                <w:color w:val="auto"/>
              </w:rPr>
              <w:t>Service cost</w:t>
            </w:r>
          </w:p>
        </w:tc>
        <w:tc>
          <w:tcPr>
            <w:tcW w:w="3160" w:type="dxa"/>
            <w:vAlign w:val="bottom"/>
          </w:tcPr>
          <w:p>
            <w:pPr>
              <w:jc w:val="right"/>
              <w:ind w:right="930"/>
              <w:spacing w:after="0"/>
              <w:rPr>
                <w:sz w:val="20"/>
                <w:szCs w:val="20"/>
                <w:color w:val="auto"/>
              </w:rPr>
            </w:pPr>
            <w:r>
              <w:rPr>
                <w:rFonts w:ascii="Arial" w:cs="Arial" w:eastAsia="Arial" w:hAnsi="Arial"/>
                <w:sz w:val="18"/>
                <w:szCs w:val="18"/>
                <w:b w:val="1"/>
                <w:bCs w:val="1"/>
                <w:color w:val="auto"/>
              </w:rPr>
              <w:t>$849</w:t>
            </w:r>
          </w:p>
        </w:tc>
        <w:tc>
          <w:tcPr>
            <w:tcW w:w="1120" w:type="dxa"/>
            <w:vAlign w:val="bottom"/>
          </w:tcPr>
          <w:p>
            <w:pPr>
              <w:jc w:val="right"/>
              <w:ind w:right="330"/>
              <w:spacing w:after="0"/>
              <w:rPr>
                <w:sz w:val="20"/>
                <w:szCs w:val="20"/>
                <w:color w:val="auto"/>
              </w:rPr>
            </w:pPr>
            <w:r>
              <w:rPr>
                <w:rFonts w:ascii="Arial" w:cs="Arial" w:eastAsia="Arial" w:hAnsi="Arial"/>
                <w:sz w:val="18"/>
                <w:szCs w:val="18"/>
                <w:color w:val="auto"/>
              </w:rPr>
              <w:t>$849</w:t>
            </w:r>
          </w:p>
        </w:tc>
        <w:tc>
          <w:tcPr>
            <w:tcW w:w="1880" w:type="dxa"/>
            <w:vAlign w:val="bottom"/>
          </w:tcPr>
          <w:p>
            <w:pPr>
              <w:jc w:val="right"/>
              <w:ind w:right="510"/>
              <w:spacing w:after="0"/>
              <w:rPr>
                <w:sz w:val="20"/>
                <w:szCs w:val="20"/>
                <w:color w:val="auto"/>
              </w:rPr>
            </w:pPr>
            <w:r>
              <w:rPr>
                <w:rFonts w:ascii="Arial" w:cs="Arial" w:eastAsia="Arial" w:hAnsi="Arial"/>
                <w:sz w:val="18"/>
                <w:szCs w:val="18"/>
                <w:b w:val="1"/>
                <w:bCs w:val="1"/>
                <w:color w:val="auto"/>
              </w:rPr>
              <w:t>$268</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3"/>
        </w:trPr>
        <w:tc>
          <w:tcPr>
            <w:tcW w:w="4060" w:type="dxa"/>
            <w:vAlign w:val="bottom"/>
          </w:tcPr>
          <w:p>
            <w:pPr>
              <w:ind w:left="100"/>
              <w:spacing w:after="0" w:line="202" w:lineRule="exact"/>
              <w:rPr>
                <w:sz w:val="20"/>
                <w:szCs w:val="20"/>
                <w:color w:val="auto"/>
              </w:rPr>
            </w:pPr>
            <w:r>
              <w:rPr>
                <w:rFonts w:ascii="Arial" w:cs="Arial" w:eastAsia="Arial" w:hAnsi="Arial"/>
                <w:sz w:val="18"/>
                <w:szCs w:val="18"/>
                <w:color w:val="auto"/>
              </w:rPr>
              <w:t>Interest cost</w:t>
            </w:r>
          </w:p>
        </w:tc>
        <w:tc>
          <w:tcPr>
            <w:tcW w:w="3160" w:type="dxa"/>
            <w:vAlign w:val="bottom"/>
          </w:tcPr>
          <w:p>
            <w:pPr>
              <w:jc w:val="right"/>
              <w:ind w:right="930"/>
              <w:spacing w:after="0" w:line="202" w:lineRule="exact"/>
              <w:rPr>
                <w:sz w:val="20"/>
                <w:szCs w:val="20"/>
                <w:color w:val="auto"/>
              </w:rPr>
            </w:pPr>
            <w:r>
              <w:rPr>
                <w:rFonts w:ascii="Arial" w:cs="Arial" w:eastAsia="Arial" w:hAnsi="Arial"/>
                <w:sz w:val="18"/>
                <w:szCs w:val="18"/>
                <w:b w:val="1"/>
                <w:bCs w:val="1"/>
                <w:color w:val="auto"/>
              </w:rPr>
              <w:t>4,602</w:t>
            </w:r>
          </w:p>
        </w:tc>
        <w:tc>
          <w:tcPr>
            <w:tcW w:w="11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5,034</w:t>
            </w:r>
          </w:p>
        </w:tc>
        <w:tc>
          <w:tcPr>
            <w:tcW w:w="1880" w:type="dxa"/>
            <w:vAlign w:val="bottom"/>
          </w:tcPr>
          <w:p>
            <w:pPr>
              <w:jc w:val="right"/>
              <w:ind w:right="510"/>
              <w:spacing w:after="0" w:line="202" w:lineRule="exact"/>
              <w:rPr>
                <w:sz w:val="20"/>
                <w:szCs w:val="20"/>
                <w:color w:val="auto"/>
              </w:rPr>
            </w:pPr>
            <w:r>
              <w:rPr>
                <w:rFonts w:ascii="Arial" w:cs="Arial" w:eastAsia="Arial" w:hAnsi="Arial"/>
                <w:sz w:val="18"/>
                <w:szCs w:val="18"/>
                <w:b w:val="1"/>
                <w:bCs w:val="1"/>
                <w:color w:val="auto"/>
              </w:rPr>
              <w:t>922</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39"/>
        </w:trPr>
        <w:tc>
          <w:tcPr>
            <w:tcW w:w="4060" w:type="dxa"/>
            <w:vAlign w:val="bottom"/>
          </w:tcPr>
          <w:p>
            <w:pPr>
              <w:ind w:left="100"/>
              <w:spacing w:after="0"/>
              <w:rPr>
                <w:sz w:val="20"/>
                <w:szCs w:val="20"/>
                <w:color w:val="auto"/>
              </w:rPr>
            </w:pPr>
            <w:r>
              <w:rPr>
                <w:rFonts w:ascii="Arial" w:cs="Arial" w:eastAsia="Arial" w:hAnsi="Arial"/>
                <w:sz w:val="18"/>
                <w:szCs w:val="18"/>
                <w:color w:val="auto"/>
              </w:rPr>
              <w:t>Expected return on plan assets</w:t>
            </w:r>
          </w:p>
        </w:tc>
        <w:tc>
          <w:tcPr>
            <w:tcW w:w="3160" w:type="dxa"/>
            <w:vAlign w:val="bottom"/>
          </w:tcPr>
          <w:p>
            <w:pPr>
              <w:jc w:val="right"/>
              <w:ind w:right="870"/>
              <w:spacing w:after="0"/>
              <w:rPr>
                <w:sz w:val="20"/>
                <w:szCs w:val="20"/>
                <w:color w:val="auto"/>
              </w:rPr>
            </w:pPr>
            <w:r>
              <w:rPr>
                <w:rFonts w:ascii="Arial" w:cs="Arial" w:eastAsia="Arial" w:hAnsi="Arial"/>
                <w:sz w:val="18"/>
                <w:szCs w:val="18"/>
                <w:b w:val="1"/>
                <w:bCs w:val="1"/>
                <w:color w:val="auto"/>
              </w:rPr>
              <w:t>(4,168)</w:t>
            </w:r>
          </w:p>
        </w:tc>
        <w:tc>
          <w:tcPr>
            <w:tcW w:w="1120" w:type="dxa"/>
            <w:vAlign w:val="bottom"/>
          </w:tcPr>
          <w:p>
            <w:pPr>
              <w:jc w:val="right"/>
              <w:ind w:right="270"/>
              <w:spacing w:after="0"/>
              <w:rPr>
                <w:sz w:val="20"/>
                <w:szCs w:val="20"/>
                <w:color w:val="auto"/>
              </w:rPr>
            </w:pPr>
            <w:r>
              <w:rPr>
                <w:rFonts w:ascii="Arial" w:cs="Arial" w:eastAsia="Arial" w:hAnsi="Arial"/>
                <w:sz w:val="18"/>
                <w:szCs w:val="18"/>
                <w:color w:val="auto"/>
              </w:rPr>
              <w:t>(3,981)</w:t>
            </w:r>
          </w:p>
        </w:tc>
        <w:tc>
          <w:tcPr>
            <w:tcW w:w="188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1"/>
        </w:trPr>
        <w:tc>
          <w:tcPr>
            <w:tcW w:w="4060" w:type="dxa"/>
            <w:vAlign w:val="bottom"/>
          </w:tcPr>
          <w:p>
            <w:pPr>
              <w:ind w:left="100"/>
              <w:spacing w:after="0"/>
              <w:rPr>
                <w:sz w:val="20"/>
                <w:szCs w:val="20"/>
                <w:color w:val="auto"/>
              </w:rPr>
            </w:pPr>
            <w:r>
              <w:rPr>
                <w:rFonts w:ascii="Arial" w:cs="Arial" w:eastAsia="Arial" w:hAnsi="Arial"/>
                <w:sz w:val="18"/>
                <w:szCs w:val="18"/>
                <w:color w:val="auto"/>
              </w:rPr>
              <w:t>Amortization:</w:t>
            </w:r>
          </w:p>
        </w:tc>
        <w:tc>
          <w:tcPr>
            <w:tcW w:w="3160" w:type="dxa"/>
            <w:vAlign w:val="bottom"/>
            <w:vMerge w:val="restart"/>
          </w:tcPr>
          <w:p>
            <w:pPr>
              <w:jc w:val="right"/>
              <w:ind w:right="930"/>
              <w:spacing w:after="0"/>
              <w:rPr>
                <w:sz w:val="20"/>
                <w:szCs w:val="20"/>
                <w:color w:val="auto"/>
              </w:rPr>
            </w:pPr>
            <w:r>
              <w:rPr>
                <w:rFonts w:ascii="Arial" w:cs="Arial" w:eastAsia="Arial" w:hAnsi="Arial"/>
                <w:sz w:val="18"/>
                <w:szCs w:val="18"/>
                <w:b w:val="1"/>
                <w:bCs w:val="1"/>
                <w:color w:val="auto"/>
              </w:rPr>
              <w:t>19</w:t>
            </w:r>
          </w:p>
        </w:tc>
        <w:tc>
          <w:tcPr>
            <w:tcW w:w="1120" w:type="dxa"/>
            <w:vAlign w:val="bottom"/>
          </w:tcPr>
          <w:p>
            <w:pPr>
              <w:spacing w:after="0"/>
              <w:rPr>
                <w:sz w:val="24"/>
                <w:szCs w:val="24"/>
                <w:color w:val="auto"/>
              </w:rPr>
            </w:pPr>
          </w:p>
        </w:tc>
        <w:tc>
          <w:tcPr>
            <w:tcW w:w="188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060" w:type="dxa"/>
            <w:vAlign w:val="bottom"/>
          </w:tcPr>
          <w:p>
            <w:pPr>
              <w:ind w:left="200"/>
              <w:spacing w:after="0" w:line="181" w:lineRule="exact"/>
              <w:rPr>
                <w:sz w:val="20"/>
                <w:szCs w:val="20"/>
                <w:color w:val="auto"/>
              </w:rPr>
            </w:pPr>
            <w:r>
              <w:rPr>
                <w:rFonts w:ascii="Arial" w:cs="Arial" w:eastAsia="Arial" w:hAnsi="Arial"/>
                <w:sz w:val="18"/>
                <w:szCs w:val="18"/>
                <w:color w:val="auto"/>
              </w:rPr>
              <w:t>Transition obligation</w:t>
            </w:r>
          </w:p>
        </w:tc>
        <w:tc>
          <w:tcPr>
            <w:tcW w:w="3160" w:type="dxa"/>
            <w:vAlign w:val="bottom"/>
            <w:vMerge w:val="continue"/>
          </w:tcPr>
          <w:p>
            <w:pPr>
              <w:spacing w:after="0"/>
              <w:rPr>
                <w:sz w:val="15"/>
                <w:szCs w:val="15"/>
                <w:color w:val="auto"/>
              </w:rPr>
            </w:pPr>
          </w:p>
        </w:tc>
        <w:tc>
          <w:tcPr>
            <w:tcW w:w="1120" w:type="dxa"/>
            <w:vAlign w:val="bottom"/>
          </w:tcPr>
          <w:p>
            <w:pPr>
              <w:jc w:val="right"/>
              <w:ind w:right="330"/>
              <w:spacing w:after="0" w:line="181" w:lineRule="exact"/>
              <w:rPr>
                <w:sz w:val="20"/>
                <w:szCs w:val="20"/>
                <w:color w:val="auto"/>
              </w:rPr>
            </w:pPr>
            <w:r>
              <w:rPr>
                <w:rFonts w:ascii="Arial" w:cs="Arial" w:eastAsia="Arial" w:hAnsi="Arial"/>
                <w:sz w:val="18"/>
                <w:szCs w:val="18"/>
                <w:color w:val="auto"/>
              </w:rPr>
              <w:t>22</w:t>
            </w:r>
          </w:p>
        </w:tc>
        <w:tc>
          <w:tcPr>
            <w:tcW w:w="1880" w:type="dxa"/>
            <w:vAlign w:val="bottom"/>
            <w:vMerge w:val="continue"/>
          </w:tcPr>
          <w:p>
            <w:pPr>
              <w:spacing w:after="0"/>
              <w:rPr>
                <w:sz w:val="15"/>
                <w:szCs w:val="15"/>
                <w:color w:val="auto"/>
              </w:rPr>
            </w:pPr>
          </w:p>
        </w:tc>
        <w:tc>
          <w:tcPr>
            <w:tcW w:w="1200" w:type="dxa"/>
            <w:vAlign w:val="bottom"/>
          </w:tcPr>
          <w:p>
            <w:pPr>
              <w:jc w:val="right"/>
              <w:ind w:right="10"/>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60" w:type="dxa"/>
            <w:vAlign w:val="bottom"/>
          </w:tcPr>
          <w:p>
            <w:pPr>
              <w:ind w:left="200"/>
              <w:spacing w:after="0" w:line="202" w:lineRule="exact"/>
              <w:rPr>
                <w:sz w:val="20"/>
                <w:szCs w:val="20"/>
                <w:color w:val="auto"/>
              </w:rPr>
            </w:pPr>
            <w:r>
              <w:rPr>
                <w:rFonts w:ascii="Arial" w:cs="Arial" w:eastAsia="Arial" w:hAnsi="Arial"/>
                <w:sz w:val="18"/>
                <w:szCs w:val="18"/>
                <w:color w:val="auto"/>
              </w:rPr>
              <w:t>Prior service cost/(credit)</w:t>
            </w:r>
          </w:p>
        </w:tc>
        <w:tc>
          <w:tcPr>
            <w:tcW w:w="3160" w:type="dxa"/>
            <w:vAlign w:val="bottom"/>
          </w:tcPr>
          <w:p>
            <w:pPr>
              <w:jc w:val="right"/>
              <w:ind w:right="930"/>
              <w:spacing w:after="0" w:line="202" w:lineRule="exact"/>
              <w:rPr>
                <w:sz w:val="20"/>
                <w:szCs w:val="20"/>
                <w:color w:val="auto"/>
              </w:rPr>
            </w:pPr>
            <w:r>
              <w:rPr>
                <w:rFonts w:ascii="Arial" w:cs="Arial" w:eastAsia="Arial" w:hAnsi="Arial"/>
                <w:sz w:val="18"/>
                <w:szCs w:val="18"/>
                <w:b w:val="1"/>
                <w:bCs w:val="1"/>
                <w:color w:val="auto"/>
              </w:rPr>
              <w:t>9</w:t>
            </w:r>
          </w:p>
        </w:tc>
        <w:tc>
          <w:tcPr>
            <w:tcW w:w="11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9</w:t>
            </w:r>
          </w:p>
        </w:tc>
        <w:tc>
          <w:tcPr>
            <w:tcW w:w="1880" w:type="dxa"/>
            <w:vAlign w:val="bottom"/>
          </w:tcPr>
          <w:p>
            <w:pPr>
              <w:jc w:val="right"/>
              <w:ind w:right="450"/>
              <w:spacing w:after="0" w:line="202" w:lineRule="exact"/>
              <w:rPr>
                <w:sz w:val="20"/>
                <w:szCs w:val="20"/>
                <w:color w:val="auto"/>
              </w:rPr>
            </w:pPr>
            <w:r>
              <w:rPr>
                <w:rFonts w:ascii="Arial" w:cs="Arial" w:eastAsia="Arial" w:hAnsi="Arial"/>
                <w:sz w:val="18"/>
                <w:szCs w:val="18"/>
                <w:b w:val="1"/>
                <w:bCs w:val="1"/>
                <w:color w:val="auto"/>
              </w:rPr>
              <w:t>(917)</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39"/>
        </w:trPr>
        <w:tc>
          <w:tcPr>
            <w:tcW w:w="4060" w:type="dxa"/>
            <w:vAlign w:val="bottom"/>
          </w:tcPr>
          <w:p>
            <w:pPr>
              <w:ind w:left="200"/>
              <w:spacing w:after="0"/>
              <w:rPr>
                <w:sz w:val="20"/>
                <w:szCs w:val="20"/>
                <w:color w:val="auto"/>
              </w:rPr>
            </w:pPr>
            <w:r>
              <w:rPr>
                <w:rFonts w:ascii="Arial" w:cs="Arial" w:eastAsia="Arial" w:hAnsi="Arial"/>
                <w:sz w:val="18"/>
                <w:szCs w:val="18"/>
                <w:color w:val="auto"/>
              </w:rPr>
              <w:t>Net actuarial loss</w:t>
            </w:r>
          </w:p>
        </w:tc>
        <w:tc>
          <w:tcPr>
            <w:tcW w:w="3160" w:type="dxa"/>
            <w:vAlign w:val="bottom"/>
          </w:tcPr>
          <w:p>
            <w:pPr>
              <w:jc w:val="right"/>
              <w:ind w:right="930"/>
              <w:spacing w:after="0"/>
              <w:rPr>
                <w:sz w:val="20"/>
                <w:szCs w:val="20"/>
                <w:color w:val="auto"/>
              </w:rPr>
            </w:pPr>
            <w:r>
              <w:rPr>
                <w:rFonts w:ascii="Arial" w:cs="Arial" w:eastAsia="Arial" w:hAnsi="Arial"/>
                <w:sz w:val="18"/>
                <w:szCs w:val="18"/>
                <w:b w:val="1"/>
                <w:bCs w:val="1"/>
                <w:color w:val="auto"/>
              </w:rPr>
              <w:t>1,773</w:t>
            </w:r>
          </w:p>
        </w:tc>
        <w:tc>
          <w:tcPr>
            <w:tcW w:w="1120" w:type="dxa"/>
            <w:vAlign w:val="bottom"/>
          </w:tcPr>
          <w:p>
            <w:pPr>
              <w:jc w:val="right"/>
              <w:ind w:right="330"/>
              <w:spacing w:after="0"/>
              <w:rPr>
                <w:sz w:val="20"/>
                <w:szCs w:val="20"/>
                <w:color w:val="auto"/>
              </w:rPr>
            </w:pPr>
            <w:r>
              <w:rPr>
                <w:rFonts w:ascii="Arial" w:cs="Arial" w:eastAsia="Arial" w:hAnsi="Arial"/>
                <w:sz w:val="18"/>
                <w:szCs w:val="18"/>
                <w:color w:val="auto"/>
              </w:rPr>
              <w:t>1,422</w:t>
            </w:r>
          </w:p>
        </w:tc>
        <w:tc>
          <w:tcPr>
            <w:tcW w:w="1880" w:type="dxa"/>
            <w:vAlign w:val="bottom"/>
          </w:tcPr>
          <w:p>
            <w:pPr>
              <w:jc w:val="right"/>
              <w:ind w:right="510"/>
              <w:spacing w:after="0"/>
              <w:rPr>
                <w:sz w:val="20"/>
                <w:szCs w:val="20"/>
                <w:color w:val="auto"/>
              </w:rPr>
            </w:pPr>
            <w:r>
              <w:rPr>
                <w:rFonts w:ascii="Arial" w:cs="Arial" w:eastAsia="Arial" w:hAnsi="Arial"/>
                <w:sz w:val="18"/>
                <w:szCs w:val="18"/>
                <w:b w:val="1"/>
                <w:bCs w:val="1"/>
                <w:color w:val="auto"/>
              </w:rPr>
              <w:t>804</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392"/>
        </w:trPr>
        <w:tc>
          <w:tcPr>
            <w:tcW w:w="4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Settlement charge</w:t>
            </w:r>
          </w:p>
        </w:tc>
        <w:tc>
          <w:tcPr>
            <w:tcW w:w="316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9,175</w:t>
            </w: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06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Net periodic benefit costs</w:t>
            </w:r>
          </w:p>
        </w:tc>
        <w:tc>
          <w:tcPr>
            <w:tcW w:w="3160" w:type="dxa"/>
            <w:vAlign w:val="bottom"/>
            <w:tcBorders>
              <w:bottom w:val="single" w:sz="8" w:color="auto"/>
            </w:tcBorders>
          </w:tcPr>
          <w:p>
            <w:pPr>
              <w:jc w:val="right"/>
              <w:ind w:right="930"/>
              <w:spacing w:after="0" w:line="196" w:lineRule="exact"/>
              <w:rPr>
                <w:sz w:val="20"/>
                <w:szCs w:val="20"/>
                <w:color w:val="auto"/>
              </w:rPr>
            </w:pPr>
            <w:r>
              <w:rPr>
                <w:rFonts w:ascii="Arial" w:cs="Arial" w:eastAsia="Arial" w:hAnsi="Arial"/>
                <w:sz w:val="18"/>
                <w:szCs w:val="18"/>
                <w:b w:val="1"/>
                <w:bCs w:val="1"/>
                <w:color w:val="auto"/>
              </w:rPr>
              <w:t>$12,259</w:t>
            </w:r>
          </w:p>
        </w:tc>
        <w:tc>
          <w:tcPr>
            <w:tcW w:w="112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rPr>
              <w:t>$3,355</w:t>
            </w:r>
          </w:p>
        </w:tc>
        <w:tc>
          <w:tcPr>
            <w:tcW w:w="188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$1,077</w:t>
            </w:r>
          </w:p>
        </w:tc>
        <w:tc>
          <w:tcPr>
            <w:tcW w:w="1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In the first quarter of 2012, the Company announced a plan to significantly reduce its pension plan liabilities by permanently settling certain pension obligations. In the first quarter of 2012, we recorded a settlement charge of $9.2 million related to the extinguishment of our pension plan liability in Sweden.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5. Restructuring</w:t>
      </w:r>
    </w:p>
    <w:p>
      <w:pPr>
        <w:spacing w:after="0" w:line="126" w:lineRule="exact"/>
        <w:rPr>
          <w:sz w:val="20"/>
          <w:szCs w:val="20"/>
          <w:color w:val="auto"/>
        </w:rPr>
      </w:pPr>
    </w:p>
    <w:p>
      <w:pPr>
        <w:ind w:right="760"/>
        <w:spacing w:after="0" w:line="246" w:lineRule="auto"/>
        <w:rPr>
          <w:sz w:val="20"/>
          <w:szCs w:val="20"/>
          <w:color w:val="auto"/>
        </w:rPr>
      </w:pPr>
      <w:r>
        <w:rPr>
          <w:rFonts w:ascii="Arial" w:cs="Arial" w:eastAsia="Arial" w:hAnsi="Arial"/>
          <w:sz w:val="18"/>
          <w:szCs w:val="18"/>
          <w:color w:val="auto"/>
        </w:rPr>
        <w:t>Net restructuring expenses in 2012 were principally related to the previously announced curtailment of manufacturing in New York and Wisconsin. Those costs were partially offset by a reduction in accruals related to the relocation of the Company’s headquarters.</w:t>
      </w:r>
    </w:p>
    <w:p>
      <w:pPr>
        <w:spacing w:after="0" w:line="89"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The following tables summarize charges reported in the Statement of Operations under “Restructuring and other, net” for the first three months of 2012 and 2011:</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40" w:type="dxa"/>
            <w:vAlign w:val="bottom"/>
            <w:tcBorders>
              <w:top w:val="single" w:sz="8" w:color="auto"/>
            </w:tcBorders>
          </w:tcPr>
          <w:p>
            <w:pPr>
              <w:spacing w:after="0"/>
              <w:rPr>
                <w:sz w:val="18"/>
                <w:szCs w:val="18"/>
                <w:color w:val="auto"/>
              </w:rPr>
            </w:pPr>
          </w:p>
        </w:tc>
        <w:tc>
          <w:tcPr>
            <w:tcW w:w="3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Three months ended</w:t>
            </w:r>
          </w:p>
        </w:tc>
      </w:tr>
      <w:tr>
        <w:trPr>
          <w:trHeight w:val="203"/>
        </w:trPr>
        <w:tc>
          <w:tcPr>
            <w:tcW w:w="4140" w:type="dxa"/>
            <w:vAlign w:val="bottom"/>
          </w:tcPr>
          <w:p>
            <w:pPr>
              <w:spacing w:after="0"/>
              <w:rPr>
                <w:sz w:val="17"/>
                <w:szCs w:val="17"/>
                <w:color w:val="auto"/>
              </w:rPr>
            </w:pPr>
          </w:p>
        </w:tc>
        <w:tc>
          <w:tcPr>
            <w:tcW w:w="3360" w:type="dxa"/>
            <w:vAlign w:val="bottom"/>
          </w:tcPr>
          <w:p>
            <w:pPr>
              <w:jc w:val="right"/>
              <w:spacing w:after="0" w:line="202" w:lineRule="exact"/>
              <w:rPr>
                <w:sz w:val="20"/>
                <w:szCs w:val="20"/>
                <w:color w:val="auto"/>
              </w:rPr>
            </w:pPr>
            <w:r>
              <w:rPr>
                <w:rFonts w:ascii="Arial" w:cs="Arial" w:eastAsia="Arial" w:hAnsi="Arial"/>
                <w:sz w:val="18"/>
                <w:szCs w:val="18"/>
                <w:color w:val="auto"/>
              </w:rPr>
              <w:t>March 31,</w:t>
            </w:r>
          </w:p>
        </w:tc>
        <w:tc>
          <w:tcPr>
            <w:tcW w:w="480" w:type="dxa"/>
            <w:vAlign w:val="bottom"/>
          </w:tcPr>
          <w:p>
            <w:pPr>
              <w:spacing w:after="0"/>
              <w:rPr>
                <w:sz w:val="17"/>
                <w:szCs w:val="17"/>
                <w:color w:val="auto"/>
              </w:rPr>
            </w:pPr>
          </w:p>
        </w:tc>
      </w:tr>
      <w:tr>
        <w:trPr>
          <w:trHeight w:val="203"/>
        </w:trPr>
        <w:tc>
          <w:tcPr>
            <w:tcW w:w="41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(in thousands)</w:t>
            </w:r>
          </w:p>
        </w:tc>
        <w:tc>
          <w:tcPr>
            <w:tcW w:w="3360" w:type="dxa"/>
            <w:vAlign w:val="bottom"/>
            <w:tcBorders>
              <w:bottom w:val="single" w:sz="8" w:color="auto"/>
            </w:tcBorders>
          </w:tcPr>
          <w:p>
            <w:pPr>
              <w:jc w:val="right"/>
              <w:ind w:right="510"/>
              <w:spacing w:after="0" w:line="203" w:lineRule="exact"/>
              <w:rPr>
                <w:sz w:val="20"/>
                <w:szCs w:val="20"/>
                <w:color w:val="auto"/>
              </w:rPr>
            </w:pPr>
            <w:r>
              <w:rPr>
                <w:rFonts w:ascii="Arial" w:cs="Arial" w:eastAsia="Arial" w:hAnsi="Arial"/>
                <w:sz w:val="18"/>
                <w:szCs w:val="18"/>
                <w:color w:val="auto"/>
              </w:rPr>
              <w:t>2012</w:t>
            </w:r>
          </w:p>
        </w:tc>
        <w:tc>
          <w:tcPr>
            <w:tcW w:w="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2011</w:t>
            </w:r>
          </w:p>
        </w:tc>
      </w:tr>
      <w:tr>
        <w:trPr>
          <w:trHeight w:val="195"/>
        </w:trPr>
        <w:tc>
          <w:tcPr>
            <w:tcW w:w="4140" w:type="dxa"/>
            <w:vAlign w:val="bottom"/>
          </w:tcPr>
          <w:p>
            <w:pPr>
              <w:ind w:left="100"/>
              <w:spacing w:after="0" w:line="195" w:lineRule="exact"/>
              <w:rPr>
                <w:sz w:val="20"/>
                <w:szCs w:val="20"/>
                <w:color w:val="auto"/>
              </w:rPr>
            </w:pPr>
            <w:r>
              <w:rPr>
                <w:rFonts w:ascii="Arial" w:cs="Arial" w:eastAsia="Arial" w:hAnsi="Arial"/>
                <w:sz w:val="18"/>
                <w:szCs w:val="18"/>
                <w:color w:val="auto"/>
              </w:rPr>
              <w:t>Machine Clothing</w:t>
            </w:r>
          </w:p>
        </w:tc>
        <w:tc>
          <w:tcPr>
            <w:tcW w:w="3360" w:type="dxa"/>
            <w:vAlign w:val="bottom"/>
          </w:tcPr>
          <w:p>
            <w:pPr>
              <w:jc w:val="right"/>
              <w:ind w:right="510"/>
              <w:spacing w:after="0" w:line="195" w:lineRule="exact"/>
              <w:rPr>
                <w:sz w:val="20"/>
                <w:szCs w:val="20"/>
                <w:color w:val="auto"/>
              </w:rPr>
            </w:pPr>
            <w:r>
              <w:rPr>
                <w:rFonts w:ascii="Arial" w:cs="Arial" w:eastAsia="Arial" w:hAnsi="Arial"/>
                <w:sz w:val="18"/>
                <w:szCs w:val="18"/>
                <w:color w:val="auto"/>
              </w:rPr>
              <w:t>$673</w:t>
            </w:r>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$33</w:t>
            </w:r>
          </w:p>
        </w:tc>
      </w:tr>
      <w:tr>
        <w:trPr>
          <w:trHeight w:val="203"/>
        </w:trPr>
        <w:tc>
          <w:tcPr>
            <w:tcW w:w="4140" w:type="dxa"/>
            <w:vAlign w:val="bottom"/>
          </w:tcPr>
          <w:p>
            <w:pPr>
              <w:ind w:left="100"/>
              <w:spacing w:after="0" w:line="202" w:lineRule="exact"/>
              <w:rPr>
                <w:sz w:val="20"/>
                <w:szCs w:val="20"/>
                <w:color w:val="auto"/>
              </w:rPr>
            </w:pPr>
            <w:r>
              <w:rPr>
                <w:rFonts w:ascii="Arial" w:cs="Arial" w:eastAsia="Arial" w:hAnsi="Arial"/>
                <w:sz w:val="18"/>
                <w:szCs w:val="18"/>
                <w:color w:val="auto"/>
              </w:rPr>
              <w:t>Engineered Composites</w:t>
            </w:r>
          </w:p>
        </w:tc>
        <w:tc>
          <w:tcPr>
            <w:tcW w:w="33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r>
      <w:tr>
        <w:trPr>
          <w:trHeight w:val="203"/>
        </w:trPr>
        <w:tc>
          <w:tcPr>
            <w:tcW w:w="414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Unallocated</w:t>
            </w:r>
          </w:p>
        </w:tc>
        <w:tc>
          <w:tcPr>
            <w:tcW w:w="3360" w:type="dxa"/>
            <w:vAlign w:val="bottom"/>
            <w:tcBorders>
              <w:bottom w:val="single" w:sz="8" w:color="auto"/>
            </w:tcBorders>
          </w:tcPr>
          <w:p>
            <w:pPr>
              <w:jc w:val="right"/>
              <w:ind w:right="450"/>
              <w:spacing w:after="0" w:line="203" w:lineRule="exact"/>
              <w:rPr>
                <w:sz w:val="20"/>
                <w:szCs w:val="20"/>
                <w:color w:val="auto"/>
              </w:rPr>
            </w:pPr>
            <w:r>
              <w:rPr>
                <w:rFonts w:ascii="Arial" w:cs="Arial" w:eastAsia="Arial" w:hAnsi="Arial"/>
                <w:sz w:val="18"/>
                <w:szCs w:val="18"/>
                <w:color w:val="auto"/>
              </w:rPr>
              <w:t>(415)</w:t>
            </w:r>
          </w:p>
        </w:tc>
        <w:tc>
          <w:tcPr>
            <w:tcW w:w="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w:t>
            </w:r>
          </w:p>
        </w:tc>
      </w:tr>
      <w:tr>
        <w:trPr>
          <w:trHeight w:val="196"/>
        </w:trPr>
        <w:tc>
          <w:tcPr>
            <w:tcW w:w="414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w:t>
            </w:r>
          </w:p>
        </w:tc>
        <w:tc>
          <w:tcPr>
            <w:tcW w:w="336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$258</w:t>
            </w:r>
          </w:p>
        </w:tc>
        <w:tc>
          <w:tcPr>
            <w:tcW w:w="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year-to-date summaries of changes in restructuring liabilities for 2012 and 2011:</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40" w:type="dxa"/>
            <w:vAlign w:val="bottom"/>
            <w:tcBorders>
              <w:top w:val="single" w:sz="8" w:color="auto"/>
            </w:tcBorders>
          </w:tcPr>
          <w:p>
            <w:pPr>
              <w:spacing w:after="0"/>
              <w:rPr>
                <w:sz w:val="18"/>
                <w:szCs w:val="18"/>
                <w:color w:val="auto"/>
              </w:rPr>
            </w:pPr>
          </w:p>
        </w:tc>
        <w:tc>
          <w:tcPr>
            <w:tcW w:w="226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Restructuring</w:t>
            </w:r>
          </w:p>
        </w:tc>
        <w:tc>
          <w:tcPr>
            <w:tcW w:w="156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Restructuring</w:t>
            </w:r>
          </w:p>
        </w:tc>
      </w:tr>
      <w:tr>
        <w:trPr>
          <w:trHeight w:val="203"/>
        </w:trPr>
        <w:tc>
          <w:tcPr>
            <w:tcW w:w="1740" w:type="dxa"/>
            <w:vAlign w:val="bottom"/>
          </w:tcPr>
          <w:p>
            <w:pPr>
              <w:spacing w:after="0"/>
              <w:rPr>
                <w:sz w:val="17"/>
                <w:szCs w:val="17"/>
                <w:color w:val="auto"/>
              </w:rPr>
            </w:pPr>
          </w:p>
        </w:tc>
        <w:tc>
          <w:tcPr>
            <w:tcW w:w="226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charges accrued</w:t>
            </w:r>
          </w:p>
        </w:tc>
        <w:tc>
          <w:tcPr>
            <w:tcW w:w="15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18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Currency</w:t>
            </w:r>
          </w:p>
        </w:tc>
        <w:tc>
          <w:tcPr>
            <w:tcW w:w="1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charges accrued</w:t>
            </w:r>
          </w:p>
        </w:tc>
      </w:tr>
      <w:tr>
        <w:trPr>
          <w:trHeight w:val="203"/>
        </w:trPr>
        <w:tc>
          <w:tcPr>
            <w:tcW w:w="174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(in thousands)</w:t>
            </w:r>
          </w:p>
        </w:tc>
        <w:tc>
          <w:tcPr>
            <w:tcW w:w="226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December 31, 2011</w:t>
            </w:r>
          </w:p>
        </w:tc>
        <w:tc>
          <w:tcPr>
            <w:tcW w:w="1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New accruals</w:t>
            </w:r>
          </w:p>
        </w:tc>
        <w:tc>
          <w:tcPr>
            <w:tcW w:w="184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Payments</w:t>
            </w:r>
          </w:p>
        </w:tc>
        <w:tc>
          <w:tcPr>
            <w:tcW w:w="2180" w:type="dxa"/>
            <w:vAlign w:val="bottom"/>
            <w:tcBorders>
              <w:bottom w:val="single" w:sz="8" w:color="auto"/>
            </w:tcBorders>
          </w:tcPr>
          <w:p>
            <w:pPr>
              <w:jc w:val="right"/>
              <w:ind w:right="450"/>
              <w:spacing w:after="0" w:line="203" w:lineRule="exact"/>
              <w:rPr>
                <w:sz w:val="20"/>
                <w:szCs w:val="20"/>
                <w:color w:val="auto"/>
              </w:rPr>
            </w:pPr>
            <w:r>
              <w:rPr>
                <w:rFonts w:ascii="Arial" w:cs="Arial" w:eastAsia="Arial" w:hAnsi="Arial"/>
                <w:sz w:val="18"/>
                <w:szCs w:val="18"/>
                <w:color w:val="auto"/>
              </w:rPr>
              <w:t>translation/ other</w:t>
            </w:r>
          </w:p>
        </w:tc>
        <w:tc>
          <w:tcPr>
            <w:tcW w:w="18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March 31, 2012</w:t>
            </w:r>
          </w:p>
        </w:tc>
      </w:tr>
      <w:tr>
        <w:trPr>
          <w:trHeight w:val="399"/>
        </w:trPr>
        <w:tc>
          <w:tcPr>
            <w:tcW w:w="1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Termination costs</w:t>
            </w:r>
          </w:p>
        </w:tc>
        <w:tc>
          <w:tcPr>
            <w:tcW w:w="2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$6,979</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1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($1,536)</w:t>
            </w:r>
          </w:p>
        </w:tc>
        <w:tc>
          <w:tcPr>
            <w:tcW w:w="2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$59</w:t>
            </w: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$6,305</w:t>
            </w:r>
          </w:p>
        </w:tc>
      </w:tr>
      <w:tr>
        <w:trPr>
          <w:trHeight w:val="237"/>
        </w:trPr>
        <w:tc>
          <w:tcPr>
            <w:tcW w:w="17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r>
      <w:tr>
        <w:trPr>
          <w:trHeight w:val="195"/>
        </w:trPr>
        <w:tc>
          <w:tcPr>
            <w:tcW w:w="1740" w:type="dxa"/>
            <w:vAlign w:val="bottom"/>
          </w:tcPr>
          <w:p>
            <w:pPr>
              <w:spacing w:after="0"/>
              <w:rPr>
                <w:sz w:val="16"/>
                <w:szCs w:val="16"/>
                <w:color w:val="auto"/>
              </w:rPr>
            </w:pPr>
          </w:p>
        </w:tc>
        <w:tc>
          <w:tcPr>
            <w:tcW w:w="2260" w:type="dxa"/>
            <w:vAlign w:val="bottom"/>
          </w:tcPr>
          <w:p>
            <w:pPr>
              <w:jc w:val="right"/>
              <w:ind w:right="330"/>
              <w:spacing w:after="0" w:line="195" w:lineRule="exact"/>
              <w:rPr>
                <w:sz w:val="20"/>
                <w:szCs w:val="20"/>
                <w:color w:val="auto"/>
              </w:rPr>
            </w:pPr>
            <w:r>
              <w:rPr>
                <w:rFonts w:ascii="Arial" w:cs="Arial" w:eastAsia="Arial" w:hAnsi="Arial"/>
                <w:sz w:val="18"/>
                <w:szCs w:val="18"/>
                <w:color w:val="auto"/>
              </w:rPr>
              <w:t>Restructuring</w:t>
            </w:r>
          </w:p>
        </w:tc>
        <w:tc>
          <w:tcPr>
            <w:tcW w:w="15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840" w:type="dxa"/>
            <w:vAlign w:val="bottom"/>
          </w:tcPr>
          <w:p>
            <w:pPr>
              <w:jc w:val="right"/>
              <w:ind w:right="50"/>
              <w:spacing w:after="0" w:line="195" w:lineRule="exact"/>
              <w:rPr>
                <w:sz w:val="20"/>
                <w:szCs w:val="20"/>
                <w:color w:val="auto"/>
              </w:rPr>
            </w:pPr>
            <w:r>
              <w:rPr>
                <w:rFonts w:ascii="Arial" w:cs="Arial" w:eastAsia="Arial" w:hAnsi="Arial"/>
                <w:sz w:val="18"/>
                <w:szCs w:val="18"/>
                <w:color w:val="auto"/>
              </w:rPr>
              <w:t>Restructuring</w:t>
            </w:r>
          </w:p>
        </w:tc>
      </w:tr>
      <w:tr>
        <w:trPr>
          <w:trHeight w:val="203"/>
        </w:trPr>
        <w:tc>
          <w:tcPr>
            <w:tcW w:w="1740" w:type="dxa"/>
            <w:vAlign w:val="bottom"/>
          </w:tcPr>
          <w:p>
            <w:pPr>
              <w:spacing w:after="0"/>
              <w:rPr>
                <w:sz w:val="17"/>
                <w:szCs w:val="17"/>
                <w:color w:val="auto"/>
              </w:rPr>
            </w:pPr>
          </w:p>
        </w:tc>
        <w:tc>
          <w:tcPr>
            <w:tcW w:w="226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charges accrued</w:t>
            </w:r>
          </w:p>
        </w:tc>
        <w:tc>
          <w:tcPr>
            <w:tcW w:w="15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18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Currency</w:t>
            </w:r>
          </w:p>
        </w:tc>
        <w:tc>
          <w:tcPr>
            <w:tcW w:w="18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charges accrued</w:t>
            </w:r>
          </w:p>
        </w:tc>
      </w:tr>
      <w:tr>
        <w:trPr>
          <w:trHeight w:val="203"/>
        </w:trPr>
        <w:tc>
          <w:tcPr>
            <w:tcW w:w="174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(in thousands)</w:t>
            </w:r>
          </w:p>
        </w:tc>
        <w:tc>
          <w:tcPr>
            <w:tcW w:w="226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December 31, 2010</w:t>
            </w:r>
          </w:p>
        </w:tc>
        <w:tc>
          <w:tcPr>
            <w:tcW w:w="1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New accruals</w:t>
            </w:r>
          </w:p>
        </w:tc>
        <w:tc>
          <w:tcPr>
            <w:tcW w:w="184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Payments</w:t>
            </w:r>
          </w:p>
        </w:tc>
        <w:tc>
          <w:tcPr>
            <w:tcW w:w="2180" w:type="dxa"/>
            <w:vAlign w:val="bottom"/>
            <w:tcBorders>
              <w:bottom w:val="single" w:sz="8" w:color="auto"/>
            </w:tcBorders>
          </w:tcPr>
          <w:p>
            <w:pPr>
              <w:jc w:val="right"/>
              <w:ind w:right="550"/>
              <w:spacing w:after="0" w:line="203" w:lineRule="exact"/>
              <w:rPr>
                <w:sz w:val="20"/>
                <w:szCs w:val="20"/>
                <w:color w:val="auto"/>
              </w:rPr>
            </w:pPr>
            <w:r>
              <w:rPr>
                <w:rFonts w:ascii="Arial" w:cs="Arial" w:eastAsia="Arial" w:hAnsi="Arial"/>
                <w:sz w:val="18"/>
                <w:szCs w:val="18"/>
                <w:color w:val="auto"/>
              </w:rPr>
              <w:t>translation/ other</w:t>
            </w:r>
          </w:p>
        </w:tc>
        <w:tc>
          <w:tcPr>
            <w:tcW w:w="18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March 31, 2011</w:t>
            </w:r>
          </w:p>
        </w:tc>
      </w:tr>
      <w:tr>
        <w:trPr>
          <w:trHeight w:val="399"/>
        </w:trPr>
        <w:tc>
          <w:tcPr>
            <w:tcW w:w="1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Termination costs</w:t>
            </w:r>
          </w:p>
        </w:tc>
        <w:tc>
          <w:tcPr>
            <w:tcW w:w="2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$2,809</w:t>
            </w:r>
          </w:p>
        </w:tc>
        <w:tc>
          <w:tcPr>
            <w:tcW w:w="15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($1,104)</w:t>
            </w:r>
          </w:p>
        </w:tc>
        <w:tc>
          <w:tcPr>
            <w:tcW w:w="21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$103</w:t>
            </w: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$1,808</w:t>
            </w:r>
          </w:p>
        </w:tc>
      </w:tr>
      <w:tr>
        <w:trPr>
          <w:trHeight w:val="331"/>
        </w:trPr>
        <w:tc>
          <w:tcPr>
            <w:tcW w:w="9580" w:type="dxa"/>
            <w:vAlign w:val="bottom"/>
            <w:gridSpan w:val="5"/>
          </w:tcPr>
          <w:p>
            <w:pPr>
              <w:jc w:val="right"/>
              <w:ind w:right="270"/>
              <w:spacing w:after="0"/>
              <w:rPr>
                <w:sz w:val="20"/>
                <w:szCs w:val="20"/>
                <w:color w:val="auto"/>
              </w:rPr>
            </w:pPr>
            <w:r>
              <w:rPr>
                <w:rFonts w:ascii="Arial" w:cs="Arial" w:eastAsia="Arial" w:hAnsi="Arial"/>
                <w:sz w:val="18"/>
                <w:szCs w:val="18"/>
                <w:color w:val="auto"/>
                <w:w w:val="99"/>
              </w:rPr>
              <w:t>We expect that substantially all accruals for restructuring liabilities as of March 31, 2012 will be paid within one year.</w:t>
            </w:r>
          </w:p>
        </w:tc>
        <w:tc>
          <w:tcPr>
            <w:tcW w:w="1840" w:type="dxa"/>
            <w:vAlign w:val="bottom"/>
          </w:tcPr>
          <w:p>
            <w:pPr>
              <w:spacing w:after="0"/>
              <w:rPr>
                <w:sz w:val="24"/>
                <w:szCs w:val="24"/>
                <w:color w:val="auto"/>
              </w:rPr>
            </w:pPr>
          </w:p>
        </w:tc>
      </w:tr>
      <w:tr>
        <w:trPr>
          <w:trHeight w:val="419"/>
        </w:trPr>
        <w:tc>
          <w:tcPr>
            <w:tcW w:w="17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40" w:type="dxa"/>
            <w:vAlign w:val="bottom"/>
          </w:tcPr>
          <w:p>
            <w:pPr>
              <w:jc w:val="right"/>
              <w:ind w:right="1490"/>
              <w:spacing w:after="0"/>
              <w:rPr>
                <w:sz w:val="20"/>
                <w:szCs w:val="20"/>
                <w:color w:val="auto"/>
              </w:rPr>
            </w:pPr>
            <w:r>
              <w:rPr>
                <w:rFonts w:ascii="Arial" w:cs="Arial" w:eastAsia="Arial" w:hAnsi="Arial"/>
                <w:sz w:val="18"/>
                <w:szCs w:val="18"/>
                <w:color w:val="auto"/>
              </w:rPr>
              <w:t>12</w:t>
            </w:r>
          </w:p>
        </w:tc>
        <w:tc>
          <w:tcPr>
            <w:tcW w:w="21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37"/>
        </w:trPr>
        <w:tc>
          <w:tcPr>
            <w:tcW w:w="17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65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6. Other Expense, net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Other expense, net consists of the following:</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80" w:type="dxa"/>
            <w:vAlign w:val="bottom"/>
            <w:tcBorders>
              <w:top w:val="single" w:sz="8" w:color="auto"/>
            </w:tcBorders>
          </w:tcPr>
          <w:p>
            <w:pPr>
              <w:spacing w:after="0"/>
              <w:rPr>
                <w:sz w:val="18"/>
                <w:szCs w:val="18"/>
                <w:color w:val="auto"/>
              </w:rPr>
            </w:pPr>
          </w:p>
        </w:tc>
        <w:tc>
          <w:tcPr>
            <w:tcW w:w="386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Three Months Ended</w:t>
            </w:r>
          </w:p>
        </w:tc>
        <w:tc>
          <w:tcPr>
            <w:tcW w:w="2280" w:type="dxa"/>
            <w:vAlign w:val="bottom"/>
          </w:tcPr>
          <w:p>
            <w:pPr>
              <w:spacing w:after="0"/>
              <w:rPr>
                <w:sz w:val="18"/>
                <w:szCs w:val="18"/>
                <w:color w:val="auto"/>
              </w:rPr>
            </w:pPr>
          </w:p>
        </w:tc>
      </w:tr>
      <w:tr>
        <w:trPr>
          <w:trHeight w:val="203"/>
        </w:trPr>
        <w:tc>
          <w:tcPr>
            <w:tcW w:w="5280" w:type="dxa"/>
            <w:vAlign w:val="bottom"/>
          </w:tcPr>
          <w:p>
            <w:pPr>
              <w:spacing w:after="0"/>
              <w:rPr>
                <w:sz w:val="17"/>
                <w:szCs w:val="17"/>
                <w:color w:val="auto"/>
              </w:rPr>
            </w:pPr>
          </w:p>
        </w:tc>
        <w:tc>
          <w:tcPr>
            <w:tcW w:w="3220" w:type="dxa"/>
            <w:vAlign w:val="bottom"/>
          </w:tcPr>
          <w:p>
            <w:pPr>
              <w:jc w:val="right"/>
              <w:spacing w:after="0" w:line="202" w:lineRule="exact"/>
              <w:rPr>
                <w:sz w:val="20"/>
                <w:szCs w:val="20"/>
                <w:color w:val="auto"/>
              </w:rPr>
            </w:pPr>
            <w:r>
              <w:rPr>
                <w:rFonts w:ascii="Arial" w:cs="Arial" w:eastAsia="Arial" w:hAnsi="Arial"/>
                <w:sz w:val="18"/>
                <w:szCs w:val="18"/>
                <w:color w:val="auto"/>
              </w:rPr>
              <w:t>March 31,</w:t>
            </w:r>
          </w:p>
        </w:tc>
        <w:tc>
          <w:tcPr>
            <w:tcW w:w="64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03"/>
        </w:trPr>
        <w:tc>
          <w:tcPr>
            <w:tcW w:w="52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(in thousands)</w:t>
            </w:r>
          </w:p>
        </w:tc>
        <w:tc>
          <w:tcPr>
            <w:tcW w:w="3220" w:type="dxa"/>
            <w:vAlign w:val="bottom"/>
            <w:tcBorders>
              <w:bottom w:val="single" w:sz="8" w:color="auto"/>
            </w:tcBorders>
          </w:tcPr>
          <w:p>
            <w:pPr>
              <w:jc w:val="right"/>
              <w:ind w:right="710"/>
              <w:spacing w:after="0" w:line="203" w:lineRule="exact"/>
              <w:rPr>
                <w:sz w:val="20"/>
                <w:szCs w:val="20"/>
                <w:color w:val="auto"/>
              </w:rPr>
            </w:pPr>
            <w:r>
              <w:rPr>
                <w:rFonts w:ascii="Arial" w:cs="Arial" w:eastAsia="Arial" w:hAnsi="Arial"/>
                <w:sz w:val="18"/>
                <w:szCs w:val="18"/>
                <w:color w:val="auto"/>
              </w:rPr>
              <w:t>2012</w:t>
            </w:r>
          </w:p>
        </w:tc>
        <w:tc>
          <w:tcPr>
            <w:tcW w:w="6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4"/>
              </w:rPr>
              <w:t>2011</w:t>
            </w:r>
          </w:p>
        </w:tc>
        <w:tc>
          <w:tcPr>
            <w:tcW w:w="2280" w:type="dxa"/>
            <w:vAlign w:val="bottom"/>
          </w:tcPr>
          <w:p>
            <w:pPr>
              <w:spacing w:after="0"/>
              <w:rPr>
                <w:sz w:val="17"/>
                <w:szCs w:val="17"/>
                <w:color w:val="auto"/>
              </w:rPr>
            </w:pPr>
          </w:p>
        </w:tc>
      </w:tr>
      <w:tr>
        <w:trPr>
          <w:trHeight w:val="195"/>
        </w:trPr>
        <w:tc>
          <w:tcPr>
            <w:tcW w:w="5280" w:type="dxa"/>
            <w:vAlign w:val="bottom"/>
          </w:tcPr>
          <w:p>
            <w:pPr>
              <w:ind w:left="100"/>
              <w:spacing w:after="0" w:line="195" w:lineRule="exact"/>
              <w:rPr>
                <w:sz w:val="20"/>
                <w:szCs w:val="20"/>
                <w:color w:val="auto"/>
              </w:rPr>
            </w:pPr>
            <w:r>
              <w:rPr>
                <w:rFonts w:ascii="Arial" w:cs="Arial" w:eastAsia="Arial" w:hAnsi="Arial"/>
                <w:sz w:val="18"/>
                <w:szCs w:val="18"/>
                <w:color w:val="auto"/>
              </w:rPr>
              <w:t>Currency transactions</w:t>
            </w:r>
          </w:p>
        </w:tc>
        <w:tc>
          <w:tcPr>
            <w:tcW w:w="3220" w:type="dxa"/>
            <w:vAlign w:val="bottom"/>
          </w:tcPr>
          <w:p>
            <w:pPr>
              <w:jc w:val="right"/>
              <w:ind w:right="550"/>
              <w:spacing w:after="0" w:line="195" w:lineRule="exact"/>
              <w:rPr>
                <w:sz w:val="20"/>
                <w:szCs w:val="20"/>
                <w:color w:val="auto"/>
              </w:rPr>
            </w:pPr>
            <w:r>
              <w:rPr>
                <w:rFonts w:ascii="Arial" w:cs="Arial" w:eastAsia="Arial" w:hAnsi="Arial"/>
                <w:sz w:val="18"/>
                <w:szCs w:val="18"/>
                <w:color w:val="auto"/>
              </w:rPr>
              <w:t>$3,832</w:t>
            </w:r>
          </w:p>
        </w:tc>
        <w:tc>
          <w:tcPr>
            <w:tcW w:w="640" w:type="dxa"/>
            <w:vAlign w:val="bottom"/>
          </w:tcPr>
          <w:p>
            <w:pPr>
              <w:jc w:val="right"/>
              <w:spacing w:after="0" w:line="195" w:lineRule="exact"/>
              <w:rPr>
                <w:sz w:val="20"/>
                <w:szCs w:val="20"/>
                <w:color w:val="auto"/>
              </w:rPr>
            </w:pPr>
            <w:r>
              <w:rPr>
                <w:rFonts w:ascii="Arial" w:cs="Arial" w:eastAsia="Arial" w:hAnsi="Arial"/>
                <w:sz w:val="18"/>
                <w:szCs w:val="18"/>
                <w:color w:val="auto"/>
                <w:w w:val="98"/>
              </w:rPr>
              <w:t>$3,866</w:t>
            </w:r>
          </w:p>
        </w:tc>
        <w:tc>
          <w:tcPr>
            <w:tcW w:w="2280" w:type="dxa"/>
            <w:vAlign w:val="bottom"/>
          </w:tcPr>
          <w:p>
            <w:pPr>
              <w:spacing w:after="0"/>
              <w:rPr>
                <w:sz w:val="16"/>
                <w:szCs w:val="16"/>
                <w:color w:val="auto"/>
              </w:rPr>
            </w:pPr>
          </w:p>
        </w:tc>
      </w:tr>
      <w:tr>
        <w:trPr>
          <w:trHeight w:val="203"/>
        </w:trPr>
        <w:tc>
          <w:tcPr>
            <w:tcW w:w="5280" w:type="dxa"/>
            <w:vAlign w:val="bottom"/>
          </w:tcPr>
          <w:p>
            <w:pPr>
              <w:ind w:left="100"/>
              <w:spacing w:after="0" w:line="202" w:lineRule="exact"/>
              <w:rPr>
                <w:sz w:val="20"/>
                <w:szCs w:val="20"/>
                <w:color w:val="auto"/>
              </w:rPr>
            </w:pPr>
            <w:r>
              <w:rPr>
                <w:rFonts w:ascii="Arial" w:cs="Arial" w:eastAsia="Arial" w:hAnsi="Arial"/>
                <w:sz w:val="18"/>
                <w:szCs w:val="18"/>
                <w:color w:val="auto"/>
              </w:rPr>
              <w:t>Amortization of debt issuance costs and loan origination fees</w:t>
            </w:r>
          </w:p>
        </w:tc>
        <w:tc>
          <w:tcPr>
            <w:tcW w:w="322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676</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486</w:t>
            </w:r>
          </w:p>
        </w:tc>
        <w:tc>
          <w:tcPr>
            <w:tcW w:w="2280" w:type="dxa"/>
            <w:vAlign w:val="bottom"/>
          </w:tcPr>
          <w:p>
            <w:pPr>
              <w:spacing w:after="0"/>
              <w:rPr>
                <w:sz w:val="17"/>
                <w:szCs w:val="17"/>
                <w:color w:val="auto"/>
              </w:rPr>
            </w:pPr>
          </w:p>
        </w:tc>
      </w:tr>
      <w:tr>
        <w:trPr>
          <w:trHeight w:val="203"/>
        </w:trPr>
        <w:tc>
          <w:tcPr>
            <w:tcW w:w="5280" w:type="dxa"/>
            <w:vAlign w:val="bottom"/>
          </w:tcPr>
          <w:p>
            <w:pPr>
              <w:ind w:left="100"/>
              <w:spacing w:after="0" w:line="202" w:lineRule="exact"/>
              <w:rPr>
                <w:sz w:val="20"/>
                <w:szCs w:val="20"/>
                <w:color w:val="auto"/>
              </w:rPr>
            </w:pPr>
            <w:r>
              <w:rPr>
                <w:rFonts w:ascii="Arial" w:cs="Arial" w:eastAsia="Arial" w:hAnsi="Arial"/>
                <w:sz w:val="18"/>
                <w:szCs w:val="18"/>
                <w:color w:val="auto"/>
              </w:rPr>
              <w:t>Letter of credit fees</w:t>
            </w:r>
          </w:p>
        </w:tc>
        <w:tc>
          <w:tcPr>
            <w:tcW w:w="322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419</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603</w:t>
            </w:r>
          </w:p>
        </w:tc>
        <w:tc>
          <w:tcPr>
            <w:tcW w:w="2280" w:type="dxa"/>
            <w:vAlign w:val="bottom"/>
          </w:tcPr>
          <w:p>
            <w:pPr>
              <w:spacing w:after="0"/>
              <w:rPr>
                <w:sz w:val="17"/>
                <w:szCs w:val="17"/>
                <w:color w:val="auto"/>
              </w:rPr>
            </w:pPr>
          </w:p>
        </w:tc>
      </w:tr>
      <w:tr>
        <w:trPr>
          <w:trHeight w:val="203"/>
        </w:trPr>
        <w:tc>
          <w:tcPr>
            <w:tcW w:w="528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Other</w:t>
            </w:r>
          </w:p>
        </w:tc>
        <w:tc>
          <w:tcPr>
            <w:tcW w:w="3220" w:type="dxa"/>
            <w:vAlign w:val="bottom"/>
            <w:tcBorders>
              <w:bottom w:val="single" w:sz="8" w:color="auto"/>
            </w:tcBorders>
          </w:tcPr>
          <w:p>
            <w:pPr>
              <w:jc w:val="right"/>
              <w:ind w:right="490"/>
              <w:spacing w:after="0" w:line="203" w:lineRule="exact"/>
              <w:rPr>
                <w:sz w:val="20"/>
                <w:szCs w:val="20"/>
                <w:color w:val="auto"/>
              </w:rPr>
            </w:pPr>
            <w:r>
              <w:rPr>
                <w:rFonts w:ascii="Arial" w:cs="Arial" w:eastAsia="Arial" w:hAnsi="Arial"/>
                <w:sz w:val="18"/>
                <w:szCs w:val="18"/>
                <w:color w:val="auto"/>
              </w:rPr>
              <w:t>(379)</w:t>
            </w: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(142)</w:t>
            </w:r>
          </w:p>
        </w:tc>
        <w:tc>
          <w:tcPr>
            <w:tcW w:w="2280" w:type="dxa"/>
            <w:vAlign w:val="bottom"/>
          </w:tcPr>
          <w:p>
            <w:pPr>
              <w:spacing w:after="0"/>
              <w:rPr>
                <w:sz w:val="17"/>
                <w:szCs w:val="17"/>
                <w:color w:val="auto"/>
              </w:rPr>
            </w:pPr>
          </w:p>
        </w:tc>
      </w:tr>
      <w:tr>
        <w:trPr>
          <w:trHeight w:val="196"/>
        </w:trPr>
        <w:tc>
          <w:tcPr>
            <w:tcW w:w="52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w:t>
            </w:r>
          </w:p>
        </w:tc>
        <w:tc>
          <w:tcPr>
            <w:tcW w:w="322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color w:val="auto"/>
              </w:rPr>
              <w:t>$4,548</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$4,813</w:t>
            </w:r>
          </w:p>
        </w:tc>
        <w:tc>
          <w:tcPr>
            <w:tcW w:w="2280" w:type="dxa"/>
            <w:vAlign w:val="bottom"/>
          </w:tcPr>
          <w:p>
            <w:pPr>
              <w:spacing w:after="0"/>
              <w:rPr>
                <w:sz w:val="17"/>
                <w:szCs w:val="17"/>
                <w:color w:val="auto"/>
              </w:rPr>
            </w:pPr>
          </w:p>
        </w:tc>
      </w:tr>
      <w:tr>
        <w:trPr>
          <w:trHeight w:val="426"/>
        </w:trPr>
        <w:tc>
          <w:tcPr>
            <w:tcW w:w="5280" w:type="dxa"/>
            <w:vAlign w:val="bottom"/>
          </w:tcPr>
          <w:p>
            <w:pPr>
              <w:spacing w:after="0"/>
              <w:rPr>
                <w:sz w:val="24"/>
                <w:szCs w:val="24"/>
                <w:color w:val="auto"/>
              </w:rPr>
            </w:pPr>
          </w:p>
        </w:tc>
        <w:tc>
          <w:tcPr>
            <w:tcW w:w="3220" w:type="dxa"/>
            <w:vAlign w:val="bottom"/>
          </w:tcPr>
          <w:p>
            <w:pPr>
              <w:jc w:val="right"/>
              <w:ind w:right="2590"/>
              <w:spacing w:after="0"/>
              <w:rPr>
                <w:sz w:val="20"/>
                <w:szCs w:val="20"/>
                <w:color w:val="auto"/>
              </w:rPr>
            </w:pPr>
            <w:r>
              <w:rPr>
                <w:rFonts w:ascii="Arial" w:cs="Arial" w:eastAsia="Arial" w:hAnsi="Arial"/>
                <w:sz w:val="18"/>
                <w:szCs w:val="18"/>
                <w:color w:val="auto"/>
              </w:rPr>
              <w:t>13</w:t>
            </w:r>
          </w:p>
        </w:tc>
        <w:tc>
          <w:tcPr>
            <w:tcW w:w="6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7"/>
        </w:trPr>
        <w:tc>
          <w:tcPr>
            <w:tcW w:w="528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65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7. Income Taxes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components of income tax expense/(benefit) for the three month period ended March 31, 2012 and 2011:</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60" w:type="dxa"/>
            <w:vAlign w:val="bottom"/>
            <w:tcBorders>
              <w:top w:val="single" w:sz="8" w:color="auto"/>
            </w:tcBorders>
          </w:tcPr>
          <w:p>
            <w:pPr>
              <w:spacing w:after="0"/>
              <w:rPr>
                <w:sz w:val="18"/>
                <w:szCs w:val="18"/>
                <w:color w:val="auto"/>
              </w:rPr>
            </w:pPr>
          </w:p>
        </w:tc>
        <w:tc>
          <w:tcPr>
            <w:tcW w:w="248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Three Months Ended</w:t>
            </w:r>
          </w:p>
        </w:tc>
      </w:tr>
      <w:tr>
        <w:trPr>
          <w:trHeight w:val="203"/>
        </w:trPr>
        <w:tc>
          <w:tcPr>
            <w:tcW w:w="6660" w:type="dxa"/>
            <w:vAlign w:val="bottom"/>
          </w:tcPr>
          <w:p>
            <w:pPr>
              <w:spacing w:after="0"/>
              <w:rPr>
                <w:sz w:val="17"/>
                <w:szCs w:val="17"/>
                <w:color w:val="auto"/>
              </w:rPr>
            </w:pP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March 31,</w:t>
            </w:r>
          </w:p>
        </w:tc>
        <w:tc>
          <w:tcPr>
            <w:tcW w:w="640" w:type="dxa"/>
            <w:vAlign w:val="bottom"/>
          </w:tcPr>
          <w:p>
            <w:pPr>
              <w:spacing w:after="0"/>
              <w:rPr>
                <w:sz w:val="17"/>
                <w:szCs w:val="17"/>
                <w:color w:val="auto"/>
              </w:rPr>
            </w:pPr>
          </w:p>
        </w:tc>
      </w:tr>
      <w:tr>
        <w:trPr>
          <w:trHeight w:val="203"/>
        </w:trPr>
        <w:tc>
          <w:tcPr>
            <w:tcW w:w="66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(in thousands)</w:t>
            </w:r>
          </w:p>
        </w:tc>
        <w:tc>
          <w:tcPr>
            <w:tcW w:w="1840" w:type="dxa"/>
            <w:vAlign w:val="bottom"/>
            <w:tcBorders>
              <w:bottom w:val="single" w:sz="8" w:color="auto"/>
            </w:tcBorders>
          </w:tcPr>
          <w:p>
            <w:pPr>
              <w:jc w:val="right"/>
              <w:ind w:right="550"/>
              <w:spacing w:after="0" w:line="203" w:lineRule="exact"/>
              <w:rPr>
                <w:sz w:val="20"/>
                <w:szCs w:val="20"/>
                <w:color w:val="auto"/>
              </w:rPr>
            </w:pPr>
            <w:r>
              <w:rPr>
                <w:rFonts w:ascii="Arial" w:cs="Arial" w:eastAsia="Arial" w:hAnsi="Arial"/>
                <w:sz w:val="18"/>
                <w:szCs w:val="18"/>
                <w:color w:val="auto"/>
              </w:rPr>
              <w:t>2012</w:t>
            </w: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2011</w:t>
            </w:r>
          </w:p>
        </w:tc>
      </w:tr>
      <w:tr>
        <w:trPr>
          <w:trHeight w:val="398"/>
        </w:trPr>
        <w:tc>
          <w:tcPr>
            <w:tcW w:w="6660" w:type="dxa"/>
            <w:vAlign w:val="bottom"/>
          </w:tcPr>
          <w:p>
            <w:pPr>
              <w:ind w:left="100"/>
              <w:spacing w:after="0"/>
              <w:rPr>
                <w:sz w:val="20"/>
                <w:szCs w:val="20"/>
                <w:color w:val="auto"/>
              </w:rPr>
            </w:pPr>
            <w:r>
              <w:rPr>
                <w:rFonts w:ascii="Arial" w:cs="Arial" w:eastAsia="Arial" w:hAnsi="Arial"/>
                <w:sz w:val="18"/>
                <w:szCs w:val="18"/>
                <w:color w:val="auto"/>
              </w:rPr>
              <w:t>Income tax (benefit)/expense based on income from continuing operations,</w:t>
            </w:r>
          </w:p>
        </w:tc>
        <w:tc>
          <w:tcPr>
            <w:tcW w:w="18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7"/>
        </w:trPr>
        <w:tc>
          <w:tcPr>
            <w:tcW w:w="6660" w:type="dxa"/>
            <w:vAlign w:val="bottom"/>
          </w:tcPr>
          <w:p>
            <w:pPr>
              <w:ind w:left="100"/>
              <w:spacing w:after="0"/>
              <w:rPr>
                <w:sz w:val="20"/>
                <w:szCs w:val="20"/>
                <w:color w:val="auto"/>
              </w:rPr>
            </w:pPr>
            <w:r>
              <w:rPr>
                <w:rFonts w:ascii="Arial" w:cs="Arial" w:eastAsia="Arial" w:hAnsi="Arial"/>
                <w:sz w:val="18"/>
                <w:szCs w:val="18"/>
                <w:color w:val="auto"/>
              </w:rPr>
              <w:t>at estimated tax rates of 31% in 2012 and 2011</w:t>
            </w:r>
          </w:p>
        </w:tc>
        <w:tc>
          <w:tcPr>
            <w:tcW w:w="1840" w:type="dxa"/>
            <w:vAlign w:val="bottom"/>
          </w:tcPr>
          <w:p>
            <w:pPr>
              <w:jc w:val="right"/>
              <w:ind w:right="490"/>
              <w:spacing w:after="0"/>
              <w:rPr>
                <w:sz w:val="20"/>
                <w:szCs w:val="20"/>
                <w:color w:val="auto"/>
              </w:rPr>
            </w:pPr>
            <w:r>
              <w:rPr>
                <w:rFonts w:ascii="Arial" w:cs="Arial" w:eastAsia="Arial" w:hAnsi="Arial"/>
                <w:sz w:val="18"/>
                <w:szCs w:val="18"/>
                <w:color w:val="auto"/>
              </w:rPr>
              <w:t>($2,646)</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$5,401</w:t>
            </w:r>
          </w:p>
        </w:tc>
      </w:tr>
      <w:tr>
        <w:trPr>
          <w:trHeight w:val="391"/>
        </w:trPr>
        <w:tc>
          <w:tcPr>
            <w:tcW w:w="6660" w:type="dxa"/>
            <w:vAlign w:val="bottom"/>
          </w:tcPr>
          <w:p>
            <w:pPr>
              <w:ind w:left="100"/>
              <w:spacing w:after="0"/>
              <w:rPr>
                <w:sz w:val="20"/>
                <w:szCs w:val="20"/>
                <w:color w:val="auto"/>
              </w:rPr>
            </w:pPr>
            <w:r>
              <w:rPr>
                <w:rFonts w:ascii="Arial" w:cs="Arial" w:eastAsia="Arial" w:hAnsi="Arial"/>
                <w:sz w:val="18"/>
                <w:szCs w:val="18"/>
                <w:color w:val="auto"/>
              </w:rPr>
              <w:t>Discrete tax (benefit):</w:t>
            </w:r>
          </w:p>
        </w:tc>
        <w:tc>
          <w:tcPr>
            <w:tcW w:w="18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6660" w:type="dxa"/>
            <w:vAlign w:val="bottom"/>
            <w:tcBorders>
              <w:bottom w:val="single" w:sz="8" w:color="auto"/>
            </w:tcBorders>
          </w:tcPr>
          <w:p>
            <w:pPr>
              <w:ind w:left="160"/>
              <w:spacing w:after="0" w:line="203" w:lineRule="exact"/>
              <w:rPr>
                <w:sz w:val="20"/>
                <w:szCs w:val="20"/>
                <w:color w:val="auto"/>
              </w:rPr>
            </w:pPr>
            <w:r>
              <w:rPr>
                <w:rFonts w:ascii="Arial" w:cs="Arial" w:eastAsia="Arial" w:hAnsi="Arial"/>
                <w:sz w:val="18"/>
                <w:szCs w:val="18"/>
                <w:color w:val="auto"/>
              </w:rPr>
              <w:t>Provision for/resolution of tax audits and contingencies</w:t>
            </w:r>
          </w:p>
        </w:tc>
        <w:tc>
          <w:tcPr>
            <w:tcW w:w="1840" w:type="dxa"/>
            <w:vAlign w:val="bottom"/>
            <w:tcBorders>
              <w:bottom w:val="single" w:sz="8" w:color="auto"/>
            </w:tcBorders>
          </w:tcPr>
          <w:p>
            <w:pPr>
              <w:jc w:val="right"/>
              <w:ind w:right="490"/>
              <w:spacing w:after="0" w:line="203" w:lineRule="exact"/>
              <w:rPr>
                <w:sz w:val="20"/>
                <w:szCs w:val="20"/>
                <w:color w:val="auto"/>
              </w:rPr>
            </w:pPr>
            <w:r>
              <w:rPr>
                <w:rFonts w:ascii="Arial" w:cs="Arial" w:eastAsia="Arial" w:hAnsi="Arial"/>
                <w:sz w:val="18"/>
                <w:szCs w:val="18"/>
                <w:color w:val="auto"/>
              </w:rPr>
              <w:t>(6,733)</w:t>
            </w: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(1,413)</w:t>
            </w:r>
          </w:p>
        </w:tc>
      </w:tr>
      <w:tr>
        <w:trPr>
          <w:trHeight w:val="196"/>
        </w:trPr>
        <w:tc>
          <w:tcPr>
            <w:tcW w:w="666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 income tax (benefit)/expense</w:t>
            </w:r>
          </w:p>
        </w:tc>
        <w:tc>
          <w:tcPr>
            <w:tcW w:w="184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color w:val="auto"/>
              </w:rPr>
              <w:t>($9,379)</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$3,988</w:t>
            </w:r>
          </w:p>
        </w:tc>
      </w:tr>
    </w:tbl>
    <w:p>
      <w:pPr>
        <w:spacing w:after="0" w:line="121"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The estimated effective tax rate on continuing operations was 31 percent for the first quarter of 2012 and the first quarter of 2011. Q1 2012 income tax expense included a discrete tax benefit of $6.7 million that was principally related to the resolution of tax audits.</w:t>
      </w:r>
    </w:p>
    <w:p>
      <w:pPr>
        <w:spacing w:after="0" w:line="89"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We conduct business globally and, as a result, the Company or one or more of our subsidiaries files income tax returns in the U.S. federal jurisdiction and various state and foreign jurisdictions. We are currently under audit in the U.S. and non-U.S. tax jurisdictions, including but not limited to Canada, Germany, France, and Sweden. Tax reserves are recorded for the outcome of these uncertainties in accordance with US GAAP.</w:t>
      </w:r>
    </w:p>
    <w:p>
      <w:pPr>
        <w:spacing w:after="0" w:line="9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It is reasonably possible that over the next twelve months the amount of unrecognized tax benefits may change within a range of a net increase of $ 0 million to a net decrease of $0.3 million, from the re-evaluation of certain uncertain tax positions arising in examinations, in appeals, or in the courts, or from the closure of tax statutes. Not included in the range is $22.9 million of tax benefits in Germany related to a 1999 reorganization that have been challenged by the German tax authorities in the course of an audit of tax years 2000-2003. In 2008 the German Federal Tax Court denied tax benefits to other taxpayers in a case involving German tax laws relevant to our reorganization. One of these cases involved a non-German party, and in the ruling in that case, the German Federal Tax Court acknowledged that the German law in question may be violative of European Union (“EU”) principles and referred the issue to the European Court of Justice (“ECJ”) for its determination on this issue. In September 2009, the ECJ issued an opinion in this case that is generally favorable to the other taxpayer and referred the case back to the German Federal Tax Court for further consideration. In May 2010 the German Federal Tax Court released its decision, in which it resolved certain tax issues that may be relevant to our audit and remanded the case to a lower court for further development. Although we were required to pay approximately $13.3 million to the German tax authorities in order to continue to pursue the position, we believe that it is more likely than not that the relevant German law is violative of EU principles and accordingly we have not accrued tax expense on this matter. As we continue to monitor developments, it may become necessary for us to accrue tax expense and related interest.</w:t>
      </w:r>
    </w:p>
    <w:p>
      <w:pPr>
        <w:spacing w:after="0" w:line="9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During the quarter, the Company recorded a discrete tax benefit of $7.0 million related to the settlement with the Canadian Revenue Agency (CRA) of reassessment notices for the tax years 2001 to 2008. The settlement is expected to result in cash payments of $1.5 million in 2012 as well as the reduction of available tax assets of $2.7 million. Letters of credit of $50 million in the aggregate, required by the CRA during this process, are expected to be released by the CRA by the end of second quarter.</w:t>
      </w:r>
    </w:p>
    <w:p>
      <w:pPr>
        <w:spacing w:after="0" w:line="9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Company is in the process of evaluating its tax-planning strategies to determine if an action could be taken to reduce or eliminate its valuation allowances on its deferred tax assets. It is reasonably possible that over the next twelve months that the Company could take an action that would result in the Company recording a discrete benefit of $8.7 million upon reduction of its valuation allowances on its deferred tax assets.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8. Earnings Per Share</w:t>
      </w:r>
    </w:p>
    <w:p>
      <w:pPr>
        <w:spacing w:after="0" w:line="126"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Earnings per share are computed using the weighted average number of shares of Class A Common Stock and Class B Common Stock outstanding during the period. Diluted earnings per share include the effect of all potentially dilutive securities.</w:t>
      </w:r>
    </w:p>
    <w:p>
      <w:pPr>
        <w:spacing w:after="0" w:line="89"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The amounts used in computing earnings per share, including the effect on income and the weighted average number of shares of potentially dilutive securities, are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00" w:type="dxa"/>
            <w:vAlign w:val="bottom"/>
            <w:tcBorders>
              <w:top w:val="single" w:sz="8" w:color="auto"/>
            </w:tcBorders>
          </w:tcPr>
          <w:p>
            <w:pPr>
              <w:spacing w:after="0"/>
              <w:rPr>
                <w:sz w:val="18"/>
                <w:szCs w:val="18"/>
                <w:color w:val="auto"/>
              </w:rPr>
            </w:pPr>
          </w:p>
        </w:tc>
        <w:tc>
          <w:tcPr>
            <w:tcW w:w="4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Three Months Ended</w:t>
            </w: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00" w:type="dxa"/>
            <w:vAlign w:val="bottom"/>
            <w:vMerge w:val="restart"/>
          </w:tcPr>
          <w:p>
            <w:pPr>
              <w:spacing w:after="0"/>
              <w:rPr>
                <w:sz w:val="20"/>
                <w:szCs w:val="20"/>
                <w:color w:val="auto"/>
              </w:rPr>
            </w:pPr>
            <w:r>
              <w:rPr>
                <w:rFonts w:ascii="Arial" w:cs="Arial" w:eastAsia="Arial" w:hAnsi="Arial"/>
                <w:sz w:val="18"/>
                <w:szCs w:val="18"/>
                <w:b w:val="1"/>
                <w:bCs w:val="1"/>
                <w:color w:val="auto"/>
              </w:rPr>
              <w:t>(in thousands, except market price data)</w:t>
            </w:r>
          </w:p>
        </w:tc>
        <w:tc>
          <w:tcPr>
            <w:tcW w:w="412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March 31,</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Borders>
              <w:bottom w:val="single" w:sz="8" w:color="auto"/>
            </w:tcBorders>
            <w:vMerge w:val="continue"/>
          </w:tcPr>
          <w:p>
            <w:pPr>
              <w:spacing w:after="0"/>
              <w:rPr>
                <w:sz w:val="17"/>
                <w:szCs w:val="17"/>
                <w:color w:val="auto"/>
              </w:rPr>
            </w:pPr>
          </w:p>
        </w:tc>
        <w:tc>
          <w:tcPr>
            <w:tcW w:w="4120" w:type="dxa"/>
            <w:vAlign w:val="bottom"/>
            <w:tcBorders>
              <w:bottom w:val="single" w:sz="8" w:color="auto"/>
            </w:tcBorders>
          </w:tcPr>
          <w:p>
            <w:pPr>
              <w:jc w:val="right"/>
              <w:ind w:right="1890"/>
              <w:spacing w:after="0" w:line="203" w:lineRule="exact"/>
              <w:rPr>
                <w:sz w:val="20"/>
                <w:szCs w:val="20"/>
                <w:color w:val="auto"/>
              </w:rPr>
            </w:pPr>
            <w:r>
              <w:rPr>
                <w:rFonts w:ascii="Arial" w:cs="Arial" w:eastAsia="Arial" w:hAnsi="Arial"/>
                <w:sz w:val="18"/>
                <w:szCs w:val="18"/>
                <w:color w:val="auto"/>
              </w:rPr>
              <w:t>2012</w:t>
            </w:r>
          </w:p>
        </w:tc>
        <w:tc>
          <w:tcPr>
            <w:tcW w:w="1100" w:type="dxa"/>
            <w:vAlign w:val="bottom"/>
            <w:tcBorders>
              <w:bottom w:val="single" w:sz="8" w:color="auto"/>
            </w:tcBorders>
          </w:tcPr>
          <w:p>
            <w:pPr>
              <w:jc w:val="right"/>
              <w:ind w:right="490"/>
              <w:spacing w:after="0" w:line="203" w:lineRule="exact"/>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399"/>
        </w:trPr>
        <w:tc>
          <w:tcPr>
            <w:tcW w:w="62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Net income/(loss) available to common shareholders</w:t>
            </w:r>
          </w:p>
        </w:tc>
        <w:tc>
          <w:tcPr>
            <w:tcW w:w="4120" w:type="dxa"/>
            <w:vAlign w:val="bottom"/>
            <w:tcBorders>
              <w:bottom w:val="single" w:sz="8" w:color="auto"/>
            </w:tcBorders>
          </w:tcPr>
          <w:p>
            <w:pPr>
              <w:jc w:val="right"/>
              <w:ind w:right="1410"/>
              <w:spacing w:after="0"/>
              <w:rPr>
                <w:sz w:val="20"/>
                <w:szCs w:val="20"/>
                <w:color w:val="auto"/>
              </w:rPr>
            </w:pPr>
            <w:r>
              <w:rPr>
                <w:rFonts w:ascii="Arial" w:cs="Arial" w:eastAsia="Arial" w:hAnsi="Arial"/>
                <w:sz w:val="18"/>
                <w:szCs w:val="18"/>
                <w:color w:val="auto"/>
              </w:rPr>
              <w:t>$47,041</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$16,733</w:t>
            </w:r>
          </w:p>
        </w:tc>
        <w:tc>
          <w:tcPr>
            <w:tcW w:w="0" w:type="dxa"/>
            <w:vAlign w:val="bottom"/>
          </w:tcPr>
          <w:p>
            <w:pPr>
              <w:spacing w:after="0"/>
              <w:rPr>
                <w:sz w:val="1"/>
                <w:szCs w:val="1"/>
                <w:color w:val="auto"/>
              </w:rPr>
            </w:pPr>
          </w:p>
        </w:tc>
      </w:tr>
      <w:tr>
        <w:trPr>
          <w:trHeight w:val="412"/>
        </w:trPr>
        <w:tc>
          <w:tcPr>
            <w:tcW w:w="6200" w:type="dxa"/>
            <w:vAlign w:val="bottom"/>
          </w:tcPr>
          <w:p>
            <w:pPr>
              <w:ind w:left="100"/>
              <w:spacing w:after="0"/>
              <w:rPr>
                <w:sz w:val="20"/>
                <w:szCs w:val="20"/>
                <w:color w:val="auto"/>
              </w:rPr>
            </w:pPr>
            <w:r>
              <w:rPr>
                <w:rFonts w:ascii="Arial" w:cs="Arial" w:eastAsia="Arial" w:hAnsi="Arial"/>
                <w:sz w:val="18"/>
                <w:szCs w:val="18"/>
                <w:b w:val="1"/>
                <w:bCs w:val="1"/>
                <w:color w:val="auto"/>
              </w:rPr>
              <w:t>Weighted average number of shares:</w:t>
            </w:r>
          </w:p>
        </w:tc>
        <w:tc>
          <w:tcPr>
            <w:tcW w:w="4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200" w:type="dxa"/>
            <w:vAlign w:val="bottom"/>
          </w:tcPr>
          <w:p>
            <w:pPr>
              <w:ind w:left="200"/>
              <w:spacing w:after="0"/>
              <w:rPr>
                <w:sz w:val="20"/>
                <w:szCs w:val="20"/>
                <w:color w:val="auto"/>
              </w:rPr>
            </w:pPr>
            <w:r>
              <w:rPr>
                <w:rFonts w:ascii="Arial" w:cs="Arial" w:eastAsia="Arial" w:hAnsi="Arial"/>
                <w:sz w:val="18"/>
                <w:szCs w:val="18"/>
                <w:color w:val="auto"/>
              </w:rPr>
              <w:t>Weighted average number of shares used in</w:t>
            </w:r>
          </w:p>
        </w:tc>
        <w:tc>
          <w:tcPr>
            <w:tcW w:w="4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200" w:type="dxa"/>
            <w:vAlign w:val="bottom"/>
          </w:tcPr>
          <w:p>
            <w:pPr>
              <w:ind w:left="200"/>
              <w:spacing w:after="0"/>
              <w:rPr>
                <w:sz w:val="20"/>
                <w:szCs w:val="20"/>
                <w:color w:val="auto"/>
              </w:rPr>
            </w:pPr>
            <w:r>
              <w:rPr>
                <w:rFonts w:ascii="Arial" w:cs="Arial" w:eastAsia="Arial" w:hAnsi="Arial"/>
                <w:sz w:val="18"/>
                <w:szCs w:val="18"/>
                <w:color w:val="auto"/>
              </w:rPr>
              <w:t>calculating basic net income per share</w:t>
            </w:r>
          </w:p>
        </w:tc>
        <w:tc>
          <w:tcPr>
            <w:tcW w:w="4120" w:type="dxa"/>
            <w:vAlign w:val="bottom"/>
          </w:tcPr>
          <w:p>
            <w:pPr>
              <w:jc w:val="right"/>
              <w:ind w:right="1410"/>
              <w:spacing w:after="0"/>
              <w:rPr>
                <w:sz w:val="20"/>
                <w:szCs w:val="20"/>
                <w:color w:val="auto"/>
              </w:rPr>
            </w:pPr>
            <w:r>
              <w:rPr>
                <w:rFonts w:ascii="Arial" w:cs="Arial" w:eastAsia="Arial" w:hAnsi="Arial"/>
                <w:sz w:val="18"/>
                <w:szCs w:val="18"/>
                <w:color w:val="auto"/>
              </w:rPr>
              <w:t>31,309</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31,223</w:t>
            </w:r>
          </w:p>
        </w:tc>
        <w:tc>
          <w:tcPr>
            <w:tcW w:w="0" w:type="dxa"/>
            <w:vAlign w:val="bottom"/>
          </w:tcPr>
          <w:p>
            <w:pPr>
              <w:spacing w:after="0"/>
              <w:rPr>
                <w:sz w:val="1"/>
                <w:szCs w:val="1"/>
                <w:color w:val="auto"/>
              </w:rPr>
            </w:pPr>
          </w:p>
        </w:tc>
      </w:tr>
      <w:tr>
        <w:trPr>
          <w:trHeight w:val="405"/>
        </w:trPr>
        <w:tc>
          <w:tcPr>
            <w:tcW w:w="6200" w:type="dxa"/>
            <w:vAlign w:val="bottom"/>
          </w:tcPr>
          <w:p>
            <w:pPr>
              <w:ind w:left="100"/>
              <w:spacing w:after="0"/>
              <w:rPr>
                <w:sz w:val="20"/>
                <w:szCs w:val="20"/>
                <w:color w:val="auto"/>
              </w:rPr>
            </w:pPr>
            <w:r>
              <w:rPr>
                <w:rFonts w:ascii="Arial" w:cs="Arial" w:eastAsia="Arial" w:hAnsi="Arial"/>
                <w:sz w:val="18"/>
                <w:szCs w:val="18"/>
                <w:b w:val="1"/>
                <w:bCs w:val="1"/>
                <w:color w:val="auto"/>
              </w:rPr>
              <w:t>Effect of dilutive stock-based compensation plans:</w:t>
            </w:r>
          </w:p>
        </w:tc>
        <w:tc>
          <w:tcPr>
            <w:tcW w:w="4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200" w:type="dxa"/>
            <w:vAlign w:val="bottom"/>
          </w:tcPr>
          <w:p>
            <w:pPr>
              <w:ind w:left="200"/>
              <w:spacing w:after="0"/>
              <w:rPr>
                <w:sz w:val="20"/>
                <w:szCs w:val="20"/>
                <w:color w:val="auto"/>
              </w:rPr>
            </w:pPr>
            <w:r>
              <w:rPr>
                <w:rFonts w:ascii="Arial" w:cs="Arial" w:eastAsia="Arial" w:hAnsi="Arial"/>
                <w:sz w:val="18"/>
                <w:szCs w:val="18"/>
                <w:color w:val="auto"/>
              </w:rPr>
              <w:t>Stock options</w:t>
            </w:r>
          </w:p>
        </w:tc>
        <w:tc>
          <w:tcPr>
            <w:tcW w:w="4120" w:type="dxa"/>
            <w:vAlign w:val="bottom"/>
          </w:tcPr>
          <w:p>
            <w:pPr>
              <w:jc w:val="right"/>
              <w:ind w:right="1410"/>
              <w:spacing w:after="0"/>
              <w:rPr>
                <w:sz w:val="20"/>
                <w:szCs w:val="20"/>
                <w:color w:val="auto"/>
              </w:rPr>
            </w:pPr>
            <w:r>
              <w:rPr>
                <w:rFonts w:ascii="Arial" w:cs="Arial" w:eastAsia="Arial" w:hAnsi="Arial"/>
                <w:sz w:val="18"/>
                <w:szCs w:val="18"/>
                <w:color w:val="auto"/>
              </w:rPr>
              <w:t>110</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392"/>
        </w:trPr>
        <w:tc>
          <w:tcPr>
            <w:tcW w:w="62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Long-term incentive plan</w:t>
            </w:r>
          </w:p>
        </w:tc>
        <w:tc>
          <w:tcPr>
            <w:tcW w:w="4120" w:type="dxa"/>
            <w:vAlign w:val="bottom"/>
            <w:tcBorders>
              <w:bottom w:val="single" w:sz="8" w:color="auto"/>
            </w:tcBorders>
          </w:tcPr>
          <w:p>
            <w:pPr>
              <w:jc w:val="right"/>
              <w:ind w:right="1410"/>
              <w:spacing w:after="0"/>
              <w:rPr>
                <w:sz w:val="20"/>
                <w:szCs w:val="20"/>
                <w:color w:val="auto"/>
              </w:rPr>
            </w:pPr>
            <w:r>
              <w:rPr>
                <w:rFonts w:ascii="Arial" w:cs="Arial" w:eastAsia="Arial" w:hAnsi="Arial"/>
                <w:sz w:val="18"/>
                <w:szCs w:val="18"/>
                <w:color w:val="auto"/>
              </w:rPr>
              <w:t>114</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98"/>
        </w:trPr>
        <w:tc>
          <w:tcPr>
            <w:tcW w:w="6200" w:type="dxa"/>
            <w:vAlign w:val="bottom"/>
          </w:tcPr>
          <w:p>
            <w:pPr>
              <w:ind w:left="100"/>
              <w:spacing w:after="0"/>
              <w:rPr>
                <w:sz w:val="20"/>
                <w:szCs w:val="20"/>
                <w:color w:val="auto"/>
              </w:rPr>
            </w:pPr>
            <w:r>
              <w:rPr>
                <w:rFonts w:ascii="Arial" w:cs="Arial" w:eastAsia="Arial" w:hAnsi="Arial"/>
                <w:sz w:val="18"/>
                <w:szCs w:val="18"/>
                <w:color w:val="auto"/>
              </w:rPr>
              <w:t>Weighted average number of shares used in</w:t>
            </w:r>
          </w:p>
        </w:tc>
        <w:tc>
          <w:tcPr>
            <w:tcW w:w="4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20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calculating diluted net income per share</w:t>
            </w:r>
          </w:p>
        </w:tc>
        <w:tc>
          <w:tcPr>
            <w:tcW w:w="4120" w:type="dxa"/>
            <w:vAlign w:val="bottom"/>
            <w:tcBorders>
              <w:bottom w:val="single" w:sz="8" w:color="auto"/>
            </w:tcBorders>
          </w:tcPr>
          <w:p>
            <w:pPr>
              <w:jc w:val="right"/>
              <w:ind w:right="1410"/>
              <w:spacing w:after="0" w:line="203" w:lineRule="exact"/>
              <w:rPr>
                <w:sz w:val="20"/>
                <w:szCs w:val="20"/>
                <w:color w:val="auto"/>
              </w:rPr>
            </w:pPr>
            <w:r>
              <w:rPr>
                <w:rFonts w:ascii="Arial" w:cs="Arial" w:eastAsia="Arial" w:hAnsi="Arial"/>
                <w:sz w:val="18"/>
                <w:szCs w:val="18"/>
                <w:color w:val="auto"/>
              </w:rPr>
              <w:t>31,533</w:t>
            </w:r>
          </w:p>
        </w:tc>
        <w:tc>
          <w:tcPr>
            <w:tcW w:w="11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31,384</w:t>
            </w:r>
          </w:p>
        </w:tc>
        <w:tc>
          <w:tcPr>
            <w:tcW w:w="0" w:type="dxa"/>
            <w:vAlign w:val="bottom"/>
          </w:tcPr>
          <w:p>
            <w:pPr>
              <w:spacing w:after="0"/>
              <w:rPr>
                <w:sz w:val="1"/>
                <w:szCs w:val="1"/>
                <w:color w:val="auto"/>
              </w:rPr>
            </w:pPr>
          </w:p>
        </w:tc>
      </w:tr>
      <w:tr>
        <w:trPr>
          <w:trHeight w:val="398"/>
        </w:trPr>
        <w:tc>
          <w:tcPr>
            <w:tcW w:w="6200" w:type="dxa"/>
            <w:vAlign w:val="bottom"/>
          </w:tcPr>
          <w:p>
            <w:pPr>
              <w:ind w:left="100"/>
              <w:spacing w:after="0"/>
              <w:rPr>
                <w:sz w:val="20"/>
                <w:szCs w:val="20"/>
                <w:color w:val="auto"/>
              </w:rPr>
            </w:pPr>
            <w:r>
              <w:rPr>
                <w:rFonts w:ascii="Arial" w:cs="Arial" w:eastAsia="Arial" w:hAnsi="Arial"/>
                <w:sz w:val="18"/>
                <w:szCs w:val="18"/>
                <w:color w:val="auto"/>
              </w:rPr>
              <w:t>Effect of stock-based compensation plans</w:t>
            </w:r>
          </w:p>
        </w:tc>
        <w:tc>
          <w:tcPr>
            <w:tcW w:w="4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200" w:type="dxa"/>
            <w:vAlign w:val="bottom"/>
          </w:tcPr>
          <w:p>
            <w:pPr>
              <w:ind w:left="100"/>
              <w:spacing w:after="0" w:line="202" w:lineRule="exact"/>
              <w:rPr>
                <w:sz w:val="20"/>
                <w:szCs w:val="20"/>
                <w:color w:val="auto"/>
              </w:rPr>
            </w:pPr>
            <w:r>
              <w:rPr>
                <w:rFonts w:ascii="Arial" w:cs="Arial" w:eastAsia="Arial" w:hAnsi="Arial"/>
                <w:sz w:val="18"/>
                <w:szCs w:val="18"/>
                <w:color w:val="auto"/>
              </w:rPr>
              <w:t>that were not included in the computation of</w:t>
            </w:r>
          </w:p>
        </w:tc>
        <w:tc>
          <w:tcPr>
            <w:tcW w:w="4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Pr>
          <w:p>
            <w:pPr>
              <w:ind w:left="100"/>
              <w:spacing w:after="0" w:line="202" w:lineRule="exact"/>
              <w:rPr>
                <w:sz w:val="20"/>
                <w:szCs w:val="20"/>
                <w:color w:val="auto"/>
              </w:rPr>
            </w:pPr>
            <w:r>
              <w:rPr>
                <w:rFonts w:ascii="Arial" w:cs="Arial" w:eastAsia="Arial" w:hAnsi="Arial"/>
                <w:sz w:val="18"/>
                <w:szCs w:val="18"/>
                <w:color w:val="auto"/>
              </w:rPr>
              <w:t>diluted earnings per share because</w:t>
            </w:r>
          </w:p>
        </w:tc>
        <w:tc>
          <w:tcPr>
            <w:tcW w:w="4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to do so would have been antidilutive</w:t>
            </w:r>
          </w:p>
        </w:tc>
        <w:tc>
          <w:tcPr>
            <w:tcW w:w="4120" w:type="dxa"/>
            <w:vAlign w:val="bottom"/>
            <w:tcBorders>
              <w:bottom w:val="single" w:sz="8" w:color="auto"/>
            </w:tcBorders>
          </w:tcPr>
          <w:p>
            <w:pPr>
              <w:jc w:val="right"/>
              <w:ind w:right="1410"/>
              <w:spacing w:after="0" w:line="203"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8"/>
        </w:trPr>
        <w:tc>
          <w:tcPr>
            <w:tcW w:w="6200" w:type="dxa"/>
            <w:vAlign w:val="bottom"/>
          </w:tcPr>
          <w:p>
            <w:pPr>
              <w:ind w:left="100"/>
              <w:spacing w:after="0"/>
              <w:rPr>
                <w:sz w:val="20"/>
                <w:szCs w:val="20"/>
                <w:color w:val="auto"/>
              </w:rPr>
            </w:pPr>
            <w:r>
              <w:rPr>
                <w:rFonts w:ascii="Arial" w:cs="Arial" w:eastAsia="Arial" w:hAnsi="Arial"/>
                <w:sz w:val="18"/>
                <w:szCs w:val="18"/>
                <w:color w:val="auto"/>
              </w:rPr>
              <w:t>Average market price of common stock used</w:t>
            </w:r>
          </w:p>
        </w:tc>
        <w:tc>
          <w:tcPr>
            <w:tcW w:w="4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20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for calculation of dilutive shares</w:t>
            </w:r>
          </w:p>
        </w:tc>
        <w:tc>
          <w:tcPr>
            <w:tcW w:w="4120" w:type="dxa"/>
            <w:vAlign w:val="bottom"/>
            <w:tcBorders>
              <w:bottom w:val="single" w:sz="8" w:color="auto"/>
            </w:tcBorders>
          </w:tcPr>
          <w:p>
            <w:pPr>
              <w:jc w:val="right"/>
              <w:ind w:right="1410"/>
              <w:spacing w:after="0" w:line="203" w:lineRule="exact"/>
              <w:rPr>
                <w:sz w:val="20"/>
                <w:szCs w:val="20"/>
                <w:color w:val="auto"/>
              </w:rPr>
            </w:pPr>
            <w:r>
              <w:rPr>
                <w:rFonts w:ascii="Arial" w:cs="Arial" w:eastAsia="Arial" w:hAnsi="Arial"/>
                <w:sz w:val="18"/>
                <w:szCs w:val="18"/>
                <w:color w:val="auto"/>
              </w:rPr>
              <w:t>$23.97</w:t>
            </w:r>
          </w:p>
        </w:tc>
        <w:tc>
          <w:tcPr>
            <w:tcW w:w="11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$23.81</w:t>
            </w:r>
          </w:p>
        </w:tc>
        <w:tc>
          <w:tcPr>
            <w:tcW w:w="0" w:type="dxa"/>
            <w:vAlign w:val="bottom"/>
          </w:tcPr>
          <w:p>
            <w:pPr>
              <w:spacing w:after="0"/>
              <w:rPr>
                <w:sz w:val="1"/>
                <w:szCs w:val="1"/>
                <w:color w:val="auto"/>
              </w:rPr>
            </w:pPr>
          </w:p>
        </w:tc>
      </w:tr>
      <w:tr>
        <w:trPr>
          <w:trHeight w:val="412"/>
        </w:trPr>
        <w:tc>
          <w:tcPr>
            <w:tcW w:w="6200" w:type="dxa"/>
            <w:vAlign w:val="bottom"/>
          </w:tcPr>
          <w:p>
            <w:pPr>
              <w:ind w:left="100"/>
              <w:spacing w:after="0"/>
              <w:rPr>
                <w:sz w:val="20"/>
                <w:szCs w:val="20"/>
                <w:color w:val="auto"/>
              </w:rPr>
            </w:pPr>
            <w:r>
              <w:rPr>
                <w:rFonts w:ascii="Arial" w:cs="Arial" w:eastAsia="Arial" w:hAnsi="Arial"/>
                <w:sz w:val="18"/>
                <w:szCs w:val="18"/>
                <w:b w:val="1"/>
                <w:bCs w:val="1"/>
                <w:color w:val="auto"/>
              </w:rPr>
              <w:t>Net income/(loss) per share:</w:t>
            </w:r>
          </w:p>
        </w:tc>
        <w:tc>
          <w:tcPr>
            <w:tcW w:w="4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200" w:type="dxa"/>
            <w:vAlign w:val="bottom"/>
          </w:tcPr>
          <w:p>
            <w:pPr>
              <w:ind w:left="200"/>
              <w:spacing w:after="0"/>
              <w:rPr>
                <w:sz w:val="20"/>
                <w:szCs w:val="20"/>
                <w:color w:val="auto"/>
              </w:rPr>
            </w:pPr>
            <w:r>
              <w:rPr>
                <w:rFonts w:ascii="Arial" w:cs="Arial" w:eastAsia="Arial" w:hAnsi="Arial"/>
                <w:sz w:val="18"/>
                <w:szCs w:val="18"/>
                <w:color w:val="auto"/>
              </w:rPr>
              <w:t>Basic</w:t>
            </w:r>
          </w:p>
        </w:tc>
        <w:tc>
          <w:tcPr>
            <w:tcW w:w="4120" w:type="dxa"/>
            <w:vAlign w:val="bottom"/>
          </w:tcPr>
          <w:p>
            <w:pPr>
              <w:jc w:val="right"/>
              <w:ind w:right="1410"/>
              <w:spacing w:after="0"/>
              <w:rPr>
                <w:sz w:val="20"/>
                <w:szCs w:val="20"/>
                <w:color w:val="auto"/>
              </w:rPr>
            </w:pPr>
            <w:r>
              <w:rPr>
                <w:rFonts w:ascii="Arial" w:cs="Arial" w:eastAsia="Arial" w:hAnsi="Arial"/>
                <w:sz w:val="18"/>
                <w:szCs w:val="18"/>
                <w:color w:val="auto"/>
              </w:rPr>
              <w:t>$1.50</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392"/>
        </w:trPr>
        <w:tc>
          <w:tcPr>
            <w:tcW w:w="62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Diluted</w:t>
            </w:r>
          </w:p>
        </w:tc>
        <w:tc>
          <w:tcPr>
            <w:tcW w:w="4120" w:type="dxa"/>
            <w:vAlign w:val="bottom"/>
            <w:tcBorders>
              <w:bottom w:val="single" w:sz="8" w:color="auto"/>
            </w:tcBorders>
          </w:tcPr>
          <w:p>
            <w:pPr>
              <w:jc w:val="right"/>
              <w:ind w:right="1410"/>
              <w:spacing w:after="0"/>
              <w:rPr>
                <w:sz w:val="20"/>
                <w:szCs w:val="20"/>
                <w:color w:val="auto"/>
              </w:rPr>
            </w:pPr>
            <w:r>
              <w:rPr>
                <w:rFonts w:ascii="Arial" w:cs="Arial" w:eastAsia="Arial" w:hAnsi="Arial"/>
                <w:sz w:val="18"/>
                <w:szCs w:val="18"/>
                <w:color w:val="auto"/>
              </w:rPr>
              <w:t>$1.49</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March 31, 2012 and 2011, there was no dilution resulting from the convertible debt instrument, purchased call option, and warrant that are described in Note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 following table presents the number of shares issued and outstanding:</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00" w:type="dxa"/>
            <w:vAlign w:val="bottom"/>
            <w:tcBorders>
              <w:top w:val="single" w:sz="8" w:color="auto"/>
            </w:tcBorders>
          </w:tcPr>
          <w:p>
            <w:pPr>
              <w:spacing w:after="0"/>
              <w:rPr>
                <w:sz w:val="18"/>
                <w:szCs w:val="18"/>
                <w:color w:val="auto"/>
              </w:rPr>
            </w:pPr>
          </w:p>
        </w:tc>
        <w:tc>
          <w:tcPr>
            <w:tcW w:w="2540" w:type="dxa"/>
            <w:vAlign w:val="bottom"/>
            <w:tcBorders>
              <w:top w:val="single" w:sz="8" w:color="auto"/>
            </w:tcBorders>
          </w:tcPr>
          <w:p>
            <w:pPr>
              <w:jc w:val="right"/>
              <w:ind w:right="1030"/>
              <w:spacing w:after="0"/>
              <w:rPr>
                <w:sz w:val="20"/>
                <w:szCs w:val="20"/>
                <w:color w:val="auto"/>
              </w:rPr>
            </w:pPr>
            <w:r>
              <w:rPr>
                <w:rFonts w:ascii="Arial" w:cs="Arial" w:eastAsia="Arial" w:hAnsi="Arial"/>
                <w:sz w:val="18"/>
                <w:szCs w:val="18"/>
                <w:color w:val="auto"/>
              </w:rPr>
              <w:t>Class A</w:t>
            </w:r>
          </w:p>
        </w:tc>
        <w:tc>
          <w:tcPr>
            <w:tcW w:w="214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Class B</w:t>
            </w:r>
          </w:p>
        </w:tc>
        <w:tc>
          <w:tcPr>
            <w:tcW w:w="234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rPr>
              <w:t>Less: Treasury</w:t>
            </w:r>
          </w:p>
        </w:tc>
        <w:tc>
          <w:tcPr>
            <w:tcW w:w="190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Net shares</w:t>
            </w:r>
          </w:p>
        </w:tc>
      </w:tr>
      <w:tr>
        <w:trPr>
          <w:trHeight w:val="203"/>
        </w:trPr>
        <w:tc>
          <w:tcPr>
            <w:tcW w:w="250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tcPr>
          <w:p>
            <w:pPr>
              <w:jc w:val="right"/>
              <w:ind w:right="1050"/>
              <w:spacing w:after="0" w:line="203" w:lineRule="exact"/>
              <w:rPr>
                <w:sz w:val="20"/>
                <w:szCs w:val="20"/>
                <w:color w:val="auto"/>
              </w:rPr>
            </w:pPr>
            <w:r>
              <w:rPr>
                <w:rFonts w:ascii="Arial" w:cs="Arial" w:eastAsia="Arial" w:hAnsi="Arial"/>
                <w:sz w:val="18"/>
                <w:szCs w:val="18"/>
                <w:color w:val="auto"/>
              </w:rPr>
              <w:t>Shares</w:t>
            </w:r>
          </w:p>
        </w:tc>
        <w:tc>
          <w:tcPr>
            <w:tcW w:w="2140" w:type="dxa"/>
            <w:vAlign w:val="bottom"/>
            <w:tcBorders>
              <w:bottom w:val="single" w:sz="8" w:color="auto"/>
            </w:tcBorders>
          </w:tcPr>
          <w:p>
            <w:pPr>
              <w:ind w:left="580"/>
              <w:spacing w:after="0" w:line="203" w:lineRule="exact"/>
              <w:rPr>
                <w:sz w:val="20"/>
                <w:szCs w:val="20"/>
                <w:color w:val="auto"/>
              </w:rPr>
            </w:pPr>
            <w:r>
              <w:rPr>
                <w:rFonts w:ascii="Arial" w:cs="Arial" w:eastAsia="Arial" w:hAnsi="Arial"/>
                <w:sz w:val="18"/>
                <w:szCs w:val="18"/>
                <w:color w:val="auto"/>
              </w:rPr>
              <w:t>Shares</w:t>
            </w:r>
          </w:p>
        </w:tc>
        <w:tc>
          <w:tcPr>
            <w:tcW w:w="2340" w:type="dxa"/>
            <w:vAlign w:val="bottom"/>
            <w:tcBorders>
              <w:bottom w:val="single" w:sz="8" w:color="auto"/>
            </w:tcBorders>
          </w:tcPr>
          <w:p>
            <w:pPr>
              <w:jc w:val="right"/>
              <w:ind w:right="950"/>
              <w:spacing w:after="0" w:line="203" w:lineRule="exact"/>
              <w:rPr>
                <w:sz w:val="20"/>
                <w:szCs w:val="20"/>
                <w:color w:val="auto"/>
              </w:rPr>
            </w:pPr>
            <w:r>
              <w:rPr>
                <w:rFonts w:ascii="Arial" w:cs="Arial" w:eastAsia="Arial" w:hAnsi="Arial"/>
                <w:sz w:val="18"/>
                <w:szCs w:val="18"/>
                <w:color w:val="auto"/>
              </w:rPr>
              <w:t>Shares</w:t>
            </w:r>
          </w:p>
        </w:tc>
        <w:tc>
          <w:tcPr>
            <w:tcW w:w="190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rPr>
              <w:t>Outstanding</w:t>
            </w:r>
          </w:p>
        </w:tc>
      </w:tr>
      <w:tr>
        <w:trPr>
          <w:trHeight w:val="398"/>
        </w:trPr>
        <w:tc>
          <w:tcPr>
            <w:tcW w:w="2500" w:type="dxa"/>
            <w:vAlign w:val="bottom"/>
          </w:tcPr>
          <w:p>
            <w:pPr>
              <w:ind w:left="100"/>
              <w:spacing w:after="0"/>
              <w:rPr>
                <w:sz w:val="20"/>
                <w:szCs w:val="20"/>
                <w:color w:val="auto"/>
              </w:rPr>
            </w:pPr>
            <w:r>
              <w:rPr>
                <w:rFonts w:ascii="Arial" w:cs="Arial" w:eastAsia="Arial" w:hAnsi="Arial"/>
                <w:sz w:val="18"/>
                <w:szCs w:val="18"/>
                <w:color w:val="auto"/>
              </w:rPr>
              <w:t>March 31, 2012</w:t>
            </w:r>
          </w:p>
        </w:tc>
        <w:tc>
          <w:tcPr>
            <w:tcW w:w="2540" w:type="dxa"/>
            <w:vAlign w:val="bottom"/>
          </w:tcPr>
          <w:p>
            <w:pPr>
              <w:jc w:val="right"/>
              <w:ind w:right="470"/>
              <w:spacing w:after="0"/>
              <w:rPr>
                <w:sz w:val="20"/>
                <w:szCs w:val="20"/>
                <w:color w:val="auto"/>
              </w:rPr>
            </w:pPr>
            <w:r>
              <w:rPr>
                <w:rFonts w:ascii="Arial" w:cs="Arial" w:eastAsia="Arial" w:hAnsi="Arial"/>
                <w:sz w:val="18"/>
                <w:szCs w:val="18"/>
                <w:color w:val="auto"/>
              </w:rPr>
              <w:t>36,585,004</w:t>
            </w:r>
          </w:p>
        </w:tc>
        <w:tc>
          <w:tcPr>
            <w:tcW w:w="2140" w:type="dxa"/>
            <w:vAlign w:val="bottom"/>
          </w:tcPr>
          <w:p>
            <w:pPr>
              <w:jc w:val="right"/>
              <w:ind w:right="310"/>
              <w:spacing w:after="0"/>
              <w:rPr>
                <w:sz w:val="20"/>
                <w:szCs w:val="20"/>
                <w:color w:val="auto"/>
              </w:rPr>
            </w:pPr>
            <w:r>
              <w:rPr>
                <w:rFonts w:ascii="Arial" w:cs="Arial" w:eastAsia="Arial" w:hAnsi="Arial"/>
                <w:sz w:val="18"/>
                <w:szCs w:val="18"/>
                <w:color w:val="auto"/>
              </w:rPr>
              <w:t>3,236,098</w:t>
            </w:r>
          </w:p>
        </w:tc>
        <w:tc>
          <w:tcPr>
            <w:tcW w:w="2340" w:type="dxa"/>
            <w:vAlign w:val="bottom"/>
          </w:tcPr>
          <w:p>
            <w:pPr>
              <w:jc w:val="right"/>
              <w:ind w:right="370"/>
              <w:spacing w:after="0"/>
              <w:rPr>
                <w:sz w:val="20"/>
                <w:szCs w:val="20"/>
                <w:color w:val="auto"/>
              </w:rPr>
            </w:pPr>
            <w:r>
              <w:rPr>
                <w:rFonts w:ascii="Arial" w:cs="Arial" w:eastAsia="Arial" w:hAnsi="Arial"/>
                <w:sz w:val="18"/>
                <w:szCs w:val="18"/>
                <w:color w:val="auto"/>
              </w:rPr>
              <w:t>(8,479,487)</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31,341,615</w:t>
            </w:r>
          </w:p>
        </w:tc>
      </w:tr>
      <w:tr>
        <w:trPr>
          <w:trHeight w:val="203"/>
        </w:trPr>
        <w:tc>
          <w:tcPr>
            <w:tcW w:w="2500" w:type="dxa"/>
            <w:vAlign w:val="bottom"/>
          </w:tcPr>
          <w:p>
            <w:pPr>
              <w:ind w:left="100"/>
              <w:spacing w:after="0" w:line="202" w:lineRule="exact"/>
              <w:rPr>
                <w:sz w:val="20"/>
                <w:szCs w:val="20"/>
                <w:color w:val="auto"/>
              </w:rPr>
            </w:pPr>
            <w:r>
              <w:rPr>
                <w:rFonts w:ascii="Arial" w:cs="Arial" w:eastAsia="Arial" w:hAnsi="Arial"/>
                <w:sz w:val="18"/>
                <w:szCs w:val="18"/>
                <w:color w:val="auto"/>
              </w:rPr>
              <w:t>December 31, 2011</w:t>
            </w:r>
          </w:p>
        </w:tc>
        <w:tc>
          <w:tcPr>
            <w:tcW w:w="254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36,540,842</w:t>
            </w:r>
          </w:p>
        </w:tc>
        <w:tc>
          <w:tcPr>
            <w:tcW w:w="21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3,236,098</w:t>
            </w:r>
          </w:p>
        </w:tc>
        <w:tc>
          <w:tcPr>
            <w:tcW w:w="234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(8,479,487)</w:t>
            </w:r>
          </w:p>
        </w:tc>
        <w:tc>
          <w:tcPr>
            <w:tcW w:w="1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31,297,453</w:t>
            </w:r>
          </w:p>
        </w:tc>
      </w:tr>
      <w:tr>
        <w:trPr>
          <w:trHeight w:val="203"/>
        </w:trPr>
        <w:tc>
          <w:tcPr>
            <w:tcW w:w="250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March 31, 2011</w:t>
            </w:r>
          </w:p>
        </w:tc>
        <w:tc>
          <w:tcPr>
            <w:tcW w:w="2540" w:type="dxa"/>
            <w:vAlign w:val="bottom"/>
            <w:tcBorders>
              <w:bottom w:val="single" w:sz="8" w:color="auto"/>
            </w:tcBorders>
          </w:tcPr>
          <w:p>
            <w:pPr>
              <w:jc w:val="right"/>
              <w:ind w:right="470"/>
              <w:spacing w:after="0" w:line="203" w:lineRule="exact"/>
              <w:rPr>
                <w:sz w:val="20"/>
                <w:szCs w:val="20"/>
                <w:color w:val="auto"/>
              </w:rPr>
            </w:pPr>
            <w:r>
              <w:rPr>
                <w:rFonts w:ascii="Arial" w:cs="Arial" w:eastAsia="Arial" w:hAnsi="Arial"/>
                <w:sz w:val="18"/>
                <w:szCs w:val="18"/>
                <w:color w:val="auto"/>
              </w:rPr>
              <w:t>36,505,292</w:t>
            </w:r>
          </w:p>
        </w:tc>
        <w:tc>
          <w:tcPr>
            <w:tcW w:w="214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3,236,098</w:t>
            </w:r>
          </w:p>
        </w:tc>
        <w:tc>
          <w:tcPr>
            <w:tcW w:w="2340" w:type="dxa"/>
            <w:vAlign w:val="bottom"/>
            <w:tcBorders>
              <w:bottom w:val="single" w:sz="8" w:color="auto"/>
            </w:tcBorders>
          </w:tcPr>
          <w:p>
            <w:pPr>
              <w:jc w:val="right"/>
              <w:ind w:right="370"/>
              <w:spacing w:after="0" w:line="203" w:lineRule="exact"/>
              <w:rPr>
                <w:sz w:val="20"/>
                <w:szCs w:val="20"/>
                <w:color w:val="auto"/>
              </w:rPr>
            </w:pPr>
            <w:r>
              <w:rPr>
                <w:rFonts w:ascii="Arial" w:cs="Arial" w:eastAsia="Arial" w:hAnsi="Arial"/>
                <w:sz w:val="18"/>
                <w:szCs w:val="18"/>
                <w:color w:val="auto"/>
              </w:rPr>
              <w:t>(8,484,528)</w:t>
            </w:r>
          </w:p>
        </w:tc>
        <w:tc>
          <w:tcPr>
            <w:tcW w:w="19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31,256,862</w:t>
            </w:r>
          </w:p>
        </w:tc>
      </w:tr>
      <w:tr>
        <w:trPr>
          <w:trHeight w:val="426"/>
        </w:trPr>
        <w:tc>
          <w:tcPr>
            <w:tcW w:w="25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140" w:type="dxa"/>
            <w:vAlign w:val="bottom"/>
          </w:tcPr>
          <w:p>
            <w:pPr>
              <w:ind w:left="580"/>
              <w:spacing w:after="0"/>
              <w:rPr>
                <w:sz w:val="20"/>
                <w:szCs w:val="20"/>
                <w:color w:val="auto"/>
              </w:rPr>
            </w:pPr>
            <w:r>
              <w:rPr>
                <w:rFonts w:ascii="Arial" w:cs="Arial" w:eastAsia="Arial" w:hAnsi="Arial"/>
                <w:sz w:val="18"/>
                <w:szCs w:val="18"/>
                <w:color w:val="auto"/>
              </w:rPr>
              <w:t>16</w:t>
            </w:r>
          </w:p>
        </w:tc>
        <w:tc>
          <w:tcPr>
            <w:tcW w:w="23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37"/>
        </w:trPr>
        <w:tc>
          <w:tcPr>
            <w:tcW w:w="25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679"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9. Inventories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(in thousands)</w:t>
            </w:r>
          </w:p>
        </w:tc>
        <w:tc>
          <w:tcPr>
            <w:tcW w:w="44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March 31, 2012</w:t>
            </w:r>
          </w:p>
        </w:tc>
        <w:tc>
          <w:tcPr>
            <w:tcW w:w="2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December 31, 2011</w:t>
            </w:r>
          </w:p>
        </w:tc>
        <w:tc>
          <w:tcPr>
            <w:tcW w:w="20" w:type="dxa"/>
            <w:vAlign w:val="bottom"/>
          </w:tcPr>
          <w:p>
            <w:pPr>
              <w:spacing w:after="0"/>
              <w:rPr>
                <w:sz w:val="18"/>
                <w:szCs w:val="18"/>
                <w:color w:val="auto"/>
              </w:rPr>
            </w:pPr>
          </w:p>
        </w:tc>
      </w:tr>
      <w:tr>
        <w:trPr>
          <w:trHeight w:val="376"/>
        </w:trPr>
        <w:tc>
          <w:tcPr>
            <w:tcW w:w="450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4480" w:type="dxa"/>
            <w:vAlign w:val="bottom"/>
          </w:tcPr>
          <w:p>
            <w:pPr>
              <w:jc w:val="right"/>
              <w:ind w:right="770"/>
              <w:spacing w:after="0"/>
              <w:rPr>
                <w:sz w:val="20"/>
                <w:szCs w:val="20"/>
                <w:color w:val="auto"/>
              </w:rPr>
            </w:pPr>
            <w:r>
              <w:rPr>
                <w:rFonts w:ascii="Arial" w:cs="Arial" w:eastAsia="Arial" w:hAnsi="Arial"/>
                <w:sz w:val="18"/>
                <w:szCs w:val="18"/>
                <w:b w:val="1"/>
                <w:bCs w:val="1"/>
                <w:color w:val="auto"/>
              </w:rPr>
              <w:t>$63,131</w:t>
            </w:r>
          </w:p>
        </w:tc>
        <w:tc>
          <w:tcPr>
            <w:tcW w:w="2440" w:type="dxa"/>
            <w:vAlign w:val="bottom"/>
          </w:tcPr>
          <w:p>
            <w:pPr>
              <w:jc w:val="right"/>
              <w:spacing w:after="0"/>
              <w:rPr>
                <w:sz w:val="20"/>
                <w:szCs w:val="20"/>
                <w:color w:val="auto"/>
              </w:rPr>
            </w:pPr>
            <w:r>
              <w:rPr>
                <w:rFonts w:ascii="Arial" w:cs="Arial" w:eastAsia="Arial" w:hAnsi="Arial"/>
                <w:sz w:val="18"/>
                <w:szCs w:val="18"/>
                <w:color w:val="auto"/>
              </w:rPr>
              <w:t>$63,328</w:t>
            </w:r>
          </w:p>
        </w:tc>
        <w:tc>
          <w:tcPr>
            <w:tcW w:w="20" w:type="dxa"/>
            <w:vAlign w:val="bottom"/>
          </w:tcPr>
          <w:p>
            <w:pPr>
              <w:spacing w:after="0"/>
              <w:rPr>
                <w:sz w:val="24"/>
                <w:szCs w:val="24"/>
                <w:color w:val="auto"/>
              </w:rPr>
            </w:pPr>
          </w:p>
        </w:tc>
      </w:tr>
      <w:tr>
        <w:trPr>
          <w:trHeight w:val="203"/>
        </w:trPr>
        <w:tc>
          <w:tcPr>
            <w:tcW w:w="4500" w:type="dxa"/>
            <w:vAlign w:val="bottom"/>
          </w:tcPr>
          <w:p>
            <w:pPr>
              <w:ind w:left="40"/>
              <w:spacing w:after="0" w:line="202" w:lineRule="exact"/>
              <w:rPr>
                <w:sz w:val="20"/>
                <w:szCs w:val="20"/>
                <w:color w:val="auto"/>
              </w:rPr>
            </w:pPr>
            <w:r>
              <w:rPr>
                <w:rFonts w:ascii="Arial" w:cs="Arial" w:eastAsia="Arial" w:hAnsi="Arial"/>
                <w:sz w:val="18"/>
                <w:szCs w:val="18"/>
                <w:color w:val="auto"/>
              </w:rPr>
              <w:t>Work in process</w:t>
            </w:r>
          </w:p>
        </w:tc>
        <w:tc>
          <w:tcPr>
            <w:tcW w:w="448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rPr>
              <w:t>45,938</w:t>
            </w:r>
          </w:p>
        </w:tc>
        <w:tc>
          <w:tcPr>
            <w:tcW w:w="2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39,552</w:t>
            </w:r>
          </w:p>
        </w:tc>
      </w:tr>
      <w:tr>
        <w:trPr>
          <w:trHeight w:val="225"/>
        </w:trPr>
        <w:tc>
          <w:tcPr>
            <w:tcW w:w="45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Raw material and supplies</w:t>
            </w:r>
          </w:p>
        </w:tc>
        <w:tc>
          <w:tcPr>
            <w:tcW w:w="44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29,230</w:t>
            </w:r>
          </w:p>
        </w:tc>
        <w:tc>
          <w:tcPr>
            <w:tcW w:w="2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30,769</w:t>
            </w:r>
          </w:p>
        </w:tc>
      </w:tr>
      <w:tr>
        <w:trPr>
          <w:trHeight w:val="196"/>
        </w:trPr>
        <w:tc>
          <w:tcPr>
            <w:tcW w:w="450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 inventories</w:t>
            </w:r>
          </w:p>
        </w:tc>
        <w:tc>
          <w:tcPr>
            <w:tcW w:w="4480" w:type="dxa"/>
            <w:vAlign w:val="bottom"/>
            <w:tcBorders>
              <w:bottom w:val="single" w:sz="8" w:color="auto"/>
            </w:tcBorders>
          </w:tcPr>
          <w:p>
            <w:pPr>
              <w:jc w:val="right"/>
              <w:ind w:right="770"/>
              <w:spacing w:after="0" w:line="196" w:lineRule="exact"/>
              <w:rPr>
                <w:sz w:val="20"/>
                <w:szCs w:val="20"/>
                <w:color w:val="auto"/>
              </w:rPr>
            </w:pPr>
            <w:r>
              <w:rPr>
                <w:rFonts w:ascii="Arial" w:cs="Arial" w:eastAsia="Arial" w:hAnsi="Arial"/>
                <w:sz w:val="18"/>
                <w:szCs w:val="18"/>
                <w:b w:val="1"/>
                <w:bCs w:val="1"/>
                <w:color w:val="auto"/>
              </w:rPr>
              <w:t>$138,299</w:t>
            </w:r>
          </w:p>
        </w:tc>
        <w:tc>
          <w:tcPr>
            <w:tcW w:w="246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$133,649</w:t>
            </w:r>
          </w:p>
        </w:tc>
      </w:tr>
    </w:tbl>
    <w:p>
      <w:pPr>
        <w:spacing w:after="0" w:line="121" w:lineRule="exact"/>
        <w:rPr>
          <w:sz w:val="20"/>
          <w:szCs w:val="20"/>
          <w:color w:val="auto"/>
        </w:rPr>
      </w:pPr>
    </w:p>
    <w:p>
      <w:pPr>
        <w:ind w:right="660"/>
        <w:spacing w:after="0" w:line="246" w:lineRule="auto"/>
        <w:rPr>
          <w:sz w:val="20"/>
          <w:szCs w:val="20"/>
          <w:color w:val="auto"/>
        </w:rPr>
      </w:pPr>
      <w:r>
        <w:rPr>
          <w:rFonts w:ascii="Arial" w:cs="Arial" w:eastAsia="Arial" w:hAnsi="Arial"/>
          <w:sz w:val="18"/>
          <w:szCs w:val="18"/>
          <w:color w:val="auto"/>
        </w:rPr>
        <w:t>Inventories are stated at the lower of cost or market and are valued at average cost, net of reserves. We record a provision for obsolete inventory based on the age and category of the inventories.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10. Goodwill and Other Intangible Assets</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8"/>
          <w:szCs w:val="18"/>
          <w:color w:val="auto"/>
        </w:rPr>
        <w:t>Goodwill and intangible assets with indefinite useful lives are not amortized, but are tested for impairment at least annually. Goodwill represents the excess of the purchase price over the fair value of the net tangible and identifiable intangible assets acquired in each business combination. Our reporting units are consistent with our operating segments.</w:t>
      </w:r>
    </w:p>
    <w:p>
      <w:pPr>
        <w:spacing w:after="0" w:line="95" w:lineRule="exact"/>
        <w:rPr>
          <w:sz w:val="20"/>
          <w:szCs w:val="20"/>
          <w:color w:val="auto"/>
        </w:rPr>
      </w:pPr>
    </w:p>
    <w:p>
      <w:pPr>
        <w:ind w:right="640"/>
        <w:spacing w:after="0" w:line="239" w:lineRule="auto"/>
        <w:rPr>
          <w:sz w:val="20"/>
          <w:szCs w:val="20"/>
          <w:color w:val="auto"/>
        </w:rPr>
      </w:pPr>
      <w:r>
        <w:rPr>
          <w:rFonts w:ascii="Arial" w:cs="Arial" w:eastAsia="Arial" w:hAnsi="Arial"/>
          <w:sz w:val="18"/>
          <w:szCs w:val="18"/>
          <w:color w:val="auto"/>
        </w:rPr>
        <w:t>Determining the fair value of a reporting unit requires the use of significant estimates and assumptions, including revenue growth rates, operating margins, discount rates, and future market conditions, among others. Goodwill and other long-lived assets are reviewed for impairment whenever events, such as significant changes in the business climate, plant closures, changes in product offerings, or other circumstances indicate that the carrying amount may not be recoverable.</w:t>
      </w:r>
    </w:p>
    <w:p>
      <w:pPr>
        <w:spacing w:after="0" w:line="94"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To determine fair value, we utilize two market-based approaches and an income approach. Under the market-based approaches, we utilize information regarding the Company as well as publicly available industry information to determine earnings multiples and sales multiples. Under the income approach, we determine fair value based on estimated future cash flows of each reporting unit, discounted by an estimated weighted-average cost of capital, which reflects the overall level of inherent risk of a reporting unit and the rate of return an outside investor would expect to earn.</w:t>
      </w:r>
    </w:p>
    <w:p>
      <w:pPr>
        <w:spacing w:after="0" w:line="95"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balance of goodwill on our books is attributable to the Machine Clothing business. We completed our 2011 annual evaluation of goodwill for the Machine Clothing reporting unit in the second quarter of 2011 and determined that the fair value exceeded carrying value and therefore no impairment provision was required. In addition, there were no amount at risk due to the large spread between the fair and carrying values.</w:t>
      </w:r>
    </w:p>
    <w:p>
      <w:pPr>
        <w:spacing w:after="0" w:line="95"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We are continuing to amortize certain patents, trade names, customer contracts and technology assets that have finite lives. The changes in intangible assets and goodwill from January 1, 2012 to March 31, 2012, were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80" w:type="dxa"/>
            <w:vAlign w:val="bottom"/>
            <w:tcBorders>
              <w:top w:val="single" w:sz="8" w:color="auto"/>
            </w:tcBorders>
          </w:tcPr>
          <w:p>
            <w:pPr>
              <w:spacing w:after="0"/>
              <w:rPr>
                <w:sz w:val="18"/>
                <w:szCs w:val="18"/>
                <w:color w:val="auto"/>
              </w:rPr>
            </w:pPr>
          </w:p>
        </w:tc>
        <w:tc>
          <w:tcPr>
            <w:tcW w:w="24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Balance at</w:t>
            </w:r>
          </w:p>
        </w:tc>
        <w:tc>
          <w:tcPr>
            <w:tcW w:w="17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gridSpan w:val="2"/>
          </w:tcPr>
          <w:p>
            <w:pPr>
              <w:jc w:val="right"/>
              <w:ind w:right="239"/>
              <w:spacing w:after="0"/>
              <w:rPr>
                <w:sz w:val="20"/>
                <w:szCs w:val="20"/>
                <w:color w:val="auto"/>
              </w:rPr>
            </w:pPr>
            <w:r>
              <w:rPr>
                <w:rFonts w:ascii="Arial" w:cs="Arial" w:eastAsia="Arial" w:hAnsi="Arial"/>
                <w:sz w:val="16"/>
                <w:szCs w:val="16"/>
                <w:b w:val="1"/>
                <w:bCs w:val="1"/>
                <w:color w:val="auto"/>
              </w:rPr>
              <w:t>Currency</w:t>
            </w:r>
          </w:p>
        </w:tc>
        <w:tc>
          <w:tcPr>
            <w:tcW w:w="1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Balance at</w:t>
            </w:r>
          </w:p>
        </w:tc>
      </w:tr>
      <w:tr>
        <w:trPr>
          <w:trHeight w:val="207"/>
        </w:trPr>
        <w:tc>
          <w:tcPr>
            <w:tcW w:w="40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w:t>
            </w:r>
          </w:p>
        </w:tc>
        <w:tc>
          <w:tcPr>
            <w:tcW w:w="24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December 31, 2011</w:t>
            </w:r>
          </w:p>
        </w:tc>
        <w:tc>
          <w:tcPr>
            <w:tcW w:w="17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Amortization</w:t>
            </w:r>
          </w:p>
        </w:tc>
        <w:tc>
          <w:tcPr>
            <w:tcW w:w="160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6"/>
                <w:szCs w:val="16"/>
                <w:b w:val="1"/>
                <w:bCs w:val="1"/>
                <w:color w:val="auto"/>
              </w:rPr>
              <w:t>Translation</w:t>
            </w: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March 31, 2012</w:t>
            </w:r>
          </w:p>
        </w:tc>
      </w:tr>
      <w:tr>
        <w:trPr>
          <w:trHeight w:val="184"/>
        </w:trPr>
        <w:tc>
          <w:tcPr>
            <w:tcW w:w="4080" w:type="dxa"/>
            <w:vAlign w:val="bottom"/>
          </w:tcPr>
          <w:p>
            <w:pPr>
              <w:ind w:left="100"/>
              <w:spacing w:after="0"/>
              <w:rPr>
                <w:sz w:val="20"/>
                <w:szCs w:val="20"/>
                <w:color w:val="auto"/>
              </w:rPr>
            </w:pPr>
            <w:r>
              <w:rPr>
                <w:rFonts w:ascii="Arial" w:cs="Arial" w:eastAsia="Arial" w:hAnsi="Arial"/>
                <w:sz w:val="16"/>
                <w:szCs w:val="16"/>
                <w:color w:val="auto"/>
              </w:rPr>
              <w:t>Amortized intangible assets:</w:t>
            </w:r>
          </w:p>
        </w:tc>
        <w:tc>
          <w:tcPr>
            <w:tcW w:w="24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9"/>
        </w:trPr>
        <w:tc>
          <w:tcPr>
            <w:tcW w:w="4080" w:type="dxa"/>
            <w:vAlign w:val="bottom"/>
          </w:tcPr>
          <w:p>
            <w:pPr>
              <w:ind w:left="180"/>
              <w:spacing w:after="0"/>
              <w:rPr>
                <w:sz w:val="20"/>
                <w:szCs w:val="20"/>
                <w:color w:val="auto"/>
              </w:rPr>
            </w:pPr>
            <w:r>
              <w:rPr>
                <w:rFonts w:ascii="Arial" w:cs="Arial" w:eastAsia="Arial" w:hAnsi="Arial"/>
                <w:sz w:val="16"/>
                <w:szCs w:val="16"/>
                <w:color w:val="auto"/>
              </w:rPr>
              <w:t>AEC trade names</w:t>
            </w:r>
          </w:p>
        </w:tc>
        <w:tc>
          <w:tcPr>
            <w:tcW w:w="2460" w:type="dxa"/>
            <w:vAlign w:val="bottom"/>
          </w:tcPr>
          <w:p>
            <w:pPr>
              <w:jc w:val="right"/>
              <w:ind w:right="179"/>
              <w:spacing w:after="0"/>
              <w:rPr>
                <w:sz w:val="20"/>
                <w:szCs w:val="20"/>
                <w:color w:val="auto"/>
              </w:rPr>
            </w:pPr>
            <w:r>
              <w:rPr>
                <w:rFonts w:ascii="Arial" w:cs="Arial" w:eastAsia="Arial" w:hAnsi="Arial"/>
                <w:sz w:val="16"/>
                <w:szCs w:val="16"/>
                <w:color w:val="auto"/>
              </w:rPr>
              <w:t>$43</w:t>
            </w:r>
          </w:p>
        </w:tc>
        <w:tc>
          <w:tcPr>
            <w:tcW w:w="1700" w:type="dxa"/>
            <w:vAlign w:val="bottom"/>
          </w:tcPr>
          <w:p>
            <w:pPr>
              <w:jc w:val="right"/>
              <w:ind w:right="319"/>
              <w:spacing w:after="0"/>
              <w:rPr>
                <w:sz w:val="20"/>
                <w:szCs w:val="20"/>
                <w:color w:val="auto"/>
              </w:rPr>
            </w:pPr>
            <w:r>
              <w:rPr>
                <w:rFonts w:ascii="Arial" w:cs="Arial" w:eastAsia="Arial" w:hAnsi="Arial"/>
                <w:sz w:val="16"/>
                <w:szCs w:val="16"/>
                <w:color w:val="auto"/>
              </w:rPr>
              <w:t>($1)</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$42</w:t>
            </w:r>
          </w:p>
        </w:tc>
      </w:tr>
      <w:tr>
        <w:trPr>
          <w:trHeight w:val="189"/>
        </w:trPr>
        <w:tc>
          <w:tcPr>
            <w:tcW w:w="4080" w:type="dxa"/>
            <w:vAlign w:val="bottom"/>
          </w:tcPr>
          <w:p>
            <w:pPr>
              <w:ind w:left="180"/>
              <w:spacing w:after="0"/>
              <w:rPr>
                <w:sz w:val="20"/>
                <w:szCs w:val="20"/>
                <w:color w:val="auto"/>
              </w:rPr>
            </w:pPr>
            <w:r>
              <w:rPr>
                <w:rFonts w:ascii="Arial" w:cs="Arial" w:eastAsia="Arial" w:hAnsi="Arial"/>
                <w:sz w:val="16"/>
                <w:szCs w:val="16"/>
                <w:color w:val="auto"/>
              </w:rPr>
              <w:t>AEC customer contracts</w:t>
            </w:r>
          </w:p>
        </w:tc>
        <w:tc>
          <w:tcPr>
            <w:tcW w:w="2460" w:type="dxa"/>
            <w:vAlign w:val="bottom"/>
          </w:tcPr>
          <w:p>
            <w:pPr>
              <w:jc w:val="right"/>
              <w:ind w:right="179"/>
              <w:spacing w:after="0"/>
              <w:rPr>
                <w:sz w:val="20"/>
                <w:szCs w:val="20"/>
                <w:color w:val="auto"/>
              </w:rPr>
            </w:pPr>
            <w:r>
              <w:rPr>
                <w:rFonts w:ascii="Arial" w:cs="Arial" w:eastAsia="Arial" w:hAnsi="Arial"/>
                <w:sz w:val="16"/>
                <w:szCs w:val="16"/>
                <w:color w:val="auto"/>
              </w:rPr>
              <w:t>808</w:t>
            </w:r>
          </w:p>
        </w:tc>
        <w:tc>
          <w:tcPr>
            <w:tcW w:w="1700" w:type="dxa"/>
            <w:vAlign w:val="bottom"/>
          </w:tcPr>
          <w:p>
            <w:pPr>
              <w:jc w:val="right"/>
              <w:ind w:right="319"/>
              <w:spacing w:after="0"/>
              <w:rPr>
                <w:sz w:val="20"/>
                <w:szCs w:val="20"/>
                <w:color w:val="auto"/>
              </w:rPr>
            </w:pPr>
            <w:r>
              <w:rPr>
                <w:rFonts w:ascii="Arial" w:cs="Arial" w:eastAsia="Arial" w:hAnsi="Arial"/>
                <w:sz w:val="16"/>
                <w:szCs w:val="16"/>
                <w:color w:val="auto"/>
              </w:rPr>
              <w:t>(51)</w:t>
            </w:r>
          </w:p>
        </w:tc>
        <w:tc>
          <w:tcPr>
            <w:tcW w:w="880" w:type="dxa"/>
            <w:vAlign w:val="bottom"/>
          </w:tcPr>
          <w:p>
            <w:pPr>
              <w:spacing w:after="0"/>
              <w:rPr>
                <w:sz w:val="16"/>
                <w:szCs w:val="16"/>
                <w:color w:val="auto"/>
              </w:rPr>
            </w:pPr>
          </w:p>
        </w:tc>
        <w:tc>
          <w:tcPr>
            <w:tcW w:w="7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757</w:t>
            </w:r>
          </w:p>
        </w:tc>
      </w:tr>
      <w:tr>
        <w:trPr>
          <w:trHeight w:val="187"/>
        </w:trPr>
        <w:tc>
          <w:tcPr>
            <w:tcW w:w="40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AEC technology</w:t>
            </w:r>
          </w:p>
        </w:tc>
        <w:tc>
          <w:tcPr>
            <w:tcW w:w="24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228</w:t>
            </w:r>
          </w:p>
        </w:tc>
        <w:tc>
          <w:tcPr>
            <w:tcW w:w="17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(6)</w:t>
            </w:r>
          </w:p>
        </w:tc>
        <w:tc>
          <w:tcPr>
            <w:tcW w:w="8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222</w:t>
            </w:r>
          </w:p>
        </w:tc>
      </w:tr>
      <w:tr>
        <w:trPr>
          <w:trHeight w:val="183"/>
        </w:trPr>
        <w:tc>
          <w:tcPr>
            <w:tcW w:w="408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6"/>
                <w:szCs w:val="16"/>
                <w:color w:val="auto"/>
              </w:rPr>
              <w:t>Total amortized intangible assets</w:t>
            </w:r>
          </w:p>
        </w:tc>
        <w:tc>
          <w:tcPr>
            <w:tcW w:w="2460" w:type="dxa"/>
            <w:vAlign w:val="bottom"/>
            <w:tcBorders>
              <w:bottom w:val="single" w:sz="8" w:color="auto"/>
            </w:tcBorders>
          </w:tcPr>
          <w:p>
            <w:pPr>
              <w:jc w:val="right"/>
              <w:ind w:right="179"/>
              <w:spacing w:after="0" w:line="183" w:lineRule="exact"/>
              <w:rPr>
                <w:sz w:val="20"/>
                <w:szCs w:val="20"/>
                <w:color w:val="auto"/>
              </w:rPr>
            </w:pPr>
            <w:r>
              <w:rPr>
                <w:rFonts w:ascii="Arial" w:cs="Arial" w:eastAsia="Arial" w:hAnsi="Arial"/>
                <w:sz w:val="16"/>
                <w:szCs w:val="16"/>
                <w:color w:val="auto"/>
              </w:rPr>
              <w:t>$1,079</w:t>
            </w:r>
          </w:p>
        </w:tc>
        <w:tc>
          <w:tcPr>
            <w:tcW w:w="1700" w:type="dxa"/>
            <w:vAlign w:val="bottom"/>
            <w:tcBorders>
              <w:bottom w:val="single" w:sz="8" w:color="auto"/>
            </w:tcBorders>
          </w:tcPr>
          <w:p>
            <w:pPr>
              <w:jc w:val="right"/>
              <w:ind w:right="319"/>
              <w:spacing w:after="0" w:line="183" w:lineRule="exact"/>
              <w:rPr>
                <w:sz w:val="20"/>
                <w:szCs w:val="20"/>
                <w:color w:val="auto"/>
              </w:rPr>
            </w:pPr>
            <w:r>
              <w:rPr>
                <w:rFonts w:ascii="Arial" w:cs="Arial" w:eastAsia="Arial" w:hAnsi="Arial"/>
                <w:sz w:val="16"/>
                <w:szCs w:val="16"/>
                <w:color w:val="auto"/>
              </w:rPr>
              <w:t>($58)</w:t>
            </w: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39"/>
              <w:spacing w:after="0" w:line="183" w:lineRule="exact"/>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$1,021</w:t>
            </w:r>
          </w:p>
        </w:tc>
      </w:tr>
      <w:tr>
        <w:trPr>
          <w:trHeight w:val="374"/>
        </w:trPr>
        <w:tc>
          <w:tcPr>
            <w:tcW w:w="4080" w:type="dxa"/>
            <w:vAlign w:val="bottom"/>
          </w:tcPr>
          <w:p>
            <w:pPr>
              <w:ind w:left="100"/>
              <w:spacing w:after="0"/>
              <w:rPr>
                <w:sz w:val="20"/>
                <w:szCs w:val="20"/>
                <w:color w:val="auto"/>
              </w:rPr>
            </w:pPr>
            <w:r>
              <w:rPr>
                <w:rFonts w:ascii="Arial" w:cs="Arial" w:eastAsia="Arial" w:hAnsi="Arial"/>
                <w:sz w:val="16"/>
                <w:szCs w:val="16"/>
                <w:color w:val="auto"/>
              </w:rPr>
              <w:t>Unamortized intangible assets:</w:t>
            </w:r>
          </w:p>
        </w:tc>
        <w:tc>
          <w:tcPr>
            <w:tcW w:w="2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7"/>
        </w:trPr>
        <w:tc>
          <w:tcPr>
            <w:tcW w:w="40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Goodwill, Machine Clothing reportable unit</w:t>
            </w:r>
          </w:p>
        </w:tc>
        <w:tc>
          <w:tcPr>
            <w:tcW w:w="24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$75,469</w:t>
            </w:r>
          </w:p>
        </w:tc>
        <w:tc>
          <w:tcPr>
            <w:tcW w:w="17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  -</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94"/>
              </w:rPr>
              <w:t>1,679</w:t>
            </w: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$77,148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Estimated amortization expense of amortized intangible assets for the years ending December 31, 2012 through 2016 is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40" w:type="dxa"/>
            <w:vAlign w:val="bottom"/>
            <w:tcBorders>
              <w:top w:val="single" w:sz="8" w:color="auto"/>
            </w:tcBorders>
          </w:tcPr>
          <w:p>
            <w:pPr>
              <w:spacing w:after="0"/>
              <w:rPr>
                <w:sz w:val="18"/>
                <w:szCs w:val="18"/>
                <w:color w:val="auto"/>
              </w:rPr>
            </w:pPr>
          </w:p>
        </w:tc>
        <w:tc>
          <w:tcPr>
            <w:tcW w:w="356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rPr>
              <w:t>Annual Amortization</w:t>
            </w:r>
          </w:p>
        </w:tc>
      </w:tr>
      <w:tr>
        <w:trPr>
          <w:trHeight w:val="203"/>
        </w:trPr>
        <w:tc>
          <w:tcPr>
            <w:tcW w:w="2140" w:type="dxa"/>
            <w:vAlign w:val="bottom"/>
            <w:tcBorders>
              <w:bottom w:val="single" w:sz="8" w:color="auto"/>
            </w:tcBorders>
          </w:tcPr>
          <w:p>
            <w:pPr>
              <w:ind w:left="540"/>
              <w:spacing w:after="0" w:line="203" w:lineRule="exact"/>
              <w:rPr>
                <w:sz w:val="20"/>
                <w:szCs w:val="20"/>
                <w:color w:val="auto"/>
              </w:rPr>
            </w:pPr>
            <w:r>
              <w:rPr>
                <w:rFonts w:ascii="Arial" w:cs="Arial" w:eastAsia="Arial" w:hAnsi="Arial"/>
                <w:sz w:val="18"/>
                <w:szCs w:val="18"/>
                <w:color w:val="auto"/>
              </w:rPr>
              <w:t>Year</w:t>
            </w:r>
          </w:p>
        </w:tc>
        <w:tc>
          <w:tcPr>
            <w:tcW w:w="3560" w:type="dxa"/>
            <w:vAlign w:val="bottom"/>
            <w:tcBorders>
              <w:bottom w:val="single" w:sz="8" w:color="auto"/>
            </w:tcBorders>
          </w:tcPr>
          <w:p>
            <w:pPr>
              <w:jc w:val="right"/>
              <w:ind w:right="870"/>
              <w:spacing w:after="0" w:line="203" w:lineRule="exact"/>
              <w:rPr>
                <w:sz w:val="20"/>
                <w:szCs w:val="20"/>
                <w:color w:val="auto"/>
              </w:rPr>
            </w:pPr>
            <w:r>
              <w:rPr>
                <w:rFonts w:ascii="Arial" w:cs="Arial" w:eastAsia="Arial" w:hAnsi="Arial"/>
                <w:sz w:val="18"/>
                <w:szCs w:val="18"/>
                <w:color w:val="auto"/>
              </w:rPr>
              <w:t>(in thousands)</w:t>
            </w:r>
          </w:p>
        </w:tc>
      </w:tr>
      <w:tr>
        <w:trPr>
          <w:trHeight w:val="195"/>
        </w:trPr>
        <w:tc>
          <w:tcPr>
            <w:tcW w:w="2140" w:type="dxa"/>
            <w:vAlign w:val="bottom"/>
          </w:tcPr>
          <w:p>
            <w:pPr>
              <w:ind w:left="520"/>
              <w:spacing w:after="0" w:line="195" w:lineRule="exact"/>
              <w:rPr>
                <w:sz w:val="20"/>
                <w:szCs w:val="20"/>
                <w:color w:val="auto"/>
              </w:rPr>
            </w:pPr>
            <w:r>
              <w:rPr>
                <w:rFonts w:ascii="Arial" w:cs="Arial" w:eastAsia="Arial" w:hAnsi="Arial"/>
                <w:sz w:val="18"/>
                <w:szCs w:val="18"/>
                <w:color w:val="auto"/>
              </w:rPr>
              <w:t>2012</w:t>
            </w:r>
          </w:p>
        </w:tc>
        <w:tc>
          <w:tcPr>
            <w:tcW w:w="3560" w:type="dxa"/>
            <w:vAlign w:val="bottom"/>
          </w:tcPr>
          <w:p>
            <w:pPr>
              <w:jc w:val="right"/>
              <w:spacing w:after="0" w:line="195" w:lineRule="exact"/>
              <w:rPr>
                <w:sz w:val="20"/>
                <w:szCs w:val="20"/>
                <w:color w:val="auto"/>
              </w:rPr>
            </w:pPr>
            <w:r>
              <w:rPr>
                <w:rFonts w:ascii="Arial" w:cs="Arial" w:eastAsia="Arial" w:hAnsi="Arial"/>
                <w:sz w:val="18"/>
                <w:szCs w:val="18"/>
                <w:color w:val="auto"/>
              </w:rPr>
              <w:t>$231</w:t>
            </w:r>
          </w:p>
        </w:tc>
      </w:tr>
      <w:tr>
        <w:trPr>
          <w:trHeight w:val="203"/>
        </w:trPr>
        <w:tc>
          <w:tcPr>
            <w:tcW w:w="2140" w:type="dxa"/>
            <w:vAlign w:val="bottom"/>
          </w:tcPr>
          <w:p>
            <w:pPr>
              <w:ind w:left="520"/>
              <w:spacing w:after="0" w:line="202" w:lineRule="exact"/>
              <w:rPr>
                <w:sz w:val="20"/>
                <w:szCs w:val="20"/>
                <w:color w:val="auto"/>
              </w:rPr>
            </w:pPr>
            <w:r>
              <w:rPr>
                <w:rFonts w:ascii="Arial" w:cs="Arial" w:eastAsia="Arial" w:hAnsi="Arial"/>
                <w:sz w:val="18"/>
                <w:szCs w:val="18"/>
                <w:color w:val="auto"/>
              </w:rPr>
              <w:t>2013</w:t>
            </w:r>
          </w:p>
        </w:tc>
        <w:tc>
          <w:tcPr>
            <w:tcW w:w="3560" w:type="dxa"/>
            <w:vAlign w:val="bottom"/>
          </w:tcPr>
          <w:p>
            <w:pPr>
              <w:jc w:val="right"/>
              <w:spacing w:after="0" w:line="202" w:lineRule="exact"/>
              <w:rPr>
                <w:sz w:val="20"/>
                <w:szCs w:val="20"/>
                <w:color w:val="auto"/>
              </w:rPr>
            </w:pPr>
            <w:r>
              <w:rPr>
                <w:rFonts w:ascii="Arial" w:cs="Arial" w:eastAsia="Arial" w:hAnsi="Arial"/>
                <w:sz w:val="18"/>
                <w:szCs w:val="18"/>
                <w:color w:val="auto"/>
              </w:rPr>
              <w:t>231</w:t>
            </w:r>
          </w:p>
        </w:tc>
      </w:tr>
      <w:tr>
        <w:trPr>
          <w:trHeight w:val="203"/>
        </w:trPr>
        <w:tc>
          <w:tcPr>
            <w:tcW w:w="2140" w:type="dxa"/>
            <w:vAlign w:val="bottom"/>
          </w:tcPr>
          <w:p>
            <w:pPr>
              <w:ind w:left="520"/>
              <w:spacing w:after="0" w:line="202" w:lineRule="exact"/>
              <w:rPr>
                <w:sz w:val="20"/>
                <w:szCs w:val="20"/>
                <w:color w:val="auto"/>
              </w:rPr>
            </w:pPr>
            <w:r>
              <w:rPr>
                <w:rFonts w:ascii="Arial" w:cs="Arial" w:eastAsia="Arial" w:hAnsi="Arial"/>
                <w:sz w:val="18"/>
                <w:szCs w:val="18"/>
                <w:color w:val="auto"/>
              </w:rPr>
              <w:t>2014</w:t>
            </w:r>
          </w:p>
        </w:tc>
        <w:tc>
          <w:tcPr>
            <w:tcW w:w="3560" w:type="dxa"/>
            <w:vAlign w:val="bottom"/>
          </w:tcPr>
          <w:p>
            <w:pPr>
              <w:jc w:val="right"/>
              <w:spacing w:after="0" w:line="202" w:lineRule="exact"/>
              <w:rPr>
                <w:sz w:val="20"/>
                <w:szCs w:val="20"/>
                <w:color w:val="auto"/>
              </w:rPr>
            </w:pPr>
            <w:r>
              <w:rPr>
                <w:rFonts w:ascii="Arial" w:cs="Arial" w:eastAsia="Arial" w:hAnsi="Arial"/>
                <w:sz w:val="18"/>
                <w:szCs w:val="18"/>
                <w:color w:val="auto"/>
              </w:rPr>
              <w:t>231</w:t>
            </w:r>
          </w:p>
        </w:tc>
      </w:tr>
      <w:tr>
        <w:trPr>
          <w:trHeight w:val="203"/>
        </w:trPr>
        <w:tc>
          <w:tcPr>
            <w:tcW w:w="2140" w:type="dxa"/>
            <w:vAlign w:val="bottom"/>
          </w:tcPr>
          <w:p>
            <w:pPr>
              <w:ind w:left="520"/>
              <w:spacing w:after="0" w:line="202" w:lineRule="exact"/>
              <w:rPr>
                <w:sz w:val="20"/>
                <w:szCs w:val="20"/>
                <w:color w:val="auto"/>
              </w:rPr>
            </w:pPr>
            <w:r>
              <w:rPr>
                <w:rFonts w:ascii="Arial" w:cs="Arial" w:eastAsia="Arial" w:hAnsi="Arial"/>
                <w:sz w:val="18"/>
                <w:szCs w:val="18"/>
                <w:color w:val="auto"/>
              </w:rPr>
              <w:t>2015</w:t>
            </w:r>
          </w:p>
        </w:tc>
        <w:tc>
          <w:tcPr>
            <w:tcW w:w="3560" w:type="dxa"/>
            <w:vAlign w:val="bottom"/>
          </w:tcPr>
          <w:p>
            <w:pPr>
              <w:jc w:val="right"/>
              <w:spacing w:after="0" w:line="202" w:lineRule="exact"/>
              <w:rPr>
                <w:sz w:val="20"/>
                <w:szCs w:val="20"/>
                <w:color w:val="auto"/>
              </w:rPr>
            </w:pPr>
            <w:r>
              <w:rPr>
                <w:rFonts w:ascii="Arial" w:cs="Arial" w:eastAsia="Arial" w:hAnsi="Arial"/>
                <w:sz w:val="18"/>
                <w:szCs w:val="18"/>
                <w:color w:val="auto"/>
              </w:rPr>
              <w:t>231</w:t>
            </w:r>
          </w:p>
        </w:tc>
      </w:tr>
      <w:tr>
        <w:trPr>
          <w:trHeight w:val="203"/>
        </w:trPr>
        <w:tc>
          <w:tcPr>
            <w:tcW w:w="2140" w:type="dxa"/>
            <w:vAlign w:val="bottom"/>
            <w:tcBorders>
              <w:bottom w:val="single" w:sz="8" w:color="auto"/>
            </w:tcBorders>
          </w:tcPr>
          <w:p>
            <w:pPr>
              <w:ind w:left="520"/>
              <w:spacing w:after="0" w:line="203" w:lineRule="exact"/>
              <w:rPr>
                <w:sz w:val="20"/>
                <w:szCs w:val="20"/>
                <w:color w:val="auto"/>
              </w:rPr>
            </w:pPr>
            <w:r>
              <w:rPr>
                <w:rFonts w:ascii="Arial" w:cs="Arial" w:eastAsia="Arial" w:hAnsi="Arial"/>
                <w:sz w:val="18"/>
                <w:szCs w:val="18"/>
                <w:color w:val="auto"/>
              </w:rPr>
              <w:t>2016</w:t>
            </w:r>
          </w:p>
        </w:tc>
        <w:tc>
          <w:tcPr>
            <w:tcW w:w="3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0" w:name="page21"/>
    <w:bookmarkEnd w:id="20"/>
    <w:p>
      <w:pPr>
        <w:jc w:val="both"/>
        <w:ind w:right="5500" w:firstLine="8"/>
        <w:spacing w:after="0" w:line="397" w:lineRule="auto"/>
        <w:tabs>
          <w:tab w:leader="none" w:pos="3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Instruments </w:t>
      </w:r>
      <w:r>
        <w:rPr>
          <w:rFonts w:ascii="Arial" w:cs="Arial" w:eastAsia="Arial" w:hAnsi="Arial"/>
          <w:sz w:val="18"/>
          <w:szCs w:val="18"/>
          <w:color w:val="auto"/>
        </w:rPr>
        <w:t>Long-term debt consists of:</w:t>
      </w:r>
    </w:p>
    <w:p>
      <w:pPr>
        <w:spacing w:after="0" w:line="5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(in thousands, except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45021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502150" cy="8890"/>
                    </a:xfrm>
                    <a:prstGeom prst="rect">
                      <a:avLst/>
                    </a:prstGeom>
                    <a:noFill/>
                  </pic:spPr>
                </pic:pic>
              </a:graphicData>
            </a:graphic>
          </wp:anchor>
        </w:drawing>
      </w:r>
    </w:p>
    <w:p>
      <w:pPr>
        <w:spacing w:after="0" w:line="300" w:lineRule="exact"/>
        <w:rPr>
          <w:sz w:val="20"/>
          <w:szCs w:val="20"/>
          <w:color w:val="auto"/>
        </w:rPr>
      </w:pPr>
    </w:p>
    <w:p>
      <w:pPr>
        <w:ind w:left="100" w:right="1100"/>
        <w:spacing w:after="0" w:line="246" w:lineRule="auto"/>
        <w:rPr>
          <w:sz w:val="20"/>
          <w:szCs w:val="20"/>
          <w:color w:val="auto"/>
        </w:rPr>
      </w:pPr>
      <w:r>
        <w:rPr>
          <w:rFonts w:ascii="Arial" w:cs="Arial" w:eastAsia="Arial" w:hAnsi="Arial"/>
          <w:sz w:val="18"/>
          <w:szCs w:val="18"/>
          <w:color w:val="auto"/>
        </w:rPr>
        <w:t>Convertible notes, par value $28,437, issued in March 2006 with fixed contractual interest rates of 2.25%, due in 2026</w:t>
      </w:r>
    </w:p>
    <w:p>
      <w:pPr>
        <w:spacing w:after="0" w:line="18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Private placement with a fixed interest rate of 6.84%, due in 2013 through 2017</w:t>
      </w:r>
    </w:p>
    <w:p>
      <w:pPr>
        <w:spacing w:after="0" w:line="198" w:lineRule="exact"/>
        <w:rPr>
          <w:sz w:val="20"/>
          <w:szCs w:val="20"/>
          <w:color w:val="auto"/>
        </w:rPr>
      </w:pPr>
    </w:p>
    <w:p>
      <w:pPr>
        <w:ind w:left="100" w:right="1160"/>
        <w:spacing w:after="0" w:line="246" w:lineRule="auto"/>
        <w:rPr>
          <w:sz w:val="20"/>
          <w:szCs w:val="20"/>
          <w:color w:val="auto"/>
        </w:rPr>
      </w:pPr>
      <w:r>
        <w:rPr>
          <w:rFonts w:ascii="Arial" w:cs="Arial" w:eastAsia="Arial" w:hAnsi="Arial"/>
          <w:sz w:val="18"/>
          <w:szCs w:val="18"/>
          <w:color w:val="auto"/>
        </w:rPr>
        <w:t>Credit agreement with borrowings outstanding at an end of period interest rate of 4.07% in 2012 and 3.61% in 2011, due in 2015</w:t>
      </w:r>
    </w:p>
    <w:p>
      <w:pPr>
        <w:spacing w:after="0" w:line="183" w:lineRule="exact"/>
        <w:rPr>
          <w:sz w:val="20"/>
          <w:szCs w:val="20"/>
          <w:color w:val="auto"/>
        </w:rPr>
      </w:pPr>
    </w:p>
    <w:p>
      <w:pPr>
        <w:ind w:left="100" w:right="1060"/>
        <w:spacing w:after="0"/>
        <w:rPr>
          <w:sz w:val="20"/>
          <w:szCs w:val="20"/>
          <w:color w:val="auto"/>
        </w:rPr>
      </w:pPr>
      <w:r>
        <w:rPr>
          <w:rFonts w:ascii="Arial" w:cs="Arial" w:eastAsia="Arial" w:hAnsi="Arial"/>
          <w:sz w:val="18"/>
          <w:szCs w:val="18"/>
          <w:color w:val="auto"/>
        </w:rPr>
        <w:t>Various notes and mortgages relative to operations principally outside the United States, at an average end of period rate of 3.06% in 2012 and 3.05% 2011, due in varying amounts through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45021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02150" cy="8890"/>
                    </a:xfrm>
                    <a:prstGeom prst="rect">
                      <a:avLst/>
                    </a:prstGeom>
                    <a:noFill/>
                  </pic:spPr>
                </pic:pic>
              </a:graphicData>
            </a:graphic>
          </wp:anchor>
        </w:drawing>
      </w:r>
    </w:p>
    <w:p>
      <w:pPr>
        <w:spacing w:after="0" w:line="18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Long-term debt</w:t>
      </w:r>
    </w:p>
    <w:p>
      <w:pPr>
        <w:spacing w:after="0" w:line="19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45021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02150" cy="8890"/>
                    </a:xfrm>
                    <a:prstGeom prst="rect">
                      <a:avLst/>
                    </a:prstGeom>
                    <a:noFill/>
                  </pic:spPr>
                </pic:pic>
              </a:graphicData>
            </a:graphic>
          </wp:anchor>
        </w:drawing>
      </w:r>
    </w:p>
    <w:p>
      <w:pPr>
        <w:spacing w:after="0" w:line="19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Long-term debt, net of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45021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021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March 31,</w:t>
      </w:r>
    </w:p>
    <w:p>
      <w:pPr>
        <w:spacing w:after="0" w:line="7"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-1905</wp:posOffset>
            </wp:positionV>
            <wp:extent cx="8661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$27,632</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150,000</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139,000</w:t>
      </w: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126365</wp:posOffset>
            </wp:positionV>
            <wp:extent cx="8661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326,781</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(30,145)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-1905</wp:posOffset>
            </wp:positionV>
            <wp:extent cx="8661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$296,636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-1905</wp:posOffset>
            </wp:positionV>
            <wp:extent cx="8661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December 31,</w:t>
      </w:r>
    </w:p>
    <w:p>
      <w:pPr>
        <w:spacing w:after="0" w:line="7"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-1905</wp:posOffset>
            </wp:positionV>
            <wp:extent cx="10121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286"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$27,228</w:t>
      </w:r>
    </w:p>
    <w:p>
      <w:pPr>
        <w:spacing w:after="0" w:line="306"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150,000</w:t>
      </w:r>
    </w:p>
    <w:p>
      <w:pPr>
        <w:spacing w:after="0" w:line="29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187,000</w:t>
      </w:r>
    </w:p>
    <w:p>
      <w:pPr>
        <w:spacing w:after="0" w:line="200" w:lineRule="exact"/>
        <w:rPr>
          <w:sz w:val="20"/>
          <w:szCs w:val="20"/>
          <w:color w:val="auto"/>
        </w:rPr>
      </w:pPr>
    </w:p>
    <w:p>
      <w:pPr>
        <w:spacing w:after="0" w:line="30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10,160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126365</wp:posOffset>
            </wp:positionV>
            <wp:extent cx="10121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394"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374,388</w:t>
      </w:r>
    </w:p>
    <w:p>
      <w:pPr>
        <w:spacing w:after="0" w:line="198"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(1,263)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-1905</wp:posOffset>
            </wp:positionV>
            <wp:extent cx="10121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192"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$373,125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-1905</wp:posOffset>
            </wp:positionV>
            <wp:extent cx="10121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131" w:lineRule="exact"/>
        <w:rPr>
          <w:sz w:val="20"/>
          <w:szCs w:val="20"/>
          <w:color w:val="auto"/>
        </w:rPr>
      </w:pPr>
    </w:p>
    <w:p>
      <w:pPr>
        <w:sectPr>
          <w:pgSz w:w="11900" w:h="16838" w:orient="portrait"/>
          <w:cols w:equalWidth="0" w:num="3">
            <w:col w:w="7680" w:space="720"/>
            <w:col w:w="1000" w:space="660"/>
            <w:col w:w="1360"/>
          </w:cols>
          <w:pgMar w:left="240" w:top="657" w:right="239" w:bottom="1440" w:gutter="0" w:footer="0" w:header="0"/>
        </w:sectPr>
      </w:pPr>
    </w:p>
    <w:p>
      <w:pPr>
        <w:ind w:right="80"/>
        <w:spacing w:after="0" w:line="236" w:lineRule="auto"/>
        <w:rPr>
          <w:sz w:val="20"/>
          <w:szCs w:val="20"/>
          <w:color w:val="auto"/>
        </w:rPr>
      </w:pPr>
      <w:r>
        <w:rPr>
          <w:rFonts w:ascii="Arial" w:cs="Arial" w:eastAsia="Arial" w:hAnsi="Arial"/>
          <w:sz w:val="18"/>
          <w:szCs w:val="18"/>
          <w:color w:val="auto"/>
        </w:rPr>
        <w:t>A note agreement and guaranty (“the Prudential agreement”) was entered into in October 2005 and was amended and restated September 17, 2010, with the Prudential Insurance Company of America, and certain other purchasers, in an aggregate principal amount of $ 150 million, with interest at 6.84% and a maturity date of October 25, 2017. There are mandatory payments of $50 million on October 25, 2013 and October 25, 2015. At the noteholders’ election, certain prepayments may also be required in connection with certain asset dispositions or financings. The notes may not otherwise be prepaid without a premium, under certain market conditions. The note agreement contains customary terms, as well as affirmative covenants, negative covenants, and events of default comparable to those in our current principal credit facility. For disclosure purposes, we are required to measure the fair value of outstanding debt on a recurring basis. As of March 31, 2012, the fair value of the note agreement was approximately $174.3 million. This was measured using active market interest rates which qualifies the Prudential notes as a level 2 instrument in the hierarchy for inputs used in measuring fair value.</w:t>
      </w:r>
    </w:p>
    <w:p>
      <w:pPr>
        <w:spacing w:after="0" w:line="99"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On July 16, 2010, we entered into a $390 million unsecured five-year revolving credit facility agreement, under which $139 million of borrowings and $51 million in letters of credit were outstanding as of March 31, 2012. The 2010 credit agreement replaces the previous $460 million credit agreement made in 2006. The applicable interest rate for borrowings under the 2010 agreement, as well as under the former agreement, is LIBOR plus a spread, based on our leverage ratio at the time of borrowing.</w:t>
      </w:r>
    </w:p>
    <w:p>
      <w:pPr>
        <w:spacing w:after="0" w:line="94"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Our ability to borrow additional amounts under the credit agreement is conditional upon the absence of any defaults, as well as the absence of any material adverse change. Based on our maximum leverage ratio and our consolidated EBITDA (as defined in the credit agreement), and without modification to any other credit agreements, as of March 31, 2012 we would have been able to borrow an additional $199 million under the credit agreement.</w:t>
      </w:r>
    </w:p>
    <w:p>
      <w:pPr>
        <w:spacing w:after="0" w:line="9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Also on July 16, 2010, we entered into interest rate hedging transactions that have the effect of fixing the LIBOR portion of the effective interest rate (before addition of the spread) on $105 million of the indebtedness drawn under the 2010 agreement at the rate of 2.04% for the next five years. Under the terms of these transactions, we pay the fixed rate of 2.04% and the counterparties pay a floating rate based on the three-month LIBOR rate at each quarterly calculation date, which on January 17, 2012 was 0.57%. The net effect is to fix the effective interest rate on $105 million of indebtedness at 2.04%, plus the applicable spread, until these swap agreements expire on July 16, 2015. On January 17, the applicable spread was 225 basis points, yielding an effective annual rate of 4.29%. This interest rate swap is accounted for as a hedge of future cash flows, as further described in Note 12 of the Notes to Consolidated Financial Statements.</w:t>
      </w:r>
    </w:p>
    <w:p>
      <w:pPr>
        <w:spacing w:after="0" w:line="95"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Reflecting, in each case, the effect of subsequent amendments to each agreement, we are currently required to maintain a leverage ratio of not greater than 3.50 to 1.00 and a minimum interest coverage of 3.00 to 1.00 under the credit agreement and Prudential agreement.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type w:val="continuous"/>
        </w:sectPr>
      </w:pPr>
    </w:p>
    <w:bookmarkStart w:id="21" w:name="page22"/>
    <w:bookmarkEnd w:id="21"/>
    <w:p>
      <w:pPr>
        <w:ind w:right="200"/>
        <w:spacing w:after="0"/>
        <w:rPr>
          <w:sz w:val="20"/>
          <w:szCs w:val="20"/>
          <w:color w:val="auto"/>
        </w:rPr>
      </w:pPr>
      <w:r>
        <w:rPr>
          <w:rFonts w:ascii="Arial" w:cs="Arial" w:eastAsia="Arial" w:hAnsi="Arial"/>
          <w:sz w:val="18"/>
          <w:szCs w:val="18"/>
          <w:color w:val="auto"/>
        </w:rPr>
        <w:t>As of March 31, 2012, our leverage ratio was 1.31 to 1.00 and our interest coverage ratio was 10.97 to 1.00. We may purchase our Common Stock or pay dividends to the extent our leverage ratio remains at or below 3.50 to 1.00, and may make acquisitions with cash provided our leverage ratio would not exceed 3.00 to 1.00 after giving pro forma effect to the acquisition.</w:t>
      </w:r>
    </w:p>
    <w:p>
      <w:pPr>
        <w:spacing w:after="0" w:line="9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March 2006, we issued $180 million principal amount of 2.25% convertible notes. The notes are convertible upon the occurrence of specified events and at any time on or after February 15, 2013, into cash up to the principal amount of notes converted and shares of our Class A common stock with respect to the remainder, if any, of our conversion obligation at a conversion rate of 23.0467 shares per $1,000 principal amount of notes (equivalent to a conversion price of $43.39 per share of Class A common stock). As of March 31, 2012, $28.4 million principal amount of convertible notes were outstanding, with a fair value of approximately $27.5 million, This was measured using quoted prices in active markets which qualifies the convertible notes as a level 2 instrument in the hierarchy for inputs used in measuring fair value. These amounts reflect the reduction in principal amount and fair value as a result of purchases made in 2009.</w:t>
      </w:r>
    </w:p>
    <w:p>
      <w:pPr>
        <w:spacing w:after="0" w:line="95" w:lineRule="exact"/>
        <w:rPr>
          <w:sz w:val="20"/>
          <w:szCs w:val="20"/>
          <w:color w:val="auto"/>
        </w:rPr>
      </w:pPr>
    </w:p>
    <w:p>
      <w:pPr>
        <w:jc w:val="both"/>
        <w:ind w:right="160"/>
        <w:spacing w:after="0" w:line="234" w:lineRule="auto"/>
        <w:rPr>
          <w:sz w:val="20"/>
          <w:szCs w:val="20"/>
          <w:color w:val="auto"/>
        </w:rPr>
      </w:pPr>
      <w:r>
        <w:rPr>
          <w:rFonts w:ascii="Arial" w:cs="Arial" w:eastAsia="Arial" w:hAnsi="Arial"/>
          <w:sz w:val="18"/>
          <w:szCs w:val="18"/>
          <w:color w:val="auto"/>
        </w:rPr>
        <w:t>Holders may convert their notes at any time on or after February 15, 2013. Before February 15, 2013, a holder may convert notes during the five-business day period immediately after any period of five consecutive trading days in which the trading price per note for each of such five days was less than 103% of the product of the last reported sale price of our Class A common stock and the conversion rate on such day.</w:t>
      </w:r>
    </w:p>
    <w:p>
      <w:pPr>
        <w:spacing w:after="0" w:line="2"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Additionally, holders may convert prior to February 15, 2013, if we elect to distribute to all or substantially all of our Class A shareholders (a) rights or warrants to purchase shares of Class A common stock for less than their trading value, or (b) assets, debt securities, or rights to purchase securities, which distribution has a per-share value exceeding 15% of the current trading value of the Class A common stock.</w:t>
      </w:r>
    </w:p>
    <w:p>
      <w:pPr>
        <w:spacing w:after="0" w:line="95"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Converting holders are entitled to receive, upon conversion of their notes, (1) an amount in cash equal to the lesser of the principal amount of the note and the note’s conversion value, and (2) if the conversion value of the note exceeds the principal amount, shares of our Class A common stock in respect of the excess conversion value. The conversion rate of the notes (subject to adjustment upon the occurrence of certain events) is 23.0467 shares per $1,000 principal amount of notes (equivalent to a conversion price of $43.39 per share of Class A common stock). The exact amount payable upon conversion would be determined in accordance with the terms of the indenture pursuant to which the notes were issued and will be based on a daily conversion value calculated on a proportionate basis by reference to the volume-weighted average price of our Class A common stock for each day during a twenty-five day period relating to the conversion.</w:t>
      </w:r>
    </w:p>
    <w:p>
      <w:pPr>
        <w:spacing w:after="0" w:line="95"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The notes are not redeemable before March 15, 2013. On or after March 15, 2013, we may, at our option, redeem for cash all or part of the notes for a price equal to 100% of the principal amount of the notes to be purchased, plus any accrued and unpaid interest, including any additional interest, up to but excluding the redemption date.</w:t>
      </w:r>
    </w:p>
    <w:p>
      <w:pPr>
        <w:spacing w:after="0" w:line="9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On each of March 15, 2013, and March 15, 2021, holders may require that we purchase all or a portion of their notes at a purchase price equal to 100% of the principal amount of the notes to be purchased, plus any accrued and unpaid interest, including any additional interest, up to but excluding the purchase date. Holders also have the right to require that we repurchase notes upon the occurrence of certain fundamental events, including, without limitation, (1) a person or group, other than the Standish family, becoming beneficial owner of shares of common stock carrying more than 50% of the voting power of our common stock, (2) consummation of an exchange offer, tender offer, or similar event whereby our Class A common stock is converted into cash, securities, or other property, or any sale, lease, or other transfer of all or substantially all of our consolidated assets, (3) approval by our stockholders of a plan or proposal of liquidation or dissolution, or (4) the delisting of our Class A common stock under certain circumstances.</w:t>
      </w:r>
    </w:p>
    <w:p>
      <w:pPr>
        <w:spacing w:after="0" w:line="100"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In connection with the sale of the notes, we entered into hedge and warrant transactions with respect to our Class A common stock. These transactions are intended to reduce the potential dilution upon conversion of the notes by providing us with the option, subject to certain exceptions, to acquire shares in an amount equal to the number of shares that we would be required to deliver upon conversion of the notes. These transactions had the economic effect to the Company of increasing the conversion price of the notes to $52.25 per share.</w:t>
      </w:r>
    </w:p>
    <w:p>
      <w:pPr>
        <w:spacing w:after="0" w:line="9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Pursuant to the hedge transactions, if we deliver notice to the counterparties of any conversion of the notes on or prior to March 15, 2013, the counterparties are in the aggregate obligated to deliver to the Company the number of shares of Class A common stock that we are obligated to deliver to the holders of the notes with respect to such conversion, exclusive of any shares deliverable by the Company by reason of any additional (or “make whole”) premium relating to the notes or by reason of any election by the Company to unilaterally increase the conversion rate. The note hedge and warrant transactions had a net cost of $14.7 million. Pursuant to the warrant transactions, we sold a total of 4.1 million warrants, each exercisable to buy a single share of Class A common stock at an initial strike price of $52.25 per share. The warrants are American-style warrants (exercisable at any time), and expire over a period of sixty trading days beginning on September 15, 2013. If the warrants are exercised when they expire, we may choose either net cash or net share settlement. If the warrants are exercised before they expire, they must be net share settled. If we elect to net cash settle the warrants, we will pay cash in an amount equal to, for each exercise of warrants, (i) the number of warrants exercised multiplied by (ii) the excess of the volume weighted average price of the our Class A common stock on the expiration date of such warrants (the “settlement price”) over the strike price. Under net share settlement, we will deliver to the warrant holders a number of</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679" w:right="259" w:bottom="1440" w:gutter="0" w:footer="0" w:header="0"/>
        </w:sectPr>
      </w:pPr>
    </w:p>
    <w:bookmarkStart w:id="22" w:name="page23"/>
    <w:bookmarkEnd w:id="22"/>
    <w:p>
      <w:pPr>
        <w:ind w:right="460"/>
        <w:spacing w:after="0" w:line="246" w:lineRule="auto"/>
        <w:rPr>
          <w:sz w:val="20"/>
          <w:szCs w:val="20"/>
          <w:color w:val="auto"/>
        </w:rPr>
      </w:pPr>
      <w:r>
        <w:rPr>
          <w:rFonts w:ascii="Arial" w:cs="Arial" w:eastAsia="Arial" w:hAnsi="Arial"/>
          <w:sz w:val="18"/>
          <w:szCs w:val="18"/>
          <w:color w:val="auto"/>
        </w:rPr>
        <w:t>shares of our Class A common stock equal to, for each exercise of warrants, the amount payable upon net cash settlement divided by the settlement price.</w:t>
      </w:r>
    </w:p>
    <w:p>
      <w:pPr>
        <w:spacing w:after="0" w:line="89"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As of March 31, 2012, the carrying amounts of the debt and equity components of our bifurcated convertible debt instrument were $27.6 million and $25.5 million, respectively. The equity component is included in additional paid-in capital in the equity section of the balance sheet.</w:t>
      </w:r>
    </w:p>
    <w:p>
      <w:pPr>
        <w:spacing w:after="0" w:line="8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convertible feature of the notes, the convertible note hedge, and the warrant transactions each meet the requirements of the applicable accounting guidance to be accounted for as equity instruments. As such, the convertible feature of the notes has not been accounted for as a derivative (which would be marked to market each reporting period) and in the event the debt is converted, no gain or loss is recognized, as the cash payment of principal reduces the recorded liability and the issuance of common shares would be recorded in stockholders’ equity.</w:t>
      </w:r>
    </w:p>
    <w:p>
      <w:pPr>
        <w:spacing w:after="0" w:line="94"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In addition, the amount paid for the call option and the premium received for the warrant were recorded as additional paid-in capital in the accompanying Consolidated Balance Sheets and are not accounted for as derivatives (which would be marked to market each reporting period). Incremental net shares for the convertible note feature and the warrant agreement will be included in future diluted earnings per share calculations for those periods in which our average common stock price exceeds $ 43.39 per share in the case of the Senior Notes and $49.83 per share in the case of the warrants. The purchased call option is antidilutive and is excluded from the diluted earnings per share calculation.</w:t>
      </w:r>
    </w:p>
    <w:p>
      <w:pPr>
        <w:spacing w:after="0" w:line="82"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Indebtedness under the note and guaranty agreement, the convertible notes, and the credit agreement is ranked equally in right of payment to all unsecured senior debt.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We were in compliance with all debt covenants as of March 31, 2012.</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679"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12. Fair Value Measurements</w:t>
      </w:r>
    </w:p>
    <w:p>
      <w:pPr>
        <w:spacing w:after="0" w:line="12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Accounting principles establish a hierarchy for inputs used in measuring fair value that maximizes the use of observable inputs and minimizes the use of unobservable inputs by requiring that the most observable inputs be used when available. The hierarchy is broken down into three general levels: Level 1 inputs are quoted prices in active markets for identical assets or liabilities; Level 2 inputs include data points that are observable, such as quoted prices for similar assets or liabilities in active markets, quoted prices for identical assets or similar assets or liabilities in markets that are not active, and inputs (other than quoted prices) such as interest rates and yield curves that are observable for the asset and liability, either directly or indirectly; Level 3 inputs are unobservable data points for the asset or liability, and include situations in which there is little, if any, market activity for the asset or liability.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fair-value hierarchy for our financial assets and liabilities measured at fair value on a recurring basis: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60" w:type="dxa"/>
            <w:vAlign w:val="bottom"/>
            <w:tcBorders>
              <w:top w:val="single" w:sz="8" w:color="auto"/>
            </w:tcBorders>
          </w:tcPr>
          <w:p>
            <w:pPr>
              <w:spacing w:after="0"/>
              <w:rPr>
                <w:sz w:val="16"/>
                <w:szCs w:val="16"/>
                <w:color w:val="auto"/>
              </w:rPr>
            </w:pPr>
          </w:p>
        </w:tc>
        <w:tc>
          <w:tcPr>
            <w:tcW w:w="2740" w:type="dxa"/>
            <w:vAlign w:val="bottom"/>
            <w:tcBorders>
              <w:top w:val="single" w:sz="8" w:color="auto"/>
            </w:tcBorders>
          </w:tcPr>
          <w:p>
            <w:pPr>
              <w:spacing w:after="0"/>
              <w:rPr>
                <w:sz w:val="16"/>
                <w:szCs w:val="16"/>
                <w:color w:val="auto"/>
              </w:rPr>
            </w:pPr>
          </w:p>
        </w:tc>
        <w:tc>
          <w:tcPr>
            <w:tcW w:w="204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gridSpan w:val="2"/>
          </w:tcPr>
          <w:p>
            <w:pPr>
              <w:jc w:val="center"/>
              <w:ind w:left="150"/>
              <w:spacing w:after="0" w:line="194" w:lineRule="exact"/>
              <w:rPr>
                <w:sz w:val="20"/>
                <w:szCs w:val="20"/>
                <w:color w:val="auto"/>
              </w:rPr>
            </w:pPr>
            <w:r>
              <w:rPr>
                <w:rFonts w:ascii="Arial" w:cs="Arial" w:eastAsia="Arial" w:hAnsi="Arial"/>
                <w:sz w:val="18"/>
                <w:szCs w:val="18"/>
                <w:b w:val="1"/>
                <w:bCs w:val="1"/>
                <w:color w:val="auto"/>
                <w:w w:val="99"/>
              </w:rPr>
              <w:t>Significant other</w:t>
            </w:r>
          </w:p>
        </w:tc>
      </w:tr>
      <w:tr>
        <w:trPr>
          <w:trHeight w:val="203"/>
        </w:trPr>
        <w:tc>
          <w:tcPr>
            <w:tcW w:w="48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0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Quoted prices in</w:t>
            </w:r>
          </w:p>
        </w:tc>
        <w:tc>
          <w:tcPr>
            <w:tcW w:w="1540" w:type="dxa"/>
            <w:vAlign w:val="bottom"/>
          </w:tcPr>
          <w:p>
            <w:pPr>
              <w:jc w:val="center"/>
              <w:ind w:left="410"/>
              <w:spacing w:after="0" w:line="202" w:lineRule="exact"/>
              <w:rPr>
                <w:sz w:val="20"/>
                <w:szCs w:val="20"/>
                <w:color w:val="auto"/>
              </w:rPr>
            </w:pPr>
            <w:r>
              <w:rPr>
                <w:rFonts w:ascii="Arial" w:cs="Arial" w:eastAsia="Arial" w:hAnsi="Arial"/>
                <w:sz w:val="18"/>
                <w:szCs w:val="18"/>
                <w:b w:val="1"/>
                <w:bCs w:val="1"/>
                <w:color w:val="auto"/>
              </w:rPr>
              <w:t>observable</w:t>
            </w:r>
          </w:p>
        </w:tc>
        <w:tc>
          <w:tcPr>
            <w:tcW w:w="240" w:type="dxa"/>
            <w:vAlign w:val="bottom"/>
          </w:tcPr>
          <w:p>
            <w:pPr>
              <w:spacing w:after="0"/>
              <w:rPr>
                <w:sz w:val="17"/>
                <w:szCs w:val="17"/>
                <w:color w:val="auto"/>
              </w:rPr>
            </w:pPr>
          </w:p>
        </w:tc>
      </w:tr>
      <w:tr>
        <w:trPr>
          <w:trHeight w:val="203"/>
        </w:trPr>
        <w:tc>
          <w:tcPr>
            <w:tcW w:w="4860" w:type="dxa"/>
            <w:vAlign w:val="bottom"/>
          </w:tcPr>
          <w:p>
            <w:pPr>
              <w:spacing w:after="0"/>
              <w:rPr>
                <w:sz w:val="17"/>
                <w:szCs w:val="17"/>
                <w:color w:val="auto"/>
              </w:rPr>
            </w:pPr>
          </w:p>
        </w:tc>
        <w:tc>
          <w:tcPr>
            <w:tcW w:w="2740" w:type="dxa"/>
            <w:vAlign w:val="bottom"/>
          </w:tcPr>
          <w:p>
            <w:pPr>
              <w:jc w:val="right"/>
              <w:ind w:right="570"/>
              <w:spacing w:after="0" w:line="202" w:lineRule="exact"/>
              <w:rPr>
                <w:sz w:val="20"/>
                <w:szCs w:val="20"/>
                <w:color w:val="auto"/>
              </w:rPr>
            </w:pPr>
            <w:r>
              <w:rPr>
                <w:rFonts w:ascii="Arial" w:cs="Arial" w:eastAsia="Arial" w:hAnsi="Arial"/>
                <w:sz w:val="18"/>
                <w:szCs w:val="18"/>
                <w:b w:val="1"/>
                <w:bCs w:val="1"/>
                <w:color w:val="auto"/>
              </w:rPr>
              <w:t>Total fair</w:t>
            </w:r>
          </w:p>
        </w:tc>
        <w:tc>
          <w:tcPr>
            <w:tcW w:w="20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active markets</w:t>
            </w:r>
          </w:p>
        </w:tc>
        <w:tc>
          <w:tcPr>
            <w:tcW w:w="1540" w:type="dxa"/>
            <w:vAlign w:val="bottom"/>
          </w:tcPr>
          <w:p>
            <w:pPr>
              <w:jc w:val="center"/>
              <w:ind w:left="470"/>
              <w:spacing w:after="0" w:line="202" w:lineRule="exact"/>
              <w:rPr>
                <w:sz w:val="20"/>
                <w:szCs w:val="20"/>
                <w:color w:val="auto"/>
              </w:rPr>
            </w:pPr>
            <w:r>
              <w:rPr>
                <w:rFonts w:ascii="Arial" w:cs="Arial" w:eastAsia="Arial" w:hAnsi="Arial"/>
                <w:sz w:val="18"/>
                <w:szCs w:val="18"/>
                <w:b w:val="1"/>
                <w:bCs w:val="1"/>
                <w:color w:val="auto"/>
                <w:w w:val="99"/>
              </w:rPr>
              <w:t>inputs</w:t>
            </w:r>
          </w:p>
        </w:tc>
        <w:tc>
          <w:tcPr>
            <w:tcW w:w="240" w:type="dxa"/>
            <w:vAlign w:val="bottom"/>
          </w:tcPr>
          <w:p>
            <w:pPr>
              <w:spacing w:after="0"/>
              <w:rPr>
                <w:sz w:val="17"/>
                <w:szCs w:val="17"/>
                <w:color w:val="auto"/>
              </w:rPr>
            </w:pPr>
          </w:p>
        </w:tc>
      </w:tr>
      <w:tr>
        <w:trPr>
          <w:trHeight w:val="225"/>
        </w:trPr>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7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value</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(Level 1)</w:t>
            </w:r>
          </w:p>
        </w:tc>
        <w:tc>
          <w:tcPr>
            <w:tcW w:w="154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b w:val="1"/>
                <w:bCs w:val="1"/>
                <w:color w:val="auto"/>
                <w:w w:val="98"/>
              </w:rPr>
              <w:t>(Level 2)</w:t>
            </w:r>
          </w:p>
        </w:tc>
        <w:tc>
          <w:tcPr>
            <w:tcW w:w="240" w:type="dxa"/>
            <w:vAlign w:val="bottom"/>
            <w:tcBorders>
              <w:bottom w:val="single" w:sz="8" w:color="auto"/>
            </w:tcBorders>
          </w:tcPr>
          <w:p>
            <w:pPr>
              <w:spacing w:after="0"/>
              <w:rPr>
                <w:sz w:val="19"/>
                <w:szCs w:val="19"/>
                <w:color w:val="auto"/>
              </w:rPr>
            </w:pPr>
          </w:p>
        </w:tc>
      </w:tr>
      <w:tr>
        <w:trPr>
          <w:trHeight w:val="177"/>
        </w:trPr>
        <w:tc>
          <w:tcPr>
            <w:tcW w:w="4860" w:type="dxa"/>
            <w:vAlign w:val="bottom"/>
          </w:tcPr>
          <w:p>
            <w:pPr>
              <w:spacing w:after="0" w:line="177" w:lineRule="exact"/>
              <w:rPr>
                <w:sz w:val="20"/>
                <w:szCs w:val="20"/>
                <w:color w:val="auto"/>
              </w:rPr>
            </w:pPr>
            <w:r>
              <w:rPr>
                <w:rFonts w:ascii="Arial" w:cs="Arial" w:eastAsia="Arial" w:hAnsi="Arial"/>
                <w:sz w:val="18"/>
                <w:szCs w:val="18"/>
                <w:b w:val="1"/>
                <w:bCs w:val="1"/>
                <w:color w:val="auto"/>
              </w:rPr>
              <w:t>Fair Value at March 31, 2012</w:t>
            </w:r>
          </w:p>
        </w:tc>
        <w:tc>
          <w:tcPr>
            <w:tcW w:w="27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21"/>
        </w:trPr>
        <w:tc>
          <w:tcPr>
            <w:tcW w:w="4860" w:type="dxa"/>
            <w:vAlign w:val="bottom"/>
          </w:tcPr>
          <w:p>
            <w:pPr>
              <w:ind w:left="100"/>
              <w:spacing w:after="0"/>
              <w:rPr>
                <w:sz w:val="20"/>
                <w:szCs w:val="20"/>
                <w:color w:val="auto"/>
              </w:rPr>
            </w:pPr>
            <w:r>
              <w:rPr>
                <w:rFonts w:ascii="Arial" w:cs="Arial" w:eastAsia="Arial" w:hAnsi="Arial"/>
                <w:sz w:val="18"/>
                <w:szCs w:val="18"/>
                <w:i w:val="1"/>
                <w:iCs w:val="1"/>
                <w:color w:val="auto"/>
              </w:rPr>
              <w:t>Assets:</w:t>
            </w:r>
          </w:p>
        </w:tc>
        <w:tc>
          <w:tcPr>
            <w:tcW w:w="27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03"/>
        </w:trPr>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Cash equivalents</w:t>
            </w:r>
          </w:p>
        </w:tc>
        <w:tc>
          <w:tcPr>
            <w:tcW w:w="27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$38,555</w:t>
            </w:r>
          </w:p>
        </w:tc>
        <w:tc>
          <w:tcPr>
            <w:tcW w:w="20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$38,555</w:t>
            </w:r>
          </w:p>
        </w:tc>
        <w:tc>
          <w:tcPr>
            <w:tcW w:w="154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Common stock of foreign public company</w:t>
            </w:r>
          </w:p>
        </w:tc>
        <w:tc>
          <w:tcPr>
            <w:tcW w:w="27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635</w:t>
            </w:r>
          </w:p>
        </w:tc>
        <w:tc>
          <w:tcPr>
            <w:tcW w:w="20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635</w:t>
            </w:r>
          </w:p>
        </w:tc>
        <w:tc>
          <w:tcPr>
            <w:tcW w:w="1540" w:type="dxa"/>
            <w:vAlign w:val="bottom"/>
          </w:tcPr>
          <w:p>
            <w:pPr>
              <w:spacing w:after="0"/>
              <w:rPr>
                <w:sz w:val="17"/>
                <w:szCs w:val="17"/>
                <w:color w:val="auto"/>
              </w:rPr>
            </w:pPr>
          </w:p>
        </w:tc>
        <w:tc>
          <w:tcPr>
            <w:tcW w:w="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185"/>
        </w:trPr>
        <w:tc>
          <w:tcPr>
            <w:tcW w:w="4860" w:type="dxa"/>
            <w:vAlign w:val="bottom"/>
          </w:tcPr>
          <w:p>
            <w:pPr>
              <w:ind w:left="200"/>
              <w:spacing w:after="0" w:line="185" w:lineRule="exact"/>
              <w:rPr>
                <w:sz w:val="20"/>
                <w:szCs w:val="20"/>
                <w:color w:val="auto"/>
              </w:rPr>
            </w:pPr>
            <w:r>
              <w:rPr>
                <w:rFonts w:ascii="Arial" w:cs="Arial" w:eastAsia="Arial" w:hAnsi="Arial"/>
                <w:sz w:val="18"/>
                <w:szCs w:val="18"/>
                <w:color w:val="auto"/>
              </w:rPr>
              <w:t>Foreign exchange contracts</w:t>
            </w:r>
          </w:p>
        </w:tc>
        <w:tc>
          <w:tcPr>
            <w:tcW w:w="2740" w:type="dxa"/>
            <w:vAlign w:val="bottom"/>
          </w:tcPr>
          <w:p>
            <w:pPr>
              <w:jc w:val="right"/>
              <w:ind w:right="290"/>
              <w:spacing w:after="0" w:line="185" w:lineRule="exact"/>
              <w:rPr>
                <w:sz w:val="20"/>
                <w:szCs w:val="20"/>
                <w:color w:val="auto"/>
              </w:rPr>
            </w:pPr>
            <w:r>
              <w:rPr>
                <w:rFonts w:ascii="Arial" w:cs="Arial" w:eastAsia="Arial" w:hAnsi="Arial"/>
                <w:sz w:val="18"/>
                <w:szCs w:val="18"/>
                <w:color w:val="auto"/>
              </w:rPr>
              <w:t>-</w:t>
            </w:r>
          </w:p>
        </w:tc>
        <w:tc>
          <w:tcPr>
            <w:tcW w:w="2040" w:type="dxa"/>
            <w:vAlign w:val="bottom"/>
          </w:tcPr>
          <w:p>
            <w:pPr>
              <w:jc w:val="right"/>
              <w:ind w:right="270"/>
              <w:spacing w:after="0" w:line="185" w:lineRule="exact"/>
              <w:rPr>
                <w:sz w:val="20"/>
                <w:szCs w:val="20"/>
                <w:color w:val="auto"/>
              </w:rPr>
            </w:pPr>
            <w:r>
              <w:rPr>
                <w:rFonts w:ascii="Arial" w:cs="Arial" w:eastAsia="Arial" w:hAnsi="Arial"/>
                <w:sz w:val="18"/>
                <w:szCs w:val="18"/>
                <w:color w:val="auto"/>
              </w:rPr>
              <w:t>-</w:t>
            </w:r>
          </w:p>
        </w:tc>
        <w:tc>
          <w:tcPr>
            <w:tcW w:w="1540" w:type="dxa"/>
            <w:vAlign w:val="bottom"/>
          </w:tcPr>
          <w:p>
            <w:pPr>
              <w:spacing w:after="0"/>
              <w:rPr>
                <w:sz w:val="16"/>
                <w:szCs w:val="16"/>
                <w:color w:val="auto"/>
              </w:rPr>
            </w:pPr>
          </w:p>
        </w:tc>
        <w:tc>
          <w:tcPr>
            <w:tcW w:w="240" w:type="dxa"/>
            <w:vAlign w:val="bottom"/>
          </w:tcPr>
          <w:p>
            <w:pPr>
              <w:jc w:val="right"/>
              <w:ind w:right="10"/>
              <w:spacing w:after="0" w:line="185" w:lineRule="exact"/>
              <w:rPr>
                <w:sz w:val="20"/>
                <w:szCs w:val="20"/>
                <w:color w:val="auto"/>
              </w:rPr>
            </w:pPr>
            <w:r>
              <w:rPr>
                <w:rFonts w:ascii="Arial" w:cs="Arial" w:eastAsia="Arial" w:hAnsi="Arial"/>
                <w:sz w:val="18"/>
                <w:szCs w:val="18"/>
                <w:color w:val="auto"/>
              </w:rPr>
              <w:t>-</w:t>
            </w:r>
          </w:p>
        </w:tc>
      </w:tr>
      <w:tr>
        <w:trPr>
          <w:trHeight w:val="221"/>
        </w:trPr>
        <w:tc>
          <w:tcPr>
            <w:tcW w:w="4860" w:type="dxa"/>
            <w:vAlign w:val="bottom"/>
          </w:tcPr>
          <w:p>
            <w:pPr>
              <w:ind w:left="100"/>
              <w:spacing w:after="0"/>
              <w:rPr>
                <w:sz w:val="20"/>
                <w:szCs w:val="20"/>
                <w:color w:val="auto"/>
              </w:rPr>
            </w:pPr>
            <w:r>
              <w:rPr>
                <w:rFonts w:ascii="Arial" w:cs="Arial" w:eastAsia="Arial" w:hAnsi="Arial"/>
                <w:sz w:val="18"/>
                <w:szCs w:val="18"/>
                <w:i w:val="1"/>
                <w:iCs w:val="1"/>
                <w:color w:val="auto"/>
              </w:rPr>
              <w:t>Liabilities:</w:t>
            </w:r>
          </w:p>
        </w:tc>
        <w:tc>
          <w:tcPr>
            <w:tcW w:w="27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17"/>
        </w:trPr>
        <w:tc>
          <w:tcPr>
            <w:tcW w:w="4860" w:type="dxa"/>
            <w:vAlign w:val="bottom"/>
          </w:tcPr>
          <w:p>
            <w:pPr>
              <w:ind w:left="200"/>
              <w:spacing w:after="0"/>
              <w:rPr>
                <w:sz w:val="20"/>
                <w:szCs w:val="20"/>
                <w:color w:val="auto"/>
              </w:rPr>
            </w:pPr>
            <w:r>
              <w:rPr>
                <w:rFonts w:ascii="Arial" w:cs="Arial" w:eastAsia="Arial" w:hAnsi="Arial"/>
                <w:sz w:val="18"/>
                <w:szCs w:val="18"/>
                <w:color w:val="auto"/>
              </w:rPr>
              <w:t>Interest rate swap</w:t>
            </w:r>
          </w:p>
        </w:tc>
        <w:tc>
          <w:tcPr>
            <w:tcW w:w="2740" w:type="dxa"/>
            <w:vAlign w:val="bottom"/>
          </w:tcPr>
          <w:p>
            <w:pPr>
              <w:jc w:val="right"/>
              <w:ind w:right="230"/>
              <w:spacing w:after="0"/>
              <w:rPr>
                <w:sz w:val="20"/>
                <w:szCs w:val="20"/>
                <w:color w:val="auto"/>
              </w:rPr>
            </w:pPr>
            <w:r>
              <w:rPr>
                <w:rFonts w:ascii="Arial" w:cs="Arial" w:eastAsia="Arial" w:hAnsi="Arial"/>
                <w:sz w:val="18"/>
                <w:szCs w:val="18"/>
                <w:color w:val="auto"/>
              </w:rPr>
              <w:t>(4,597)</w:t>
            </w:r>
          </w:p>
        </w:tc>
        <w:tc>
          <w:tcPr>
            <w:tcW w:w="20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(4,597)</w:t>
            </w:r>
          </w:p>
        </w:tc>
      </w:tr>
      <w:tr>
        <w:trPr>
          <w:trHeight w:val="189"/>
        </w:trPr>
        <w:tc>
          <w:tcPr>
            <w:tcW w:w="48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r>
      <w:tr>
        <w:trPr>
          <w:trHeight w:val="582"/>
        </w:trPr>
        <w:tc>
          <w:tcPr>
            <w:tcW w:w="4860" w:type="dxa"/>
            <w:vAlign w:val="bottom"/>
          </w:tcPr>
          <w:p>
            <w:pPr>
              <w:ind w:left="100"/>
              <w:spacing w:after="0"/>
              <w:rPr>
                <w:sz w:val="20"/>
                <w:szCs w:val="20"/>
                <w:color w:val="auto"/>
              </w:rPr>
            </w:pPr>
            <w:r>
              <w:rPr>
                <w:rFonts w:ascii="Arial" w:cs="Arial" w:eastAsia="Arial" w:hAnsi="Arial"/>
                <w:sz w:val="18"/>
                <w:szCs w:val="18"/>
                <w:b w:val="1"/>
                <w:bCs w:val="1"/>
                <w:color w:val="auto"/>
              </w:rPr>
              <w:t>Fair Value at December 31, 2011</w:t>
            </w:r>
          </w:p>
        </w:tc>
        <w:tc>
          <w:tcPr>
            <w:tcW w:w="27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21"/>
        </w:trPr>
        <w:tc>
          <w:tcPr>
            <w:tcW w:w="4860" w:type="dxa"/>
            <w:vAlign w:val="bottom"/>
          </w:tcPr>
          <w:p>
            <w:pPr>
              <w:ind w:left="100"/>
              <w:spacing w:after="0"/>
              <w:rPr>
                <w:sz w:val="20"/>
                <w:szCs w:val="20"/>
                <w:color w:val="auto"/>
              </w:rPr>
            </w:pPr>
            <w:r>
              <w:rPr>
                <w:rFonts w:ascii="Arial" w:cs="Arial" w:eastAsia="Arial" w:hAnsi="Arial"/>
                <w:sz w:val="18"/>
                <w:szCs w:val="18"/>
                <w:i w:val="1"/>
                <w:iCs w:val="1"/>
                <w:color w:val="auto"/>
              </w:rPr>
              <w:t>Assets:</w:t>
            </w:r>
          </w:p>
        </w:tc>
        <w:tc>
          <w:tcPr>
            <w:tcW w:w="27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03"/>
        </w:trPr>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Cash equivalents</w:t>
            </w:r>
          </w:p>
        </w:tc>
        <w:tc>
          <w:tcPr>
            <w:tcW w:w="27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$30,287</w:t>
            </w:r>
          </w:p>
        </w:tc>
        <w:tc>
          <w:tcPr>
            <w:tcW w:w="20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$30,287</w:t>
            </w:r>
          </w:p>
        </w:tc>
        <w:tc>
          <w:tcPr>
            <w:tcW w:w="154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Common stock of foreign public company</w:t>
            </w:r>
          </w:p>
        </w:tc>
        <w:tc>
          <w:tcPr>
            <w:tcW w:w="27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577</w:t>
            </w:r>
          </w:p>
        </w:tc>
        <w:tc>
          <w:tcPr>
            <w:tcW w:w="20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577</w:t>
            </w:r>
          </w:p>
        </w:tc>
        <w:tc>
          <w:tcPr>
            <w:tcW w:w="1540" w:type="dxa"/>
            <w:vAlign w:val="bottom"/>
          </w:tcPr>
          <w:p>
            <w:pPr>
              <w:spacing w:after="0"/>
              <w:rPr>
                <w:sz w:val="17"/>
                <w:szCs w:val="17"/>
                <w:color w:val="auto"/>
              </w:rPr>
            </w:pPr>
          </w:p>
        </w:tc>
        <w:tc>
          <w:tcPr>
            <w:tcW w:w="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185"/>
        </w:trPr>
        <w:tc>
          <w:tcPr>
            <w:tcW w:w="4860" w:type="dxa"/>
            <w:vAlign w:val="bottom"/>
          </w:tcPr>
          <w:p>
            <w:pPr>
              <w:ind w:left="200"/>
              <w:spacing w:after="0" w:line="185" w:lineRule="exact"/>
              <w:rPr>
                <w:sz w:val="20"/>
                <w:szCs w:val="20"/>
                <w:color w:val="auto"/>
              </w:rPr>
            </w:pPr>
            <w:r>
              <w:rPr>
                <w:rFonts w:ascii="Arial" w:cs="Arial" w:eastAsia="Arial" w:hAnsi="Arial"/>
                <w:sz w:val="18"/>
                <w:szCs w:val="18"/>
                <w:color w:val="auto"/>
              </w:rPr>
              <w:t>Foreign exchange contracts</w:t>
            </w:r>
          </w:p>
        </w:tc>
        <w:tc>
          <w:tcPr>
            <w:tcW w:w="2740" w:type="dxa"/>
            <w:vAlign w:val="bottom"/>
          </w:tcPr>
          <w:p>
            <w:pPr>
              <w:jc w:val="right"/>
              <w:ind w:right="290"/>
              <w:spacing w:after="0" w:line="185" w:lineRule="exact"/>
              <w:rPr>
                <w:sz w:val="20"/>
                <w:szCs w:val="20"/>
                <w:color w:val="auto"/>
              </w:rPr>
            </w:pPr>
            <w:r>
              <w:rPr>
                <w:rFonts w:ascii="Arial" w:cs="Arial" w:eastAsia="Arial" w:hAnsi="Arial"/>
                <w:sz w:val="18"/>
                <w:szCs w:val="18"/>
                <w:color w:val="auto"/>
              </w:rPr>
              <w:t>1</w:t>
            </w:r>
          </w:p>
        </w:tc>
        <w:tc>
          <w:tcPr>
            <w:tcW w:w="2040" w:type="dxa"/>
            <w:vAlign w:val="bottom"/>
          </w:tcPr>
          <w:p>
            <w:pPr>
              <w:jc w:val="right"/>
              <w:ind w:right="270"/>
              <w:spacing w:after="0" w:line="185" w:lineRule="exact"/>
              <w:rPr>
                <w:sz w:val="20"/>
                <w:szCs w:val="20"/>
                <w:color w:val="auto"/>
              </w:rPr>
            </w:pPr>
            <w:r>
              <w:rPr>
                <w:rFonts w:ascii="Arial" w:cs="Arial" w:eastAsia="Arial" w:hAnsi="Arial"/>
                <w:sz w:val="18"/>
                <w:szCs w:val="18"/>
                <w:color w:val="auto"/>
              </w:rPr>
              <w:t>-</w:t>
            </w:r>
          </w:p>
        </w:tc>
        <w:tc>
          <w:tcPr>
            <w:tcW w:w="1540" w:type="dxa"/>
            <w:vAlign w:val="bottom"/>
          </w:tcPr>
          <w:p>
            <w:pPr>
              <w:spacing w:after="0"/>
              <w:rPr>
                <w:sz w:val="16"/>
                <w:szCs w:val="16"/>
                <w:color w:val="auto"/>
              </w:rPr>
            </w:pPr>
          </w:p>
        </w:tc>
        <w:tc>
          <w:tcPr>
            <w:tcW w:w="240" w:type="dxa"/>
            <w:vAlign w:val="bottom"/>
          </w:tcPr>
          <w:p>
            <w:pPr>
              <w:jc w:val="right"/>
              <w:ind w:right="10"/>
              <w:spacing w:after="0" w:line="185" w:lineRule="exact"/>
              <w:rPr>
                <w:sz w:val="20"/>
                <w:szCs w:val="20"/>
                <w:color w:val="auto"/>
              </w:rPr>
            </w:pPr>
            <w:r>
              <w:rPr>
                <w:rFonts w:ascii="Arial" w:cs="Arial" w:eastAsia="Arial" w:hAnsi="Arial"/>
                <w:sz w:val="18"/>
                <w:szCs w:val="18"/>
                <w:color w:val="auto"/>
              </w:rPr>
              <w:t>1</w:t>
            </w:r>
          </w:p>
        </w:tc>
      </w:tr>
      <w:tr>
        <w:trPr>
          <w:trHeight w:val="221"/>
        </w:trPr>
        <w:tc>
          <w:tcPr>
            <w:tcW w:w="4860" w:type="dxa"/>
            <w:vAlign w:val="bottom"/>
          </w:tcPr>
          <w:p>
            <w:pPr>
              <w:ind w:left="100"/>
              <w:spacing w:after="0"/>
              <w:rPr>
                <w:sz w:val="20"/>
                <w:szCs w:val="20"/>
                <w:color w:val="auto"/>
              </w:rPr>
            </w:pPr>
            <w:r>
              <w:rPr>
                <w:rFonts w:ascii="Arial" w:cs="Arial" w:eastAsia="Arial" w:hAnsi="Arial"/>
                <w:sz w:val="18"/>
                <w:szCs w:val="18"/>
                <w:i w:val="1"/>
                <w:iCs w:val="1"/>
                <w:color w:val="auto"/>
              </w:rPr>
              <w:t>Liabilities:</w:t>
            </w:r>
          </w:p>
        </w:tc>
        <w:tc>
          <w:tcPr>
            <w:tcW w:w="27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17"/>
        </w:trPr>
        <w:tc>
          <w:tcPr>
            <w:tcW w:w="4860" w:type="dxa"/>
            <w:vAlign w:val="bottom"/>
          </w:tcPr>
          <w:p>
            <w:pPr>
              <w:ind w:left="200"/>
              <w:spacing w:after="0"/>
              <w:rPr>
                <w:sz w:val="20"/>
                <w:szCs w:val="20"/>
                <w:color w:val="auto"/>
              </w:rPr>
            </w:pPr>
            <w:r>
              <w:rPr>
                <w:rFonts w:ascii="Arial" w:cs="Arial" w:eastAsia="Arial" w:hAnsi="Arial"/>
                <w:sz w:val="18"/>
                <w:szCs w:val="18"/>
                <w:color w:val="auto"/>
              </w:rPr>
              <w:t>Interest rate swap</w:t>
            </w:r>
          </w:p>
        </w:tc>
        <w:tc>
          <w:tcPr>
            <w:tcW w:w="2740" w:type="dxa"/>
            <w:vAlign w:val="bottom"/>
          </w:tcPr>
          <w:p>
            <w:pPr>
              <w:jc w:val="right"/>
              <w:ind w:right="230"/>
              <w:spacing w:after="0"/>
              <w:rPr>
                <w:sz w:val="20"/>
                <w:szCs w:val="20"/>
                <w:color w:val="auto"/>
              </w:rPr>
            </w:pPr>
            <w:r>
              <w:rPr>
                <w:rFonts w:ascii="Arial" w:cs="Arial" w:eastAsia="Arial" w:hAnsi="Arial"/>
                <w:sz w:val="18"/>
                <w:szCs w:val="18"/>
                <w:color w:val="auto"/>
              </w:rPr>
              <w:t>(4,251)</w:t>
            </w:r>
          </w:p>
        </w:tc>
        <w:tc>
          <w:tcPr>
            <w:tcW w:w="20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(4,251)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three-months ended March 31, 2012, there were no transfers between levels 1, 2, and 3.</w:t>
      </w:r>
    </w:p>
    <w:p>
      <w:pPr>
        <w:spacing w:after="0" w:line="104"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Cash equivalents include short-term securities that are considered to be highly liquid and easily tradable. These securities are valued using inputs observable in active markets for identical securities.</w:t>
      </w:r>
    </w:p>
    <w:p>
      <w:pPr>
        <w:spacing w:after="0" w:line="8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common stock of a foreign public company is traded in an active market exchange. The shares are measured at fair value using closing stock prices and are recorded in the Consolidated Balance Sheets as Other assets. The securities are classified as available for sale, and as a result any gain or loss is recorded in the Shareholders’ Equity section of the Consolidated Balance Sheets rather than in the Consolidated Statements of Income. When the security is sold or impaired, gains and losses are reported on the Consolidated Statements of Income. Investments are considered to be impaired when a decline in fair value is judged to be other than temporary.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4" w:name="page25"/>
    <w:bookmarkEnd w:id="24"/>
    <w:p>
      <w:pPr>
        <w:ind w:right="240"/>
        <w:spacing w:after="0" w:line="238" w:lineRule="auto"/>
        <w:rPr>
          <w:sz w:val="20"/>
          <w:szCs w:val="20"/>
          <w:color w:val="auto"/>
        </w:rPr>
      </w:pPr>
      <w:r>
        <w:rPr>
          <w:rFonts w:ascii="Arial" w:cs="Arial" w:eastAsia="Arial" w:hAnsi="Arial"/>
          <w:sz w:val="18"/>
          <w:szCs w:val="18"/>
          <w:color w:val="auto"/>
        </w:rPr>
        <w:t>Foreign currency instruments are entered into periodically, and consist of foreign currency option contracts and forward contracts that are valued using quoted prices in active markets obtained from independent pricing sources. These instruments are measured using market foreign exchange prices and are recorded in the Consolidated Balance Sheets as Other current assets and Accounts payable, as applicable. Changes in fair value of these instruments are recorded as gains or losses within Other (income)/expense, net. Gains/(losses) for the three months ended March 31, 2012 were negligible. Gains totaled $0.2 million for the three months ended March 31, 2011.</w:t>
      </w:r>
    </w:p>
    <w:p>
      <w:pPr>
        <w:spacing w:after="0" w:line="9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When exercised, the foreign currency instruments are net settled with the same financial institution that bought or sold them. For all positions, whether options or forward contracts, there is risk from the possible inability of the financial institution to meet the terms of the contracts and the risk of unfavorable changes in interest and currency rates, which may reduce the value of the instruments. We seek to control risk by evaluating the creditworthiness of counterparties and by monitoring the currency exchange and interest rate markets while reviewing the hedging risks and contracts to ensure compliance with our internal guidelines and policies.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in many regions of the world, and currency rate movements can have a significant effect on operating results.</w:t>
      </w:r>
    </w:p>
    <w:p>
      <w:pPr>
        <w:spacing w:after="0" w:line="104" w:lineRule="exact"/>
        <w:rPr>
          <w:sz w:val="20"/>
          <w:szCs w:val="20"/>
          <w:color w:val="auto"/>
        </w:rPr>
      </w:pPr>
    </w:p>
    <w:p>
      <w:pPr>
        <w:jc w:val="both"/>
        <w:ind w:right="300"/>
        <w:spacing w:after="0"/>
        <w:rPr>
          <w:sz w:val="20"/>
          <w:szCs w:val="20"/>
          <w:color w:val="auto"/>
        </w:rPr>
      </w:pPr>
      <w:r>
        <w:rPr>
          <w:rFonts w:ascii="Arial" w:cs="Arial" w:eastAsia="Arial" w:hAnsi="Arial"/>
          <w:sz w:val="18"/>
          <w:szCs w:val="18"/>
          <w:color w:val="auto"/>
        </w:rPr>
        <w:t>Changes in exchange rates can result in revaluation gains and losses that are recorded in Selling, General, Technical, Product Engineering, and Research expenses or Other income/expense, net. Revaluation gains and losses occur when our business units have intercompany or third-party trade receivable or payable balances in a currency other than their local reporting (or functional) currency.</w:t>
      </w:r>
    </w:p>
    <w:p>
      <w:pPr>
        <w:spacing w:after="0" w:line="9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Operating results can also be affected by the translation of sales and costs, for each non-U.S. subsidiary, from the local functional currency to the U.S. dollar. The translation effect on the income statement is dependent on our net income or expense position in each non-U.S. currency in which we do business. A net income position exists when sales realized in a particular currency exceed expenses paid in that currency; a net expense position exists if the opposite is true.</w:t>
      </w:r>
    </w:p>
    <w:p>
      <w:pPr>
        <w:spacing w:after="0" w:line="94"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In order to mitigate foreign exchange volatility in the financial statements, we periodically enter into foreign currency financial instruments from time to time. There were no foreign currency financial instruments designated as hedging instruments at March 31, 2012.</w:t>
      </w:r>
    </w:p>
    <w:p>
      <w:pPr>
        <w:spacing w:after="0" w:line="8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As described in Note 11 of the Notes to Consolidated Financial Statements, on July 16, 2010, we entered into a $390 million unsecured five-year revolving credit facility agreement. The applicable interest rate for borrowings under the agreement is LIBOR plus a spread, based on our leverage ratio at the time of borrowing. Interest rate changes on this variable rate debt cause changes in cash flows, and in order to mitigate this cash flow risk we have fixed a portion of the effective interest rate on part of the indebtedness drawn under the agreement by entering into interest rate hedging transactions on July 16, 2010. This interest rate swap locked in our interest rate on the forecasted outstanding borrowings of $105 million at 2.04% plus the credit spread on the debt for a five year period. The credit spread is based on the pricing grid, which can go as low as 2.0% or as high as 2.75%, based on our leverage ratio.</w:t>
      </w:r>
    </w:p>
    <w:p>
      <w:pPr>
        <w:spacing w:after="0" w:line="95"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interest rate swap is accounted for as a hedge of future cash flows. The fair value of our interest rate swap is derived from a discounted cash flow analysis based on the terms of the contract and the interest rate curve, and is recorded in the Consolidated Balance Sheets as of March 31, 2012 as Other noncurrent liabilities of $4.6 million. Unrealized gains and losses on the swap will flow through the caption Derivative valuation adjustment in the Shareholders’ equity section of the Consolidated Balance Sheets, to the extent that the hedge is highly effective. Gains and losses related to the ineffective portion of the hedge will be recognized in the current period in earnings. Amounts accumulated in Other comprehensive income are reclassified as Interest expense, net when the related interest payments (that is, the hedged forecasted transactions) affect earnings. Interest expense related to the swap totaled $0.4 million and $0.5 million for the three months ended March 31, 2012 and 2011, respectively.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Fair value amounts of derivative instruments were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5020" w:type="dxa"/>
            <w:vAlign w:val="bottom"/>
            <w:tcBorders>
              <w:top w:val="single" w:sz="8" w:color="auto"/>
            </w:tcBorders>
          </w:tcPr>
          <w:p>
            <w:pPr>
              <w:spacing w:after="0"/>
              <w:rPr>
                <w:sz w:val="16"/>
                <w:szCs w:val="16"/>
                <w:color w:val="auto"/>
              </w:rPr>
            </w:pPr>
          </w:p>
        </w:tc>
        <w:tc>
          <w:tcPr>
            <w:tcW w:w="2700" w:type="dxa"/>
            <w:vAlign w:val="bottom"/>
            <w:tcBorders>
              <w:top w:val="single" w:sz="8" w:color="auto"/>
            </w:tcBorders>
          </w:tcPr>
          <w:p>
            <w:pPr>
              <w:spacing w:after="0"/>
              <w:rPr>
                <w:sz w:val="16"/>
                <w:szCs w:val="16"/>
                <w:color w:val="auto"/>
              </w:rPr>
            </w:pPr>
          </w:p>
        </w:tc>
        <w:tc>
          <w:tcPr>
            <w:tcW w:w="1880" w:type="dxa"/>
            <w:vAlign w:val="bottom"/>
            <w:tcBorders>
              <w:top w:val="single" w:sz="8" w:color="auto"/>
            </w:tcBorders>
          </w:tcPr>
          <w:p>
            <w:pPr>
              <w:jc w:val="right"/>
              <w:ind w:right="450"/>
              <w:spacing w:after="0" w:line="194" w:lineRule="exact"/>
              <w:rPr>
                <w:sz w:val="20"/>
                <w:szCs w:val="20"/>
                <w:color w:val="auto"/>
              </w:rPr>
            </w:pPr>
            <w:r>
              <w:rPr>
                <w:rFonts w:ascii="Arial" w:cs="Arial" w:eastAsia="Arial" w:hAnsi="Arial"/>
                <w:sz w:val="18"/>
                <w:szCs w:val="18"/>
                <w:b w:val="1"/>
                <w:bCs w:val="1"/>
                <w:color w:val="auto"/>
              </w:rPr>
              <w:t>March 31,</w:t>
            </w:r>
          </w:p>
        </w:tc>
        <w:tc>
          <w:tcPr>
            <w:tcW w:w="1800" w:type="dxa"/>
            <w:vAlign w:val="bottom"/>
            <w:tcBorders>
              <w:top w:val="single" w:sz="8" w:color="auto"/>
            </w:tcBorders>
          </w:tcPr>
          <w:p>
            <w:pPr>
              <w:jc w:val="right"/>
              <w:ind w:right="290"/>
              <w:spacing w:after="0" w:line="194" w:lineRule="exact"/>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2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Balance sheet caption</w:t>
            </w:r>
          </w:p>
        </w:tc>
        <w:tc>
          <w:tcPr>
            <w:tcW w:w="18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2012</w:t>
            </w:r>
          </w:p>
        </w:tc>
        <w:tc>
          <w:tcPr>
            <w:tcW w:w="18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Asset Derivatives</w:t>
            </w:r>
          </w:p>
        </w:tc>
        <w:tc>
          <w:tcPr>
            <w:tcW w:w="27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Derivatives not designated as hedging instruments:</w:t>
            </w:r>
          </w:p>
        </w:tc>
        <w:tc>
          <w:tcPr>
            <w:tcW w:w="2700" w:type="dxa"/>
            <w:vAlign w:val="bottom"/>
          </w:tcPr>
          <w:p>
            <w:pPr>
              <w:spacing w:after="0"/>
              <w:rPr>
                <w:sz w:val="18"/>
                <w:szCs w:val="18"/>
                <w:color w:val="auto"/>
              </w:rPr>
            </w:pPr>
          </w:p>
        </w:tc>
        <w:tc>
          <w:tcPr>
            <w:tcW w:w="188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tcBorders>
              <w:bottom w:val="single" w:sz="8" w:color="auto"/>
            </w:tcBorders>
          </w:tcPr>
          <w:p>
            <w:pPr>
              <w:ind w:left="120"/>
              <w:spacing w:after="0" w:line="203" w:lineRule="exact"/>
              <w:rPr>
                <w:sz w:val="20"/>
                <w:szCs w:val="20"/>
                <w:color w:val="auto"/>
              </w:rPr>
            </w:pPr>
            <w:r>
              <w:rPr>
                <w:rFonts w:ascii="Arial" w:cs="Arial" w:eastAsia="Arial" w:hAnsi="Arial"/>
                <w:sz w:val="18"/>
                <w:szCs w:val="18"/>
                <w:color w:val="auto"/>
              </w:rPr>
              <w:t>Foreign exchange contracts</w:t>
            </w:r>
          </w:p>
        </w:tc>
        <w:tc>
          <w:tcPr>
            <w:tcW w:w="2700" w:type="dxa"/>
            <w:vAlign w:val="bottom"/>
            <w:tcBorders>
              <w:bottom w:val="single" w:sz="8" w:color="auto"/>
            </w:tcBorders>
          </w:tcPr>
          <w:p>
            <w:pPr>
              <w:ind w:left="120"/>
              <w:spacing w:after="0" w:line="203" w:lineRule="exact"/>
              <w:rPr>
                <w:sz w:val="20"/>
                <w:szCs w:val="20"/>
                <w:color w:val="auto"/>
              </w:rPr>
            </w:pPr>
            <w:r>
              <w:rPr>
                <w:rFonts w:ascii="Arial" w:cs="Arial" w:eastAsia="Arial" w:hAnsi="Arial"/>
                <w:sz w:val="18"/>
                <w:szCs w:val="18"/>
                <w:color w:val="auto"/>
              </w:rPr>
              <w:t>Other assets</w:t>
            </w:r>
          </w:p>
        </w:tc>
        <w:tc>
          <w:tcPr>
            <w:tcW w:w="1880" w:type="dxa"/>
            <w:vAlign w:val="bottom"/>
            <w:tcBorders>
              <w:bottom w:val="single" w:sz="8" w:color="auto"/>
            </w:tcBorders>
            <w:vMerge w:val="continue"/>
          </w:tcPr>
          <w:p>
            <w:pPr>
              <w:spacing w:after="0"/>
              <w:rPr>
                <w:sz w:val="17"/>
                <w:szCs w:val="17"/>
                <w:color w:val="auto"/>
              </w:rPr>
            </w:pPr>
          </w:p>
        </w:tc>
        <w:tc>
          <w:tcPr>
            <w:tcW w:w="180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asset derivatives not designated as hedging instruments</w:t>
            </w:r>
          </w:p>
        </w:tc>
        <w:tc>
          <w:tcPr>
            <w:tcW w:w="27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w:t>
            </w:r>
          </w:p>
        </w:tc>
        <w:tc>
          <w:tcPr>
            <w:tcW w:w="180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02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 asset derivatives</w:t>
            </w:r>
          </w:p>
        </w:tc>
        <w:tc>
          <w:tcPr>
            <w:tcW w:w="27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w:t>
            </w:r>
          </w:p>
        </w:tc>
        <w:tc>
          <w:tcPr>
            <w:tcW w:w="180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803"/>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Liability Derivatives</w:t>
            </w:r>
          </w:p>
        </w:tc>
        <w:tc>
          <w:tcPr>
            <w:tcW w:w="27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40" w:type="dxa"/>
            <w:vAlign w:val="bottom"/>
            <w:gridSpan w:val="2"/>
          </w:tcPr>
          <w:p>
            <w:pPr>
              <w:spacing w:after="0" w:line="202" w:lineRule="exact"/>
              <w:rPr>
                <w:sz w:val="20"/>
                <w:szCs w:val="20"/>
                <w:color w:val="auto"/>
              </w:rPr>
            </w:pPr>
            <w:r>
              <w:rPr>
                <w:rFonts w:ascii="Arial" w:cs="Arial" w:eastAsia="Arial" w:hAnsi="Arial"/>
                <w:sz w:val="18"/>
                <w:szCs w:val="18"/>
                <w:color w:val="auto"/>
              </w:rPr>
              <w:t>Derivatives designated as hedging instruments:</w:t>
            </w:r>
          </w:p>
        </w:tc>
        <w:tc>
          <w:tcPr>
            <w:tcW w:w="2700" w:type="dxa"/>
            <w:vAlign w:val="bottom"/>
          </w:tcPr>
          <w:p>
            <w:pPr>
              <w:spacing w:after="0"/>
              <w:rPr>
                <w:sz w:val="17"/>
                <w:szCs w:val="17"/>
                <w:color w:val="auto"/>
              </w:rPr>
            </w:pPr>
          </w:p>
        </w:tc>
        <w:tc>
          <w:tcPr>
            <w:tcW w:w="18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($4,597</w:t>
            </w:r>
            <w:r>
              <w:rPr>
                <w:rFonts w:ascii="Arial" w:cs="Arial" w:eastAsia="Arial" w:hAnsi="Arial"/>
                <w:sz w:val="18"/>
                <w:szCs w:val="18"/>
                <w:color w:val="auto"/>
              </w:rPr>
              <w:t>)</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tcBorders>
              <w:bottom w:val="single" w:sz="8" w:color="auto"/>
            </w:tcBorders>
          </w:tcPr>
          <w:p>
            <w:pPr>
              <w:ind w:left="80"/>
              <w:spacing w:after="0" w:line="203" w:lineRule="exact"/>
              <w:rPr>
                <w:sz w:val="20"/>
                <w:szCs w:val="20"/>
                <w:color w:val="auto"/>
              </w:rPr>
            </w:pPr>
            <w:r>
              <w:rPr>
                <w:rFonts w:ascii="Arial" w:cs="Arial" w:eastAsia="Arial" w:hAnsi="Arial"/>
                <w:sz w:val="18"/>
                <w:szCs w:val="18"/>
                <w:color w:val="auto"/>
              </w:rPr>
              <w:t>Interest rate swap</w:t>
            </w:r>
          </w:p>
        </w:tc>
        <w:tc>
          <w:tcPr>
            <w:tcW w:w="2700" w:type="dxa"/>
            <w:vAlign w:val="bottom"/>
            <w:tcBorders>
              <w:bottom w:val="single" w:sz="8" w:color="auto"/>
            </w:tcBorders>
          </w:tcPr>
          <w:p>
            <w:pPr>
              <w:ind w:left="120"/>
              <w:spacing w:after="0" w:line="203" w:lineRule="exact"/>
              <w:rPr>
                <w:sz w:val="20"/>
                <w:szCs w:val="20"/>
                <w:color w:val="auto"/>
              </w:rPr>
            </w:pPr>
            <w:r>
              <w:rPr>
                <w:rFonts w:ascii="Arial" w:cs="Arial" w:eastAsia="Arial" w:hAnsi="Arial"/>
                <w:sz w:val="18"/>
                <w:szCs w:val="18"/>
                <w:color w:val="auto"/>
              </w:rPr>
              <w:t>Other noncurrent liabilities</w:t>
            </w:r>
          </w:p>
        </w:tc>
        <w:tc>
          <w:tcPr>
            <w:tcW w:w="1880" w:type="dxa"/>
            <w:vAlign w:val="bottom"/>
            <w:tcBorders>
              <w:bottom w:val="single" w:sz="8" w:color="auto"/>
            </w:tcBorders>
            <w:vMerge w:val="continue"/>
          </w:tcPr>
          <w:p>
            <w:pPr>
              <w:spacing w:after="0"/>
              <w:rPr>
                <w:sz w:val="17"/>
                <w:szCs w:val="17"/>
                <w:color w:val="auto"/>
              </w:rPr>
            </w:pPr>
          </w:p>
        </w:tc>
        <w:tc>
          <w:tcPr>
            <w:tcW w:w="180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($4,251)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liability derivatives designated as hedging instruments</w:t>
            </w:r>
          </w:p>
        </w:tc>
        <w:tc>
          <w:tcPr>
            <w:tcW w:w="27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($4,597</w:t>
            </w:r>
            <w:r>
              <w:rPr>
                <w:rFonts w:ascii="Arial" w:cs="Arial" w:eastAsia="Arial" w:hAnsi="Arial"/>
                <w:sz w:val="18"/>
                <w:szCs w:val="18"/>
                <w:color w:val="auto"/>
              </w:rPr>
              <w:t>)</w:t>
            </w:r>
          </w:p>
        </w:tc>
        <w:tc>
          <w:tcPr>
            <w:tcW w:w="180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($4,251)</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02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gridSpan w:val="2"/>
          </w:tcPr>
          <w:p>
            <w:pPr>
              <w:spacing w:after="0" w:line="196" w:lineRule="exact"/>
              <w:rPr>
                <w:sz w:val="20"/>
                <w:szCs w:val="20"/>
                <w:color w:val="auto"/>
              </w:rPr>
            </w:pPr>
            <w:r>
              <w:rPr>
                <w:rFonts w:ascii="Arial" w:cs="Arial" w:eastAsia="Arial" w:hAnsi="Arial"/>
                <w:sz w:val="18"/>
                <w:szCs w:val="18"/>
                <w:color w:val="auto"/>
              </w:rPr>
              <w:t>Total liability derivatives</w:t>
            </w:r>
          </w:p>
        </w:tc>
        <w:tc>
          <w:tcPr>
            <w:tcW w:w="2700" w:type="dxa"/>
            <w:vAlign w:val="bottom"/>
          </w:tcPr>
          <w:p>
            <w:pPr>
              <w:spacing w:after="0"/>
              <w:rPr>
                <w:sz w:val="17"/>
                <w:szCs w:val="17"/>
                <w:color w:val="auto"/>
              </w:rPr>
            </w:pPr>
          </w:p>
        </w:tc>
        <w:tc>
          <w:tcPr>
            <w:tcW w:w="1880" w:type="dxa"/>
            <w:vAlign w:val="bottom"/>
          </w:tcPr>
          <w:p>
            <w:pPr>
              <w:jc w:val="right"/>
              <w:ind w:right="190"/>
              <w:spacing w:after="0" w:line="196" w:lineRule="exact"/>
              <w:rPr>
                <w:sz w:val="20"/>
                <w:szCs w:val="20"/>
                <w:color w:val="auto"/>
              </w:rPr>
            </w:pPr>
            <w:r>
              <w:rPr>
                <w:rFonts w:ascii="Arial" w:cs="Arial" w:eastAsia="Arial" w:hAnsi="Arial"/>
                <w:sz w:val="18"/>
                <w:szCs w:val="18"/>
                <w:b w:val="1"/>
                <w:bCs w:val="1"/>
                <w:color w:val="auto"/>
              </w:rPr>
              <w:t>($4,597</w:t>
            </w:r>
            <w:r>
              <w:rPr>
                <w:rFonts w:ascii="Arial" w:cs="Arial" w:eastAsia="Arial" w:hAnsi="Arial"/>
                <w:sz w:val="18"/>
                <w:szCs w:val="18"/>
                <w:color w:val="auto"/>
              </w:rPr>
              <w:t>)</w:t>
            </w:r>
          </w:p>
        </w:tc>
        <w:tc>
          <w:tcPr>
            <w:tcW w:w="1800" w:type="dxa"/>
            <w:vAlign w:val="bottom"/>
          </w:tcPr>
          <w:p>
            <w:pPr>
              <w:jc w:val="right"/>
              <w:ind w:right="70"/>
              <w:spacing w:after="0" w:line="196" w:lineRule="exact"/>
              <w:rPr>
                <w:sz w:val="20"/>
                <w:szCs w:val="20"/>
                <w:color w:val="auto"/>
              </w:rPr>
            </w:pPr>
            <w:r>
              <w:rPr>
                <w:rFonts w:ascii="Arial" w:cs="Arial" w:eastAsia="Arial" w:hAnsi="Arial"/>
                <w:sz w:val="18"/>
                <w:szCs w:val="18"/>
                <w:color w:val="auto"/>
              </w:rPr>
              <w:t>($4,251)</w:t>
            </w:r>
          </w:p>
        </w:tc>
        <w:tc>
          <w:tcPr>
            <w:tcW w:w="0" w:type="dxa"/>
            <w:vAlign w:val="bottom"/>
          </w:tcPr>
          <w:p>
            <w:pPr>
              <w:spacing w:after="0"/>
              <w:rPr>
                <w:sz w:val="1"/>
                <w:szCs w:val="1"/>
                <w:color w:val="auto"/>
              </w:rPr>
            </w:pPr>
          </w:p>
        </w:tc>
      </w:tr>
      <w:tr>
        <w:trPr>
          <w:trHeight w:val="399"/>
        </w:trPr>
        <w:tc>
          <w:tcPr>
            <w:tcW w:w="20" w:type="dxa"/>
            <w:vAlign w:val="bottom"/>
            <w:tcBorders>
              <w:bottom w:val="single" w:sz="8" w:color="auto"/>
            </w:tcBorders>
          </w:tcPr>
          <w:p>
            <w:pPr>
              <w:spacing w:after="0"/>
              <w:rPr>
                <w:sz w:val="24"/>
                <w:szCs w:val="24"/>
                <w:color w:val="auto"/>
              </w:rPr>
            </w:pPr>
          </w:p>
        </w:tc>
        <w:tc>
          <w:tcPr>
            <w:tcW w:w="5020" w:type="dxa"/>
            <w:vAlign w:val="bottom"/>
            <w:tcBorders>
              <w:top w:val="single" w:sz="8" w:color="auto"/>
              <w:bottom w:val="single" w:sz="8" w:color="auto"/>
            </w:tcBorders>
          </w:tcPr>
          <w:p>
            <w:pPr>
              <w:spacing w:after="0"/>
              <w:rPr>
                <w:sz w:val="24"/>
                <w:szCs w:val="24"/>
                <w:color w:val="auto"/>
              </w:rPr>
            </w:pPr>
          </w:p>
        </w:tc>
        <w:tc>
          <w:tcPr>
            <w:tcW w:w="2700" w:type="dxa"/>
            <w:vAlign w:val="bottom"/>
            <w:tcBorders>
              <w:top w:val="single" w:sz="8" w:color="auto"/>
              <w:bottom w:val="single" w:sz="8" w:color="auto"/>
            </w:tcBorders>
          </w:tcPr>
          <w:p>
            <w:pPr>
              <w:spacing w:after="0"/>
              <w:rPr>
                <w:sz w:val="24"/>
                <w:szCs w:val="24"/>
                <w:color w:val="auto"/>
              </w:rPr>
            </w:pPr>
          </w:p>
        </w:tc>
        <w:tc>
          <w:tcPr>
            <w:tcW w:w="1880" w:type="dxa"/>
            <w:vAlign w:val="bottom"/>
            <w:tcBorders>
              <w:top w:val="single" w:sz="8" w:color="auto"/>
              <w:bottom w:val="single" w:sz="8" w:color="auto"/>
            </w:tcBorders>
          </w:tcPr>
          <w:p>
            <w:pPr>
              <w:spacing w:after="0"/>
              <w:rPr>
                <w:sz w:val="24"/>
                <w:szCs w:val="24"/>
                <w:color w:val="auto"/>
              </w:rPr>
            </w:pPr>
          </w:p>
        </w:tc>
        <w:tc>
          <w:tcPr>
            <w:tcW w:w="180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 derivatives</w:t>
            </w:r>
          </w:p>
        </w:tc>
        <w:tc>
          <w:tcPr>
            <w:tcW w:w="27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($4,597</w:t>
            </w:r>
            <w:r>
              <w:rPr>
                <w:rFonts w:ascii="Arial" w:cs="Arial" w:eastAsia="Arial" w:hAnsi="Arial"/>
                <w:sz w:val="18"/>
                <w:szCs w:val="18"/>
                <w:color w:val="auto"/>
              </w:rPr>
              <w:t>)</w:t>
            </w:r>
          </w:p>
        </w:tc>
        <w:tc>
          <w:tcPr>
            <w:tcW w:w="180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($4,250)</w:t>
            </w:r>
          </w:p>
        </w:tc>
        <w:tc>
          <w:tcPr>
            <w:tcW w:w="0" w:type="dxa"/>
            <w:vAlign w:val="bottom"/>
          </w:tcPr>
          <w:p>
            <w:pPr>
              <w:spacing w:after="0"/>
              <w:rPr>
                <w:sz w:val="1"/>
                <w:szCs w:val="1"/>
                <w:color w:val="auto"/>
              </w:rPr>
            </w:pPr>
          </w:p>
        </w:tc>
      </w:tr>
      <w:tr>
        <w:trPr>
          <w:trHeight w:val="331"/>
        </w:trPr>
        <w:tc>
          <w:tcPr>
            <w:tcW w:w="7740" w:type="dxa"/>
            <w:vAlign w:val="bottom"/>
            <w:gridSpan w:val="3"/>
          </w:tcPr>
          <w:p>
            <w:pPr>
              <w:spacing w:after="0"/>
              <w:rPr>
                <w:sz w:val="20"/>
                <w:szCs w:val="20"/>
                <w:color w:val="auto"/>
              </w:rPr>
            </w:pPr>
            <w:r>
              <w:rPr>
                <w:rFonts w:ascii="Arial" w:cs="Arial" w:eastAsia="Arial" w:hAnsi="Arial"/>
                <w:sz w:val="18"/>
                <w:szCs w:val="18"/>
                <w:color w:val="auto"/>
              </w:rPr>
              <w:t>(Losses)/gains on changes in fair value of derivative instruments were as follows:</w:t>
            </w:r>
          </w:p>
        </w:tc>
        <w:tc>
          <w:tcPr>
            <w:tcW w:w="18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20" w:type="dxa"/>
            <w:vAlign w:val="bottom"/>
            <w:tcBorders>
              <w:bottom w:val="single" w:sz="8" w:color="auto"/>
            </w:tcBorders>
          </w:tcPr>
          <w:p>
            <w:pPr>
              <w:spacing w:after="0"/>
              <w:rPr>
                <w:sz w:val="8"/>
                <w:szCs w:val="8"/>
                <w:color w:val="auto"/>
              </w:rPr>
            </w:pPr>
          </w:p>
        </w:tc>
        <w:tc>
          <w:tcPr>
            <w:tcW w:w="2700" w:type="dxa"/>
            <w:vAlign w:val="bottom"/>
            <w:tcBorders>
              <w:bottom w:val="single" w:sz="8" w:color="auto"/>
            </w:tcBorders>
          </w:tcPr>
          <w:p>
            <w:pPr>
              <w:spacing w:after="0"/>
              <w:rPr>
                <w:sz w:val="8"/>
                <w:szCs w:val="8"/>
                <w:color w:val="auto"/>
              </w:rPr>
            </w:pPr>
          </w:p>
        </w:tc>
        <w:tc>
          <w:tcPr>
            <w:tcW w:w="368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3680" w:type="dxa"/>
            <w:vAlign w:val="bottom"/>
            <w:gridSpan w:val="2"/>
          </w:tcPr>
          <w:p>
            <w:pPr>
              <w:jc w:val="right"/>
              <w:ind w:right="710"/>
              <w:spacing w:after="0" w:line="173" w:lineRule="exact"/>
              <w:rPr>
                <w:sz w:val="20"/>
                <w:szCs w:val="20"/>
                <w:color w:val="auto"/>
              </w:rPr>
            </w:pPr>
            <w:r>
              <w:rPr>
                <w:rFonts w:ascii="Arial" w:cs="Arial" w:eastAsia="Arial" w:hAnsi="Arial"/>
                <w:sz w:val="18"/>
                <w:szCs w:val="18"/>
                <w:color w:val="auto"/>
              </w:rPr>
              <w:t>Three months ended March 31,</w:t>
            </w:r>
          </w:p>
        </w:tc>
        <w:tc>
          <w:tcPr>
            <w:tcW w:w="0" w:type="dxa"/>
            <w:vAlign w:val="bottom"/>
          </w:tcPr>
          <w:p>
            <w:pPr>
              <w:spacing w:after="0"/>
              <w:rPr>
                <w:sz w:val="1"/>
                <w:szCs w:val="1"/>
                <w:color w:val="auto"/>
              </w:rPr>
            </w:pPr>
          </w:p>
        </w:tc>
      </w:tr>
      <w:tr>
        <w:trPr>
          <w:trHeight w:val="225"/>
        </w:trPr>
        <w:tc>
          <w:tcPr>
            <w:tcW w:w="504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700" w:type="dxa"/>
            <w:vAlign w:val="bottom"/>
          </w:tcPr>
          <w:p>
            <w:pPr>
              <w:spacing w:after="0"/>
              <w:rPr>
                <w:sz w:val="19"/>
                <w:szCs w:val="19"/>
                <w:color w:val="auto"/>
              </w:rPr>
            </w:pPr>
          </w:p>
        </w:tc>
        <w:tc>
          <w:tcPr>
            <w:tcW w:w="1880" w:type="dxa"/>
            <w:vAlign w:val="bottom"/>
          </w:tcPr>
          <w:p>
            <w:pPr>
              <w:jc w:val="right"/>
              <w:ind w:right="930"/>
              <w:spacing w:after="0"/>
              <w:rPr>
                <w:sz w:val="20"/>
                <w:szCs w:val="20"/>
                <w:color w:val="auto"/>
              </w:rPr>
            </w:pPr>
            <w:r>
              <w:rPr>
                <w:rFonts w:ascii="Arial" w:cs="Arial" w:eastAsia="Arial" w:hAnsi="Arial"/>
                <w:sz w:val="18"/>
                <w:szCs w:val="18"/>
                <w:b w:val="1"/>
                <w:bCs w:val="1"/>
                <w:color w:val="auto"/>
              </w:rPr>
              <w:t>2012</w:t>
            </w:r>
          </w:p>
        </w:tc>
        <w:tc>
          <w:tcPr>
            <w:tcW w:w="1800" w:type="dxa"/>
            <w:vAlign w:val="bottom"/>
          </w:tcPr>
          <w:p>
            <w:pPr>
              <w:jc w:val="right"/>
              <w:ind w:right="63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50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Derivatives designated as hedging instruments</w:t>
            </w:r>
          </w:p>
        </w:tc>
        <w:tc>
          <w:tcPr>
            <w:tcW w:w="2700" w:type="dxa"/>
            <w:vAlign w:val="bottom"/>
            <w:tcBorders>
              <w:top w:val="single" w:sz="8" w:color="auto"/>
            </w:tcBorders>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tcPr>
          <w:p>
            <w:pPr>
              <w:ind w:left="120"/>
              <w:spacing w:after="0" w:line="243" w:lineRule="exact"/>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28"/>
                <w:szCs w:val="28"/>
                <w:color w:val="auto"/>
                <w:vertAlign w:val="superscript"/>
              </w:rPr>
              <w:t>1</w:t>
            </w:r>
          </w:p>
        </w:tc>
        <w:tc>
          <w:tcPr>
            <w:tcW w:w="2700" w:type="dxa"/>
            <w:vAlign w:val="bottom"/>
          </w:tcPr>
          <w:p>
            <w:pPr>
              <w:spacing w:after="0"/>
              <w:rPr>
                <w:sz w:val="21"/>
                <w:szCs w:val="21"/>
                <w:color w:val="auto"/>
              </w:rPr>
            </w:pPr>
          </w:p>
        </w:tc>
        <w:tc>
          <w:tcPr>
            <w:tcW w:w="1880" w:type="dxa"/>
            <w:vAlign w:val="bottom"/>
          </w:tcPr>
          <w:p>
            <w:pPr>
              <w:jc w:val="right"/>
              <w:ind w:right="510"/>
              <w:spacing w:after="0"/>
              <w:rPr>
                <w:sz w:val="20"/>
                <w:szCs w:val="20"/>
                <w:color w:val="auto"/>
              </w:rPr>
            </w:pPr>
            <w:r>
              <w:rPr>
                <w:rFonts w:ascii="Arial" w:cs="Arial" w:eastAsia="Arial" w:hAnsi="Arial"/>
                <w:sz w:val="18"/>
                <w:szCs w:val="18"/>
                <w:b w:val="1"/>
                <w:bCs w:val="1"/>
                <w:color w:val="auto"/>
              </w:rPr>
              <w:t>($211)</w:t>
            </w:r>
          </w:p>
        </w:tc>
        <w:tc>
          <w:tcPr>
            <w:tcW w:w="1800" w:type="dxa"/>
            <w:vAlign w:val="bottom"/>
          </w:tcPr>
          <w:p>
            <w:pPr>
              <w:jc w:val="right"/>
              <w:ind w:right="25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tcPr>
          <w:p>
            <w:pPr>
              <w:ind w:left="20"/>
              <w:spacing w:after="0" w:line="203" w:lineRule="exact"/>
              <w:rPr>
                <w:sz w:val="20"/>
                <w:szCs w:val="20"/>
                <w:color w:val="auto"/>
              </w:rPr>
            </w:pPr>
            <w:r>
              <w:rPr>
                <w:rFonts w:ascii="Arial" w:cs="Arial" w:eastAsia="Arial" w:hAnsi="Arial"/>
                <w:sz w:val="18"/>
                <w:szCs w:val="18"/>
                <w:color w:val="auto"/>
              </w:rPr>
              <w:t>Derivatives not designated as hedging instruments</w:t>
            </w:r>
          </w:p>
        </w:tc>
        <w:tc>
          <w:tcPr>
            <w:tcW w:w="27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5020" w:type="dxa"/>
            <w:vAlign w:val="bottom"/>
          </w:tcPr>
          <w:p>
            <w:pPr>
              <w:ind w:left="120"/>
              <w:spacing w:after="0"/>
              <w:rPr>
                <w:sz w:val="20"/>
                <w:szCs w:val="20"/>
                <w:color w:val="auto"/>
              </w:rPr>
            </w:pPr>
            <w:r>
              <w:rPr>
                <w:rFonts w:ascii="Arial" w:cs="Arial" w:eastAsia="Arial" w:hAnsi="Arial"/>
                <w:sz w:val="18"/>
                <w:szCs w:val="18"/>
                <w:color w:val="auto"/>
              </w:rPr>
              <w:t xml:space="preserve">Foreign exchange options </w:t>
            </w:r>
            <w:r>
              <w:rPr>
                <w:rFonts w:ascii="Arial" w:cs="Arial" w:eastAsia="Arial" w:hAnsi="Arial"/>
                <w:sz w:val="30"/>
                <w:szCs w:val="30"/>
                <w:color w:val="auto"/>
                <w:vertAlign w:val="superscript"/>
              </w:rPr>
              <w:t>2</w:t>
            </w:r>
          </w:p>
        </w:tc>
        <w:tc>
          <w:tcPr>
            <w:tcW w:w="2700" w:type="dxa"/>
            <w:vAlign w:val="bottom"/>
          </w:tcPr>
          <w:p>
            <w:pPr>
              <w:spacing w:after="0"/>
              <w:rPr>
                <w:sz w:val="24"/>
                <w:szCs w:val="24"/>
                <w:color w:val="auto"/>
              </w:rPr>
            </w:pPr>
          </w:p>
        </w:tc>
        <w:tc>
          <w:tcPr>
            <w:tcW w:w="1880" w:type="dxa"/>
            <w:vAlign w:val="bottom"/>
          </w:tcPr>
          <w:p>
            <w:pPr>
              <w:jc w:val="right"/>
              <w:ind w:right="430"/>
              <w:spacing w:after="0"/>
              <w:rPr>
                <w:sz w:val="20"/>
                <w:szCs w:val="20"/>
                <w:color w:val="auto"/>
              </w:rPr>
            </w:pPr>
            <w:r>
              <w:rPr>
                <w:rFonts w:ascii="Arial" w:cs="Arial" w:eastAsia="Arial" w:hAnsi="Arial"/>
                <w:sz w:val="18"/>
                <w:szCs w:val="18"/>
                <w:b w:val="1"/>
                <w:bCs w:val="1"/>
                <w:color w:val="auto"/>
              </w:rPr>
              <w:t>(1)</w:t>
            </w:r>
          </w:p>
        </w:tc>
        <w:tc>
          <w:tcPr>
            <w:tcW w:w="1800" w:type="dxa"/>
            <w:vAlign w:val="bottom"/>
          </w:tcPr>
          <w:p>
            <w:pPr>
              <w:jc w:val="right"/>
              <w:ind w:right="25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6" w:lineRule="exact"/>
        <w:rPr>
          <w:sz w:val="20"/>
          <w:szCs w:val="20"/>
          <w:color w:val="auto"/>
        </w:rPr>
      </w:pPr>
    </w:p>
    <w:p>
      <w:pPr>
        <w:ind w:left="360" w:right="180" w:hanging="182"/>
        <w:spacing w:after="0" w:line="246" w:lineRule="auto"/>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Unrealized losses are recognized in Other comprehensive income, net of tax. This derivative was an effective hedge of interest rate cash flow risk for the three months ended March 31, 2012.</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 (Losses)/gains are recognized in Other expense, net.</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13. Contingencies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Litigation</w:t>
      </w:r>
    </w:p>
    <w:p>
      <w:pPr>
        <w:spacing w:after="0" w:line="18"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Albany International Corp is a defendant in suits brought in various courts in the United States by plaintiffs who allege that they have suffered personal injury as a result of exposure to asbestos-containing products that we previously manufactured. We produced asbestos-containing paper machine clothing synthetic dryer fabrics marketed during the period from 1967 to 1976 and used in certain paper mills. Such fabrics generally had a useful life of three to twelve months.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defending 4,440 claims as of April 25, 2012.</w:t>
      </w:r>
    </w:p>
    <w:p>
      <w:pPr>
        <w:spacing w:after="0" w:line="104"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70"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1900" w:type="dxa"/>
            <w:vAlign w:val="bottom"/>
            <w:tcBorders>
              <w:top w:val="single" w:sz="8" w:color="auto"/>
              <w:left w:val="single" w:sz="8" w:color="auto"/>
              <w:right w:val="single" w:sz="8" w:color="auto"/>
            </w:tcBorders>
            <w:vMerge w:val="restart"/>
          </w:tcPr>
          <w:p>
            <w:pPr>
              <w:ind w:left="460"/>
              <w:spacing w:after="0"/>
              <w:rPr>
                <w:sz w:val="20"/>
                <w:szCs w:val="20"/>
                <w:color w:val="auto"/>
              </w:rPr>
            </w:pPr>
            <w:r>
              <w:rPr>
                <w:rFonts w:ascii="Arial" w:cs="Arial" w:eastAsia="Arial" w:hAnsi="Arial"/>
                <w:sz w:val="18"/>
                <w:szCs w:val="18"/>
                <w:i w:val="1"/>
                <w:iCs w:val="1"/>
                <w:color w:val="auto"/>
              </w:rPr>
              <w:t>Year ended</w:t>
            </w:r>
          </w:p>
        </w:tc>
        <w:tc>
          <w:tcPr>
            <w:tcW w:w="1900" w:type="dxa"/>
            <w:vAlign w:val="bottom"/>
            <w:tcBorders>
              <w:top w:val="single" w:sz="8" w:color="auto"/>
              <w:right w:val="single" w:sz="8" w:color="auto"/>
            </w:tcBorders>
            <w:vMerge w:val="restart"/>
          </w:tcPr>
          <w:p>
            <w:pPr>
              <w:jc w:val="right"/>
              <w:ind w:right="210"/>
              <w:spacing w:after="0"/>
              <w:rPr>
                <w:sz w:val="20"/>
                <w:szCs w:val="20"/>
                <w:color w:val="auto"/>
              </w:rPr>
            </w:pPr>
            <w:r>
              <w:rPr>
                <w:rFonts w:ascii="Arial" w:cs="Arial" w:eastAsia="Arial" w:hAnsi="Arial"/>
                <w:sz w:val="18"/>
                <w:szCs w:val="18"/>
                <w:i w:val="1"/>
                <w:iCs w:val="1"/>
                <w:color w:val="auto"/>
              </w:rPr>
              <w:t>Opening Number</w:t>
            </w:r>
          </w:p>
        </w:tc>
        <w:tc>
          <w:tcPr>
            <w:tcW w:w="2360" w:type="dxa"/>
            <w:vAlign w:val="bottom"/>
            <w:tcBorders>
              <w:top w:val="single" w:sz="8" w:color="auto"/>
              <w:right w:val="single" w:sz="8" w:color="auto"/>
            </w:tcBorders>
            <w:vMerge w:val="restart"/>
          </w:tcPr>
          <w:p>
            <w:pPr>
              <w:jc w:val="right"/>
              <w:ind w:right="390"/>
              <w:spacing w:after="0"/>
              <w:rPr>
                <w:sz w:val="20"/>
                <w:szCs w:val="20"/>
                <w:color w:val="auto"/>
              </w:rPr>
            </w:pPr>
            <w:r>
              <w:rPr>
                <w:rFonts w:ascii="Arial" w:cs="Arial" w:eastAsia="Arial" w:hAnsi="Arial"/>
                <w:sz w:val="18"/>
                <w:szCs w:val="18"/>
                <w:i w:val="1"/>
                <w:iCs w:val="1"/>
                <w:color w:val="auto"/>
              </w:rPr>
              <w:t>Claims Dismissed,</w:t>
            </w:r>
          </w:p>
        </w:tc>
        <w:tc>
          <w:tcPr>
            <w:tcW w:w="1340" w:type="dxa"/>
            <w:vAlign w:val="bottom"/>
            <w:tcBorders>
              <w:top w:val="single" w:sz="8" w:color="auto"/>
              <w:right w:val="single" w:sz="8" w:color="auto"/>
            </w:tcBorders>
          </w:tcPr>
          <w:p>
            <w:pPr>
              <w:spacing w:after="0"/>
              <w:rPr>
                <w:sz w:val="17"/>
                <w:szCs w:val="17"/>
                <w:color w:val="auto"/>
              </w:rPr>
            </w:pPr>
          </w:p>
        </w:tc>
        <w:tc>
          <w:tcPr>
            <w:tcW w:w="1560" w:type="dxa"/>
            <w:vAlign w:val="bottom"/>
            <w:tcBorders>
              <w:top w:val="single" w:sz="8" w:color="auto"/>
              <w:right w:val="single" w:sz="8" w:color="auto"/>
            </w:tcBorders>
            <w:vMerge w:val="restart"/>
          </w:tcPr>
          <w:p>
            <w:pPr>
              <w:jc w:val="right"/>
              <w:ind w:right="70"/>
              <w:spacing w:after="0"/>
              <w:rPr>
                <w:sz w:val="20"/>
                <w:szCs w:val="20"/>
                <w:color w:val="auto"/>
              </w:rPr>
            </w:pPr>
            <w:r>
              <w:rPr>
                <w:rFonts w:ascii="Arial" w:cs="Arial" w:eastAsia="Arial" w:hAnsi="Arial"/>
                <w:sz w:val="18"/>
                <w:szCs w:val="18"/>
                <w:i w:val="1"/>
                <w:iCs w:val="1"/>
                <w:color w:val="auto"/>
              </w:rPr>
              <w:t>Closing Number</w:t>
            </w:r>
          </w:p>
        </w:tc>
        <w:tc>
          <w:tcPr>
            <w:tcW w:w="2360" w:type="dxa"/>
            <w:vAlign w:val="bottom"/>
            <w:tcBorders>
              <w:top w:val="single" w:sz="8" w:color="auto"/>
              <w:right w:val="single" w:sz="8" w:color="auto"/>
            </w:tcBorders>
          </w:tcPr>
          <w:p>
            <w:pPr>
              <w:jc w:val="right"/>
              <w:ind w:right="570"/>
              <w:spacing w:after="0" w:line="197" w:lineRule="exact"/>
              <w:rPr>
                <w:sz w:val="20"/>
                <w:szCs w:val="20"/>
                <w:color w:val="auto"/>
              </w:rPr>
            </w:pPr>
            <w:r>
              <w:rPr>
                <w:rFonts w:ascii="Arial" w:cs="Arial" w:eastAsia="Arial" w:hAnsi="Arial"/>
                <w:sz w:val="18"/>
                <w:szCs w:val="18"/>
                <w:i w:val="1"/>
                <w:iCs w:val="1"/>
                <w:color w:val="auto"/>
              </w:rPr>
              <w:t>Amounts Paid</w:t>
            </w:r>
          </w:p>
        </w:tc>
        <w:tc>
          <w:tcPr>
            <w:tcW w:w="0" w:type="dxa"/>
            <w:vAlign w:val="bottom"/>
          </w:tcPr>
          <w:p>
            <w:pPr>
              <w:spacing w:after="0"/>
              <w:rPr>
                <w:sz w:val="1"/>
                <w:szCs w:val="1"/>
                <w:color w:val="auto"/>
              </w:rPr>
            </w:pPr>
          </w:p>
        </w:tc>
      </w:tr>
      <w:tr>
        <w:trPr>
          <w:trHeight w:val="95"/>
        </w:trPr>
        <w:tc>
          <w:tcPr>
            <w:tcW w:w="1900" w:type="dxa"/>
            <w:vAlign w:val="bottom"/>
            <w:tcBorders>
              <w:left w:val="single" w:sz="8" w:color="auto"/>
              <w:right w:val="single" w:sz="8" w:color="auto"/>
            </w:tcBorders>
            <w:vMerge w:val="continue"/>
          </w:tcPr>
          <w:p>
            <w:pPr>
              <w:spacing w:after="0"/>
              <w:rPr>
                <w:sz w:val="8"/>
                <w:szCs w:val="8"/>
                <w:color w:val="auto"/>
              </w:rPr>
            </w:pPr>
          </w:p>
        </w:tc>
        <w:tc>
          <w:tcPr>
            <w:tcW w:w="190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continue"/>
          </w:tcPr>
          <w:p>
            <w:pPr>
              <w:spacing w:after="0"/>
              <w:rPr>
                <w:sz w:val="8"/>
                <w:szCs w:val="8"/>
                <w:color w:val="auto"/>
              </w:rPr>
            </w:pPr>
          </w:p>
        </w:tc>
        <w:tc>
          <w:tcPr>
            <w:tcW w:w="1340" w:type="dxa"/>
            <w:vAlign w:val="bottom"/>
            <w:tcBorders>
              <w:right w:val="single" w:sz="8" w:color="auto"/>
            </w:tcBorders>
            <w:vMerge w:val="restart"/>
          </w:tcPr>
          <w:p>
            <w:pPr>
              <w:jc w:val="right"/>
              <w:ind w:right="110"/>
              <w:spacing w:after="0" w:line="202" w:lineRule="exact"/>
              <w:rPr>
                <w:sz w:val="20"/>
                <w:szCs w:val="20"/>
                <w:color w:val="auto"/>
              </w:rPr>
            </w:pPr>
            <w:r>
              <w:rPr>
                <w:rFonts w:ascii="Arial" w:cs="Arial" w:eastAsia="Arial" w:hAnsi="Arial"/>
                <w:sz w:val="18"/>
                <w:szCs w:val="18"/>
                <w:i w:val="1"/>
                <w:iCs w:val="1"/>
                <w:color w:val="auto"/>
              </w:rPr>
              <w:t>New Claims</w:t>
            </w:r>
          </w:p>
        </w:tc>
        <w:tc>
          <w:tcPr>
            <w:tcW w:w="156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jc w:val="right"/>
              <w:ind w:right="290"/>
              <w:spacing w:after="0" w:line="202" w:lineRule="exact"/>
              <w:rPr>
                <w:sz w:val="20"/>
                <w:szCs w:val="20"/>
                <w:color w:val="auto"/>
              </w:rPr>
            </w:pPr>
            <w:r>
              <w:rPr>
                <w:rFonts w:ascii="Arial" w:cs="Arial" w:eastAsia="Arial" w:hAnsi="Arial"/>
                <w:sz w:val="18"/>
                <w:szCs w:val="18"/>
                <w:i w:val="1"/>
                <w:iCs w:val="1"/>
                <w:color w:val="auto"/>
              </w:rPr>
              <w:t>(thousands) to Settle</w:t>
            </w:r>
          </w:p>
        </w:tc>
        <w:tc>
          <w:tcPr>
            <w:tcW w:w="0" w:type="dxa"/>
            <w:vAlign w:val="bottom"/>
          </w:tcPr>
          <w:p>
            <w:pPr>
              <w:spacing w:after="0"/>
              <w:rPr>
                <w:sz w:val="1"/>
                <w:szCs w:val="1"/>
                <w:color w:val="auto"/>
              </w:rPr>
            </w:pPr>
          </w:p>
        </w:tc>
      </w:tr>
      <w:tr>
        <w:trPr>
          <w:trHeight w:val="108"/>
        </w:trPr>
        <w:tc>
          <w:tcPr>
            <w:tcW w:w="1900" w:type="dxa"/>
            <w:vAlign w:val="bottom"/>
            <w:tcBorders>
              <w:left w:val="single" w:sz="8" w:color="auto"/>
              <w:right w:val="single" w:sz="8" w:color="auto"/>
            </w:tcBorders>
            <w:vMerge w:val="restart"/>
          </w:tcPr>
          <w:p>
            <w:pPr>
              <w:ind w:left="380"/>
              <w:spacing w:after="0"/>
              <w:rPr>
                <w:sz w:val="20"/>
                <w:szCs w:val="20"/>
                <w:color w:val="auto"/>
              </w:rPr>
            </w:pPr>
            <w:r>
              <w:rPr>
                <w:rFonts w:ascii="Arial" w:cs="Arial" w:eastAsia="Arial" w:hAnsi="Arial"/>
                <w:sz w:val="18"/>
                <w:szCs w:val="18"/>
                <w:i w:val="1"/>
                <w:iCs w:val="1"/>
                <w:color w:val="auto"/>
              </w:rPr>
              <w:t>December 31,</w:t>
            </w:r>
          </w:p>
        </w:tc>
        <w:tc>
          <w:tcPr>
            <w:tcW w:w="1900" w:type="dxa"/>
            <w:vAlign w:val="bottom"/>
            <w:tcBorders>
              <w:right w:val="single" w:sz="8" w:color="auto"/>
            </w:tcBorders>
            <w:vMerge w:val="restart"/>
          </w:tcPr>
          <w:p>
            <w:pPr>
              <w:jc w:val="right"/>
              <w:ind w:right="490"/>
              <w:spacing w:after="0"/>
              <w:rPr>
                <w:sz w:val="20"/>
                <w:szCs w:val="20"/>
                <w:color w:val="auto"/>
              </w:rPr>
            </w:pPr>
            <w:r>
              <w:rPr>
                <w:rFonts w:ascii="Arial" w:cs="Arial" w:eastAsia="Arial" w:hAnsi="Arial"/>
                <w:sz w:val="18"/>
                <w:szCs w:val="18"/>
                <w:i w:val="1"/>
                <w:iCs w:val="1"/>
                <w:color w:val="auto"/>
              </w:rPr>
              <w:t>of Claims</w:t>
            </w:r>
          </w:p>
        </w:tc>
        <w:tc>
          <w:tcPr>
            <w:tcW w:w="236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i w:val="1"/>
                <w:iCs w:val="1"/>
                <w:color w:val="auto"/>
              </w:rPr>
              <w:t>Settled, or Resolved</w:t>
            </w:r>
          </w:p>
        </w:tc>
        <w:tc>
          <w:tcPr>
            <w:tcW w:w="1340" w:type="dxa"/>
            <w:vAlign w:val="bottom"/>
            <w:tcBorders>
              <w:right w:val="single" w:sz="8" w:color="auto"/>
            </w:tcBorders>
            <w:vMerge w:val="continue"/>
          </w:tcPr>
          <w:p>
            <w:pPr>
              <w:spacing w:after="0"/>
              <w:rPr>
                <w:sz w:val="9"/>
                <w:szCs w:val="9"/>
                <w:color w:val="auto"/>
              </w:rPr>
            </w:pPr>
          </w:p>
        </w:tc>
        <w:tc>
          <w:tcPr>
            <w:tcW w:w="1560" w:type="dxa"/>
            <w:vAlign w:val="bottom"/>
            <w:tcBorders>
              <w:right w:val="single" w:sz="8" w:color="auto"/>
            </w:tcBorders>
            <w:vMerge w:val="restart"/>
          </w:tcPr>
          <w:p>
            <w:pPr>
              <w:jc w:val="right"/>
              <w:ind w:right="330"/>
              <w:spacing w:after="0"/>
              <w:rPr>
                <w:sz w:val="20"/>
                <w:szCs w:val="20"/>
                <w:color w:val="auto"/>
              </w:rPr>
            </w:pPr>
            <w:r>
              <w:rPr>
                <w:rFonts w:ascii="Arial" w:cs="Arial" w:eastAsia="Arial" w:hAnsi="Arial"/>
                <w:sz w:val="18"/>
                <w:szCs w:val="18"/>
                <w:i w:val="1"/>
                <w:iCs w:val="1"/>
                <w:color w:val="auto"/>
              </w:rPr>
              <w:t>of Claims</w:t>
            </w:r>
          </w:p>
        </w:tc>
        <w:tc>
          <w:tcPr>
            <w:tcW w:w="23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900" w:type="dxa"/>
            <w:vAlign w:val="bottom"/>
            <w:tcBorders>
              <w:left w:val="single" w:sz="8" w:color="auto"/>
              <w:right w:val="single" w:sz="8" w:color="auto"/>
            </w:tcBorders>
            <w:vMerge w:val="continue"/>
          </w:tcPr>
          <w:p>
            <w:pPr>
              <w:spacing w:after="0"/>
              <w:rPr>
                <w:sz w:val="11"/>
                <w:szCs w:val="11"/>
                <w:color w:val="auto"/>
              </w:rPr>
            </w:pPr>
          </w:p>
        </w:tc>
        <w:tc>
          <w:tcPr>
            <w:tcW w:w="1900" w:type="dxa"/>
            <w:vAlign w:val="bottom"/>
            <w:tcBorders>
              <w:right w:val="single" w:sz="8" w:color="auto"/>
            </w:tcBorders>
            <w:vMerge w:val="continue"/>
          </w:tcPr>
          <w:p>
            <w:pPr>
              <w:spacing w:after="0"/>
              <w:rPr>
                <w:sz w:val="11"/>
                <w:szCs w:val="11"/>
                <w:color w:val="auto"/>
              </w:rPr>
            </w:pPr>
          </w:p>
        </w:tc>
        <w:tc>
          <w:tcPr>
            <w:tcW w:w="2360" w:type="dxa"/>
            <w:vAlign w:val="bottom"/>
            <w:tcBorders>
              <w:right w:val="single" w:sz="8" w:color="auto"/>
            </w:tcBorders>
            <w:vMerge w:val="continue"/>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1560" w:type="dxa"/>
            <w:vAlign w:val="bottom"/>
            <w:tcBorders>
              <w:right w:val="single" w:sz="8" w:color="auto"/>
            </w:tcBorders>
            <w:vMerge w:val="continue"/>
          </w:tcPr>
          <w:p>
            <w:pPr>
              <w:spacing w:after="0"/>
              <w:rPr>
                <w:sz w:val="11"/>
                <w:szCs w:val="11"/>
                <w:color w:val="auto"/>
              </w:rPr>
            </w:pPr>
          </w:p>
        </w:tc>
        <w:tc>
          <w:tcPr>
            <w:tcW w:w="2360" w:type="dxa"/>
            <w:vAlign w:val="bottom"/>
            <w:tcBorders>
              <w:right w:val="single" w:sz="8" w:color="auto"/>
            </w:tcBorders>
            <w:vMerge w:val="restart"/>
          </w:tcPr>
          <w:p>
            <w:pPr>
              <w:jc w:val="right"/>
              <w:ind w:right="530"/>
              <w:spacing w:after="0"/>
              <w:rPr>
                <w:sz w:val="20"/>
                <w:szCs w:val="20"/>
                <w:color w:val="auto"/>
              </w:rPr>
            </w:pPr>
            <w:r>
              <w:rPr>
                <w:rFonts w:ascii="Arial" w:cs="Arial" w:eastAsia="Arial" w:hAnsi="Arial"/>
                <w:sz w:val="18"/>
                <w:szCs w:val="18"/>
                <w:i w:val="1"/>
                <w:iCs w:val="1"/>
                <w:color w:val="auto"/>
              </w:rPr>
              <w:t>or Resolve ($)</w:t>
            </w:r>
          </w:p>
        </w:tc>
        <w:tc>
          <w:tcPr>
            <w:tcW w:w="0" w:type="dxa"/>
            <w:vAlign w:val="bottom"/>
          </w:tcPr>
          <w:p>
            <w:pPr>
              <w:spacing w:after="0"/>
              <w:rPr>
                <w:sz w:val="1"/>
                <w:szCs w:val="1"/>
                <w:color w:val="auto"/>
              </w:rPr>
            </w:pPr>
          </w:p>
        </w:tc>
      </w:tr>
      <w:tr>
        <w:trPr>
          <w:trHeight w:val="95"/>
        </w:trPr>
        <w:tc>
          <w:tcPr>
            <w:tcW w:w="1900" w:type="dxa"/>
            <w:vAlign w:val="bottom"/>
            <w:tcBorders>
              <w:left w:val="single" w:sz="8" w:color="auto"/>
              <w:bottom w:val="single" w:sz="8" w:color="auto"/>
              <w:right w:val="single" w:sz="8" w:color="auto"/>
            </w:tcBorders>
          </w:tcPr>
          <w:p>
            <w:pPr>
              <w:spacing w:after="0"/>
              <w:rPr>
                <w:sz w:val="8"/>
                <w:szCs w:val="8"/>
                <w:color w:val="auto"/>
              </w:rPr>
            </w:pPr>
          </w:p>
        </w:tc>
        <w:tc>
          <w:tcPr>
            <w:tcW w:w="1900" w:type="dxa"/>
            <w:vAlign w:val="bottom"/>
            <w:tcBorders>
              <w:bottom w:val="single" w:sz="8" w:color="auto"/>
              <w:right w:val="single" w:sz="8" w:color="auto"/>
            </w:tcBorders>
          </w:tcPr>
          <w:p>
            <w:pPr>
              <w:spacing w:after="0"/>
              <w:rPr>
                <w:sz w:val="8"/>
                <w:szCs w:val="8"/>
                <w:color w:val="auto"/>
              </w:rPr>
            </w:pPr>
          </w:p>
        </w:tc>
        <w:tc>
          <w:tcPr>
            <w:tcW w:w="2360" w:type="dxa"/>
            <w:vAlign w:val="bottom"/>
            <w:tcBorders>
              <w:bottom w:val="single" w:sz="8" w:color="auto"/>
              <w:right w:val="single" w:sz="8" w:color="auto"/>
            </w:tcBorders>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1560" w:type="dxa"/>
            <w:vAlign w:val="bottom"/>
            <w:tcBorders>
              <w:bottom w:val="single" w:sz="8" w:color="auto"/>
              <w:right w:val="single" w:sz="8" w:color="auto"/>
            </w:tcBorders>
          </w:tcPr>
          <w:p>
            <w:pPr>
              <w:spacing w:after="0"/>
              <w:rPr>
                <w:sz w:val="8"/>
                <w:szCs w:val="8"/>
                <w:color w:val="auto"/>
              </w:rPr>
            </w:pPr>
          </w:p>
        </w:tc>
        <w:tc>
          <w:tcPr>
            <w:tcW w:w="236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90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i w:val="1"/>
                <w:iCs w:val="1"/>
                <w:color w:val="auto"/>
              </w:rPr>
              <w:t>2005</w:t>
            </w:r>
          </w:p>
        </w:tc>
        <w:tc>
          <w:tcPr>
            <w:tcW w:w="190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i w:val="1"/>
                <w:iCs w:val="1"/>
                <w:color w:val="auto"/>
              </w:rPr>
              <w:t>29,411</w:t>
            </w:r>
          </w:p>
        </w:tc>
        <w:tc>
          <w:tcPr>
            <w:tcW w:w="23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6,257</w:t>
            </w:r>
          </w:p>
        </w:tc>
        <w:tc>
          <w:tcPr>
            <w:tcW w:w="134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i w:val="1"/>
                <w:iCs w:val="1"/>
                <w:color w:val="auto"/>
              </w:rPr>
              <w:t>1,297</w:t>
            </w:r>
          </w:p>
        </w:tc>
        <w:tc>
          <w:tcPr>
            <w:tcW w:w="15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24,451</w:t>
            </w:r>
          </w:p>
        </w:tc>
        <w:tc>
          <w:tcPr>
            <w:tcW w:w="23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504</w:t>
            </w:r>
          </w:p>
        </w:tc>
        <w:tc>
          <w:tcPr>
            <w:tcW w:w="0" w:type="dxa"/>
            <w:vAlign w:val="bottom"/>
          </w:tcPr>
          <w:p>
            <w:pPr>
              <w:spacing w:after="0"/>
              <w:rPr>
                <w:sz w:val="1"/>
                <w:szCs w:val="1"/>
                <w:color w:val="auto"/>
              </w:rPr>
            </w:pPr>
          </w:p>
        </w:tc>
      </w:tr>
      <w:tr>
        <w:trPr>
          <w:trHeight w:val="196"/>
        </w:trPr>
        <w:tc>
          <w:tcPr>
            <w:tcW w:w="190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i w:val="1"/>
                <w:iCs w:val="1"/>
                <w:color w:val="auto"/>
              </w:rPr>
              <w:t>2006</w:t>
            </w:r>
          </w:p>
        </w:tc>
        <w:tc>
          <w:tcPr>
            <w:tcW w:w="190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i w:val="1"/>
                <w:iCs w:val="1"/>
                <w:color w:val="auto"/>
              </w:rPr>
              <w:t>24,451</w:t>
            </w:r>
          </w:p>
        </w:tc>
        <w:tc>
          <w:tcPr>
            <w:tcW w:w="23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6,841</w:t>
            </w:r>
          </w:p>
        </w:tc>
        <w:tc>
          <w:tcPr>
            <w:tcW w:w="134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i w:val="1"/>
                <w:iCs w:val="1"/>
                <w:color w:val="auto"/>
              </w:rPr>
              <w:t>1,806</w:t>
            </w:r>
          </w:p>
        </w:tc>
        <w:tc>
          <w:tcPr>
            <w:tcW w:w="15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19,416</w:t>
            </w:r>
          </w:p>
        </w:tc>
        <w:tc>
          <w:tcPr>
            <w:tcW w:w="23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3,879</w:t>
            </w:r>
          </w:p>
        </w:tc>
        <w:tc>
          <w:tcPr>
            <w:tcW w:w="0" w:type="dxa"/>
            <w:vAlign w:val="bottom"/>
          </w:tcPr>
          <w:p>
            <w:pPr>
              <w:spacing w:after="0"/>
              <w:rPr>
                <w:sz w:val="1"/>
                <w:szCs w:val="1"/>
                <w:color w:val="auto"/>
              </w:rPr>
            </w:pPr>
          </w:p>
        </w:tc>
      </w:tr>
      <w:tr>
        <w:trPr>
          <w:trHeight w:val="196"/>
        </w:trPr>
        <w:tc>
          <w:tcPr>
            <w:tcW w:w="190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i w:val="1"/>
                <w:iCs w:val="1"/>
                <w:color w:val="auto"/>
              </w:rPr>
              <w:t>2007</w:t>
            </w:r>
          </w:p>
        </w:tc>
        <w:tc>
          <w:tcPr>
            <w:tcW w:w="190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i w:val="1"/>
                <w:iCs w:val="1"/>
                <w:color w:val="auto"/>
              </w:rPr>
              <w:t>19,416</w:t>
            </w:r>
          </w:p>
        </w:tc>
        <w:tc>
          <w:tcPr>
            <w:tcW w:w="23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808</w:t>
            </w:r>
          </w:p>
        </w:tc>
        <w:tc>
          <w:tcPr>
            <w:tcW w:w="134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i w:val="1"/>
                <w:iCs w:val="1"/>
                <w:color w:val="auto"/>
              </w:rPr>
              <w:t>190</w:t>
            </w:r>
          </w:p>
        </w:tc>
        <w:tc>
          <w:tcPr>
            <w:tcW w:w="15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18,798</w:t>
            </w:r>
          </w:p>
        </w:tc>
        <w:tc>
          <w:tcPr>
            <w:tcW w:w="23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15</w:t>
            </w:r>
          </w:p>
        </w:tc>
        <w:tc>
          <w:tcPr>
            <w:tcW w:w="0" w:type="dxa"/>
            <w:vAlign w:val="bottom"/>
          </w:tcPr>
          <w:p>
            <w:pPr>
              <w:spacing w:after="0"/>
              <w:rPr>
                <w:sz w:val="1"/>
                <w:szCs w:val="1"/>
                <w:color w:val="auto"/>
              </w:rPr>
            </w:pPr>
          </w:p>
        </w:tc>
      </w:tr>
      <w:tr>
        <w:trPr>
          <w:trHeight w:val="196"/>
        </w:trPr>
        <w:tc>
          <w:tcPr>
            <w:tcW w:w="190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i w:val="1"/>
                <w:iCs w:val="1"/>
                <w:color w:val="auto"/>
              </w:rPr>
              <w:t>2008</w:t>
            </w:r>
          </w:p>
        </w:tc>
        <w:tc>
          <w:tcPr>
            <w:tcW w:w="190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i w:val="1"/>
                <w:iCs w:val="1"/>
                <w:color w:val="auto"/>
              </w:rPr>
              <w:t>18,798</w:t>
            </w:r>
          </w:p>
        </w:tc>
        <w:tc>
          <w:tcPr>
            <w:tcW w:w="23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523</w:t>
            </w:r>
          </w:p>
        </w:tc>
        <w:tc>
          <w:tcPr>
            <w:tcW w:w="134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i w:val="1"/>
                <w:iCs w:val="1"/>
                <w:color w:val="auto"/>
              </w:rPr>
              <w:t>110</w:t>
            </w:r>
          </w:p>
        </w:tc>
        <w:tc>
          <w:tcPr>
            <w:tcW w:w="15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18,385</w:t>
            </w:r>
          </w:p>
        </w:tc>
        <w:tc>
          <w:tcPr>
            <w:tcW w:w="23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52</w:t>
            </w:r>
          </w:p>
        </w:tc>
        <w:tc>
          <w:tcPr>
            <w:tcW w:w="0" w:type="dxa"/>
            <w:vAlign w:val="bottom"/>
          </w:tcPr>
          <w:p>
            <w:pPr>
              <w:spacing w:after="0"/>
              <w:rPr>
                <w:sz w:val="1"/>
                <w:szCs w:val="1"/>
                <w:color w:val="auto"/>
              </w:rPr>
            </w:pPr>
          </w:p>
        </w:tc>
      </w:tr>
      <w:tr>
        <w:trPr>
          <w:trHeight w:val="196"/>
        </w:trPr>
        <w:tc>
          <w:tcPr>
            <w:tcW w:w="190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i w:val="1"/>
                <w:iCs w:val="1"/>
                <w:color w:val="auto"/>
              </w:rPr>
              <w:t>2009</w:t>
            </w:r>
          </w:p>
        </w:tc>
        <w:tc>
          <w:tcPr>
            <w:tcW w:w="190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i w:val="1"/>
                <w:iCs w:val="1"/>
                <w:color w:val="auto"/>
              </w:rPr>
              <w:t>18,385</w:t>
            </w:r>
          </w:p>
        </w:tc>
        <w:tc>
          <w:tcPr>
            <w:tcW w:w="23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9,482</w:t>
            </w:r>
          </w:p>
        </w:tc>
        <w:tc>
          <w:tcPr>
            <w:tcW w:w="134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i w:val="1"/>
                <w:iCs w:val="1"/>
                <w:color w:val="auto"/>
              </w:rPr>
              <w:t>42</w:t>
            </w:r>
          </w:p>
        </w:tc>
        <w:tc>
          <w:tcPr>
            <w:tcW w:w="15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8,945</w:t>
            </w:r>
          </w:p>
        </w:tc>
        <w:tc>
          <w:tcPr>
            <w:tcW w:w="23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88</w:t>
            </w:r>
          </w:p>
        </w:tc>
        <w:tc>
          <w:tcPr>
            <w:tcW w:w="0" w:type="dxa"/>
            <w:vAlign w:val="bottom"/>
          </w:tcPr>
          <w:p>
            <w:pPr>
              <w:spacing w:after="0"/>
              <w:rPr>
                <w:sz w:val="1"/>
                <w:szCs w:val="1"/>
                <w:color w:val="auto"/>
              </w:rPr>
            </w:pPr>
          </w:p>
        </w:tc>
      </w:tr>
      <w:tr>
        <w:trPr>
          <w:trHeight w:val="196"/>
        </w:trPr>
        <w:tc>
          <w:tcPr>
            <w:tcW w:w="190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i w:val="1"/>
                <w:iCs w:val="1"/>
                <w:color w:val="auto"/>
              </w:rPr>
              <w:t>2010</w:t>
            </w:r>
          </w:p>
        </w:tc>
        <w:tc>
          <w:tcPr>
            <w:tcW w:w="190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i w:val="1"/>
                <w:iCs w:val="1"/>
                <w:color w:val="auto"/>
              </w:rPr>
              <w:t>8,945</w:t>
            </w:r>
          </w:p>
        </w:tc>
        <w:tc>
          <w:tcPr>
            <w:tcW w:w="23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3,963</w:t>
            </w:r>
          </w:p>
        </w:tc>
        <w:tc>
          <w:tcPr>
            <w:tcW w:w="134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i w:val="1"/>
                <w:iCs w:val="1"/>
                <w:color w:val="auto"/>
              </w:rPr>
              <w:t>188</w:t>
            </w:r>
          </w:p>
        </w:tc>
        <w:tc>
          <w:tcPr>
            <w:tcW w:w="15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5,170</w:t>
            </w:r>
          </w:p>
        </w:tc>
        <w:tc>
          <w:tcPr>
            <w:tcW w:w="23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159</w:t>
            </w:r>
          </w:p>
        </w:tc>
        <w:tc>
          <w:tcPr>
            <w:tcW w:w="0" w:type="dxa"/>
            <w:vAlign w:val="bottom"/>
          </w:tcPr>
          <w:p>
            <w:pPr>
              <w:spacing w:after="0"/>
              <w:rPr>
                <w:sz w:val="1"/>
                <w:szCs w:val="1"/>
                <w:color w:val="auto"/>
              </w:rPr>
            </w:pPr>
          </w:p>
        </w:tc>
      </w:tr>
      <w:tr>
        <w:trPr>
          <w:trHeight w:val="196"/>
        </w:trPr>
        <w:tc>
          <w:tcPr>
            <w:tcW w:w="190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i w:val="1"/>
                <w:iCs w:val="1"/>
                <w:color w:val="auto"/>
              </w:rPr>
              <w:t>2011</w:t>
            </w:r>
          </w:p>
        </w:tc>
        <w:tc>
          <w:tcPr>
            <w:tcW w:w="190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i w:val="1"/>
                <w:iCs w:val="1"/>
                <w:color w:val="auto"/>
              </w:rPr>
              <w:t>5,170</w:t>
            </w:r>
          </w:p>
        </w:tc>
        <w:tc>
          <w:tcPr>
            <w:tcW w:w="23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789</w:t>
            </w:r>
          </w:p>
        </w:tc>
        <w:tc>
          <w:tcPr>
            <w:tcW w:w="134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i w:val="1"/>
                <w:iCs w:val="1"/>
                <w:color w:val="auto"/>
              </w:rPr>
              <w:t>65</w:t>
            </w:r>
          </w:p>
        </w:tc>
        <w:tc>
          <w:tcPr>
            <w:tcW w:w="15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4,446</w:t>
            </w:r>
          </w:p>
        </w:tc>
        <w:tc>
          <w:tcPr>
            <w:tcW w:w="23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1,111</w:t>
            </w:r>
          </w:p>
        </w:tc>
        <w:tc>
          <w:tcPr>
            <w:tcW w:w="0" w:type="dxa"/>
            <w:vAlign w:val="bottom"/>
          </w:tcPr>
          <w:p>
            <w:pPr>
              <w:spacing w:after="0"/>
              <w:rPr>
                <w:sz w:val="1"/>
                <w:szCs w:val="1"/>
                <w:color w:val="auto"/>
              </w:rPr>
            </w:pPr>
          </w:p>
        </w:tc>
      </w:tr>
      <w:tr>
        <w:trPr>
          <w:trHeight w:val="196"/>
        </w:trPr>
        <w:tc>
          <w:tcPr>
            <w:tcW w:w="190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b w:val="1"/>
                <w:bCs w:val="1"/>
                <w:i w:val="1"/>
                <w:iCs w:val="1"/>
                <w:color w:val="auto"/>
              </w:rPr>
              <w:t>2012 to date</w:t>
            </w:r>
          </w:p>
        </w:tc>
        <w:tc>
          <w:tcPr>
            <w:tcW w:w="190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i w:val="1"/>
                <w:iCs w:val="1"/>
                <w:color w:val="auto"/>
              </w:rPr>
              <w:t>4,446</w:t>
            </w:r>
          </w:p>
        </w:tc>
        <w:tc>
          <w:tcPr>
            <w:tcW w:w="23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i w:val="1"/>
                <w:iCs w:val="1"/>
                <w:color w:val="auto"/>
              </w:rPr>
              <w:t>40</w:t>
            </w:r>
          </w:p>
        </w:tc>
        <w:tc>
          <w:tcPr>
            <w:tcW w:w="134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i w:val="1"/>
                <w:iCs w:val="1"/>
                <w:color w:val="auto"/>
              </w:rPr>
              <w:t>34</w:t>
            </w:r>
          </w:p>
        </w:tc>
        <w:tc>
          <w:tcPr>
            <w:tcW w:w="15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i w:val="1"/>
                <w:iCs w:val="1"/>
                <w:color w:val="auto"/>
              </w:rPr>
              <w:t>4,440</w:t>
            </w:r>
          </w:p>
        </w:tc>
        <w:tc>
          <w:tcPr>
            <w:tcW w:w="23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i w:val="1"/>
                <w:iCs w:val="1"/>
                <w:color w:val="auto"/>
              </w:rPr>
              <w:t>513</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right="40"/>
        <w:spacing w:after="0" w:line="246" w:lineRule="auto"/>
        <w:rPr>
          <w:sz w:val="20"/>
          <w:szCs w:val="20"/>
          <w:color w:val="auto"/>
        </w:rPr>
      </w:pPr>
      <w:r>
        <w:rPr>
          <w:rFonts w:ascii="Arial" w:cs="Arial" w:eastAsia="Arial" w:hAnsi="Arial"/>
          <w:sz w:val="18"/>
          <w:szCs w:val="18"/>
          <w:color w:val="auto"/>
        </w:rPr>
        <w:t>We anticipate that additional claims will be filed against the Company and related companies in the future, but are unable to predict the number and timing of such future claims.</w:t>
      </w:r>
    </w:p>
    <w:p>
      <w:pPr>
        <w:spacing w:after="0" w:line="89"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Exposure and disease information sufficiently meaningful to estimate a range of possible loss of a particular claim is typically not available until late in the discovery process, and often not until a trial date is imminent and a settlement demand has been received. For these reasons, we do not believe a meaningful estimate can be made regarding the range of possible loss with respect to pending or future claims.</w:t>
      </w:r>
    </w:p>
    <w:p>
      <w:pPr>
        <w:spacing w:after="0" w:line="95"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While we believe we have meritorious defenses to these claims, we have settled certain claims for amounts we consider reasonable given the facts and circumstances of each case. Our insurer, Liberty Mutual, has defended each case and funded settlements under a standard reservation of rights. As of April 25, 2012, we had resolved, by means of settlement or dismissal, 36,320 claims. The total cost of resolving all claims was $8,628,500. Of this amount, almost 100% was paid by our insurance carrier. The Company has approximately $130 million in confirmed insurance coverage that should be available with respect to current and future asbestos claims, as well as additional insurance coverage that we should be able to access.</w:t>
      </w:r>
    </w:p>
    <w:p>
      <w:pPr>
        <w:spacing w:after="0" w:line="9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Brandon Drying Fabrics, Inc. (“Brandon”), a subsidiary of Geschmay Corp., which is a subsidiary of the Company, is also a separate defendant in many of the asbestos cases in which Albany is named as a defendant. Brandon was defending against 7,874 claims as of April 25, 2012.</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7" w:name="page28"/>
    <w:bookmarkEnd w:id="27"/>
    <w:p>
      <w:pPr>
        <w:ind w:right="440"/>
        <w:spacing w:after="0" w:line="24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70"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1980" w:type="dxa"/>
            <w:vAlign w:val="bottom"/>
            <w:tcBorders>
              <w:top w:val="single" w:sz="8" w:color="auto"/>
              <w:left w:val="single" w:sz="8" w:color="auto"/>
              <w:right w:val="single" w:sz="8" w:color="auto"/>
            </w:tcBorders>
            <w:vMerge w:val="restart"/>
          </w:tcPr>
          <w:p>
            <w:pPr>
              <w:ind w:left="500"/>
              <w:spacing w:after="0"/>
              <w:rPr>
                <w:sz w:val="20"/>
                <w:szCs w:val="20"/>
                <w:color w:val="auto"/>
              </w:rPr>
            </w:pPr>
            <w:r>
              <w:rPr>
                <w:rFonts w:ascii="Arial" w:cs="Arial" w:eastAsia="Arial" w:hAnsi="Arial"/>
                <w:sz w:val="18"/>
                <w:szCs w:val="18"/>
                <w:i w:val="1"/>
                <w:iCs w:val="1"/>
                <w:color w:val="auto"/>
              </w:rPr>
              <w:t>Year ended</w:t>
            </w:r>
          </w:p>
        </w:tc>
        <w:tc>
          <w:tcPr>
            <w:tcW w:w="1940" w:type="dxa"/>
            <w:vAlign w:val="bottom"/>
            <w:tcBorders>
              <w:top w:val="single" w:sz="8" w:color="auto"/>
              <w:right w:val="single" w:sz="8" w:color="auto"/>
            </w:tcBorders>
            <w:vMerge w:val="restart"/>
          </w:tcPr>
          <w:p>
            <w:pPr>
              <w:jc w:val="right"/>
              <w:ind w:right="230"/>
              <w:spacing w:after="0"/>
              <w:rPr>
                <w:sz w:val="20"/>
                <w:szCs w:val="20"/>
                <w:color w:val="auto"/>
              </w:rPr>
            </w:pPr>
            <w:r>
              <w:rPr>
                <w:rFonts w:ascii="Arial" w:cs="Arial" w:eastAsia="Arial" w:hAnsi="Arial"/>
                <w:sz w:val="18"/>
                <w:szCs w:val="18"/>
                <w:i w:val="1"/>
                <w:iCs w:val="1"/>
                <w:color w:val="auto"/>
              </w:rPr>
              <w:t>Opening Number</w:t>
            </w:r>
          </w:p>
        </w:tc>
        <w:tc>
          <w:tcPr>
            <w:tcW w:w="2380" w:type="dxa"/>
            <w:vAlign w:val="bottom"/>
            <w:tcBorders>
              <w:top w:val="single" w:sz="8" w:color="auto"/>
              <w:right w:val="single" w:sz="8" w:color="auto"/>
            </w:tcBorders>
            <w:vMerge w:val="restart"/>
          </w:tcPr>
          <w:p>
            <w:pPr>
              <w:jc w:val="right"/>
              <w:ind w:right="390"/>
              <w:spacing w:after="0"/>
              <w:rPr>
                <w:sz w:val="20"/>
                <w:szCs w:val="20"/>
                <w:color w:val="auto"/>
              </w:rPr>
            </w:pPr>
            <w:r>
              <w:rPr>
                <w:rFonts w:ascii="Arial" w:cs="Arial" w:eastAsia="Arial" w:hAnsi="Arial"/>
                <w:sz w:val="18"/>
                <w:szCs w:val="18"/>
                <w:i w:val="1"/>
                <w:iCs w:val="1"/>
                <w:color w:val="auto"/>
              </w:rPr>
              <w:t>Claims Dismissed,</w:t>
            </w:r>
          </w:p>
        </w:tc>
        <w:tc>
          <w:tcPr>
            <w:tcW w:w="1380" w:type="dxa"/>
            <w:vAlign w:val="bottom"/>
            <w:tcBorders>
              <w:top w:val="single" w:sz="8" w:color="auto"/>
              <w:right w:val="single" w:sz="8" w:color="auto"/>
            </w:tcBorders>
          </w:tcPr>
          <w:p>
            <w:pPr>
              <w:spacing w:after="0"/>
              <w:rPr>
                <w:sz w:val="17"/>
                <w:szCs w:val="17"/>
                <w:color w:val="auto"/>
              </w:rPr>
            </w:pPr>
          </w:p>
        </w:tc>
        <w:tc>
          <w:tcPr>
            <w:tcW w:w="1360" w:type="dxa"/>
            <w:vAlign w:val="bottom"/>
            <w:tcBorders>
              <w:top w:val="single" w:sz="8" w:color="auto"/>
              <w:right w:val="single" w:sz="8" w:color="auto"/>
            </w:tcBorders>
          </w:tcPr>
          <w:p>
            <w:pPr>
              <w:jc w:val="center"/>
              <w:spacing w:after="0" w:line="197" w:lineRule="exact"/>
              <w:rPr>
                <w:sz w:val="20"/>
                <w:szCs w:val="20"/>
                <w:color w:val="auto"/>
              </w:rPr>
            </w:pPr>
            <w:r>
              <w:rPr>
                <w:rFonts w:ascii="Arial" w:cs="Arial" w:eastAsia="Arial" w:hAnsi="Arial"/>
                <w:sz w:val="18"/>
                <w:szCs w:val="18"/>
                <w:i w:val="1"/>
                <w:iCs w:val="1"/>
                <w:color w:val="auto"/>
                <w:w w:val="99"/>
              </w:rPr>
              <w:t>Closing</w:t>
            </w:r>
          </w:p>
        </w:tc>
        <w:tc>
          <w:tcPr>
            <w:tcW w:w="2380" w:type="dxa"/>
            <w:vAlign w:val="bottom"/>
            <w:tcBorders>
              <w:top w:val="single" w:sz="8" w:color="auto"/>
              <w:right w:val="single" w:sz="8" w:color="auto"/>
            </w:tcBorders>
          </w:tcPr>
          <w:p>
            <w:pPr>
              <w:jc w:val="right"/>
              <w:ind w:right="570"/>
              <w:spacing w:after="0" w:line="197" w:lineRule="exact"/>
              <w:rPr>
                <w:sz w:val="20"/>
                <w:szCs w:val="20"/>
                <w:color w:val="auto"/>
              </w:rPr>
            </w:pPr>
            <w:r>
              <w:rPr>
                <w:rFonts w:ascii="Arial" w:cs="Arial" w:eastAsia="Arial" w:hAnsi="Arial"/>
                <w:sz w:val="18"/>
                <w:szCs w:val="18"/>
                <w:i w:val="1"/>
                <w:iCs w:val="1"/>
                <w:color w:val="auto"/>
              </w:rPr>
              <w:t>Amounts Paid</w:t>
            </w:r>
          </w:p>
        </w:tc>
        <w:tc>
          <w:tcPr>
            <w:tcW w:w="0" w:type="dxa"/>
            <w:vAlign w:val="bottom"/>
          </w:tcPr>
          <w:p>
            <w:pPr>
              <w:spacing w:after="0"/>
              <w:rPr>
                <w:sz w:val="1"/>
                <w:szCs w:val="1"/>
                <w:color w:val="auto"/>
              </w:rPr>
            </w:pPr>
          </w:p>
        </w:tc>
      </w:tr>
      <w:tr>
        <w:trPr>
          <w:trHeight w:val="95"/>
        </w:trPr>
        <w:tc>
          <w:tcPr>
            <w:tcW w:w="1980" w:type="dxa"/>
            <w:vAlign w:val="bottom"/>
            <w:tcBorders>
              <w:left w:val="single" w:sz="8" w:color="auto"/>
              <w:right w:val="single" w:sz="8" w:color="auto"/>
            </w:tcBorders>
            <w:vMerge w:val="continue"/>
          </w:tcPr>
          <w:p>
            <w:pPr>
              <w:spacing w:after="0"/>
              <w:rPr>
                <w:sz w:val="8"/>
                <w:szCs w:val="8"/>
                <w:color w:val="auto"/>
              </w:rPr>
            </w:pPr>
          </w:p>
        </w:tc>
        <w:tc>
          <w:tcPr>
            <w:tcW w:w="1940" w:type="dxa"/>
            <w:vAlign w:val="bottom"/>
            <w:tcBorders>
              <w:right w:val="single" w:sz="8" w:color="auto"/>
            </w:tcBorders>
            <w:vMerge w:val="continue"/>
          </w:tcPr>
          <w:p>
            <w:pPr>
              <w:spacing w:after="0"/>
              <w:rPr>
                <w:sz w:val="8"/>
                <w:szCs w:val="8"/>
                <w:color w:val="auto"/>
              </w:rPr>
            </w:pPr>
          </w:p>
        </w:tc>
        <w:tc>
          <w:tcPr>
            <w:tcW w:w="2380" w:type="dxa"/>
            <w:vAlign w:val="bottom"/>
            <w:tcBorders>
              <w:right w:val="single" w:sz="8" w:color="auto"/>
            </w:tcBorders>
            <w:vMerge w:val="continue"/>
          </w:tcPr>
          <w:p>
            <w:pPr>
              <w:spacing w:after="0"/>
              <w:rPr>
                <w:sz w:val="8"/>
                <w:szCs w:val="8"/>
                <w:color w:val="auto"/>
              </w:rPr>
            </w:pPr>
          </w:p>
        </w:tc>
        <w:tc>
          <w:tcPr>
            <w:tcW w:w="1380" w:type="dxa"/>
            <w:vAlign w:val="bottom"/>
            <w:tcBorders>
              <w:right w:val="single" w:sz="8" w:color="auto"/>
            </w:tcBorders>
            <w:vMerge w:val="restart"/>
          </w:tcPr>
          <w:p>
            <w:pPr>
              <w:jc w:val="right"/>
              <w:ind w:right="130"/>
              <w:spacing w:after="0" w:line="202" w:lineRule="exact"/>
              <w:rPr>
                <w:sz w:val="20"/>
                <w:szCs w:val="20"/>
                <w:color w:val="auto"/>
              </w:rPr>
            </w:pPr>
            <w:r>
              <w:rPr>
                <w:rFonts w:ascii="Arial" w:cs="Arial" w:eastAsia="Arial" w:hAnsi="Arial"/>
                <w:sz w:val="18"/>
                <w:szCs w:val="18"/>
                <w:i w:val="1"/>
                <w:iCs w:val="1"/>
                <w:color w:val="auto"/>
              </w:rPr>
              <w:t>New Claims</w:t>
            </w:r>
          </w:p>
        </w:tc>
        <w:tc>
          <w:tcPr>
            <w:tcW w:w="136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i w:val="1"/>
                <w:iCs w:val="1"/>
                <w:color w:val="auto"/>
                <w:w w:val="99"/>
              </w:rPr>
              <w:t>Number</w:t>
            </w:r>
          </w:p>
        </w:tc>
        <w:tc>
          <w:tcPr>
            <w:tcW w:w="2380" w:type="dxa"/>
            <w:vAlign w:val="bottom"/>
            <w:tcBorders>
              <w:right w:val="single" w:sz="8" w:color="auto"/>
            </w:tcBorders>
            <w:vMerge w:val="restart"/>
          </w:tcPr>
          <w:p>
            <w:pPr>
              <w:jc w:val="right"/>
              <w:ind w:right="310"/>
              <w:spacing w:after="0" w:line="202" w:lineRule="exact"/>
              <w:rPr>
                <w:sz w:val="20"/>
                <w:szCs w:val="20"/>
                <w:color w:val="auto"/>
              </w:rPr>
            </w:pPr>
            <w:r>
              <w:rPr>
                <w:rFonts w:ascii="Arial" w:cs="Arial" w:eastAsia="Arial" w:hAnsi="Arial"/>
                <w:sz w:val="18"/>
                <w:szCs w:val="18"/>
                <w:i w:val="1"/>
                <w:iCs w:val="1"/>
                <w:color w:val="auto"/>
              </w:rPr>
              <w:t>(thousands) to Settle</w:t>
            </w:r>
          </w:p>
        </w:tc>
        <w:tc>
          <w:tcPr>
            <w:tcW w:w="0" w:type="dxa"/>
            <w:vAlign w:val="bottom"/>
          </w:tcPr>
          <w:p>
            <w:pPr>
              <w:spacing w:after="0"/>
              <w:rPr>
                <w:sz w:val="1"/>
                <w:szCs w:val="1"/>
                <w:color w:val="auto"/>
              </w:rPr>
            </w:pPr>
          </w:p>
        </w:tc>
      </w:tr>
      <w:tr>
        <w:trPr>
          <w:trHeight w:val="108"/>
        </w:trPr>
        <w:tc>
          <w:tcPr>
            <w:tcW w:w="1980" w:type="dxa"/>
            <w:vAlign w:val="bottom"/>
            <w:tcBorders>
              <w:left w:val="single" w:sz="8" w:color="auto"/>
              <w:right w:val="single" w:sz="8" w:color="auto"/>
            </w:tcBorders>
            <w:vMerge w:val="restart"/>
          </w:tcPr>
          <w:p>
            <w:pPr>
              <w:ind w:left="420"/>
              <w:spacing w:after="0"/>
              <w:rPr>
                <w:sz w:val="20"/>
                <w:szCs w:val="20"/>
                <w:color w:val="auto"/>
              </w:rPr>
            </w:pPr>
            <w:r>
              <w:rPr>
                <w:rFonts w:ascii="Arial" w:cs="Arial" w:eastAsia="Arial" w:hAnsi="Arial"/>
                <w:sz w:val="18"/>
                <w:szCs w:val="18"/>
                <w:i w:val="1"/>
                <w:iCs w:val="1"/>
                <w:color w:val="auto"/>
              </w:rPr>
              <w:t>December 31,</w:t>
            </w:r>
          </w:p>
        </w:tc>
        <w:tc>
          <w:tcPr>
            <w:tcW w:w="1940" w:type="dxa"/>
            <w:vAlign w:val="bottom"/>
            <w:tcBorders>
              <w:right w:val="single" w:sz="8" w:color="auto"/>
            </w:tcBorders>
            <w:vMerge w:val="restart"/>
          </w:tcPr>
          <w:p>
            <w:pPr>
              <w:jc w:val="right"/>
              <w:ind w:right="530"/>
              <w:spacing w:after="0"/>
              <w:rPr>
                <w:sz w:val="20"/>
                <w:szCs w:val="20"/>
                <w:color w:val="auto"/>
              </w:rPr>
            </w:pPr>
            <w:r>
              <w:rPr>
                <w:rFonts w:ascii="Arial" w:cs="Arial" w:eastAsia="Arial" w:hAnsi="Arial"/>
                <w:sz w:val="18"/>
                <w:szCs w:val="18"/>
                <w:i w:val="1"/>
                <w:iCs w:val="1"/>
                <w:color w:val="auto"/>
              </w:rPr>
              <w:t>of Claims</w:t>
            </w:r>
          </w:p>
        </w:tc>
        <w:tc>
          <w:tcPr>
            <w:tcW w:w="2380" w:type="dxa"/>
            <w:vAlign w:val="bottom"/>
            <w:tcBorders>
              <w:right w:val="single" w:sz="8" w:color="auto"/>
            </w:tcBorders>
            <w:vMerge w:val="restart"/>
          </w:tcPr>
          <w:p>
            <w:pPr>
              <w:jc w:val="right"/>
              <w:ind w:right="310"/>
              <w:spacing w:after="0"/>
              <w:rPr>
                <w:sz w:val="20"/>
                <w:szCs w:val="20"/>
                <w:color w:val="auto"/>
              </w:rPr>
            </w:pPr>
            <w:r>
              <w:rPr>
                <w:rFonts w:ascii="Arial" w:cs="Arial" w:eastAsia="Arial" w:hAnsi="Arial"/>
                <w:sz w:val="18"/>
                <w:szCs w:val="18"/>
                <w:i w:val="1"/>
                <w:iCs w:val="1"/>
                <w:color w:val="auto"/>
              </w:rPr>
              <w:t>Settled, or Resolved</w:t>
            </w:r>
          </w:p>
        </w:tc>
        <w:tc>
          <w:tcPr>
            <w:tcW w:w="138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23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980" w:type="dxa"/>
            <w:vAlign w:val="bottom"/>
            <w:tcBorders>
              <w:left w:val="single" w:sz="8" w:color="auto"/>
              <w:right w:val="single" w:sz="8" w:color="auto"/>
            </w:tcBorders>
            <w:vMerge w:val="continue"/>
          </w:tcPr>
          <w:p>
            <w:pPr>
              <w:spacing w:after="0"/>
              <w:rPr>
                <w:sz w:val="11"/>
                <w:szCs w:val="11"/>
                <w:color w:val="auto"/>
              </w:rPr>
            </w:pPr>
          </w:p>
        </w:tc>
        <w:tc>
          <w:tcPr>
            <w:tcW w:w="1940" w:type="dxa"/>
            <w:vAlign w:val="bottom"/>
            <w:tcBorders>
              <w:right w:val="single" w:sz="8" w:color="auto"/>
            </w:tcBorders>
            <w:vMerge w:val="continue"/>
          </w:tcPr>
          <w:p>
            <w:pPr>
              <w:spacing w:after="0"/>
              <w:rPr>
                <w:sz w:val="11"/>
                <w:szCs w:val="11"/>
                <w:color w:val="auto"/>
              </w:rPr>
            </w:pPr>
          </w:p>
        </w:tc>
        <w:tc>
          <w:tcPr>
            <w:tcW w:w="2380" w:type="dxa"/>
            <w:vAlign w:val="bottom"/>
            <w:tcBorders>
              <w:right w:val="single" w:sz="8" w:color="auto"/>
            </w:tcBorders>
            <w:vMerge w:val="continue"/>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i w:val="1"/>
                <w:iCs w:val="1"/>
                <w:color w:val="auto"/>
              </w:rPr>
              <w:t>of Claims</w:t>
            </w:r>
          </w:p>
        </w:tc>
        <w:tc>
          <w:tcPr>
            <w:tcW w:w="2380" w:type="dxa"/>
            <w:vAlign w:val="bottom"/>
            <w:tcBorders>
              <w:right w:val="single" w:sz="8" w:color="auto"/>
            </w:tcBorders>
            <w:vMerge w:val="restart"/>
          </w:tcPr>
          <w:p>
            <w:pPr>
              <w:jc w:val="right"/>
              <w:ind w:right="550"/>
              <w:spacing w:after="0"/>
              <w:rPr>
                <w:sz w:val="20"/>
                <w:szCs w:val="20"/>
                <w:color w:val="auto"/>
              </w:rPr>
            </w:pPr>
            <w:r>
              <w:rPr>
                <w:rFonts w:ascii="Arial" w:cs="Arial" w:eastAsia="Arial" w:hAnsi="Arial"/>
                <w:sz w:val="18"/>
                <w:szCs w:val="18"/>
                <w:i w:val="1"/>
                <w:iCs w:val="1"/>
                <w:color w:val="auto"/>
              </w:rPr>
              <w:t>or Resolve ($)</w:t>
            </w:r>
          </w:p>
        </w:tc>
        <w:tc>
          <w:tcPr>
            <w:tcW w:w="0" w:type="dxa"/>
            <w:vAlign w:val="bottom"/>
          </w:tcPr>
          <w:p>
            <w:pPr>
              <w:spacing w:after="0"/>
              <w:rPr>
                <w:sz w:val="1"/>
                <w:szCs w:val="1"/>
                <w:color w:val="auto"/>
              </w:rPr>
            </w:pPr>
          </w:p>
        </w:tc>
      </w:tr>
      <w:tr>
        <w:trPr>
          <w:trHeight w:val="95"/>
        </w:trPr>
        <w:tc>
          <w:tcPr>
            <w:tcW w:w="1980" w:type="dxa"/>
            <w:vAlign w:val="bottom"/>
            <w:tcBorders>
              <w:left w:val="single" w:sz="8" w:color="auto"/>
              <w:bottom w:val="single" w:sz="8" w:color="auto"/>
              <w:right w:val="single" w:sz="8" w:color="auto"/>
            </w:tcBorders>
          </w:tcPr>
          <w:p>
            <w:pPr>
              <w:spacing w:after="0"/>
              <w:rPr>
                <w:sz w:val="8"/>
                <w:szCs w:val="8"/>
                <w:color w:val="auto"/>
              </w:rPr>
            </w:pPr>
          </w:p>
        </w:tc>
        <w:tc>
          <w:tcPr>
            <w:tcW w:w="1940" w:type="dxa"/>
            <w:vAlign w:val="bottom"/>
            <w:tcBorders>
              <w:bottom w:val="single" w:sz="8" w:color="auto"/>
              <w:right w:val="single" w:sz="8" w:color="auto"/>
            </w:tcBorders>
          </w:tcPr>
          <w:p>
            <w:pPr>
              <w:spacing w:after="0"/>
              <w:rPr>
                <w:sz w:val="8"/>
                <w:szCs w:val="8"/>
                <w:color w:val="auto"/>
              </w:rPr>
            </w:pPr>
          </w:p>
        </w:tc>
        <w:tc>
          <w:tcPr>
            <w:tcW w:w="238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right w:val="single" w:sz="8" w:color="auto"/>
            </w:tcBorders>
          </w:tcPr>
          <w:p>
            <w:pPr>
              <w:spacing w:after="0"/>
              <w:rPr>
                <w:sz w:val="8"/>
                <w:szCs w:val="8"/>
                <w:color w:val="auto"/>
              </w:rPr>
            </w:pPr>
          </w:p>
        </w:tc>
        <w:tc>
          <w:tcPr>
            <w:tcW w:w="1360" w:type="dxa"/>
            <w:vAlign w:val="bottom"/>
            <w:tcBorders>
              <w:bottom w:val="single" w:sz="8" w:color="auto"/>
              <w:right w:val="single" w:sz="8" w:color="auto"/>
            </w:tcBorders>
            <w:vMerge w:val="continue"/>
          </w:tcPr>
          <w:p>
            <w:pPr>
              <w:spacing w:after="0"/>
              <w:rPr>
                <w:sz w:val="8"/>
                <w:szCs w:val="8"/>
                <w:color w:val="auto"/>
              </w:rPr>
            </w:pPr>
          </w:p>
        </w:tc>
        <w:tc>
          <w:tcPr>
            <w:tcW w:w="238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98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i w:val="1"/>
                <w:iCs w:val="1"/>
                <w:color w:val="auto"/>
              </w:rPr>
              <w:t>2005</w:t>
            </w:r>
          </w:p>
        </w:tc>
        <w:tc>
          <w:tcPr>
            <w:tcW w:w="194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9,985</w:t>
            </w:r>
          </w:p>
        </w:tc>
        <w:tc>
          <w:tcPr>
            <w:tcW w:w="238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i w:val="1"/>
                <w:iCs w:val="1"/>
                <w:color w:val="auto"/>
              </w:rPr>
              <w:t>642</w:t>
            </w:r>
          </w:p>
        </w:tc>
        <w:tc>
          <w:tcPr>
            <w:tcW w:w="13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223</w:t>
            </w:r>
          </w:p>
        </w:tc>
        <w:tc>
          <w:tcPr>
            <w:tcW w:w="13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9,566</w:t>
            </w:r>
          </w:p>
        </w:tc>
        <w:tc>
          <w:tcPr>
            <w:tcW w:w="23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r>
        <w:trPr>
          <w:trHeight w:val="196"/>
        </w:trPr>
        <w:tc>
          <w:tcPr>
            <w:tcW w:w="198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i w:val="1"/>
                <w:iCs w:val="1"/>
                <w:color w:val="auto"/>
              </w:rPr>
              <w:t>2006</w:t>
            </w:r>
          </w:p>
        </w:tc>
        <w:tc>
          <w:tcPr>
            <w:tcW w:w="194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9,566</w:t>
            </w:r>
          </w:p>
        </w:tc>
        <w:tc>
          <w:tcPr>
            <w:tcW w:w="238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i w:val="1"/>
                <w:iCs w:val="1"/>
                <w:color w:val="auto"/>
              </w:rPr>
              <w:t>1,182</w:t>
            </w:r>
          </w:p>
        </w:tc>
        <w:tc>
          <w:tcPr>
            <w:tcW w:w="13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730</w:t>
            </w:r>
          </w:p>
        </w:tc>
        <w:tc>
          <w:tcPr>
            <w:tcW w:w="13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9,114</w:t>
            </w:r>
          </w:p>
        </w:tc>
        <w:tc>
          <w:tcPr>
            <w:tcW w:w="23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r>
        <w:trPr>
          <w:trHeight w:val="196"/>
        </w:trPr>
        <w:tc>
          <w:tcPr>
            <w:tcW w:w="198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i w:val="1"/>
                <w:iCs w:val="1"/>
                <w:color w:val="auto"/>
              </w:rPr>
              <w:t>2007</w:t>
            </w:r>
          </w:p>
        </w:tc>
        <w:tc>
          <w:tcPr>
            <w:tcW w:w="194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9,114</w:t>
            </w:r>
          </w:p>
        </w:tc>
        <w:tc>
          <w:tcPr>
            <w:tcW w:w="238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i w:val="1"/>
                <w:iCs w:val="1"/>
                <w:color w:val="auto"/>
              </w:rPr>
              <w:t>462</w:t>
            </w:r>
          </w:p>
        </w:tc>
        <w:tc>
          <w:tcPr>
            <w:tcW w:w="13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88</w:t>
            </w:r>
          </w:p>
        </w:tc>
        <w:tc>
          <w:tcPr>
            <w:tcW w:w="13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8,740</w:t>
            </w:r>
          </w:p>
        </w:tc>
        <w:tc>
          <w:tcPr>
            <w:tcW w:w="23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r>
        <w:trPr>
          <w:trHeight w:val="196"/>
        </w:trPr>
        <w:tc>
          <w:tcPr>
            <w:tcW w:w="198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i w:val="1"/>
                <w:iCs w:val="1"/>
                <w:color w:val="auto"/>
              </w:rPr>
              <w:t>2008</w:t>
            </w:r>
          </w:p>
        </w:tc>
        <w:tc>
          <w:tcPr>
            <w:tcW w:w="194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8,740</w:t>
            </w:r>
          </w:p>
        </w:tc>
        <w:tc>
          <w:tcPr>
            <w:tcW w:w="238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i w:val="1"/>
                <w:iCs w:val="1"/>
                <w:color w:val="auto"/>
              </w:rPr>
              <w:t>86</w:t>
            </w:r>
          </w:p>
        </w:tc>
        <w:tc>
          <w:tcPr>
            <w:tcW w:w="13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10</w:t>
            </w:r>
          </w:p>
        </w:tc>
        <w:tc>
          <w:tcPr>
            <w:tcW w:w="13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8,664</w:t>
            </w:r>
          </w:p>
        </w:tc>
        <w:tc>
          <w:tcPr>
            <w:tcW w:w="23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r>
        <w:trPr>
          <w:trHeight w:val="196"/>
        </w:trPr>
        <w:tc>
          <w:tcPr>
            <w:tcW w:w="198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i w:val="1"/>
                <w:iCs w:val="1"/>
                <w:color w:val="auto"/>
              </w:rPr>
              <w:t>2009</w:t>
            </w:r>
          </w:p>
        </w:tc>
        <w:tc>
          <w:tcPr>
            <w:tcW w:w="194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8,664</w:t>
            </w:r>
          </w:p>
        </w:tc>
        <w:tc>
          <w:tcPr>
            <w:tcW w:w="238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i w:val="1"/>
                <w:iCs w:val="1"/>
                <w:color w:val="auto"/>
              </w:rPr>
              <w:t>760</w:t>
            </w:r>
          </w:p>
        </w:tc>
        <w:tc>
          <w:tcPr>
            <w:tcW w:w="13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3</w:t>
            </w:r>
          </w:p>
        </w:tc>
        <w:tc>
          <w:tcPr>
            <w:tcW w:w="13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7,907</w:t>
            </w:r>
          </w:p>
        </w:tc>
        <w:tc>
          <w:tcPr>
            <w:tcW w:w="23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r>
        <w:trPr>
          <w:trHeight w:val="196"/>
        </w:trPr>
        <w:tc>
          <w:tcPr>
            <w:tcW w:w="198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i w:val="1"/>
                <w:iCs w:val="1"/>
                <w:color w:val="auto"/>
              </w:rPr>
              <w:t>2010</w:t>
            </w:r>
          </w:p>
        </w:tc>
        <w:tc>
          <w:tcPr>
            <w:tcW w:w="194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7,907</w:t>
            </w:r>
          </w:p>
        </w:tc>
        <w:tc>
          <w:tcPr>
            <w:tcW w:w="238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i w:val="1"/>
                <w:iCs w:val="1"/>
                <w:color w:val="auto"/>
              </w:rPr>
              <w:t>47</w:t>
            </w:r>
          </w:p>
        </w:tc>
        <w:tc>
          <w:tcPr>
            <w:tcW w:w="13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9</w:t>
            </w:r>
          </w:p>
        </w:tc>
        <w:tc>
          <w:tcPr>
            <w:tcW w:w="13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7,869</w:t>
            </w:r>
          </w:p>
        </w:tc>
        <w:tc>
          <w:tcPr>
            <w:tcW w:w="23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r>
        <w:trPr>
          <w:trHeight w:val="196"/>
        </w:trPr>
        <w:tc>
          <w:tcPr>
            <w:tcW w:w="198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i w:val="1"/>
                <w:iCs w:val="1"/>
                <w:color w:val="auto"/>
              </w:rPr>
              <w:t>2011</w:t>
            </w:r>
          </w:p>
        </w:tc>
        <w:tc>
          <w:tcPr>
            <w:tcW w:w="194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7,869</w:t>
            </w:r>
          </w:p>
        </w:tc>
        <w:tc>
          <w:tcPr>
            <w:tcW w:w="238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i w:val="1"/>
                <w:iCs w:val="1"/>
                <w:color w:val="auto"/>
              </w:rPr>
              <w:t>3</w:t>
            </w:r>
          </w:p>
        </w:tc>
        <w:tc>
          <w:tcPr>
            <w:tcW w:w="13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11</w:t>
            </w:r>
          </w:p>
        </w:tc>
        <w:tc>
          <w:tcPr>
            <w:tcW w:w="13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7,877</w:t>
            </w:r>
          </w:p>
        </w:tc>
        <w:tc>
          <w:tcPr>
            <w:tcW w:w="23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r>
        <w:trPr>
          <w:trHeight w:val="196"/>
        </w:trPr>
        <w:tc>
          <w:tcPr>
            <w:tcW w:w="198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b w:val="1"/>
                <w:bCs w:val="1"/>
                <w:i w:val="1"/>
                <w:iCs w:val="1"/>
                <w:color w:val="auto"/>
              </w:rPr>
              <w:t>2012 to date</w:t>
            </w:r>
          </w:p>
        </w:tc>
        <w:tc>
          <w:tcPr>
            <w:tcW w:w="194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7,877</w:t>
            </w:r>
          </w:p>
        </w:tc>
        <w:tc>
          <w:tcPr>
            <w:tcW w:w="238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i w:val="1"/>
                <w:iCs w:val="1"/>
                <w:color w:val="auto"/>
              </w:rPr>
              <w:t>4</w:t>
            </w:r>
          </w:p>
        </w:tc>
        <w:tc>
          <w:tcPr>
            <w:tcW w:w="13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1</w:t>
            </w:r>
          </w:p>
        </w:tc>
        <w:tc>
          <w:tcPr>
            <w:tcW w:w="13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7,874</w:t>
            </w:r>
          </w:p>
        </w:tc>
        <w:tc>
          <w:tcPr>
            <w:tcW w:w="23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acquired Geschmay Corp., formerly known as Wangner Systems Corporation, in 1999. Brandon is a wholly owned subsidiary of Geschmay Corp. In 1978, Brandon acquired certain assets from Abney Mills (“Abney”), a South Carolina textile manufacturer. Among the assets acquired by Brandon from Abney were assets of Abney’s wholly owned subsidiary, Brandon Sales, Inc. which had sold, among other things, dryer fabrics containing asbestos made by its parent, Abney. Although Brandon manufactured and sold dryer fabrics under its own name subsequent to the asset purchase, none of such fabrics contained asbestos. Because Brandon did not manufacture asbestos-containing products, and because it does not believe that it was the legal successor to, or otherwise responsible for obligations of Abney with respect to products manufactured by Abney, it believes it has strong defenses to the claims that have been asserted against it. As of April 25, 2012, Brandon has resolved, by means of settlement or dismissal, 9,725 claims for a total of $0.2 million. Brandon’s insurance carriers initially agreed to pay 88.2% of the total indemnification and defense costs related to these proceedings, subject to the standard reservation of rights. The remaining 11.8% of the costs had been borne directly by Brandon. During 2004, Brandon’s insurance carriers agreed to cover 100% of indemnification and defense costs, subject to policy limits and the standard reservation of rights, and to reimburse Brandon for all indemnity and defense costs paid directly by Brandon related to these proceedings.</w:t>
      </w:r>
    </w:p>
    <w:p>
      <w:pPr>
        <w:spacing w:after="0" w:line="97"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For the same reasons set forth above with respect to Albany’s claims, as well as the fact that no amounts have been paid to resolve any Brandon claims since 2001, we do not believe a meaningful estimate can be made regarding the range of possible loss with respect to these remaining claims.</w:t>
      </w:r>
    </w:p>
    <w:p>
      <w:pPr>
        <w:spacing w:after="0" w:line="9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Mount Vernon. In some of these asbestos cases, the Company is named both as a direct defendant and as the “successor in interest” to Mount Vernon Mills (“Mount Vernon”). We acquired certain assets from Mount Vernon in 1993. Certain plaintiffs allege injury caused by asbestos-containing products alleged to have been sold by Mount Vernon many years prior to this acquisition. Mount Vernon is contractually obligated to indemnify the Company against any liability arising out of such products. We deny any liability for products sold by Mount Vernon prior to the acquisition of the Mount Vernon assets. Pursuant to its contractual indemnification obligations, Mount Vernon has assumed the defense of these claims. On this basis, we have successfully moved for dismissal in a number of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62230</wp:posOffset>
            </wp:positionV>
            <wp:extent cx="18097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1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Although we do not believe, based on currently available information and for the reasons stated above, that a meaningful estimate of a range of possible loss can be made with respect to such claims, based on our understanding of the insurance policies available, how settlement amounts have been allocated to various policies, our settlement experience, the absence of any judgments against the Company or Brandon, the ratio of paper mill claims to total claims filed, and the defenses available, we currently do not anticipate any material liability relating to the resolution of the aforementioned pending proceedings in excess of existing insurance limits. Consequently, 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 factors and the trends in claims against us to date, we do not anticipate that additional claims likely to be filed against us in the future will have a material adverse effect on our financial position, results of operations, or cash flows. We are aware that litigation is inherently uncertain, especially when the outcome is dependent primarily on determinations of factual matters to be made by juries.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62865</wp:posOffset>
            </wp:positionV>
            <wp:extent cx="18097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NAFTA Audits</w:t>
      </w:r>
    </w:p>
    <w:p>
      <w:pPr>
        <w:spacing w:after="0" w:line="126"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The Company’s affiliate in Mexico was notified in November 2010 that Mexican customs authorities expected to issue demands for duties on certain imports of PMC from the Company and the Company’s affiliate in Canada for which the Company has claimed duty-free treatment under the North American Free Trade Agreement (“NAFTA”).</w:t>
      </w:r>
    </w:p>
    <w:p>
      <w:pPr>
        <w:spacing w:after="0" w:line="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notices result from a decision by the Mexican Servicio de Administración Tributaria (“SAT”) to invalidate NAFTA certificates provided by the Company on products shipped to its Mexican affiliate during the years 2006 through 2008. The Demand Notices arose from an SAT audit during 2010, at the conclusion of which the SAT determined that the Company had failed to provide documentation sufficient to show that the certificates were validly issued, and declared the certificates issued during this period to be invalid. The Company believes that the certificates of origin were valid and properly issued and therefore commenced administrative appeals with SAT disputing its resolutions. While these appeals were pending, SAT revoked its earlier declarations of invalidation with respect to the certificates of origin at issue in 28 of the 36 open audits, and ordered a further review of such certificates. SAT is still considering the Company’s appeal with regard to the remaining 8 open audits. The import duties identified in the notices sent to the Company’s Mexican affiliate are approximately US $2.5 million, and relate to only a portion of the shipments covered by the certificates of origin initially invalidated by SAT.</w:t>
      </w:r>
    </w:p>
    <w:p>
      <w:pPr>
        <w:spacing w:after="0" w:line="99" w:lineRule="exact"/>
        <w:rPr>
          <w:sz w:val="20"/>
          <w:szCs w:val="20"/>
          <w:color w:val="auto"/>
        </w:rPr>
      </w:pPr>
    </w:p>
    <w:p>
      <w:pPr>
        <w:jc w:val="both"/>
        <w:ind w:right="80"/>
        <w:spacing w:after="0" w:line="237" w:lineRule="auto"/>
        <w:rPr>
          <w:sz w:val="20"/>
          <w:szCs w:val="20"/>
          <w:color w:val="auto"/>
        </w:rPr>
      </w:pPr>
      <w:r>
        <w:rPr>
          <w:rFonts w:ascii="Arial" w:cs="Arial" w:eastAsia="Arial" w:hAnsi="Arial"/>
          <w:sz w:val="18"/>
          <w:szCs w:val="18"/>
          <w:color w:val="auto"/>
        </w:rPr>
        <w:t>In the event of an adverse ruling at the conclusion of the administrative appeal process, the Company would have an opportunity to appeal the outcome in Mexican Tax Court, during which it would have an opportunity to present evidence to establish that the shipments in question were of U.S. and Canadian origin and entitled to the benefits of NAFTA. As all of the shipments covered by the invalidated certificates were, in fact, of U.S. or Canadian origin, the Company expects that it will be able to demonstrate that the certificates were validly issued. The Company has been advised by counsel that, if this is the case, then the Tax Court is likely to revoke any pending SAT invalidation actions and rule in favor of the Company.</w:t>
      </w:r>
    </w:p>
    <w:p>
      <w:pPr>
        <w:spacing w:after="0" w:line="9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In the unlikely event that the Company were not to prevail, however, then it could become subject to additional demand notices for the balance of the shipments during the period from 2006 through 2008 covered by the remaining invalidated certificates. If such demand notices were to be issued for all the shipments so covered, then the Company could be liable for duties aggregating approximately $4.0 million. The Company has also been advised by counsel that SAT would likely seek additional antidumping duties and penalties which could increase these amounts by up to 900%, but that the possibility that SAT would succeed in obtaining such additional duties and penalties is remote. The Company also does not believe that it faces any material risk of certificates being invalidated with respect to any period other than the 2006 through 2008 audit period. For this reason, the Company does not feel that this matter is likely to have a material adverse effect on the Company’s financial position, results of operations and cash flows.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14. Changes in Stockholders’ Equity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in Stockholders’ Equity:</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6"/>
                <w:szCs w:val="16"/>
                <w:color w:val="auto"/>
              </w:rPr>
              <w:t>Class A</w:t>
            </w:r>
          </w:p>
        </w:tc>
        <w:tc>
          <w:tcPr>
            <w:tcW w:w="860" w:type="dxa"/>
            <w:vAlign w:val="bottom"/>
            <w:tcBorders>
              <w:top w:val="single" w:sz="8" w:color="auto"/>
            </w:tcBorders>
            <w:vMerge w:val="restart"/>
          </w:tcPr>
          <w:p>
            <w:pPr>
              <w:jc w:val="right"/>
              <w:ind w:right="99"/>
              <w:spacing w:after="0"/>
              <w:rPr>
                <w:sz w:val="20"/>
                <w:szCs w:val="20"/>
                <w:color w:val="auto"/>
              </w:rPr>
            </w:pPr>
            <w:r>
              <w:rPr>
                <w:rFonts w:ascii="Arial" w:cs="Arial" w:eastAsia="Arial" w:hAnsi="Arial"/>
                <w:sz w:val="16"/>
                <w:szCs w:val="16"/>
                <w:color w:val="auto"/>
              </w:rPr>
              <w:t>Class B</w:t>
            </w:r>
          </w:p>
        </w:tc>
        <w:tc>
          <w:tcPr>
            <w:tcW w:w="9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Additional</w:t>
            </w:r>
          </w:p>
        </w:tc>
        <w:tc>
          <w:tcPr>
            <w:tcW w:w="8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Accumulated</w:t>
            </w:r>
          </w:p>
        </w:tc>
        <w:tc>
          <w:tcPr>
            <w:tcW w:w="9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vMerge w:val="restart"/>
          </w:tcPr>
          <w:p>
            <w:pPr>
              <w:jc w:val="right"/>
              <w:ind w:right="31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95"/>
        </w:trPr>
        <w:tc>
          <w:tcPr>
            <w:tcW w:w="400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880" w:type="dxa"/>
            <w:vAlign w:val="bottom"/>
            <w:vMerge w:val="restart"/>
          </w:tcPr>
          <w:p>
            <w:pPr>
              <w:jc w:val="right"/>
              <w:ind w:right="39"/>
              <w:spacing w:after="0"/>
              <w:rPr>
                <w:sz w:val="20"/>
                <w:szCs w:val="20"/>
                <w:color w:val="auto"/>
              </w:rPr>
            </w:pPr>
            <w:r>
              <w:rPr>
                <w:rFonts w:ascii="Arial" w:cs="Arial" w:eastAsia="Arial" w:hAnsi="Arial"/>
                <w:sz w:val="16"/>
                <w:szCs w:val="16"/>
                <w:color w:val="auto"/>
              </w:rPr>
              <w:t>Retained</w:t>
            </w:r>
          </w:p>
        </w:tc>
        <w:tc>
          <w:tcPr>
            <w:tcW w:w="1280" w:type="dxa"/>
            <w:vAlign w:val="bottom"/>
            <w:vMerge w:val="restart"/>
          </w:tcPr>
          <w:p>
            <w:pPr>
              <w:jc w:val="center"/>
              <w:spacing w:after="0"/>
              <w:rPr>
                <w:sz w:val="20"/>
                <w:szCs w:val="20"/>
                <w:color w:val="auto"/>
              </w:rPr>
            </w:pPr>
            <w:r>
              <w:rPr>
                <w:rFonts w:ascii="Arial" w:cs="Arial" w:eastAsia="Arial" w:hAnsi="Arial"/>
                <w:sz w:val="16"/>
                <w:szCs w:val="16"/>
                <w:color w:val="auto"/>
              </w:rPr>
              <w:t>items of other</w:t>
            </w:r>
          </w:p>
        </w:tc>
        <w:tc>
          <w:tcPr>
            <w:tcW w:w="940" w:type="dxa"/>
            <w:vAlign w:val="bottom"/>
            <w:vMerge w:val="restart"/>
          </w:tcPr>
          <w:p>
            <w:pPr>
              <w:jc w:val="right"/>
              <w:ind w:right="79"/>
              <w:spacing w:after="0"/>
              <w:rPr>
                <w:sz w:val="20"/>
                <w:szCs w:val="20"/>
                <w:color w:val="auto"/>
              </w:rPr>
            </w:pPr>
            <w:r>
              <w:rPr>
                <w:rFonts w:ascii="Arial" w:cs="Arial" w:eastAsia="Arial" w:hAnsi="Arial"/>
                <w:sz w:val="16"/>
                <w:szCs w:val="16"/>
                <w:color w:val="auto"/>
              </w:rPr>
              <w:t>Treasury</w:t>
            </w: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00" w:type="dxa"/>
            <w:vAlign w:val="bottom"/>
            <w:vMerge w:val="restart"/>
          </w:tcPr>
          <w:p>
            <w:pPr>
              <w:spacing w:after="0"/>
              <w:rPr>
                <w:sz w:val="20"/>
                <w:szCs w:val="20"/>
                <w:color w:val="auto"/>
              </w:rPr>
            </w:pPr>
            <w:r>
              <w:rPr>
                <w:rFonts w:ascii="Arial" w:cs="Arial" w:eastAsia="Arial" w:hAnsi="Arial"/>
                <w:sz w:val="16"/>
                <w:szCs w:val="16"/>
                <w:color w:val="auto"/>
              </w:rPr>
              <w:t>(in thousands)</w:t>
            </w:r>
          </w:p>
        </w:tc>
        <w:tc>
          <w:tcPr>
            <w:tcW w:w="1400" w:type="dxa"/>
            <w:vAlign w:val="bottom"/>
            <w:vMerge w:val="restart"/>
          </w:tcPr>
          <w:p>
            <w:pPr>
              <w:jc w:val="right"/>
              <w:ind w:right="39"/>
              <w:spacing w:after="0"/>
              <w:rPr>
                <w:sz w:val="20"/>
                <w:szCs w:val="20"/>
                <w:color w:val="auto"/>
              </w:rPr>
            </w:pPr>
            <w:r>
              <w:rPr>
                <w:rFonts w:ascii="Arial" w:cs="Arial" w:eastAsia="Arial" w:hAnsi="Arial"/>
                <w:sz w:val="16"/>
                <w:szCs w:val="16"/>
                <w:color w:val="auto"/>
              </w:rPr>
              <w:t>Common</w:t>
            </w:r>
          </w:p>
        </w:tc>
        <w:tc>
          <w:tcPr>
            <w:tcW w:w="860" w:type="dxa"/>
            <w:vAlign w:val="bottom"/>
            <w:vMerge w:val="restart"/>
          </w:tcPr>
          <w:p>
            <w:pPr>
              <w:jc w:val="right"/>
              <w:ind w:right="19"/>
              <w:spacing w:after="0"/>
              <w:rPr>
                <w:sz w:val="20"/>
                <w:szCs w:val="20"/>
                <w:color w:val="auto"/>
              </w:rPr>
            </w:pPr>
            <w:r>
              <w:rPr>
                <w:rFonts w:ascii="Arial" w:cs="Arial" w:eastAsia="Arial" w:hAnsi="Arial"/>
                <w:sz w:val="16"/>
                <w:szCs w:val="16"/>
                <w:color w:val="auto"/>
              </w:rPr>
              <w:t>Common</w:t>
            </w:r>
          </w:p>
        </w:tc>
        <w:tc>
          <w:tcPr>
            <w:tcW w:w="920" w:type="dxa"/>
            <w:vAlign w:val="bottom"/>
            <w:vMerge w:val="restart"/>
          </w:tcPr>
          <w:p>
            <w:pPr>
              <w:jc w:val="right"/>
              <w:ind w:right="159"/>
              <w:spacing w:after="0"/>
              <w:rPr>
                <w:sz w:val="20"/>
                <w:szCs w:val="20"/>
                <w:color w:val="auto"/>
              </w:rPr>
            </w:pPr>
            <w:r>
              <w:rPr>
                <w:rFonts w:ascii="Arial" w:cs="Arial" w:eastAsia="Arial" w:hAnsi="Arial"/>
                <w:sz w:val="16"/>
                <w:szCs w:val="16"/>
                <w:color w:val="auto"/>
              </w:rPr>
              <w:t>paid in</w:t>
            </w:r>
          </w:p>
        </w:tc>
        <w:tc>
          <w:tcPr>
            <w:tcW w:w="88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Shareholders’</w:t>
            </w:r>
          </w:p>
        </w:tc>
        <w:tc>
          <w:tcPr>
            <w:tcW w:w="0" w:type="dxa"/>
            <w:vAlign w:val="bottom"/>
          </w:tcPr>
          <w:p>
            <w:pPr>
              <w:spacing w:after="0"/>
              <w:rPr>
                <w:sz w:val="1"/>
                <w:szCs w:val="1"/>
                <w:color w:val="auto"/>
              </w:rPr>
            </w:pPr>
          </w:p>
        </w:tc>
      </w:tr>
      <w:tr>
        <w:trPr>
          <w:trHeight w:val="95"/>
        </w:trPr>
        <w:tc>
          <w:tcPr>
            <w:tcW w:w="400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880" w:type="dxa"/>
            <w:vAlign w:val="bottom"/>
            <w:vMerge w:val="restart"/>
          </w:tcPr>
          <w:p>
            <w:pPr>
              <w:jc w:val="right"/>
              <w:ind w:right="59"/>
              <w:spacing w:after="0"/>
              <w:rPr>
                <w:sz w:val="20"/>
                <w:szCs w:val="20"/>
                <w:color w:val="auto"/>
              </w:rPr>
            </w:pPr>
            <w:r>
              <w:rPr>
                <w:rFonts w:ascii="Arial" w:cs="Arial" w:eastAsia="Arial" w:hAnsi="Arial"/>
                <w:sz w:val="16"/>
                <w:szCs w:val="16"/>
                <w:color w:val="auto"/>
              </w:rPr>
              <w:t>earnings</w:t>
            </w:r>
          </w:p>
        </w:tc>
        <w:tc>
          <w:tcPr>
            <w:tcW w:w="1280" w:type="dxa"/>
            <w:vAlign w:val="bottom"/>
            <w:vMerge w:val="restart"/>
          </w:tcPr>
          <w:p>
            <w:pPr>
              <w:jc w:val="center"/>
              <w:spacing w:after="0"/>
              <w:rPr>
                <w:sz w:val="20"/>
                <w:szCs w:val="20"/>
                <w:color w:val="auto"/>
              </w:rPr>
            </w:pPr>
            <w:r>
              <w:rPr>
                <w:rFonts w:ascii="Arial" w:cs="Arial" w:eastAsia="Arial" w:hAnsi="Arial"/>
                <w:sz w:val="16"/>
                <w:szCs w:val="16"/>
                <w:color w:val="auto"/>
              </w:rPr>
              <w:t>comprehensive</w:t>
            </w:r>
          </w:p>
        </w:tc>
        <w:tc>
          <w:tcPr>
            <w:tcW w:w="940" w:type="dxa"/>
            <w:vAlign w:val="bottom"/>
            <w:vMerge w:val="restart"/>
          </w:tcPr>
          <w:p>
            <w:pPr>
              <w:jc w:val="right"/>
              <w:ind w:right="199"/>
              <w:spacing w:after="0"/>
              <w:rPr>
                <w:sz w:val="20"/>
                <w:szCs w:val="20"/>
                <w:color w:val="auto"/>
              </w:rPr>
            </w:pPr>
            <w:r>
              <w:rPr>
                <w:rFonts w:ascii="Arial" w:cs="Arial" w:eastAsia="Arial" w:hAnsi="Arial"/>
                <w:sz w:val="16"/>
                <w:szCs w:val="16"/>
                <w:color w:val="auto"/>
              </w:rPr>
              <w:t>stock</w:t>
            </w: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00" w:type="dxa"/>
            <w:vAlign w:val="bottom"/>
          </w:tcPr>
          <w:p>
            <w:pPr>
              <w:spacing w:after="0"/>
              <w:rPr>
                <w:sz w:val="8"/>
                <w:szCs w:val="8"/>
                <w:color w:val="auto"/>
              </w:rPr>
            </w:pPr>
          </w:p>
        </w:tc>
        <w:tc>
          <w:tcPr>
            <w:tcW w:w="1400" w:type="dxa"/>
            <w:vAlign w:val="bottom"/>
            <w:vMerge w:val="restart"/>
          </w:tcPr>
          <w:p>
            <w:pPr>
              <w:jc w:val="right"/>
              <w:ind w:right="179"/>
              <w:spacing w:after="0"/>
              <w:rPr>
                <w:sz w:val="20"/>
                <w:szCs w:val="20"/>
                <w:color w:val="auto"/>
              </w:rPr>
            </w:pPr>
            <w:r>
              <w:rPr>
                <w:rFonts w:ascii="Arial" w:cs="Arial" w:eastAsia="Arial" w:hAnsi="Arial"/>
                <w:sz w:val="16"/>
                <w:szCs w:val="16"/>
                <w:color w:val="auto"/>
              </w:rPr>
              <w:t>Stock</w:t>
            </w:r>
          </w:p>
        </w:tc>
        <w:tc>
          <w:tcPr>
            <w:tcW w:w="860" w:type="dxa"/>
            <w:vAlign w:val="bottom"/>
            <w:vMerge w:val="restart"/>
          </w:tcPr>
          <w:p>
            <w:pPr>
              <w:jc w:val="right"/>
              <w:ind w:right="139"/>
              <w:spacing w:after="0"/>
              <w:rPr>
                <w:sz w:val="20"/>
                <w:szCs w:val="20"/>
                <w:color w:val="auto"/>
              </w:rPr>
            </w:pPr>
            <w:r>
              <w:rPr>
                <w:rFonts w:ascii="Arial" w:cs="Arial" w:eastAsia="Arial" w:hAnsi="Arial"/>
                <w:sz w:val="16"/>
                <w:szCs w:val="16"/>
                <w:color w:val="auto"/>
              </w:rPr>
              <w:t>Stock</w:t>
            </w:r>
          </w:p>
        </w:tc>
        <w:tc>
          <w:tcPr>
            <w:tcW w:w="920" w:type="dxa"/>
            <w:vAlign w:val="bottom"/>
            <w:vMerge w:val="restart"/>
          </w:tcPr>
          <w:p>
            <w:pPr>
              <w:jc w:val="right"/>
              <w:ind w:right="139"/>
              <w:spacing w:after="0"/>
              <w:rPr>
                <w:sz w:val="20"/>
                <w:szCs w:val="20"/>
                <w:color w:val="auto"/>
              </w:rPr>
            </w:pPr>
            <w:r>
              <w:rPr>
                <w:rFonts w:ascii="Arial" w:cs="Arial" w:eastAsia="Arial" w:hAnsi="Arial"/>
                <w:sz w:val="16"/>
                <w:szCs w:val="16"/>
                <w:color w:val="auto"/>
              </w:rPr>
              <w:t>capital</w:t>
            </w:r>
          </w:p>
        </w:tc>
        <w:tc>
          <w:tcPr>
            <w:tcW w:w="88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140" w:type="dxa"/>
            <w:vAlign w:val="bottom"/>
            <w:vMerge w:val="restart"/>
          </w:tcPr>
          <w:p>
            <w:pPr>
              <w:jc w:val="right"/>
              <w:ind w:right="239"/>
              <w:spacing w:after="0"/>
              <w:rPr>
                <w:sz w:val="20"/>
                <w:szCs w:val="20"/>
                <w:color w:val="auto"/>
              </w:rPr>
            </w:pPr>
            <w:r>
              <w:rPr>
                <w:rFonts w:ascii="Arial" w:cs="Arial" w:eastAsia="Arial" w:hAnsi="Arial"/>
                <w:sz w:val="16"/>
                <w:szCs w:val="16"/>
                <w:color w:val="auto"/>
              </w:rPr>
              <w:t>Equity</w:t>
            </w:r>
          </w:p>
        </w:tc>
        <w:tc>
          <w:tcPr>
            <w:tcW w:w="0" w:type="dxa"/>
            <w:vAlign w:val="bottom"/>
          </w:tcPr>
          <w:p>
            <w:pPr>
              <w:spacing w:after="0"/>
              <w:rPr>
                <w:sz w:val="1"/>
                <w:szCs w:val="1"/>
                <w:color w:val="auto"/>
              </w:rPr>
            </w:pPr>
          </w:p>
        </w:tc>
      </w:tr>
      <w:tr>
        <w:trPr>
          <w:trHeight w:val="100"/>
        </w:trPr>
        <w:tc>
          <w:tcPr>
            <w:tcW w:w="400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1280" w:type="dxa"/>
            <w:vAlign w:val="bottom"/>
            <w:vMerge w:val="restart"/>
          </w:tcPr>
          <w:p>
            <w:pPr>
              <w:jc w:val="center"/>
              <w:spacing w:after="0"/>
              <w:rPr>
                <w:sz w:val="20"/>
                <w:szCs w:val="20"/>
                <w:color w:val="auto"/>
              </w:rPr>
            </w:pPr>
            <w:r>
              <w:rPr>
                <w:rFonts w:ascii="Arial" w:cs="Arial" w:eastAsia="Arial" w:hAnsi="Arial"/>
                <w:sz w:val="16"/>
                <w:szCs w:val="16"/>
                <w:color w:val="auto"/>
              </w:rPr>
              <w:t>income</w:t>
            </w:r>
          </w:p>
        </w:tc>
        <w:tc>
          <w:tcPr>
            <w:tcW w:w="9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40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vMerge w:val="continue"/>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4000" w:type="dxa"/>
            <w:vAlign w:val="bottom"/>
          </w:tcPr>
          <w:p>
            <w:pPr>
              <w:ind w:left="100"/>
              <w:spacing w:after="0"/>
              <w:rPr>
                <w:sz w:val="20"/>
                <w:szCs w:val="20"/>
                <w:color w:val="auto"/>
              </w:rPr>
            </w:pPr>
            <w:r>
              <w:rPr>
                <w:rFonts w:ascii="Arial" w:cs="Arial" w:eastAsia="Arial" w:hAnsi="Arial"/>
                <w:sz w:val="16"/>
                <w:szCs w:val="16"/>
                <w:color w:val="auto"/>
              </w:rPr>
              <w:t>December 31, 2011</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$391,495</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$422,044</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($139,809)</w:t>
            </w:r>
          </w:p>
        </w:tc>
        <w:tc>
          <w:tcPr>
            <w:tcW w:w="940" w:type="dxa"/>
            <w:vAlign w:val="bottom"/>
          </w:tcPr>
          <w:p>
            <w:pPr>
              <w:jc w:val="right"/>
              <w:spacing w:after="0"/>
              <w:rPr>
                <w:sz w:val="20"/>
                <w:szCs w:val="20"/>
                <w:color w:val="auto"/>
              </w:rPr>
            </w:pPr>
            <w:r>
              <w:rPr>
                <w:rFonts w:ascii="Arial" w:cs="Arial" w:eastAsia="Arial" w:hAnsi="Arial"/>
                <w:sz w:val="16"/>
                <w:szCs w:val="16"/>
                <w:color w:val="auto"/>
              </w:rPr>
              <w:t>($257,920)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$415,850</w:t>
            </w:r>
          </w:p>
        </w:tc>
        <w:tc>
          <w:tcPr>
            <w:tcW w:w="0" w:type="dxa"/>
            <w:vAlign w:val="bottom"/>
          </w:tcPr>
          <w:p>
            <w:pPr>
              <w:spacing w:after="0"/>
              <w:rPr>
                <w:sz w:val="1"/>
                <w:szCs w:val="1"/>
                <w:color w:val="auto"/>
              </w:rPr>
            </w:pPr>
          </w:p>
        </w:tc>
      </w:tr>
      <w:tr>
        <w:trPr>
          <w:trHeight w:val="189"/>
        </w:trPr>
        <w:tc>
          <w:tcPr>
            <w:tcW w:w="4000" w:type="dxa"/>
            <w:vAlign w:val="bottom"/>
          </w:tcPr>
          <w:p>
            <w:pPr>
              <w:ind w:left="100"/>
              <w:spacing w:after="0"/>
              <w:rPr>
                <w:sz w:val="20"/>
                <w:szCs w:val="20"/>
                <w:color w:val="auto"/>
              </w:rPr>
            </w:pPr>
            <w:r>
              <w:rPr>
                <w:rFonts w:ascii="Arial" w:cs="Arial" w:eastAsia="Arial" w:hAnsi="Arial"/>
                <w:sz w:val="16"/>
                <w:szCs w:val="16"/>
                <w:color w:val="auto"/>
              </w:rPr>
              <w:t>Net income</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47,041</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47,041</w:t>
            </w:r>
          </w:p>
        </w:tc>
        <w:tc>
          <w:tcPr>
            <w:tcW w:w="0" w:type="dxa"/>
            <w:vAlign w:val="bottom"/>
          </w:tcPr>
          <w:p>
            <w:pPr>
              <w:spacing w:after="0"/>
              <w:rPr>
                <w:sz w:val="1"/>
                <w:szCs w:val="1"/>
                <w:color w:val="auto"/>
              </w:rPr>
            </w:pPr>
          </w:p>
        </w:tc>
      </w:tr>
      <w:tr>
        <w:trPr>
          <w:trHeight w:val="189"/>
        </w:trPr>
        <w:tc>
          <w:tcPr>
            <w:tcW w:w="4000" w:type="dxa"/>
            <w:vAlign w:val="bottom"/>
          </w:tcPr>
          <w:p>
            <w:pPr>
              <w:ind w:left="100"/>
              <w:spacing w:after="0"/>
              <w:rPr>
                <w:sz w:val="20"/>
                <w:szCs w:val="20"/>
                <w:color w:val="auto"/>
              </w:rPr>
            </w:pPr>
            <w:r>
              <w:rPr>
                <w:rFonts w:ascii="Arial" w:cs="Arial" w:eastAsia="Arial" w:hAnsi="Arial"/>
                <w:sz w:val="16"/>
                <w:szCs w:val="16"/>
                <w:color w:val="auto"/>
              </w:rPr>
              <w:t>Dividends declared</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(4,069)</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(4,069)</w:t>
            </w:r>
          </w:p>
        </w:tc>
        <w:tc>
          <w:tcPr>
            <w:tcW w:w="0" w:type="dxa"/>
            <w:vAlign w:val="bottom"/>
          </w:tcPr>
          <w:p>
            <w:pPr>
              <w:spacing w:after="0"/>
              <w:rPr>
                <w:sz w:val="1"/>
                <w:szCs w:val="1"/>
                <w:color w:val="auto"/>
              </w:rPr>
            </w:pPr>
          </w:p>
        </w:tc>
      </w:tr>
      <w:tr>
        <w:trPr>
          <w:trHeight w:val="189"/>
        </w:trPr>
        <w:tc>
          <w:tcPr>
            <w:tcW w:w="4000" w:type="dxa"/>
            <w:vAlign w:val="bottom"/>
          </w:tcPr>
          <w:p>
            <w:pPr>
              <w:ind w:left="100"/>
              <w:spacing w:after="0"/>
              <w:rPr>
                <w:sz w:val="20"/>
                <w:szCs w:val="20"/>
                <w:color w:val="auto"/>
              </w:rPr>
            </w:pPr>
            <w:r>
              <w:rPr>
                <w:rFonts w:ascii="Arial" w:cs="Arial" w:eastAsia="Arial" w:hAnsi="Arial"/>
                <w:sz w:val="16"/>
                <w:szCs w:val="16"/>
                <w:color w:val="auto"/>
              </w:rPr>
              <w:t>Compensation and benefits paid or payable in</w:t>
            </w:r>
          </w:p>
        </w:tc>
        <w:tc>
          <w:tcPr>
            <w:tcW w:w="1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tcPr>
          <w:p>
            <w:pPr>
              <w:ind w:left="200"/>
              <w:spacing w:after="0"/>
              <w:rPr>
                <w:sz w:val="20"/>
                <w:szCs w:val="20"/>
                <w:color w:val="auto"/>
              </w:rPr>
            </w:pPr>
            <w:r>
              <w:rPr>
                <w:rFonts w:ascii="Arial" w:cs="Arial" w:eastAsia="Arial" w:hAnsi="Arial"/>
                <w:sz w:val="16"/>
                <w:szCs w:val="16"/>
                <w:color w:val="auto"/>
              </w:rPr>
              <w:t>Class A Common Stock</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(76)</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89"/>
        </w:trPr>
        <w:tc>
          <w:tcPr>
            <w:tcW w:w="4000" w:type="dxa"/>
            <w:vAlign w:val="bottom"/>
          </w:tcPr>
          <w:p>
            <w:pPr>
              <w:ind w:left="100"/>
              <w:spacing w:after="0"/>
              <w:rPr>
                <w:sz w:val="20"/>
                <w:szCs w:val="20"/>
                <w:color w:val="auto"/>
              </w:rPr>
            </w:pPr>
            <w:r>
              <w:rPr>
                <w:rFonts w:ascii="Arial" w:cs="Arial" w:eastAsia="Arial" w:hAnsi="Arial"/>
                <w:sz w:val="16"/>
                <w:szCs w:val="16"/>
                <w:color w:val="auto"/>
              </w:rPr>
              <w:t>Options exercised</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192</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189"/>
        </w:trPr>
        <w:tc>
          <w:tcPr>
            <w:tcW w:w="4000" w:type="dxa"/>
            <w:vAlign w:val="bottom"/>
          </w:tcPr>
          <w:p>
            <w:pPr>
              <w:ind w:left="100"/>
              <w:spacing w:after="0"/>
              <w:rPr>
                <w:sz w:val="20"/>
                <w:szCs w:val="20"/>
                <w:color w:val="auto"/>
              </w:rPr>
            </w:pPr>
            <w:r>
              <w:rPr>
                <w:rFonts w:ascii="Arial" w:cs="Arial" w:eastAsia="Arial" w:hAnsi="Arial"/>
                <w:sz w:val="16"/>
                <w:szCs w:val="16"/>
                <w:color w:val="auto"/>
              </w:rPr>
              <w:t>Cumulative translation adjustment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19,327</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19,327</w:t>
            </w:r>
          </w:p>
        </w:tc>
        <w:tc>
          <w:tcPr>
            <w:tcW w:w="0" w:type="dxa"/>
            <w:vAlign w:val="bottom"/>
          </w:tcPr>
          <w:p>
            <w:pPr>
              <w:spacing w:after="0"/>
              <w:rPr>
                <w:sz w:val="1"/>
                <w:szCs w:val="1"/>
                <w:color w:val="auto"/>
              </w:rPr>
            </w:pPr>
          </w:p>
        </w:tc>
      </w:tr>
      <w:tr>
        <w:trPr>
          <w:trHeight w:val="189"/>
        </w:trPr>
        <w:tc>
          <w:tcPr>
            <w:tcW w:w="4000" w:type="dxa"/>
            <w:vAlign w:val="bottom"/>
          </w:tcPr>
          <w:p>
            <w:pPr>
              <w:ind w:left="100"/>
              <w:spacing w:after="0"/>
              <w:rPr>
                <w:sz w:val="20"/>
                <w:szCs w:val="20"/>
                <w:color w:val="auto"/>
              </w:rPr>
            </w:pPr>
            <w:r>
              <w:rPr>
                <w:rFonts w:ascii="Arial" w:cs="Arial" w:eastAsia="Arial" w:hAnsi="Arial"/>
                <w:sz w:val="16"/>
                <w:szCs w:val="16"/>
                <w:color w:val="auto"/>
              </w:rPr>
              <w:t>Amortization of pension liability</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1,165</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1,165</w:t>
            </w:r>
          </w:p>
        </w:tc>
        <w:tc>
          <w:tcPr>
            <w:tcW w:w="0" w:type="dxa"/>
            <w:vAlign w:val="bottom"/>
          </w:tcPr>
          <w:p>
            <w:pPr>
              <w:spacing w:after="0"/>
              <w:rPr>
                <w:sz w:val="1"/>
                <w:szCs w:val="1"/>
                <w:color w:val="auto"/>
              </w:rPr>
            </w:pPr>
          </w:p>
        </w:tc>
      </w:tr>
      <w:tr>
        <w:trPr>
          <w:trHeight w:val="187"/>
        </w:trPr>
        <w:tc>
          <w:tcPr>
            <w:tcW w:w="40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Change in derivative valuation adjustment</w:t>
            </w: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(211)</w:t>
            </w: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183"/>
        </w:trPr>
        <w:tc>
          <w:tcPr>
            <w:tcW w:w="400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6"/>
                <w:szCs w:val="16"/>
                <w:b w:val="1"/>
                <w:bCs w:val="1"/>
                <w:color w:val="auto"/>
              </w:rPr>
              <w:t>March 31, 2012</w:t>
            </w:r>
          </w:p>
        </w:tc>
        <w:tc>
          <w:tcPr>
            <w:tcW w:w="14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$37</w:t>
            </w:r>
          </w:p>
        </w:tc>
        <w:tc>
          <w:tcPr>
            <w:tcW w:w="8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$3</w:t>
            </w:r>
          </w:p>
        </w:tc>
        <w:tc>
          <w:tcPr>
            <w:tcW w:w="9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$391,611</w:t>
            </w:r>
          </w:p>
        </w:tc>
        <w:tc>
          <w:tcPr>
            <w:tcW w:w="88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b w:val="1"/>
                <w:bCs w:val="1"/>
                <w:color w:val="auto"/>
              </w:rPr>
              <w:t>$465,016</w:t>
            </w:r>
          </w:p>
        </w:tc>
        <w:tc>
          <w:tcPr>
            <w:tcW w:w="128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($119,528)</w:t>
            </w: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($257,920)</w:t>
            </w:r>
          </w:p>
        </w:tc>
        <w:tc>
          <w:tcPr>
            <w:tcW w:w="114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b w:val="1"/>
                <w:bCs w:val="1"/>
                <w:color w:val="auto"/>
              </w:rPr>
              <w:t>$479,219</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15. Recent Accounting Pronouncements</w:t>
      </w:r>
    </w:p>
    <w:p>
      <w:pPr>
        <w:spacing w:after="0" w:line="126"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In May 2011, the Financial Accounting Standards Board (FASB) amended authoritative guidance related to common fair value measurements and disclosure requirements. This pronouncement was issued to provide a consistent definition of fair value and ensure that the fair value measurement and disclosure requirements are similar between U.S. GAAP and IFRS. This pronouncement changes certain fair value measurement principles and enhances the disclosure requirements, particularly for level 3 fair value measurements, and is effective for reporting periods beginning on or after December 15, 2011. This pronouncement was adopted effective January 1, 2012 and did not have a material effect on our financial statements.</w:t>
      </w:r>
    </w:p>
    <w:p>
      <w:pPr>
        <w:spacing w:after="0" w:line="9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June and December 2011, the FASB issued guidance that eliminates the option to report other comprehensive income and its components in the statement of changes in stockholders’ equity and requires an entity to present the total of comprehensive income, the components of net income and the components of other comprehensive income either in a single continuous statement or in two separate but consecutive statements. This pronouncement is effective for fiscal years, and interim periods within those years, beginning after December 15, 2011. This guidance was adopted effective January 1, 2012 and concerns presentation and disclosure only and did not have a material impact on our financial statements.</w:t>
      </w:r>
    </w:p>
    <w:p>
      <w:pPr>
        <w:spacing w:after="0" w:line="9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September 2011, the FASB issued guidance intended to reduce the cost and complexity of the annual goodwill impairment test by providing entities an option to perform a “qualitative” assessment to determine whether further impairment testing is necessary. This pronouncement is effective for annual and interim goodwill impairment tests performed for fiscal years beginning after December 15, 2011. The adoption of this guidance is not expected to have a material effect on our financial statements.</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40"/>
          </w:cols>
          <w:pgMar w:left="240" w:top="657" w:right="31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16. Subsequent Events</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On April 25, 2012, we completed an agreement that transferred to MassMutual the liability for future pension payments to certain retirees. The Company’s U.S. pension plan transferred approximately $176 million to MassMutual, and MassMutual will have the responsibility for pension payments to all U.S. retirees that were receiving pension payments as of December 31, 2011. The Company’s pension plan retains the liability for pensions of deferred vested and active employees. The transaction will result in a settlement charge in the second quarter of 2012. The amount of the settlement charge is expected to be in the range of $105 to $115 million.</w:t>
      </w:r>
    </w:p>
    <w:p>
      <w:pPr>
        <w:spacing w:after="0" w:line="95" w:lineRule="exact"/>
        <w:rPr>
          <w:sz w:val="20"/>
          <w:szCs w:val="20"/>
          <w:color w:val="auto"/>
        </w:rPr>
      </w:pPr>
    </w:p>
    <w:p>
      <w:pPr>
        <w:jc w:val="both"/>
        <w:ind w:right="480"/>
        <w:spacing w:after="0" w:line="209" w:lineRule="auto"/>
        <w:rPr>
          <w:sz w:val="20"/>
          <w:szCs w:val="20"/>
          <w:color w:val="auto"/>
        </w:rPr>
      </w:pPr>
      <w:r>
        <w:rPr>
          <w:rFonts w:ascii="Arial" w:cs="Arial" w:eastAsia="Arial" w:hAnsi="Arial"/>
          <w:sz w:val="18"/>
          <w:szCs w:val="18"/>
          <w:color w:val="auto"/>
        </w:rPr>
        <w:t>On May 2, 2012, the Company announced that it had reached an agreement to sell its PrimaLoft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business for $ 38 million. We expect that transaction to close during the second quarter of 2012 and, in future quarters, the business will be reported as a discontinued operation.</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657" w:right="29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Forward-looking statements</w:t>
      </w:r>
    </w:p>
    <w:p>
      <w:pPr>
        <w:spacing w:after="0" w:line="126" w:lineRule="exact"/>
        <w:rPr>
          <w:sz w:val="20"/>
          <w:szCs w:val="20"/>
          <w:color w:val="auto"/>
        </w:rPr>
      </w:pPr>
    </w:p>
    <w:p>
      <w:pPr>
        <w:jc w:val="both"/>
        <w:ind w:right="200"/>
        <w:spacing w:after="0" w:line="237" w:lineRule="auto"/>
        <w:rPr>
          <w:sz w:val="20"/>
          <w:szCs w:val="20"/>
          <w:color w:val="auto"/>
        </w:rPr>
      </w:pPr>
      <w:r>
        <w:rPr>
          <w:rFonts w:ascii="Arial" w:cs="Arial" w:eastAsia="Arial" w:hAnsi="Arial"/>
          <w:sz w:val="18"/>
          <w:szCs w:val="18"/>
          <w:color w:val="auto"/>
        </w:rPr>
        <w:t>This quarterly report and the documents incorporated or deemed to be incorporated by reference in this quarterly report contain statements concerning our future results and performance and other matters that are “forward-looking” statements within the meaning of Section 27A of the Securities Act and Section 21E of the Securities Exchange Act of 1934, as amended (the “Exchange Act”). The words “believe,” “expect,” “anticipate,” “intend,” “plan,” “project,” “may,” “will” and variations of such words or similar expressions are intended, but are not the exclusive means, to identify forward-looking statements. Because forward-looking statements are subject to risks and uncertainties, actual results may differ materially from those expressed or implied by the forward-looking statements.</w:t>
      </w:r>
    </w:p>
    <w:p>
      <w:pPr>
        <w:spacing w:after="0" w:line="9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Forward-looking statements in this quarterly report include, without limitation, statements about future economic and paper industry conditions, sales and operating income expectations during the next several quarters in each of our businesses, anticipated improvements in cash generation, revenue growth and income expectations for our non-MC businesses, the timing and impact of certain production and development programs in our AEC business segment, the amount and timing of anticipated costs and savings associated with cost-reduction and performance-improvement initiatives, pricing conditions in the MC industry, the amount and timing of capital expenditures, future tax rates and cash paid for taxes, depreciation and amortization, future debt levels and debt covenant ratios, future contributions to our pension plans, future revaluation gains and losses, and future levels of EBITDA. Furthermore, a change in any one or more of the foregoing factors could have a material effect on our financial results in any period. Such statements are based on current expectations, and we undertake no obligation to publicly update or revise any forward-looking statements.</w:t>
      </w:r>
    </w:p>
    <w:p>
      <w:pPr>
        <w:spacing w:after="0" w:line="9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Statements expressing our assessments of the growth potential of various businesses, or referring to earlier assessments of such potential, are not intended as forecasts of actual future growth, and should not be relied on as such. While we believe such assessments to have a reasonable basis, such assessments are, by their nature, inherently uncertain. This quarterly report and earlier reports set forth a number of assumptions regarding these assessments, including historical results and independent forecasts regarding the markets in which these businesses operate. Historical growth rates are no guarantee of future growth, and such independent forecasts could prove incorrect.</w:t>
      </w:r>
    </w:p>
    <w:p>
      <w:pPr>
        <w:spacing w:after="0" w:line="95"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Further information concerning important factors that could cause actual events or results to be materially different from the forward-looking statements can be found in “Trends,” “Liquidity,” “Outlook,” and “Legal Proceedings” sections of this quarterly report, as well as in the “Risk Factors”, section of our most recent Annual Report on Form 10-K. Although we believe the expectations reflected in our forward-looking statements are based upon reasonable assumptions, it is not possible to foresee or identify all factors that could have a material and negative impact on future performance. The forward-looking statements included or incorporated by reference in this quarterly report are made on the basis of our assumptions and analyses, as of the time the statements are made, in light of their experience and perception of historical conditions, expected future developments and other factors believed to be appropriate under the circumstances.</w:t>
      </w:r>
    </w:p>
    <w:p>
      <w:pPr>
        <w:spacing w:after="0" w:line="95"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Except as otherwise required by the federal securities laws, we disclaim any obligations or undertaking to publicly release any updates or revisions to any forward-looking statement contained or incorporated by reference in this report to reflect any change in our expectations with regard thereto or any change in events, conditions or circumstances on which any such statement is based.</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6"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The following Management’s Discussion and Analysis (“MD&amp;A”) is intended to help the reader understand the results of operations and financial condition of the Company. The MD&amp;A is provided as a supplement to, and should be read in conjunction with, our Consolidated Financial Statements and the accompanying Notes. In addition, the results of operations below reflect a previously reported segment reclassification, as described in Note 1 to our Consolidated Financial Statements.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26" w:lineRule="exact"/>
        <w:rPr>
          <w:sz w:val="20"/>
          <w:szCs w:val="20"/>
          <w:color w:val="auto"/>
        </w:rPr>
      </w:pPr>
    </w:p>
    <w:p>
      <w:pPr>
        <w:ind w:right="20"/>
        <w:spacing w:after="0" w:line="204" w:lineRule="auto"/>
        <w:rPr>
          <w:sz w:val="20"/>
          <w:szCs w:val="20"/>
          <w:color w:val="auto"/>
        </w:rPr>
      </w:pPr>
      <w:r>
        <w:rPr>
          <w:rFonts w:ascii="Arial" w:cs="Arial" w:eastAsia="Arial" w:hAnsi="Arial"/>
          <w:sz w:val="18"/>
          <w:szCs w:val="18"/>
          <w:color w:val="auto"/>
        </w:rPr>
        <w:t>Our reportable segments: Machine Clothing (MC), Albany Engineered Composites (AEC) and PrimaLoft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all draw on the same advanced textiles and materials processing capabilities, and compete on the basis of proprietary, product-based advantage that is grounded in those core capabilities. As a result, technology and manufacturing advances in one tend to benefit the other. While not enjoying comparable</w:t>
      </w:r>
    </w:p>
    <w:p>
      <w:pPr>
        <w:spacing w:after="0" w:line="3" w:lineRule="exact"/>
        <w:rPr>
          <w:sz w:val="20"/>
          <w:szCs w:val="20"/>
          <w:color w:val="auto"/>
        </w:rPr>
      </w:pPr>
    </w:p>
    <w:p>
      <w:pPr>
        <w:ind w:right="560"/>
        <w:spacing w:after="0" w:line="199" w:lineRule="auto"/>
        <w:rPr>
          <w:sz w:val="20"/>
          <w:szCs w:val="20"/>
          <w:color w:val="auto"/>
        </w:rPr>
      </w:pPr>
      <w:r>
        <w:rPr>
          <w:rFonts w:ascii="Arial" w:cs="Arial" w:eastAsia="Arial" w:hAnsi="Arial"/>
          <w:sz w:val="18"/>
          <w:szCs w:val="18"/>
          <w:color w:val="auto"/>
        </w:rPr>
        <w:t>synergies with Machine Clothing and AEC, PrimaLoft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is also based on expertise in textiles and material processing, and also competes on the basis of product advantage.</w:t>
      </w:r>
    </w:p>
    <w:p>
      <w:pPr>
        <w:spacing w:after="0" w:line="96"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MC is the Company’s long-established core business and primary generator of cash. While the paper industry in our traditional geographic markets has suffered from well-documented overcapacity in the publication grades, especially newsprint, the industry is still expected to grow on a global basis, driven by demand for packaging and tissue grades, as well as the expansion of paper consumption and production in Asia and South America. Although we no longer consider the MC industry as having significant growth potential, our MC business has significant prospects for long-term cash-generation. We feel we are now well-positioned in this industry, with high-quality, low-cost production in growth markets, substantially lower fixed costs in mature markets, and continued strength in new product development and field services. We seek to maintain the cash-generating potential of this business by maintaining the low costs that we achieved through restructuring and performance improvement, and competing vigorously by using our differentiated products and services to reduce our customers’ total cost of operation and improve their paper quality.</w:t>
      </w:r>
    </w:p>
    <w:p>
      <w:pPr>
        <w:spacing w:after="0" w:line="9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believe that AEC provides the greatest growth potential, both near and long term, for our Company. Our strategy is to grow organically by focusing our proprietary technology on high-value aerospace and defense applications that cannot be served effectively by conventional composites. AEC supplies a number of customers in the aerospace industry. AEC’s most significant aerospace customer is the SAFRAN Group, for whom we make braces for the Boeing 787-8 main landing gear, outer guide vanes for the CFM-56 engine, and fan blades and other components for the LEAP engine. AEC is also developing other new and potentially significant composite products for aerospace (engine and airframe) applications</w:t>
      </w:r>
      <w:r>
        <w:rPr>
          <w:rFonts w:ascii="Arial" w:cs="Arial" w:eastAsia="Arial" w:hAnsi="Arial"/>
          <w:sz w:val="19"/>
          <w:szCs w:val="19"/>
          <w:color w:val="auto"/>
        </w:rPr>
        <w: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net sales by business segment:</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00" w:type="dxa"/>
            <w:vAlign w:val="bottom"/>
            <w:tcBorders>
              <w:top w:val="single" w:sz="8" w:color="auto"/>
            </w:tcBorders>
          </w:tcPr>
          <w:p>
            <w:pPr>
              <w:spacing w:after="0"/>
              <w:rPr>
                <w:sz w:val="18"/>
                <w:szCs w:val="18"/>
                <w:color w:val="auto"/>
              </w:rPr>
            </w:pPr>
          </w:p>
        </w:tc>
        <w:tc>
          <w:tcPr>
            <w:tcW w:w="4280" w:type="dxa"/>
            <w:vAlign w:val="bottom"/>
            <w:tcBorders>
              <w:top w:val="single" w:sz="8" w:color="auto"/>
            </w:tcBorders>
            <w:gridSpan w:val="2"/>
          </w:tcPr>
          <w:p>
            <w:pPr>
              <w:jc w:val="right"/>
              <w:ind w:right="830"/>
              <w:spacing w:after="0"/>
              <w:rPr>
                <w:sz w:val="20"/>
                <w:szCs w:val="20"/>
                <w:color w:val="auto"/>
              </w:rPr>
            </w:pPr>
            <w:r>
              <w:rPr>
                <w:rFonts w:ascii="Arial" w:cs="Arial" w:eastAsia="Arial" w:hAnsi="Arial"/>
                <w:sz w:val="18"/>
                <w:szCs w:val="18"/>
                <w:color w:val="auto"/>
              </w:rPr>
              <w:t>Three months ended</w:t>
            </w:r>
          </w:p>
        </w:tc>
        <w:tc>
          <w:tcPr>
            <w:tcW w:w="1360" w:type="dxa"/>
            <w:vAlign w:val="bottom"/>
            <w:tcBorders>
              <w:top w:val="single" w:sz="8" w:color="auto"/>
            </w:tcBorders>
          </w:tcPr>
          <w:p>
            <w:pPr>
              <w:spacing w:after="0"/>
              <w:rPr>
                <w:sz w:val="18"/>
                <w:szCs w:val="18"/>
                <w:color w:val="auto"/>
              </w:rPr>
            </w:pPr>
          </w:p>
        </w:tc>
      </w:tr>
      <w:tr>
        <w:trPr>
          <w:trHeight w:val="181"/>
        </w:trPr>
        <w:tc>
          <w:tcPr>
            <w:tcW w:w="3500" w:type="dxa"/>
            <w:vAlign w:val="bottom"/>
          </w:tcPr>
          <w:p>
            <w:pPr>
              <w:spacing w:after="0"/>
              <w:rPr>
                <w:sz w:val="15"/>
                <w:szCs w:val="15"/>
                <w:color w:val="auto"/>
              </w:rPr>
            </w:pPr>
          </w:p>
        </w:tc>
        <w:tc>
          <w:tcPr>
            <w:tcW w:w="3020" w:type="dxa"/>
            <w:vAlign w:val="bottom"/>
          </w:tcPr>
          <w:p>
            <w:pPr>
              <w:jc w:val="right"/>
              <w:spacing w:after="0" w:line="181" w:lineRule="exact"/>
              <w:rPr>
                <w:sz w:val="20"/>
                <w:szCs w:val="20"/>
                <w:color w:val="auto"/>
              </w:rPr>
            </w:pPr>
            <w:r>
              <w:rPr>
                <w:rFonts w:ascii="Arial" w:cs="Arial" w:eastAsia="Arial" w:hAnsi="Arial"/>
                <w:sz w:val="18"/>
                <w:szCs w:val="18"/>
                <w:color w:val="auto"/>
              </w:rPr>
              <w:t>March 31,</w:t>
            </w:r>
          </w:p>
        </w:tc>
        <w:tc>
          <w:tcPr>
            <w:tcW w:w="1260" w:type="dxa"/>
            <w:vAlign w:val="bottom"/>
          </w:tcPr>
          <w:p>
            <w:pPr>
              <w:spacing w:after="0"/>
              <w:rPr>
                <w:sz w:val="15"/>
                <w:szCs w:val="15"/>
                <w:color w:val="auto"/>
              </w:rPr>
            </w:pPr>
          </w:p>
        </w:tc>
        <w:tc>
          <w:tcPr>
            <w:tcW w:w="1360" w:type="dxa"/>
            <w:vAlign w:val="bottom"/>
          </w:tcPr>
          <w:p>
            <w:pPr>
              <w:jc w:val="right"/>
              <w:ind w:right="470"/>
              <w:spacing w:after="0" w:line="181" w:lineRule="exact"/>
              <w:rPr>
                <w:sz w:val="20"/>
                <w:szCs w:val="20"/>
                <w:color w:val="auto"/>
              </w:rPr>
            </w:pPr>
            <w:r>
              <w:rPr>
                <w:rFonts w:ascii="Arial" w:cs="Arial" w:eastAsia="Arial" w:hAnsi="Arial"/>
                <w:sz w:val="18"/>
                <w:szCs w:val="18"/>
                <w:color w:val="auto"/>
              </w:rPr>
              <w:t>%</w:t>
            </w:r>
          </w:p>
        </w:tc>
      </w:tr>
      <w:tr>
        <w:trPr>
          <w:trHeight w:val="225"/>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0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2012</w:t>
            </w: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2011</w:t>
            </w:r>
          </w:p>
        </w:tc>
        <w:tc>
          <w:tcPr>
            <w:tcW w:w="1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Change</w:t>
            </w:r>
          </w:p>
        </w:tc>
      </w:tr>
      <w:tr>
        <w:trPr>
          <w:trHeight w:val="173"/>
        </w:trPr>
        <w:tc>
          <w:tcPr>
            <w:tcW w:w="3500" w:type="dxa"/>
            <w:vAlign w:val="bottom"/>
          </w:tcPr>
          <w:p>
            <w:pPr>
              <w:ind w:left="100"/>
              <w:spacing w:after="0" w:line="173" w:lineRule="exact"/>
              <w:rPr>
                <w:sz w:val="20"/>
                <w:szCs w:val="20"/>
                <w:color w:val="auto"/>
              </w:rPr>
            </w:pPr>
            <w:r>
              <w:rPr>
                <w:rFonts w:ascii="Arial" w:cs="Arial" w:eastAsia="Arial" w:hAnsi="Arial"/>
                <w:sz w:val="18"/>
                <w:szCs w:val="18"/>
                <w:color w:val="auto"/>
              </w:rPr>
              <w:t>Machine Clothing</w:t>
            </w:r>
          </w:p>
        </w:tc>
        <w:tc>
          <w:tcPr>
            <w:tcW w:w="3020" w:type="dxa"/>
            <w:vAlign w:val="bottom"/>
          </w:tcPr>
          <w:p>
            <w:pPr>
              <w:jc w:val="right"/>
              <w:ind w:right="690"/>
              <w:spacing w:after="0" w:line="173" w:lineRule="exact"/>
              <w:rPr>
                <w:sz w:val="20"/>
                <w:szCs w:val="20"/>
                <w:color w:val="auto"/>
              </w:rPr>
            </w:pPr>
            <w:r>
              <w:rPr>
                <w:rFonts w:ascii="Arial" w:cs="Arial" w:eastAsia="Arial" w:hAnsi="Arial"/>
                <w:sz w:val="18"/>
                <w:szCs w:val="18"/>
                <w:b w:val="1"/>
                <w:bCs w:val="1"/>
                <w:color w:val="auto"/>
              </w:rPr>
              <w:t>$164,288</w:t>
            </w:r>
          </w:p>
        </w:tc>
        <w:tc>
          <w:tcPr>
            <w:tcW w:w="1260" w:type="dxa"/>
            <w:vAlign w:val="bottom"/>
          </w:tcPr>
          <w:p>
            <w:pPr>
              <w:jc w:val="right"/>
              <w:ind w:right="330"/>
              <w:spacing w:after="0" w:line="173" w:lineRule="exact"/>
              <w:rPr>
                <w:sz w:val="20"/>
                <w:szCs w:val="20"/>
                <w:color w:val="auto"/>
              </w:rPr>
            </w:pPr>
            <w:r>
              <w:rPr>
                <w:rFonts w:ascii="Arial" w:cs="Arial" w:eastAsia="Arial" w:hAnsi="Arial"/>
                <w:sz w:val="18"/>
                <w:szCs w:val="18"/>
                <w:color w:val="auto"/>
              </w:rPr>
              <w:t>$188,482</w:t>
            </w:r>
          </w:p>
        </w:tc>
        <w:tc>
          <w:tcPr>
            <w:tcW w:w="1360" w:type="dxa"/>
            <w:vAlign w:val="bottom"/>
          </w:tcPr>
          <w:p>
            <w:pPr>
              <w:jc w:val="right"/>
              <w:spacing w:after="0" w:line="173" w:lineRule="exact"/>
              <w:rPr>
                <w:sz w:val="20"/>
                <w:szCs w:val="20"/>
                <w:color w:val="auto"/>
              </w:rPr>
            </w:pPr>
            <w:r>
              <w:rPr>
                <w:rFonts w:ascii="Arial" w:cs="Arial" w:eastAsia="Arial" w:hAnsi="Arial"/>
                <w:sz w:val="18"/>
                <w:szCs w:val="18"/>
                <w:color w:val="auto"/>
              </w:rPr>
              <w:t>-12.8%</w:t>
            </w:r>
          </w:p>
        </w:tc>
      </w:tr>
      <w:tr>
        <w:trPr>
          <w:trHeight w:val="225"/>
        </w:trPr>
        <w:tc>
          <w:tcPr>
            <w:tcW w:w="3500" w:type="dxa"/>
            <w:vAlign w:val="bottom"/>
          </w:tcPr>
          <w:p>
            <w:pPr>
              <w:ind w:left="100"/>
              <w:spacing w:after="0"/>
              <w:rPr>
                <w:sz w:val="20"/>
                <w:szCs w:val="20"/>
                <w:color w:val="auto"/>
              </w:rPr>
            </w:pPr>
            <w:r>
              <w:rPr>
                <w:rFonts w:ascii="Arial" w:cs="Arial" w:eastAsia="Arial" w:hAnsi="Arial"/>
                <w:sz w:val="18"/>
                <w:szCs w:val="18"/>
                <w:color w:val="auto"/>
              </w:rPr>
              <w:t>Engineered Composites</w:t>
            </w:r>
          </w:p>
        </w:tc>
        <w:tc>
          <w:tcPr>
            <w:tcW w:w="3020" w:type="dxa"/>
            <w:vAlign w:val="bottom"/>
          </w:tcPr>
          <w:p>
            <w:pPr>
              <w:jc w:val="right"/>
              <w:ind w:right="690"/>
              <w:spacing w:after="0"/>
              <w:rPr>
                <w:sz w:val="20"/>
                <w:szCs w:val="20"/>
                <w:color w:val="auto"/>
              </w:rPr>
            </w:pPr>
            <w:r>
              <w:rPr>
                <w:rFonts w:ascii="Arial" w:cs="Arial" w:eastAsia="Arial" w:hAnsi="Arial"/>
                <w:sz w:val="18"/>
                <w:szCs w:val="18"/>
                <w:b w:val="1"/>
                <w:bCs w:val="1"/>
                <w:color w:val="auto"/>
              </w:rPr>
              <w:t>15,789</w:t>
            </w: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11,472</w:t>
            </w:r>
          </w:p>
        </w:tc>
        <w:tc>
          <w:tcPr>
            <w:tcW w:w="1360" w:type="dxa"/>
            <w:vAlign w:val="bottom"/>
          </w:tcPr>
          <w:p>
            <w:pPr>
              <w:jc w:val="right"/>
              <w:spacing w:after="0"/>
              <w:rPr>
                <w:sz w:val="20"/>
                <w:szCs w:val="20"/>
                <w:color w:val="auto"/>
              </w:rPr>
            </w:pPr>
            <w:r>
              <w:rPr>
                <w:rFonts w:ascii="Arial" w:cs="Arial" w:eastAsia="Arial" w:hAnsi="Arial"/>
                <w:sz w:val="18"/>
                <w:szCs w:val="18"/>
                <w:color w:val="auto"/>
              </w:rPr>
              <w:t>37.6%</w:t>
            </w:r>
          </w:p>
        </w:tc>
      </w:tr>
      <w:tr>
        <w:trPr>
          <w:trHeight w:val="244"/>
        </w:trPr>
        <w:tc>
          <w:tcPr>
            <w:tcW w:w="3500" w:type="dxa"/>
            <w:vAlign w:val="bottom"/>
            <w:tcBorders>
              <w:bottom w:val="single" w:sz="8" w:color="auto"/>
            </w:tcBorders>
          </w:tcPr>
          <w:p>
            <w:pPr>
              <w:ind w:left="100"/>
              <w:spacing w:after="0" w:line="243" w:lineRule="exact"/>
              <w:rPr>
                <w:sz w:val="20"/>
                <w:szCs w:val="20"/>
                <w:color w:val="auto"/>
              </w:rPr>
            </w:pPr>
            <w:r>
              <w:rPr>
                <w:rFonts w:ascii="Arial" w:cs="Arial" w:eastAsia="Arial" w:hAnsi="Arial"/>
                <w:sz w:val="17"/>
                <w:szCs w:val="17"/>
                <w:color w:val="auto"/>
              </w:rPr>
              <w:t>PrimaLoft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w:t>
            </w:r>
          </w:p>
        </w:tc>
        <w:tc>
          <w:tcPr>
            <w:tcW w:w="30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8,476</w:t>
            </w: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6,768</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r>
      <w:tr>
        <w:trPr>
          <w:trHeight w:val="203"/>
        </w:trPr>
        <w:tc>
          <w:tcPr>
            <w:tcW w:w="350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w:t>
            </w:r>
          </w:p>
        </w:tc>
        <w:tc>
          <w:tcPr>
            <w:tcW w:w="3020" w:type="dxa"/>
            <w:vAlign w:val="bottom"/>
            <w:tcBorders>
              <w:bottom w:val="single" w:sz="8" w:color="auto"/>
            </w:tcBorders>
          </w:tcPr>
          <w:p>
            <w:pPr>
              <w:jc w:val="right"/>
              <w:ind w:right="690"/>
              <w:spacing w:after="0" w:line="196" w:lineRule="exact"/>
              <w:rPr>
                <w:sz w:val="20"/>
                <w:szCs w:val="20"/>
                <w:color w:val="auto"/>
              </w:rPr>
            </w:pPr>
            <w:r>
              <w:rPr>
                <w:rFonts w:ascii="Arial" w:cs="Arial" w:eastAsia="Arial" w:hAnsi="Arial"/>
                <w:sz w:val="18"/>
                <w:szCs w:val="18"/>
                <w:b w:val="1"/>
                <w:bCs w:val="1"/>
                <w:color w:val="auto"/>
              </w:rPr>
              <w:t>$188,553</w:t>
            </w:r>
          </w:p>
        </w:tc>
        <w:tc>
          <w:tcPr>
            <w:tcW w:w="126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rPr>
              <w:t>$206,722</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Net sales were affected by the following:</w:t>
      </w:r>
    </w:p>
    <w:p>
      <w:pPr>
        <w:spacing w:after="0" w:line="1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Changes in currency translation rates had the effect of decreasing net sales by $1.7 million during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-100330</wp:posOffset>
            </wp:positionV>
            <wp:extent cx="68580" cy="685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Excluding the effect of changes in currency translation rates, 2012 net sales decreased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-100330</wp:posOffset>
            </wp:positionV>
            <wp:extent cx="68580" cy="685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right="760"/>
        <w:spacing w:after="0" w:line="281" w:lineRule="auto"/>
        <w:rPr>
          <w:sz w:val="20"/>
          <w:szCs w:val="20"/>
          <w:color w:val="auto"/>
        </w:rPr>
      </w:pPr>
      <w:r>
        <w:rPr>
          <w:rFonts w:ascii="Arial" w:cs="Arial" w:eastAsia="Arial" w:hAnsi="Arial"/>
          <w:sz w:val="18"/>
          <w:szCs w:val="18"/>
          <w:color w:val="auto"/>
        </w:rPr>
        <w:t>For Machine Clothing, the start to the quarter was even weaker than we had been anticipating. However, orders, backlogs and shipments at the end of the quarter all point to a higher level of sales in Q2.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-276225</wp:posOffset>
            </wp:positionV>
            <wp:extent cx="68580" cy="685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A strong quarter of sales in Engineered Composites led to operating income above breakeven.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-100330</wp:posOffset>
            </wp:positionV>
            <wp:extent cx="68580" cy="685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Sales volumes grew in our PrimaLoft segment leading to a 25% increase compared to the first quarter of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-100330</wp:posOffset>
            </wp:positionV>
            <wp:extent cx="68580" cy="685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40"/>
          </w:cols>
          <w:pgMar w:left="240" w:top="657" w:right="31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Gross Profit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gross profit by business segment:</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80" w:type="dxa"/>
            <w:vAlign w:val="bottom"/>
            <w:tcBorders>
              <w:top w:val="single" w:sz="8" w:color="auto"/>
            </w:tcBorders>
          </w:tcPr>
          <w:p>
            <w:pPr>
              <w:spacing w:after="0"/>
              <w:rPr>
                <w:sz w:val="18"/>
                <w:szCs w:val="18"/>
                <w:color w:val="auto"/>
              </w:rPr>
            </w:pPr>
          </w:p>
        </w:tc>
        <w:tc>
          <w:tcPr>
            <w:tcW w:w="4200" w:type="dxa"/>
            <w:vAlign w:val="bottom"/>
            <w:tcBorders>
              <w:top w:val="single" w:sz="8" w:color="auto"/>
            </w:tcBorders>
            <w:gridSpan w:val="2"/>
          </w:tcPr>
          <w:p>
            <w:pPr>
              <w:jc w:val="right"/>
              <w:ind w:right="510"/>
              <w:spacing w:after="0"/>
              <w:rPr>
                <w:sz w:val="20"/>
                <w:szCs w:val="20"/>
                <w:color w:val="auto"/>
              </w:rPr>
            </w:pPr>
            <w:r>
              <w:rPr>
                <w:rFonts w:ascii="Arial" w:cs="Arial" w:eastAsia="Arial" w:hAnsi="Arial"/>
                <w:sz w:val="18"/>
                <w:szCs w:val="18"/>
                <w:color w:val="auto"/>
              </w:rPr>
              <w:t>Three months ended</w:t>
            </w:r>
          </w:p>
        </w:tc>
      </w:tr>
      <w:tr>
        <w:trPr>
          <w:trHeight w:val="181"/>
        </w:trPr>
        <w:tc>
          <w:tcPr>
            <w:tcW w:w="3780" w:type="dxa"/>
            <w:vAlign w:val="bottom"/>
          </w:tcPr>
          <w:p>
            <w:pPr>
              <w:spacing w:after="0"/>
              <w:rPr>
                <w:sz w:val="15"/>
                <w:szCs w:val="15"/>
                <w:color w:val="auto"/>
              </w:rPr>
            </w:pPr>
          </w:p>
        </w:tc>
        <w:tc>
          <w:tcPr>
            <w:tcW w:w="3340" w:type="dxa"/>
            <w:vAlign w:val="bottom"/>
          </w:tcPr>
          <w:p>
            <w:pPr>
              <w:jc w:val="right"/>
              <w:ind w:right="70"/>
              <w:spacing w:after="0" w:line="181" w:lineRule="exact"/>
              <w:rPr>
                <w:sz w:val="20"/>
                <w:szCs w:val="20"/>
                <w:color w:val="auto"/>
              </w:rPr>
            </w:pPr>
            <w:r>
              <w:rPr>
                <w:rFonts w:ascii="Arial" w:cs="Arial" w:eastAsia="Arial" w:hAnsi="Arial"/>
                <w:sz w:val="18"/>
                <w:szCs w:val="18"/>
                <w:color w:val="auto"/>
              </w:rPr>
              <w:t>March 31,</w:t>
            </w:r>
          </w:p>
        </w:tc>
        <w:tc>
          <w:tcPr>
            <w:tcW w:w="860" w:type="dxa"/>
            <w:vAlign w:val="bottom"/>
          </w:tcPr>
          <w:p>
            <w:pPr>
              <w:spacing w:after="0"/>
              <w:rPr>
                <w:sz w:val="15"/>
                <w:szCs w:val="15"/>
                <w:color w:val="auto"/>
              </w:rPr>
            </w:pPr>
          </w:p>
        </w:tc>
      </w:tr>
      <w:tr>
        <w:trPr>
          <w:trHeight w:val="225"/>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34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2012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r>
      <w:tr>
        <w:trPr>
          <w:trHeight w:val="173"/>
        </w:trPr>
        <w:tc>
          <w:tcPr>
            <w:tcW w:w="3780" w:type="dxa"/>
            <w:vAlign w:val="bottom"/>
          </w:tcPr>
          <w:p>
            <w:pPr>
              <w:ind w:left="100"/>
              <w:spacing w:after="0" w:line="173" w:lineRule="exact"/>
              <w:rPr>
                <w:sz w:val="20"/>
                <w:szCs w:val="20"/>
                <w:color w:val="auto"/>
              </w:rPr>
            </w:pPr>
            <w:r>
              <w:rPr>
                <w:rFonts w:ascii="Arial" w:cs="Arial" w:eastAsia="Arial" w:hAnsi="Arial"/>
                <w:sz w:val="18"/>
                <w:szCs w:val="18"/>
                <w:color w:val="auto"/>
              </w:rPr>
              <w:t>Machine Clothing</w:t>
            </w:r>
          </w:p>
        </w:tc>
        <w:tc>
          <w:tcPr>
            <w:tcW w:w="3340" w:type="dxa"/>
            <w:vAlign w:val="bottom"/>
          </w:tcPr>
          <w:p>
            <w:pPr>
              <w:jc w:val="right"/>
              <w:ind w:right="870"/>
              <w:spacing w:after="0" w:line="173" w:lineRule="exact"/>
              <w:rPr>
                <w:sz w:val="20"/>
                <w:szCs w:val="20"/>
                <w:color w:val="auto"/>
              </w:rPr>
            </w:pPr>
            <w:r>
              <w:rPr>
                <w:rFonts w:ascii="Arial" w:cs="Arial" w:eastAsia="Arial" w:hAnsi="Arial"/>
                <w:sz w:val="18"/>
                <w:szCs w:val="18"/>
                <w:b w:val="1"/>
                <w:bCs w:val="1"/>
                <w:color w:val="auto"/>
              </w:rPr>
              <w:t>$67,998</w:t>
            </w:r>
          </w:p>
        </w:tc>
        <w:tc>
          <w:tcPr>
            <w:tcW w:w="860" w:type="dxa"/>
            <w:vAlign w:val="bottom"/>
          </w:tcPr>
          <w:p>
            <w:pPr>
              <w:jc w:val="right"/>
              <w:spacing w:after="0" w:line="173" w:lineRule="exact"/>
              <w:rPr>
                <w:sz w:val="20"/>
                <w:szCs w:val="20"/>
                <w:color w:val="auto"/>
              </w:rPr>
            </w:pPr>
            <w:r>
              <w:rPr>
                <w:rFonts w:ascii="Arial" w:cs="Arial" w:eastAsia="Arial" w:hAnsi="Arial"/>
                <w:sz w:val="18"/>
                <w:szCs w:val="18"/>
                <w:color w:val="auto"/>
              </w:rPr>
              <w:t>$86,537</w:t>
            </w:r>
          </w:p>
        </w:tc>
      </w:tr>
      <w:tr>
        <w:trPr>
          <w:trHeight w:val="225"/>
        </w:trPr>
        <w:tc>
          <w:tcPr>
            <w:tcW w:w="3780" w:type="dxa"/>
            <w:vAlign w:val="bottom"/>
          </w:tcPr>
          <w:p>
            <w:pPr>
              <w:ind w:left="100"/>
              <w:spacing w:after="0"/>
              <w:rPr>
                <w:sz w:val="20"/>
                <w:szCs w:val="20"/>
                <w:color w:val="auto"/>
              </w:rPr>
            </w:pPr>
            <w:r>
              <w:rPr>
                <w:rFonts w:ascii="Arial" w:cs="Arial" w:eastAsia="Arial" w:hAnsi="Arial"/>
                <w:sz w:val="18"/>
                <w:szCs w:val="18"/>
                <w:color w:val="auto"/>
              </w:rPr>
              <w:t>Engineered Composites</w:t>
            </w:r>
          </w:p>
        </w:tc>
        <w:tc>
          <w:tcPr>
            <w:tcW w:w="3340" w:type="dxa"/>
            <w:vAlign w:val="bottom"/>
          </w:tcPr>
          <w:p>
            <w:pPr>
              <w:jc w:val="right"/>
              <w:ind w:right="870"/>
              <w:spacing w:after="0"/>
              <w:rPr>
                <w:sz w:val="20"/>
                <w:szCs w:val="20"/>
                <w:color w:val="auto"/>
              </w:rPr>
            </w:pPr>
            <w:r>
              <w:rPr>
                <w:rFonts w:ascii="Arial" w:cs="Arial" w:eastAsia="Arial" w:hAnsi="Arial"/>
                <w:sz w:val="18"/>
                <w:szCs w:val="18"/>
                <w:b w:val="1"/>
                <w:bCs w:val="1"/>
                <w:color w:val="auto"/>
              </w:rPr>
              <w:t>1,393</w:t>
            </w: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1"/>
        </w:trPr>
        <w:tc>
          <w:tcPr>
            <w:tcW w:w="3780" w:type="dxa"/>
            <w:vAlign w:val="bottom"/>
          </w:tcPr>
          <w:p>
            <w:pPr>
              <w:ind w:left="100"/>
              <w:spacing w:after="0" w:line="221" w:lineRule="exact"/>
              <w:rPr>
                <w:sz w:val="20"/>
                <w:szCs w:val="20"/>
                <w:color w:val="auto"/>
              </w:rPr>
            </w:pPr>
            <w:r>
              <w:rPr>
                <w:rFonts w:ascii="Arial" w:cs="Arial" w:eastAsia="Arial" w:hAnsi="Arial"/>
                <w:sz w:val="16"/>
                <w:szCs w:val="16"/>
                <w:color w:val="auto"/>
              </w:rPr>
              <w:t>PrimaLoft</w:t>
            </w:r>
            <w:r>
              <w:rPr>
                <w:rFonts w:ascii="Arial" w:cs="Arial" w:eastAsia="Arial" w:hAnsi="Arial"/>
                <w:sz w:val="25"/>
                <w:szCs w:val="25"/>
                <w:color w:val="auto"/>
                <w:vertAlign w:val="superscript"/>
              </w:rPr>
              <w:t>®</w:t>
            </w:r>
            <w:r>
              <w:rPr>
                <w:rFonts w:ascii="Arial" w:cs="Arial" w:eastAsia="Arial" w:hAnsi="Arial"/>
                <w:sz w:val="16"/>
                <w:szCs w:val="16"/>
                <w:color w:val="auto"/>
              </w:rPr>
              <w:t xml:space="preserve"> Products</w:t>
            </w:r>
          </w:p>
        </w:tc>
        <w:tc>
          <w:tcPr>
            <w:tcW w:w="3340" w:type="dxa"/>
            <w:vAlign w:val="bottom"/>
          </w:tcPr>
          <w:p>
            <w:pPr>
              <w:jc w:val="right"/>
              <w:ind w:right="870"/>
              <w:spacing w:after="0"/>
              <w:rPr>
                <w:sz w:val="20"/>
                <w:szCs w:val="20"/>
                <w:color w:val="auto"/>
              </w:rPr>
            </w:pPr>
            <w:r>
              <w:rPr>
                <w:rFonts w:ascii="Arial" w:cs="Arial" w:eastAsia="Arial" w:hAnsi="Arial"/>
                <w:sz w:val="18"/>
                <w:szCs w:val="18"/>
                <w:b w:val="1"/>
                <w:bCs w:val="1"/>
                <w:color w:val="auto"/>
              </w:rPr>
              <w:t>3,548</w:t>
            </w:r>
          </w:p>
        </w:tc>
        <w:tc>
          <w:tcPr>
            <w:tcW w:w="860" w:type="dxa"/>
            <w:vAlign w:val="bottom"/>
          </w:tcPr>
          <w:p>
            <w:pPr>
              <w:jc w:val="right"/>
              <w:spacing w:after="0"/>
              <w:rPr>
                <w:sz w:val="20"/>
                <w:szCs w:val="20"/>
                <w:color w:val="auto"/>
              </w:rPr>
            </w:pPr>
            <w:r>
              <w:rPr>
                <w:rFonts w:ascii="Arial" w:cs="Arial" w:eastAsia="Arial" w:hAnsi="Arial"/>
                <w:sz w:val="18"/>
                <w:szCs w:val="18"/>
                <w:color w:val="auto"/>
              </w:rPr>
              <w:t>3,657</w:t>
            </w:r>
          </w:p>
        </w:tc>
      </w:tr>
      <w:tr>
        <w:trPr>
          <w:trHeight w:val="225"/>
        </w:trPr>
        <w:tc>
          <w:tcPr>
            <w:tcW w:w="37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Unallocated</w:t>
            </w:r>
          </w:p>
        </w:tc>
        <w:tc>
          <w:tcPr>
            <w:tcW w:w="334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(1,105)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w:t>
            </w:r>
          </w:p>
        </w:tc>
      </w:tr>
      <w:tr>
        <w:trPr>
          <w:trHeight w:val="196"/>
        </w:trPr>
        <w:tc>
          <w:tcPr>
            <w:tcW w:w="37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w:t>
            </w:r>
          </w:p>
        </w:tc>
        <w:tc>
          <w:tcPr>
            <w:tcW w:w="3340" w:type="dxa"/>
            <w:vAlign w:val="bottom"/>
            <w:tcBorders>
              <w:bottom w:val="single" w:sz="8" w:color="auto"/>
            </w:tcBorders>
          </w:tcPr>
          <w:p>
            <w:pPr>
              <w:jc w:val="right"/>
              <w:ind w:right="870"/>
              <w:spacing w:after="0" w:line="196" w:lineRule="exact"/>
              <w:rPr>
                <w:sz w:val="20"/>
                <w:szCs w:val="20"/>
                <w:color w:val="auto"/>
              </w:rPr>
            </w:pPr>
            <w:r>
              <w:rPr>
                <w:rFonts w:ascii="Arial" w:cs="Arial" w:eastAsia="Arial" w:hAnsi="Arial"/>
                <w:sz w:val="18"/>
                <w:szCs w:val="18"/>
                <w:b w:val="1"/>
                <w:bCs w:val="1"/>
                <w:color w:val="auto"/>
              </w:rPr>
              <w:t>$71,834</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$88,845</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gross profit during 2012 was principally due to the net effect of the following:</w:t>
      </w:r>
    </w:p>
    <w:p>
      <w:pPr>
        <w:spacing w:after="0" w:line="131" w:lineRule="exact"/>
        <w:rPr>
          <w:sz w:val="20"/>
          <w:szCs w:val="20"/>
          <w:color w:val="auto"/>
        </w:rPr>
      </w:pPr>
    </w:p>
    <w:p>
      <w:pPr>
        <w:ind w:left="540" w:right="380"/>
        <w:spacing w:after="0" w:line="266" w:lineRule="auto"/>
        <w:rPr>
          <w:sz w:val="20"/>
          <w:szCs w:val="20"/>
          <w:color w:val="auto"/>
        </w:rPr>
      </w:pPr>
      <w:r>
        <w:rPr>
          <w:rFonts w:ascii="Arial" w:cs="Arial" w:eastAsia="Arial" w:hAnsi="Arial"/>
          <w:sz w:val="18"/>
          <w:szCs w:val="18"/>
          <w:color w:val="auto"/>
        </w:rPr>
        <w:t>Lower net sales and plant utilization in MC. Q1 2011 gross profit was increased by unusually high production levels due to inventory restocking in Machine Clothing.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-259715</wp:posOffset>
            </wp:positionV>
            <wp:extent cx="68580" cy="685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$0.5 million of additional expense in PrimaLoft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associated with an additional accrual for a toll manufacturer.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-161925</wp:posOffset>
            </wp:positionV>
            <wp:extent cx="68580" cy="685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Technical, General, and Research (STG&amp;R)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STG&amp;R by business segment:</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80" w:type="dxa"/>
            <w:vAlign w:val="bottom"/>
            <w:tcBorders>
              <w:top w:val="single" w:sz="8" w:color="auto"/>
            </w:tcBorders>
          </w:tcPr>
          <w:p>
            <w:pPr>
              <w:spacing w:after="0"/>
              <w:rPr>
                <w:sz w:val="18"/>
                <w:szCs w:val="18"/>
                <w:color w:val="auto"/>
              </w:rPr>
            </w:pPr>
          </w:p>
        </w:tc>
        <w:tc>
          <w:tcPr>
            <w:tcW w:w="4200" w:type="dxa"/>
            <w:vAlign w:val="bottom"/>
            <w:tcBorders>
              <w:top w:val="single" w:sz="8" w:color="auto"/>
            </w:tcBorders>
            <w:gridSpan w:val="2"/>
          </w:tcPr>
          <w:p>
            <w:pPr>
              <w:jc w:val="right"/>
              <w:ind w:right="510"/>
              <w:spacing w:after="0"/>
              <w:rPr>
                <w:sz w:val="20"/>
                <w:szCs w:val="20"/>
                <w:color w:val="auto"/>
              </w:rPr>
            </w:pPr>
            <w:r>
              <w:rPr>
                <w:rFonts w:ascii="Arial" w:cs="Arial" w:eastAsia="Arial" w:hAnsi="Arial"/>
                <w:sz w:val="18"/>
                <w:szCs w:val="18"/>
                <w:color w:val="auto"/>
              </w:rPr>
              <w:t>Three months ended</w:t>
            </w:r>
          </w:p>
        </w:tc>
      </w:tr>
      <w:tr>
        <w:trPr>
          <w:trHeight w:val="181"/>
        </w:trPr>
        <w:tc>
          <w:tcPr>
            <w:tcW w:w="3780" w:type="dxa"/>
            <w:vAlign w:val="bottom"/>
          </w:tcPr>
          <w:p>
            <w:pPr>
              <w:spacing w:after="0"/>
              <w:rPr>
                <w:sz w:val="15"/>
                <w:szCs w:val="15"/>
                <w:color w:val="auto"/>
              </w:rPr>
            </w:pPr>
          </w:p>
        </w:tc>
        <w:tc>
          <w:tcPr>
            <w:tcW w:w="3340" w:type="dxa"/>
            <w:vAlign w:val="bottom"/>
          </w:tcPr>
          <w:p>
            <w:pPr>
              <w:jc w:val="right"/>
              <w:ind w:right="70"/>
              <w:spacing w:after="0" w:line="181" w:lineRule="exact"/>
              <w:rPr>
                <w:sz w:val="20"/>
                <w:szCs w:val="20"/>
                <w:color w:val="auto"/>
              </w:rPr>
            </w:pPr>
            <w:r>
              <w:rPr>
                <w:rFonts w:ascii="Arial" w:cs="Arial" w:eastAsia="Arial" w:hAnsi="Arial"/>
                <w:sz w:val="18"/>
                <w:szCs w:val="18"/>
                <w:color w:val="auto"/>
              </w:rPr>
              <w:t>March 31,</w:t>
            </w:r>
          </w:p>
        </w:tc>
        <w:tc>
          <w:tcPr>
            <w:tcW w:w="860" w:type="dxa"/>
            <w:vAlign w:val="bottom"/>
          </w:tcPr>
          <w:p>
            <w:pPr>
              <w:spacing w:after="0"/>
              <w:rPr>
                <w:sz w:val="15"/>
                <w:szCs w:val="15"/>
                <w:color w:val="auto"/>
              </w:rPr>
            </w:pPr>
          </w:p>
        </w:tc>
      </w:tr>
      <w:tr>
        <w:trPr>
          <w:trHeight w:val="225"/>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34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2012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r>
      <w:tr>
        <w:trPr>
          <w:trHeight w:val="173"/>
        </w:trPr>
        <w:tc>
          <w:tcPr>
            <w:tcW w:w="3780" w:type="dxa"/>
            <w:vAlign w:val="bottom"/>
          </w:tcPr>
          <w:p>
            <w:pPr>
              <w:ind w:left="100"/>
              <w:spacing w:after="0" w:line="173" w:lineRule="exact"/>
              <w:rPr>
                <w:sz w:val="20"/>
                <w:szCs w:val="20"/>
                <w:color w:val="auto"/>
              </w:rPr>
            </w:pPr>
            <w:r>
              <w:rPr>
                <w:rFonts w:ascii="Arial" w:cs="Arial" w:eastAsia="Arial" w:hAnsi="Arial"/>
                <w:sz w:val="18"/>
                <w:szCs w:val="18"/>
                <w:color w:val="auto"/>
              </w:rPr>
              <w:t>Machine Clothing</w:t>
            </w:r>
          </w:p>
        </w:tc>
        <w:tc>
          <w:tcPr>
            <w:tcW w:w="3340" w:type="dxa"/>
            <w:vAlign w:val="bottom"/>
          </w:tcPr>
          <w:p>
            <w:pPr>
              <w:jc w:val="right"/>
              <w:ind w:right="870"/>
              <w:spacing w:after="0" w:line="173" w:lineRule="exact"/>
              <w:rPr>
                <w:sz w:val="20"/>
                <w:szCs w:val="20"/>
                <w:color w:val="auto"/>
              </w:rPr>
            </w:pPr>
            <w:r>
              <w:rPr>
                <w:rFonts w:ascii="Arial" w:cs="Arial" w:eastAsia="Arial" w:hAnsi="Arial"/>
                <w:sz w:val="18"/>
                <w:szCs w:val="18"/>
                <w:b w:val="1"/>
                <w:bCs w:val="1"/>
                <w:color w:val="auto"/>
              </w:rPr>
              <w:t>$36,479</w:t>
            </w:r>
          </w:p>
        </w:tc>
        <w:tc>
          <w:tcPr>
            <w:tcW w:w="860" w:type="dxa"/>
            <w:vAlign w:val="bottom"/>
          </w:tcPr>
          <w:p>
            <w:pPr>
              <w:jc w:val="right"/>
              <w:spacing w:after="0" w:line="173" w:lineRule="exact"/>
              <w:rPr>
                <w:sz w:val="20"/>
                <w:szCs w:val="20"/>
                <w:color w:val="auto"/>
              </w:rPr>
            </w:pPr>
            <w:r>
              <w:rPr>
                <w:rFonts w:ascii="Arial" w:cs="Arial" w:eastAsia="Arial" w:hAnsi="Arial"/>
                <w:sz w:val="18"/>
                <w:szCs w:val="18"/>
                <w:color w:val="auto"/>
              </w:rPr>
              <w:t>$36,233</w:t>
            </w:r>
          </w:p>
        </w:tc>
      </w:tr>
      <w:tr>
        <w:trPr>
          <w:trHeight w:val="225"/>
        </w:trPr>
        <w:tc>
          <w:tcPr>
            <w:tcW w:w="3780" w:type="dxa"/>
            <w:vAlign w:val="bottom"/>
          </w:tcPr>
          <w:p>
            <w:pPr>
              <w:ind w:left="100"/>
              <w:spacing w:after="0"/>
              <w:rPr>
                <w:sz w:val="20"/>
                <w:szCs w:val="20"/>
                <w:color w:val="auto"/>
              </w:rPr>
            </w:pPr>
            <w:r>
              <w:rPr>
                <w:rFonts w:ascii="Arial" w:cs="Arial" w:eastAsia="Arial" w:hAnsi="Arial"/>
                <w:sz w:val="18"/>
                <w:szCs w:val="18"/>
                <w:color w:val="auto"/>
              </w:rPr>
              <w:t>Engineered Composites</w:t>
            </w:r>
          </w:p>
        </w:tc>
        <w:tc>
          <w:tcPr>
            <w:tcW w:w="3340" w:type="dxa"/>
            <w:vAlign w:val="bottom"/>
          </w:tcPr>
          <w:p>
            <w:pPr>
              <w:jc w:val="right"/>
              <w:ind w:right="870"/>
              <w:spacing w:after="0"/>
              <w:rPr>
                <w:sz w:val="20"/>
                <w:szCs w:val="20"/>
                <w:color w:val="auto"/>
              </w:rPr>
            </w:pPr>
            <w:r>
              <w:rPr>
                <w:rFonts w:ascii="Arial" w:cs="Arial" w:eastAsia="Arial" w:hAnsi="Arial"/>
                <w:sz w:val="18"/>
                <w:szCs w:val="18"/>
                <w:b w:val="1"/>
                <w:bCs w:val="1"/>
                <w:color w:val="auto"/>
              </w:rPr>
              <w:t>1,364</w:t>
            </w:r>
          </w:p>
        </w:tc>
        <w:tc>
          <w:tcPr>
            <w:tcW w:w="860" w:type="dxa"/>
            <w:vAlign w:val="bottom"/>
          </w:tcPr>
          <w:p>
            <w:pPr>
              <w:jc w:val="right"/>
              <w:spacing w:after="0"/>
              <w:rPr>
                <w:sz w:val="20"/>
                <w:szCs w:val="20"/>
                <w:color w:val="auto"/>
              </w:rPr>
            </w:pPr>
            <w:r>
              <w:rPr>
                <w:rFonts w:ascii="Arial" w:cs="Arial" w:eastAsia="Arial" w:hAnsi="Arial"/>
                <w:sz w:val="18"/>
                <w:szCs w:val="18"/>
                <w:color w:val="auto"/>
              </w:rPr>
              <w:t>1,011</w:t>
            </w:r>
          </w:p>
        </w:tc>
      </w:tr>
      <w:tr>
        <w:trPr>
          <w:trHeight w:val="221"/>
        </w:trPr>
        <w:tc>
          <w:tcPr>
            <w:tcW w:w="3780" w:type="dxa"/>
            <w:vAlign w:val="bottom"/>
          </w:tcPr>
          <w:p>
            <w:pPr>
              <w:ind w:left="100"/>
              <w:spacing w:after="0" w:line="221" w:lineRule="exact"/>
              <w:rPr>
                <w:sz w:val="20"/>
                <w:szCs w:val="20"/>
                <w:color w:val="auto"/>
              </w:rPr>
            </w:pPr>
            <w:r>
              <w:rPr>
                <w:rFonts w:ascii="Arial" w:cs="Arial" w:eastAsia="Arial" w:hAnsi="Arial"/>
                <w:sz w:val="16"/>
                <w:szCs w:val="16"/>
                <w:color w:val="auto"/>
              </w:rPr>
              <w:t>PrimaLoft</w:t>
            </w:r>
            <w:r>
              <w:rPr>
                <w:rFonts w:ascii="Arial" w:cs="Arial" w:eastAsia="Arial" w:hAnsi="Arial"/>
                <w:sz w:val="25"/>
                <w:szCs w:val="25"/>
                <w:color w:val="auto"/>
                <w:vertAlign w:val="superscript"/>
              </w:rPr>
              <w:t>®</w:t>
            </w:r>
            <w:r>
              <w:rPr>
                <w:rFonts w:ascii="Arial" w:cs="Arial" w:eastAsia="Arial" w:hAnsi="Arial"/>
                <w:sz w:val="16"/>
                <w:szCs w:val="16"/>
                <w:color w:val="auto"/>
              </w:rPr>
              <w:t xml:space="preserve"> Products</w:t>
            </w:r>
          </w:p>
        </w:tc>
        <w:tc>
          <w:tcPr>
            <w:tcW w:w="3340" w:type="dxa"/>
            <w:vAlign w:val="bottom"/>
          </w:tcPr>
          <w:p>
            <w:pPr>
              <w:jc w:val="right"/>
              <w:ind w:right="870"/>
              <w:spacing w:after="0"/>
              <w:rPr>
                <w:sz w:val="20"/>
                <w:szCs w:val="20"/>
                <w:color w:val="auto"/>
              </w:rPr>
            </w:pPr>
            <w:r>
              <w:rPr>
                <w:rFonts w:ascii="Arial" w:cs="Arial" w:eastAsia="Arial" w:hAnsi="Arial"/>
                <w:sz w:val="18"/>
                <w:szCs w:val="18"/>
                <w:b w:val="1"/>
                <w:bCs w:val="1"/>
                <w:color w:val="auto"/>
              </w:rPr>
              <w:t>1,993</w:t>
            </w:r>
          </w:p>
        </w:tc>
        <w:tc>
          <w:tcPr>
            <w:tcW w:w="860" w:type="dxa"/>
            <w:vAlign w:val="bottom"/>
          </w:tcPr>
          <w:p>
            <w:pPr>
              <w:jc w:val="right"/>
              <w:spacing w:after="0"/>
              <w:rPr>
                <w:sz w:val="20"/>
                <w:szCs w:val="20"/>
                <w:color w:val="auto"/>
              </w:rPr>
            </w:pPr>
            <w:r>
              <w:rPr>
                <w:rFonts w:ascii="Arial" w:cs="Arial" w:eastAsia="Arial" w:hAnsi="Arial"/>
                <w:sz w:val="18"/>
                <w:szCs w:val="18"/>
                <w:color w:val="auto"/>
              </w:rPr>
              <w:t>1,746</w:t>
            </w:r>
          </w:p>
        </w:tc>
      </w:tr>
      <w:tr>
        <w:trPr>
          <w:trHeight w:val="203"/>
        </w:trPr>
        <w:tc>
          <w:tcPr>
            <w:tcW w:w="3780" w:type="dxa"/>
            <w:vAlign w:val="bottom"/>
          </w:tcPr>
          <w:p>
            <w:pPr>
              <w:ind w:left="100"/>
              <w:spacing w:after="0" w:line="202" w:lineRule="exact"/>
              <w:rPr>
                <w:sz w:val="20"/>
                <w:szCs w:val="20"/>
                <w:color w:val="auto"/>
              </w:rPr>
            </w:pPr>
            <w:r>
              <w:rPr>
                <w:rFonts w:ascii="Arial" w:cs="Arial" w:eastAsia="Arial" w:hAnsi="Arial"/>
                <w:sz w:val="18"/>
                <w:szCs w:val="18"/>
                <w:color w:val="auto"/>
              </w:rPr>
              <w:t>Research</w:t>
            </w:r>
          </w:p>
        </w:tc>
        <w:tc>
          <w:tcPr>
            <w:tcW w:w="3340" w:type="dxa"/>
            <w:vAlign w:val="bottom"/>
          </w:tcPr>
          <w:p>
            <w:pPr>
              <w:jc w:val="right"/>
              <w:ind w:right="870"/>
              <w:spacing w:after="0" w:line="202" w:lineRule="exact"/>
              <w:rPr>
                <w:sz w:val="20"/>
                <w:szCs w:val="20"/>
                <w:color w:val="auto"/>
              </w:rPr>
            </w:pPr>
            <w:r>
              <w:rPr>
                <w:rFonts w:ascii="Arial" w:cs="Arial" w:eastAsia="Arial" w:hAnsi="Arial"/>
                <w:sz w:val="18"/>
                <w:szCs w:val="18"/>
                <w:b w:val="1"/>
                <w:bCs w:val="1"/>
                <w:color w:val="auto"/>
              </w:rPr>
              <w:t>6,065</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7,165</w:t>
            </w:r>
          </w:p>
        </w:tc>
      </w:tr>
      <w:tr>
        <w:trPr>
          <w:trHeight w:val="225"/>
        </w:trPr>
        <w:tc>
          <w:tcPr>
            <w:tcW w:w="37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Unallocated</w:t>
            </w:r>
          </w:p>
        </w:tc>
        <w:tc>
          <w:tcPr>
            <w:tcW w:w="334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15,853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15,675</w:t>
            </w:r>
          </w:p>
        </w:tc>
      </w:tr>
      <w:tr>
        <w:trPr>
          <w:trHeight w:val="196"/>
        </w:trPr>
        <w:tc>
          <w:tcPr>
            <w:tcW w:w="37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w:t>
            </w:r>
          </w:p>
        </w:tc>
        <w:tc>
          <w:tcPr>
            <w:tcW w:w="3340" w:type="dxa"/>
            <w:vAlign w:val="bottom"/>
            <w:tcBorders>
              <w:bottom w:val="single" w:sz="8" w:color="auto"/>
            </w:tcBorders>
          </w:tcPr>
          <w:p>
            <w:pPr>
              <w:jc w:val="right"/>
              <w:ind w:right="870"/>
              <w:spacing w:after="0" w:line="196" w:lineRule="exact"/>
              <w:rPr>
                <w:sz w:val="20"/>
                <w:szCs w:val="20"/>
                <w:color w:val="auto"/>
              </w:rPr>
            </w:pPr>
            <w:r>
              <w:rPr>
                <w:rFonts w:ascii="Arial" w:cs="Arial" w:eastAsia="Arial" w:hAnsi="Arial"/>
                <w:sz w:val="18"/>
                <w:szCs w:val="18"/>
                <w:b w:val="1"/>
                <w:bCs w:val="1"/>
                <w:color w:val="auto"/>
              </w:rPr>
              <w:t>$61,754</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$61,830</w:t>
            </w:r>
          </w:p>
        </w:tc>
      </w:tr>
      <w:tr>
        <w:trPr>
          <w:trHeight w:val="196"/>
        </w:trPr>
        <w:tc>
          <w:tcPr>
            <w:tcW w:w="37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 of Net Sales</w:t>
            </w:r>
          </w:p>
        </w:tc>
        <w:tc>
          <w:tcPr>
            <w:tcW w:w="3340" w:type="dxa"/>
            <w:vAlign w:val="bottom"/>
            <w:tcBorders>
              <w:bottom w:val="single" w:sz="8" w:color="auto"/>
            </w:tcBorders>
          </w:tcPr>
          <w:p>
            <w:pPr>
              <w:jc w:val="right"/>
              <w:ind w:right="870"/>
              <w:spacing w:after="0" w:line="196" w:lineRule="exact"/>
              <w:rPr>
                <w:sz w:val="20"/>
                <w:szCs w:val="20"/>
                <w:color w:val="auto"/>
              </w:rPr>
            </w:pPr>
            <w:r>
              <w:rPr>
                <w:rFonts w:ascii="Arial" w:cs="Arial" w:eastAsia="Arial" w:hAnsi="Arial"/>
                <w:sz w:val="18"/>
                <w:szCs w:val="18"/>
                <w:b w:val="1"/>
                <w:bCs w:val="1"/>
                <w:color w:val="auto"/>
              </w:rPr>
              <w:t>32.8%</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29.9%</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STG&amp;R expenses include the following:</w:t>
      </w:r>
    </w:p>
    <w:p>
      <w:pPr>
        <w:spacing w:after="0" w:line="131" w:lineRule="exact"/>
        <w:rPr>
          <w:sz w:val="20"/>
          <w:szCs w:val="20"/>
          <w:color w:val="auto"/>
        </w:rPr>
      </w:pPr>
    </w:p>
    <w:p>
      <w:pPr>
        <w:ind w:left="540" w:right="240"/>
        <w:spacing w:after="0" w:line="281" w:lineRule="auto"/>
        <w:rPr>
          <w:sz w:val="20"/>
          <w:szCs w:val="20"/>
          <w:color w:val="auto"/>
        </w:rPr>
      </w:pPr>
      <w:r>
        <w:rPr>
          <w:rFonts w:ascii="Arial" w:cs="Arial" w:eastAsia="Arial" w:hAnsi="Arial"/>
          <w:sz w:val="18"/>
          <w:szCs w:val="18"/>
          <w:color w:val="auto"/>
        </w:rPr>
        <w:t>Revaluation of nonfunctional currency assets and liabilities resulted in a loss of $1.8 million in 2012, compared to $2.0 million in 2011. The revaluation losses were principally due to the strengthening euro and the resulting effects on nonfunctional currency trade receivables and payables.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-430530</wp:posOffset>
            </wp:positionV>
            <wp:extent cx="68580" cy="685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Machine Clothing STG&amp;R expenses in 2011 were reduced by a $0.4 million gain on the sale of a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-100330</wp:posOffset>
            </wp:positionV>
            <wp:extent cx="68580" cy="685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In addition to the STG&amp;R expenses noted above, the Company recorded a charge of $9.2 million in Q1 2012 representing a pension settlement charge to permanently extinguish the Company’s Swedish pension liability. The settlement required a cash payment of $30.1 million.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Operating Income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operating income by business segment: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80" w:type="dxa"/>
            <w:vAlign w:val="bottom"/>
            <w:tcBorders>
              <w:top w:val="single" w:sz="8" w:color="auto"/>
            </w:tcBorders>
          </w:tcPr>
          <w:p>
            <w:pPr>
              <w:spacing w:after="0"/>
              <w:rPr>
                <w:sz w:val="18"/>
                <w:szCs w:val="18"/>
                <w:color w:val="auto"/>
              </w:rPr>
            </w:pPr>
          </w:p>
        </w:tc>
        <w:tc>
          <w:tcPr>
            <w:tcW w:w="4200" w:type="dxa"/>
            <w:vAlign w:val="bottom"/>
            <w:tcBorders>
              <w:top w:val="single" w:sz="8" w:color="auto"/>
            </w:tcBorders>
            <w:gridSpan w:val="2"/>
          </w:tcPr>
          <w:p>
            <w:pPr>
              <w:jc w:val="right"/>
              <w:ind w:right="510"/>
              <w:spacing w:after="0"/>
              <w:rPr>
                <w:sz w:val="20"/>
                <w:szCs w:val="20"/>
                <w:color w:val="auto"/>
              </w:rPr>
            </w:pPr>
            <w:r>
              <w:rPr>
                <w:rFonts w:ascii="Arial" w:cs="Arial" w:eastAsia="Arial" w:hAnsi="Arial"/>
                <w:sz w:val="18"/>
                <w:szCs w:val="18"/>
                <w:color w:val="auto"/>
              </w:rPr>
              <w:t>Three months ended</w:t>
            </w:r>
          </w:p>
        </w:tc>
      </w:tr>
      <w:tr>
        <w:trPr>
          <w:trHeight w:val="181"/>
        </w:trPr>
        <w:tc>
          <w:tcPr>
            <w:tcW w:w="3780" w:type="dxa"/>
            <w:vAlign w:val="bottom"/>
          </w:tcPr>
          <w:p>
            <w:pPr>
              <w:spacing w:after="0"/>
              <w:rPr>
                <w:sz w:val="15"/>
                <w:szCs w:val="15"/>
                <w:color w:val="auto"/>
              </w:rPr>
            </w:pPr>
          </w:p>
        </w:tc>
        <w:tc>
          <w:tcPr>
            <w:tcW w:w="3340" w:type="dxa"/>
            <w:vAlign w:val="bottom"/>
          </w:tcPr>
          <w:p>
            <w:pPr>
              <w:jc w:val="right"/>
              <w:ind w:right="70"/>
              <w:spacing w:after="0" w:line="181" w:lineRule="exact"/>
              <w:rPr>
                <w:sz w:val="20"/>
                <w:szCs w:val="20"/>
                <w:color w:val="auto"/>
              </w:rPr>
            </w:pPr>
            <w:r>
              <w:rPr>
                <w:rFonts w:ascii="Arial" w:cs="Arial" w:eastAsia="Arial" w:hAnsi="Arial"/>
                <w:sz w:val="18"/>
                <w:szCs w:val="18"/>
                <w:color w:val="auto"/>
              </w:rPr>
              <w:t>March 31,</w:t>
            </w:r>
          </w:p>
        </w:tc>
        <w:tc>
          <w:tcPr>
            <w:tcW w:w="860" w:type="dxa"/>
            <w:vAlign w:val="bottom"/>
          </w:tcPr>
          <w:p>
            <w:pPr>
              <w:spacing w:after="0"/>
              <w:rPr>
                <w:sz w:val="15"/>
                <w:szCs w:val="15"/>
                <w:color w:val="auto"/>
              </w:rPr>
            </w:pPr>
          </w:p>
        </w:tc>
      </w:tr>
      <w:tr>
        <w:trPr>
          <w:trHeight w:val="225"/>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34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2012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r>
      <w:tr>
        <w:trPr>
          <w:trHeight w:val="173"/>
        </w:trPr>
        <w:tc>
          <w:tcPr>
            <w:tcW w:w="3780" w:type="dxa"/>
            <w:vAlign w:val="bottom"/>
          </w:tcPr>
          <w:p>
            <w:pPr>
              <w:ind w:left="100"/>
              <w:spacing w:after="0" w:line="173" w:lineRule="exact"/>
              <w:rPr>
                <w:sz w:val="20"/>
                <w:szCs w:val="20"/>
                <w:color w:val="auto"/>
              </w:rPr>
            </w:pPr>
            <w:r>
              <w:rPr>
                <w:rFonts w:ascii="Arial" w:cs="Arial" w:eastAsia="Arial" w:hAnsi="Arial"/>
                <w:sz w:val="18"/>
                <w:szCs w:val="18"/>
                <w:color w:val="auto"/>
              </w:rPr>
              <w:t>Machine Clothing</w:t>
            </w:r>
          </w:p>
        </w:tc>
        <w:tc>
          <w:tcPr>
            <w:tcW w:w="3340" w:type="dxa"/>
            <w:vAlign w:val="bottom"/>
          </w:tcPr>
          <w:p>
            <w:pPr>
              <w:jc w:val="right"/>
              <w:ind w:right="870"/>
              <w:spacing w:after="0" w:line="173" w:lineRule="exact"/>
              <w:rPr>
                <w:sz w:val="20"/>
                <w:szCs w:val="20"/>
                <w:color w:val="auto"/>
              </w:rPr>
            </w:pPr>
            <w:r>
              <w:rPr>
                <w:rFonts w:ascii="Arial" w:cs="Arial" w:eastAsia="Arial" w:hAnsi="Arial"/>
                <w:sz w:val="18"/>
                <w:szCs w:val="18"/>
                <w:b w:val="1"/>
                <w:bCs w:val="1"/>
                <w:color w:val="auto"/>
              </w:rPr>
              <w:t>$30,845</w:t>
            </w:r>
          </w:p>
        </w:tc>
        <w:tc>
          <w:tcPr>
            <w:tcW w:w="860" w:type="dxa"/>
            <w:vAlign w:val="bottom"/>
          </w:tcPr>
          <w:p>
            <w:pPr>
              <w:jc w:val="right"/>
              <w:spacing w:after="0" w:line="173" w:lineRule="exact"/>
              <w:rPr>
                <w:sz w:val="20"/>
                <w:szCs w:val="20"/>
                <w:color w:val="auto"/>
              </w:rPr>
            </w:pPr>
            <w:r>
              <w:rPr>
                <w:rFonts w:ascii="Arial" w:cs="Arial" w:eastAsia="Arial" w:hAnsi="Arial"/>
                <w:sz w:val="18"/>
                <w:szCs w:val="18"/>
                <w:color w:val="auto"/>
              </w:rPr>
              <w:t>$50,271</w:t>
            </w:r>
          </w:p>
        </w:tc>
      </w:tr>
      <w:tr>
        <w:trPr>
          <w:trHeight w:val="225"/>
        </w:trPr>
        <w:tc>
          <w:tcPr>
            <w:tcW w:w="3780" w:type="dxa"/>
            <w:vAlign w:val="bottom"/>
          </w:tcPr>
          <w:p>
            <w:pPr>
              <w:ind w:left="100"/>
              <w:spacing w:after="0"/>
              <w:rPr>
                <w:sz w:val="20"/>
                <w:szCs w:val="20"/>
                <w:color w:val="auto"/>
              </w:rPr>
            </w:pPr>
            <w:r>
              <w:rPr>
                <w:rFonts w:ascii="Arial" w:cs="Arial" w:eastAsia="Arial" w:hAnsi="Arial"/>
                <w:sz w:val="18"/>
                <w:szCs w:val="18"/>
                <w:color w:val="auto"/>
              </w:rPr>
              <w:t>Engineered Composites</w:t>
            </w:r>
          </w:p>
        </w:tc>
        <w:tc>
          <w:tcPr>
            <w:tcW w:w="3340" w:type="dxa"/>
            <w:vAlign w:val="bottom"/>
          </w:tcPr>
          <w:p>
            <w:pPr>
              <w:jc w:val="right"/>
              <w:ind w:right="870"/>
              <w:spacing w:after="0"/>
              <w:rPr>
                <w:sz w:val="20"/>
                <w:szCs w:val="20"/>
                <w:color w:val="auto"/>
              </w:rPr>
            </w:pPr>
            <w:r>
              <w:rPr>
                <w:rFonts w:ascii="Arial" w:cs="Arial" w:eastAsia="Arial" w:hAnsi="Arial"/>
                <w:sz w:val="18"/>
                <w:szCs w:val="18"/>
                <w:b w:val="1"/>
                <w:bCs w:val="1"/>
                <w:color w:val="auto"/>
              </w:rPr>
              <w:t>29</w:t>
            </w:r>
          </w:p>
        </w:tc>
        <w:tc>
          <w:tcPr>
            <w:tcW w:w="860" w:type="dxa"/>
            <w:vAlign w:val="bottom"/>
          </w:tcPr>
          <w:p>
            <w:pPr>
              <w:jc w:val="right"/>
              <w:spacing w:after="0"/>
              <w:rPr>
                <w:sz w:val="20"/>
                <w:szCs w:val="20"/>
                <w:color w:val="auto"/>
              </w:rPr>
            </w:pPr>
            <w:r>
              <w:rPr>
                <w:rFonts w:ascii="Arial" w:cs="Arial" w:eastAsia="Arial" w:hAnsi="Arial"/>
                <w:sz w:val="18"/>
                <w:szCs w:val="18"/>
                <w:color w:val="auto"/>
              </w:rPr>
              <w:t>(1,043)</w:t>
            </w:r>
          </w:p>
        </w:tc>
      </w:tr>
      <w:tr>
        <w:trPr>
          <w:trHeight w:val="221"/>
        </w:trPr>
        <w:tc>
          <w:tcPr>
            <w:tcW w:w="3780" w:type="dxa"/>
            <w:vAlign w:val="bottom"/>
          </w:tcPr>
          <w:p>
            <w:pPr>
              <w:ind w:left="100"/>
              <w:spacing w:after="0" w:line="221" w:lineRule="exact"/>
              <w:rPr>
                <w:sz w:val="20"/>
                <w:szCs w:val="20"/>
                <w:color w:val="auto"/>
              </w:rPr>
            </w:pPr>
            <w:r>
              <w:rPr>
                <w:rFonts w:ascii="Arial" w:cs="Arial" w:eastAsia="Arial" w:hAnsi="Arial"/>
                <w:sz w:val="16"/>
                <w:szCs w:val="16"/>
                <w:color w:val="auto"/>
              </w:rPr>
              <w:t>PrimaLoft</w:t>
            </w:r>
            <w:r>
              <w:rPr>
                <w:rFonts w:ascii="Arial" w:cs="Arial" w:eastAsia="Arial" w:hAnsi="Arial"/>
                <w:sz w:val="25"/>
                <w:szCs w:val="25"/>
                <w:color w:val="auto"/>
                <w:vertAlign w:val="superscript"/>
              </w:rPr>
              <w:t>®</w:t>
            </w:r>
            <w:r>
              <w:rPr>
                <w:rFonts w:ascii="Arial" w:cs="Arial" w:eastAsia="Arial" w:hAnsi="Arial"/>
                <w:sz w:val="16"/>
                <w:szCs w:val="16"/>
                <w:color w:val="auto"/>
              </w:rPr>
              <w:t xml:space="preserve"> Products</w:t>
            </w:r>
          </w:p>
        </w:tc>
        <w:tc>
          <w:tcPr>
            <w:tcW w:w="3340" w:type="dxa"/>
            <w:vAlign w:val="bottom"/>
          </w:tcPr>
          <w:p>
            <w:pPr>
              <w:jc w:val="right"/>
              <w:ind w:right="870"/>
              <w:spacing w:after="0"/>
              <w:rPr>
                <w:sz w:val="20"/>
                <w:szCs w:val="20"/>
                <w:color w:val="auto"/>
              </w:rPr>
            </w:pPr>
            <w:r>
              <w:rPr>
                <w:rFonts w:ascii="Arial" w:cs="Arial" w:eastAsia="Arial" w:hAnsi="Arial"/>
                <w:sz w:val="18"/>
                <w:szCs w:val="18"/>
                <w:b w:val="1"/>
                <w:bCs w:val="1"/>
                <w:color w:val="auto"/>
              </w:rPr>
              <w:t>1,556</w:t>
            </w:r>
          </w:p>
        </w:tc>
        <w:tc>
          <w:tcPr>
            <w:tcW w:w="860" w:type="dxa"/>
            <w:vAlign w:val="bottom"/>
          </w:tcPr>
          <w:p>
            <w:pPr>
              <w:jc w:val="right"/>
              <w:spacing w:after="0"/>
              <w:rPr>
                <w:sz w:val="20"/>
                <w:szCs w:val="20"/>
                <w:color w:val="auto"/>
              </w:rPr>
            </w:pPr>
            <w:r>
              <w:rPr>
                <w:rFonts w:ascii="Arial" w:cs="Arial" w:eastAsia="Arial" w:hAnsi="Arial"/>
                <w:sz w:val="18"/>
                <w:szCs w:val="18"/>
                <w:color w:val="auto"/>
              </w:rPr>
              <w:t>1,911</w:t>
            </w:r>
          </w:p>
        </w:tc>
      </w:tr>
      <w:tr>
        <w:trPr>
          <w:trHeight w:val="203"/>
        </w:trPr>
        <w:tc>
          <w:tcPr>
            <w:tcW w:w="3780" w:type="dxa"/>
            <w:vAlign w:val="bottom"/>
          </w:tcPr>
          <w:p>
            <w:pPr>
              <w:ind w:left="100"/>
              <w:spacing w:after="0" w:line="202" w:lineRule="exact"/>
              <w:rPr>
                <w:sz w:val="20"/>
                <w:szCs w:val="20"/>
                <w:color w:val="auto"/>
              </w:rPr>
            </w:pPr>
            <w:r>
              <w:rPr>
                <w:rFonts w:ascii="Arial" w:cs="Arial" w:eastAsia="Arial" w:hAnsi="Arial"/>
                <w:sz w:val="18"/>
                <w:szCs w:val="18"/>
                <w:color w:val="auto"/>
              </w:rPr>
              <w:t>Research expense</w:t>
            </w:r>
          </w:p>
        </w:tc>
        <w:tc>
          <w:tcPr>
            <w:tcW w:w="3340" w:type="dxa"/>
            <w:vAlign w:val="bottom"/>
          </w:tcPr>
          <w:p>
            <w:pPr>
              <w:jc w:val="right"/>
              <w:ind w:right="810"/>
              <w:spacing w:after="0" w:line="202" w:lineRule="exact"/>
              <w:rPr>
                <w:sz w:val="20"/>
                <w:szCs w:val="20"/>
                <w:color w:val="auto"/>
              </w:rPr>
            </w:pPr>
            <w:r>
              <w:rPr>
                <w:rFonts w:ascii="Arial" w:cs="Arial" w:eastAsia="Arial" w:hAnsi="Arial"/>
                <w:sz w:val="18"/>
                <w:szCs w:val="18"/>
                <w:b w:val="1"/>
                <w:bCs w:val="1"/>
                <w:color w:val="auto"/>
              </w:rPr>
              <w:t>(6,065)</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(7,165)</w:t>
            </w:r>
          </w:p>
        </w:tc>
      </w:tr>
      <w:tr>
        <w:trPr>
          <w:trHeight w:val="225"/>
        </w:trPr>
        <w:tc>
          <w:tcPr>
            <w:tcW w:w="37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Unallocated expenses</w:t>
            </w:r>
          </w:p>
        </w:tc>
        <w:tc>
          <w:tcPr>
            <w:tcW w:w="334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(25,718)</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(16,993)</w:t>
            </w:r>
          </w:p>
        </w:tc>
      </w:tr>
      <w:tr>
        <w:trPr>
          <w:trHeight w:val="196"/>
        </w:trPr>
        <w:tc>
          <w:tcPr>
            <w:tcW w:w="37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w:t>
            </w:r>
          </w:p>
        </w:tc>
        <w:tc>
          <w:tcPr>
            <w:tcW w:w="3340" w:type="dxa"/>
            <w:vAlign w:val="bottom"/>
            <w:tcBorders>
              <w:bottom w:val="single" w:sz="8" w:color="auto"/>
            </w:tcBorders>
          </w:tcPr>
          <w:p>
            <w:pPr>
              <w:jc w:val="right"/>
              <w:ind w:right="870"/>
              <w:spacing w:after="0" w:line="196" w:lineRule="exact"/>
              <w:rPr>
                <w:sz w:val="20"/>
                <w:szCs w:val="20"/>
                <w:color w:val="auto"/>
              </w:rPr>
            </w:pPr>
            <w:r>
              <w:rPr>
                <w:rFonts w:ascii="Arial" w:cs="Arial" w:eastAsia="Arial" w:hAnsi="Arial"/>
                <w:sz w:val="18"/>
                <w:szCs w:val="18"/>
                <w:b w:val="1"/>
                <w:bCs w:val="1"/>
                <w:color w:val="auto"/>
              </w:rPr>
              <w:t>$647</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$26,981</w:t>
            </w:r>
          </w:p>
        </w:tc>
      </w:tr>
    </w:tbl>
    <w:p>
      <w:pPr>
        <w:spacing w:after="0" w:line="12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In addition to the items discussed above affecting gross profit and STG&amp;R, operating income in 2012 and 2011 was reduced by restructuring costs.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restructuring expense by business segment:</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80" w:type="dxa"/>
            <w:vAlign w:val="bottom"/>
            <w:tcBorders>
              <w:top w:val="single" w:sz="8" w:color="auto"/>
            </w:tcBorders>
          </w:tcPr>
          <w:p>
            <w:pPr>
              <w:spacing w:after="0"/>
              <w:rPr>
                <w:sz w:val="18"/>
                <w:szCs w:val="18"/>
                <w:color w:val="auto"/>
              </w:rPr>
            </w:pPr>
          </w:p>
        </w:tc>
        <w:tc>
          <w:tcPr>
            <w:tcW w:w="3700" w:type="dxa"/>
            <w:vAlign w:val="bottom"/>
            <w:tcBorders>
              <w:top w:val="single" w:sz="8" w:color="auto"/>
            </w:tcBorders>
            <w:gridSpan w:val="2"/>
          </w:tcPr>
          <w:p>
            <w:pPr>
              <w:jc w:val="center"/>
              <w:ind w:left="750"/>
              <w:spacing w:after="0"/>
              <w:rPr>
                <w:sz w:val="20"/>
                <w:szCs w:val="20"/>
                <w:color w:val="auto"/>
              </w:rPr>
            </w:pPr>
            <w:r>
              <w:rPr>
                <w:rFonts w:ascii="Arial" w:cs="Arial" w:eastAsia="Arial" w:hAnsi="Arial"/>
                <w:sz w:val="18"/>
                <w:szCs w:val="18"/>
                <w:color w:val="auto"/>
                <w:w w:val="99"/>
              </w:rPr>
              <w:t>Three months ended</w:t>
            </w:r>
          </w:p>
        </w:tc>
      </w:tr>
      <w:tr>
        <w:trPr>
          <w:trHeight w:val="181"/>
        </w:trPr>
        <w:tc>
          <w:tcPr>
            <w:tcW w:w="4280" w:type="dxa"/>
            <w:vAlign w:val="bottom"/>
          </w:tcPr>
          <w:p>
            <w:pPr>
              <w:spacing w:after="0"/>
              <w:rPr>
                <w:sz w:val="15"/>
                <w:szCs w:val="15"/>
                <w:color w:val="auto"/>
              </w:rPr>
            </w:pPr>
          </w:p>
        </w:tc>
        <w:tc>
          <w:tcPr>
            <w:tcW w:w="2840" w:type="dxa"/>
            <w:vAlign w:val="bottom"/>
          </w:tcPr>
          <w:p>
            <w:pPr>
              <w:jc w:val="center"/>
              <w:ind w:left="1630"/>
              <w:spacing w:after="0" w:line="181" w:lineRule="exact"/>
              <w:rPr>
                <w:sz w:val="20"/>
                <w:szCs w:val="20"/>
                <w:color w:val="auto"/>
              </w:rPr>
            </w:pPr>
            <w:r>
              <w:rPr>
                <w:rFonts w:ascii="Arial" w:cs="Arial" w:eastAsia="Arial" w:hAnsi="Arial"/>
                <w:sz w:val="18"/>
                <w:szCs w:val="18"/>
                <w:color w:val="auto"/>
                <w:w w:val="99"/>
              </w:rPr>
              <w:t>March 31,</w:t>
            </w:r>
          </w:p>
        </w:tc>
        <w:tc>
          <w:tcPr>
            <w:tcW w:w="860" w:type="dxa"/>
            <w:vAlign w:val="bottom"/>
          </w:tcPr>
          <w:p>
            <w:pPr>
              <w:spacing w:after="0"/>
              <w:rPr>
                <w:sz w:val="15"/>
                <w:szCs w:val="15"/>
                <w:color w:val="auto"/>
              </w:rPr>
            </w:pPr>
          </w:p>
        </w:tc>
      </w:tr>
      <w:tr>
        <w:trPr>
          <w:trHeight w:val="225"/>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284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2012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r>
      <w:tr>
        <w:trPr>
          <w:trHeight w:val="173"/>
        </w:trPr>
        <w:tc>
          <w:tcPr>
            <w:tcW w:w="4280" w:type="dxa"/>
            <w:vAlign w:val="bottom"/>
          </w:tcPr>
          <w:p>
            <w:pPr>
              <w:ind w:left="100"/>
              <w:spacing w:after="0" w:line="173" w:lineRule="exact"/>
              <w:rPr>
                <w:sz w:val="20"/>
                <w:szCs w:val="20"/>
                <w:color w:val="auto"/>
              </w:rPr>
            </w:pPr>
            <w:r>
              <w:rPr>
                <w:rFonts w:ascii="Arial" w:cs="Arial" w:eastAsia="Arial" w:hAnsi="Arial"/>
                <w:sz w:val="18"/>
                <w:szCs w:val="18"/>
                <w:color w:val="auto"/>
              </w:rPr>
              <w:t>Machine Clothing</w:t>
            </w:r>
          </w:p>
        </w:tc>
        <w:tc>
          <w:tcPr>
            <w:tcW w:w="2840" w:type="dxa"/>
            <w:vAlign w:val="bottom"/>
          </w:tcPr>
          <w:p>
            <w:pPr>
              <w:jc w:val="right"/>
              <w:ind w:right="870"/>
              <w:spacing w:after="0" w:line="173" w:lineRule="exact"/>
              <w:rPr>
                <w:sz w:val="20"/>
                <w:szCs w:val="20"/>
                <w:color w:val="auto"/>
              </w:rPr>
            </w:pPr>
            <w:r>
              <w:rPr>
                <w:rFonts w:ascii="Arial" w:cs="Arial" w:eastAsia="Arial" w:hAnsi="Arial"/>
                <w:sz w:val="18"/>
                <w:szCs w:val="18"/>
                <w:b w:val="1"/>
                <w:bCs w:val="1"/>
                <w:color w:val="auto"/>
              </w:rPr>
              <w:t>$673</w:t>
            </w:r>
          </w:p>
        </w:tc>
        <w:tc>
          <w:tcPr>
            <w:tcW w:w="860" w:type="dxa"/>
            <w:vAlign w:val="bottom"/>
          </w:tcPr>
          <w:p>
            <w:pPr>
              <w:jc w:val="right"/>
              <w:spacing w:after="0" w:line="173" w:lineRule="exact"/>
              <w:rPr>
                <w:sz w:val="20"/>
                <w:szCs w:val="20"/>
                <w:color w:val="auto"/>
              </w:rPr>
            </w:pPr>
            <w:r>
              <w:rPr>
                <w:rFonts w:ascii="Arial" w:cs="Arial" w:eastAsia="Arial" w:hAnsi="Arial"/>
                <w:sz w:val="18"/>
                <w:szCs w:val="18"/>
                <w:color w:val="auto"/>
              </w:rPr>
              <w:t>$33</w:t>
            </w:r>
          </w:p>
        </w:tc>
      </w:tr>
      <w:tr>
        <w:trPr>
          <w:trHeight w:val="203"/>
        </w:trPr>
        <w:tc>
          <w:tcPr>
            <w:tcW w:w="4280" w:type="dxa"/>
            <w:vAlign w:val="bottom"/>
          </w:tcPr>
          <w:p>
            <w:pPr>
              <w:ind w:left="100"/>
              <w:spacing w:after="0" w:line="202" w:lineRule="exact"/>
              <w:rPr>
                <w:sz w:val="20"/>
                <w:szCs w:val="20"/>
                <w:color w:val="auto"/>
              </w:rPr>
            </w:pPr>
            <w:r>
              <w:rPr>
                <w:rFonts w:ascii="Arial" w:cs="Arial" w:eastAsia="Arial" w:hAnsi="Arial"/>
                <w:sz w:val="18"/>
                <w:szCs w:val="18"/>
                <w:color w:val="auto"/>
              </w:rPr>
              <w:t>Engineered Composites</w:t>
            </w:r>
          </w:p>
        </w:tc>
        <w:tc>
          <w:tcPr>
            <w:tcW w:w="2840" w:type="dxa"/>
            <w:vAlign w:val="bottom"/>
          </w:tcPr>
          <w:p>
            <w:pPr>
              <w:jc w:val="right"/>
              <w:ind w:right="870"/>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r>
      <w:tr>
        <w:trPr>
          <w:trHeight w:val="225"/>
        </w:trPr>
        <w:tc>
          <w:tcPr>
            <w:tcW w:w="4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Unallocated expenses</w:t>
            </w:r>
          </w:p>
        </w:tc>
        <w:tc>
          <w:tcPr>
            <w:tcW w:w="284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(415)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196"/>
        </w:trPr>
        <w:tc>
          <w:tcPr>
            <w:tcW w:w="42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w:t>
            </w:r>
          </w:p>
        </w:tc>
        <w:tc>
          <w:tcPr>
            <w:tcW w:w="2840" w:type="dxa"/>
            <w:vAlign w:val="bottom"/>
            <w:tcBorders>
              <w:bottom w:val="single" w:sz="8" w:color="auto"/>
            </w:tcBorders>
          </w:tcPr>
          <w:p>
            <w:pPr>
              <w:jc w:val="right"/>
              <w:ind w:right="870"/>
              <w:spacing w:after="0" w:line="196" w:lineRule="exact"/>
              <w:rPr>
                <w:sz w:val="20"/>
                <w:szCs w:val="20"/>
                <w:color w:val="auto"/>
              </w:rPr>
            </w:pPr>
            <w:r>
              <w:rPr>
                <w:rFonts w:ascii="Arial" w:cs="Arial" w:eastAsia="Arial" w:hAnsi="Arial"/>
                <w:sz w:val="18"/>
                <w:szCs w:val="18"/>
                <w:b w:val="1"/>
                <w:bCs w:val="1"/>
                <w:color w:val="auto"/>
              </w:rPr>
              <w:t>$258</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w:t>
            </w:r>
          </w:p>
        </w:tc>
      </w:tr>
      <w:tr>
        <w:trPr>
          <w:trHeight w:val="331"/>
        </w:trPr>
        <w:tc>
          <w:tcPr>
            <w:tcW w:w="4280" w:type="dxa"/>
            <w:vAlign w:val="bottom"/>
          </w:tcPr>
          <w:p>
            <w:pPr>
              <w:spacing w:after="0"/>
              <w:rPr>
                <w:sz w:val="20"/>
                <w:szCs w:val="20"/>
                <w:color w:val="auto"/>
              </w:rPr>
            </w:pPr>
            <w:r>
              <w:rPr>
                <w:rFonts w:ascii="Arial" w:cs="Arial" w:eastAsia="Arial" w:hAnsi="Arial"/>
                <w:sz w:val="18"/>
                <w:szCs w:val="18"/>
                <w:b w:val="1"/>
                <w:bCs w:val="1"/>
                <w:color w:val="auto"/>
              </w:rPr>
              <w:t>Other Earnings Items</w:t>
            </w:r>
          </w:p>
        </w:tc>
        <w:tc>
          <w:tcPr>
            <w:tcW w:w="28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95"/>
        </w:trPr>
        <w:tc>
          <w:tcPr>
            <w:tcW w:w="4280" w:type="dxa"/>
            <w:vAlign w:val="bottom"/>
            <w:tcBorders>
              <w:bottom w:val="single" w:sz="8" w:color="auto"/>
            </w:tcBorders>
          </w:tcPr>
          <w:p>
            <w:pPr>
              <w:spacing w:after="0"/>
              <w:rPr>
                <w:sz w:val="8"/>
                <w:szCs w:val="8"/>
                <w:color w:val="auto"/>
              </w:rPr>
            </w:pPr>
          </w:p>
        </w:tc>
        <w:tc>
          <w:tcPr>
            <w:tcW w:w="3700" w:type="dxa"/>
            <w:vAlign w:val="bottom"/>
            <w:tcBorders>
              <w:bottom w:val="single" w:sz="8" w:color="auto"/>
            </w:tcBorders>
            <w:gridSpan w:val="2"/>
          </w:tcPr>
          <w:p>
            <w:pPr>
              <w:spacing w:after="0"/>
              <w:rPr>
                <w:sz w:val="8"/>
                <w:szCs w:val="8"/>
                <w:color w:val="auto"/>
              </w:rPr>
            </w:pPr>
          </w:p>
        </w:tc>
      </w:tr>
      <w:tr>
        <w:trPr>
          <w:trHeight w:val="195"/>
        </w:trPr>
        <w:tc>
          <w:tcPr>
            <w:tcW w:w="4280" w:type="dxa"/>
            <w:vAlign w:val="bottom"/>
          </w:tcPr>
          <w:p>
            <w:pPr>
              <w:spacing w:after="0"/>
              <w:rPr>
                <w:sz w:val="16"/>
                <w:szCs w:val="16"/>
                <w:color w:val="auto"/>
              </w:rPr>
            </w:pPr>
          </w:p>
        </w:tc>
        <w:tc>
          <w:tcPr>
            <w:tcW w:w="3700" w:type="dxa"/>
            <w:vAlign w:val="bottom"/>
            <w:gridSpan w:val="2"/>
          </w:tcPr>
          <w:p>
            <w:pPr>
              <w:jc w:val="center"/>
              <w:ind w:left="750"/>
              <w:spacing w:after="0" w:line="195" w:lineRule="exact"/>
              <w:rPr>
                <w:sz w:val="20"/>
                <w:szCs w:val="20"/>
                <w:color w:val="auto"/>
              </w:rPr>
            </w:pPr>
            <w:r>
              <w:rPr>
                <w:rFonts w:ascii="Arial" w:cs="Arial" w:eastAsia="Arial" w:hAnsi="Arial"/>
                <w:sz w:val="18"/>
                <w:szCs w:val="18"/>
                <w:color w:val="auto"/>
                <w:w w:val="99"/>
              </w:rPr>
              <w:t>Three months ended</w:t>
            </w:r>
          </w:p>
        </w:tc>
      </w:tr>
      <w:tr>
        <w:trPr>
          <w:trHeight w:val="181"/>
        </w:trPr>
        <w:tc>
          <w:tcPr>
            <w:tcW w:w="4280" w:type="dxa"/>
            <w:vAlign w:val="bottom"/>
          </w:tcPr>
          <w:p>
            <w:pPr>
              <w:spacing w:after="0"/>
              <w:rPr>
                <w:sz w:val="15"/>
                <w:szCs w:val="15"/>
                <w:color w:val="auto"/>
              </w:rPr>
            </w:pPr>
          </w:p>
        </w:tc>
        <w:tc>
          <w:tcPr>
            <w:tcW w:w="2840" w:type="dxa"/>
            <w:vAlign w:val="bottom"/>
          </w:tcPr>
          <w:p>
            <w:pPr>
              <w:jc w:val="center"/>
              <w:ind w:left="1630"/>
              <w:spacing w:after="0" w:line="181" w:lineRule="exact"/>
              <w:rPr>
                <w:sz w:val="20"/>
                <w:szCs w:val="20"/>
                <w:color w:val="auto"/>
              </w:rPr>
            </w:pPr>
            <w:r>
              <w:rPr>
                <w:rFonts w:ascii="Arial" w:cs="Arial" w:eastAsia="Arial" w:hAnsi="Arial"/>
                <w:sz w:val="18"/>
                <w:szCs w:val="18"/>
                <w:color w:val="auto"/>
                <w:w w:val="99"/>
              </w:rPr>
              <w:t>March 31,</w:t>
            </w:r>
          </w:p>
        </w:tc>
        <w:tc>
          <w:tcPr>
            <w:tcW w:w="860" w:type="dxa"/>
            <w:vAlign w:val="bottom"/>
          </w:tcPr>
          <w:p>
            <w:pPr>
              <w:spacing w:after="0"/>
              <w:rPr>
                <w:sz w:val="15"/>
                <w:szCs w:val="15"/>
                <w:color w:val="auto"/>
              </w:rPr>
            </w:pPr>
          </w:p>
        </w:tc>
      </w:tr>
      <w:tr>
        <w:trPr>
          <w:trHeight w:val="225"/>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284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2012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r>
      <w:tr>
        <w:trPr>
          <w:trHeight w:val="173"/>
        </w:trPr>
        <w:tc>
          <w:tcPr>
            <w:tcW w:w="4280" w:type="dxa"/>
            <w:vAlign w:val="bottom"/>
          </w:tcPr>
          <w:p>
            <w:pPr>
              <w:ind w:left="100"/>
              <w:spacing w:after="0" w:line="173" w:lineRule="exact"/>
              <w:rPr>
                <w:sz w:val="20"/>
                <w:szCs w:val="20"/>
                <w:color w:val="auto"/>
              </w:rPr>
            </w:pPr>
            <w:r>
              <w:rPr>
                <w:rFonts w:ascii="Arial" w:cs="Arial" w:eastAsia="Arial" w:hAnsi="Arial"/>
                <w:sz w:val="18"/>
                <w:szCs w:val="18"/>
                <w:color w:val="auto"/>
              </w:rPr>
              <w:t>Interest expense, net</w:t>
            </w:r>
          </w:p>
        </w:tc>
        <w:tc>
          <w:tcPr>
            <w:tcW w:w="2840" w:type="dxa"/>
            <w:vAlign w:val="bottom"/>
          </w:tcPr>
          <w:p>
            <w:pPr>
              <w:jc w:val="right"/>
              <w:ind w:right="870"/>
              <w:spacing w:after="0" w:line="173" w:lineRule="exact"/>
              <w:rPr>
                <w:sz w:val="20"/>
                <w:szCs w:val="20"/>
                <w:color w:val="auto"/>
              </w:rPr>
            </w:pPr>
            <w:r>
              <w:rPr>
                <w:rFonts w:ascii="Arial" w:cs="Arial" w:eastAsia="Arial" w:hAnsi="Arial"/>
                <w:sz w:val="18"/>
                <w:szCs w:val="18"/>
                <w:b w:val="1"/>
                <w:bCs w:val="1"/>
                <w:color w:val="auto"/>
              </w:rPr>
              <w:t>$4,644</w:t>
            </w:r>
          </w:p>
        </w:tc>
        <w:tc>
          <w:tcPr>
            <w:tcW w:w="860" w:type="dxa"/>
            <w:vAlign w:val="bottom"/>
          </w:tcPr>
          <w:p>
            <w:pPr>
              <w:jc w:val="right"/>
              <w:spacing w:after="0" w:line="173" w:lineRule="exact"/>
              <w:rPr>
                <w:sz w:val="20"/>
                <w:szCs w:val="20"/>
                <w:color w:val="auto"/>
              </w:rPr>
            </w:pPr>
            <w:r>
              <w:rPr>
                <w:rFonts w:ascii="Arial" w:cs="Arial" w:eastAsia="Arial" w:hAnsi="Arial"/>
                <w:sz w:val="18"/>
                <w:szCs w:val="18"/>
                <w:color w:val="auto"/>
              </w:rPr>
              <w:t>$4,776</w:t>
            </w:r>
          </w:p>
        </w:tc>
      </w:tr>
      <w:tr>
        <w:trPr>
          <w:trHeight w:val="203"/>
        </w:trPr>
        <w:tc>
          <w:tcPr>
            <w:tcW w:w="4280" w:type="dxa"/>
            <w:vAlign w:val="bottom"/>
          </w:tcPr>
          <w:p>
            <w:pPr>
              <w:ind w:left="100"/>
              <w:spacing w:after="0" w:line="202" w:lineRule="exact"/>
              <w:rPr>
                <w:sz w:val="20"/>
                <w:szCs w:val="20"/>
                <w:color w:val="auto"/>
              </w:rPr>
            </w:pPr>
            <w:r>
              <w:rPr>
                <w:rFonts w:ascii="Arial" w:cs="Arial" w:eastAsia="Arial" w:hAnsi="Arial"/>
                <w:sz w:val="18"/>
                <w:szCs w:val="18"/>
                <w:color w:val="auto"/>
              </w:rPr>
              <w:t>Other expense, net</w:t>
            </w:r>
          </w:p>
        </w:tc>
        <w:tc>
          <w:tcPr>
            <w:tcW w:w="2840" w:type="dxa"/>
            <w:vAlign w:val="bottom"/>
          </w:tcPr>
          <w:p>
            <w:pPr>
              <w:jc w:val="right"/>
              <w:ind w:right="870"/>
              <w:spacing w:after="0" w:line="202" w:lineRule="exact"/>
              <w:rPr>
                <w:sz w:val="20"/>
                <w:szCs w:val="20"/>
                <w:color w:val="auto"/>
              </w:rPr>
            </w:pPr>
            <w:r>
              <w:rPr>
                <w:rFonts w:ascii="Arial" w:cs="Arial" w:eastAsia="Arial" w:hAnsi="Arial"/>
                <w:sz w:val="18"/>
                <w:szCs w:val="18"/>
                <w:b w:val="1"/>
                <w:bCs w:val="1"/>
                <w:color w:val="auto"/>
              </w:rPr>
              <w:t>4,548</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4,813</w:t>
            </w:r>
          </w:p>
        </w:tc>
      </w:tr>
      <w:tr>
        <w:trPr>
          <w:trHeight w:val="203"/>
        </w:trPr>
        <w:tc>
          <w:tcPr>
            <w:tcW w:w="4280" w:type="dxa"/>
            <w:vAlign w:val="bottom"/>
          </w:tcPr>
          <w:p>
            <w:pPr>
              <w:ind w:left="100"/>
              <w:spacing w:after="0" w:line="202" w:lineRule="exact"/>
              <w:rPr>
                <w:sz w:val="20"/>
                <w:szCs w:val="20"/>
                <w:color w:val="auto"/>
              </w:rPr>
            </w:pPr>
            <w:r>
              <w:rPr>
                <w:rFonts w:ascii="Arial" w:cs="Arial" w:eastAsia="Arial" w:hAnsi="Arial"/>
                <w:sz w:val="18"/>
                <w:szCs w:val="18"/>
                <w:color w:val="auto"/>
              </w:rPr>
              <w:t>Income tax (benefit)/expense</w:t>
            </w:r>
          </w:p>
        </w:tc>
        <w:tc>
          <w:tcPr>
            <w:tcW w:w="2840" w:type="dxa"/>
            <w:vAlign w:val="bottom"/>
          </w:tcPr>
          <w:p>
            <w:pPr>
              <w:jc w:val="right"/>
              <w:ind w:right="810"/>
              <w:spacing w:after="0" w:line="202" w:lineRule="exact"/>
              <w:rPr>
                <w:sz w:val="20"/>
                <w:szCs w:val="20"/>
                <w:color w:val="auto"/>
              </w:rPr>
            </w:pPr>
            <w:r>
              <w:rPr>
                <w:rFonts w:ascii="Arial" w:cs="Arial" w:eastAsia="Arial" w:hAnsi="Arial"/>
                <w:sz w:val="18"/>
                <w:szCs w:val="18"/>
                <w:b w:val="1"/>
                <w:bCs w:val="1"/>
                <w:color w:val="auto"/>
              </w:rPr>
              <w:t>(9,379)</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3,988</w:t>
            </w:r>
          </w:p>
        </w:tc>
      </w:tr>
      <w:tr>
        <w:trPr>
          <w:trHeight w:val="203"/>
        </w:trPr>
        <w:tc>
          <w:tcPr>
            <w:tcW w:w="4280" w:type="dxa"/>
            <w:vAlign w:val="bottom"/>
          </w:tcPr>
          <w:p>
            <w:pPr>
              <w:ind w:left="100"/>
              <w:spacing w:after="0" w:line="202" w:lineRule="exact"/>
              <w:rPr>
                <w:sz w:val="20"/>
                <w:szCs w:val="20"/>
                <w:color w:val="auto"/>
              </w:rPr>
            </w:pPr>
            <w:r>
              <w:rPr>
                <w:rFonts w:ascii="Arial" w:cs="Arial" w:eastAsia="Arial" w:hAnsi="Arial"/>
                <w:sz w:val="18"/>
                <w:szCs w:val="18"/>
                <w:color w:val="auto"/>
              </w:rPr>
              <w:t>Income from discontinued operations</w:t>
            </w:r>
          </w:p>
        </w:tc>
        <w:tc>
          <w:tcPr>
            <w:tcW w:w="2840" w:type="dxa"/>
            <w:vAlign w:val="bottom"/>
          </w:tcPr>
          <w:p>
            <w:pPr>
              <w:jc w:val="right"/>
              <w:ind w:right="870"/>
              <w:spacing w:after="0" w:line="202" w:lineRule="exact"/>
              <w:rPr>
                <w:sz w:val="20"/>
                <w:szCs w:val="20"/>
                <w:color w:val="auto"/>
              </w:rPr>
            </w:pPr>
            <w:r>
              <w:rPr>
                <w:rFonts w:ascii="Arial" w:cs="Arial" w:eastAsia="Arial" w:hAnsi="Arial"/>
                <w:sz w:val="18"/>
                <w:szCs w:val="18"/>
                <w:b w:val="1"/>
                <w:bCs w:val="1"/>
                <w:color w:val="auto"/>
              </w:rPr>
              <w:t>46,207</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3,329</w:t>
            </w:r>
          </w:p>
        </w:tc>
      </w:tr>
      <w:tr>
        <w:trPr>
          <w:trHeight w:val="225"/>
        </w:trPr>
        <w:tc>
          <w:tcPr>
            <w:tcW w:w="4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Net income</w:t>
            </w:r>
          </w:p>
        </w:tc>
        <w:tc>
          <w:tcPr>
            <w:tcW w:w="284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$47,041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$16,733</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26" w:lineRule="exact"/>
        <w:rPr>
          <w:sz w:val="20"/>
          <w:szCs w:val="20"/>
          <w:color w:val="auto"/>
        </w:rPr>
      </w:pPr>
    </w:p>
    <w:p>
      <w:pPr>
        <w:jc w:val="both"/>
        <w:ind w:right="320"/>
        <w:spacing w:after="0"/>
        <w:rPr>
          <w:sz w:val="20"/>
          <w:szCs w:val="20"/>
          <w:color w:val="auto"/>
        </w:rPr>
      </w:pPr>
      <w:r>
        <w:rPr>
          <w:rFonts w:ascii="Arial" w:cs="Arial" w:eastAsia="Arial" w:hAnsi="Arial"/>
          <w:sz w:val="18"/>
          <w:szCs w:val="18"/>
          <w:color w:val="auto"/>
        </w:rPr>
        <w:t>The decrease in interest expense, net is principally the result of lower levels of outstanding debt. The weighted average interest rate was 3.87% during Q1 2012, compared to a rate of 3.58% during Q1 2011. See the Capital Resources section below for further discussion of borrowings and interest rates.</w:t>
      </w:r>
    </w:p>
    <w:p>
      <w:pPr>
        <w:spacing w:after="0" w:line="200" w:lineRule="exact"/>
        <w:rPr>
          <w:sz w:val="20"/>
          <w:szCs w:val="20"/>
          <w:color w:val="auto"/>
        </w:rPr>
      </w:pPr>
    </w:p>
    <w:p>
      <w:pPr>
        <w:spacing w:after="0" w:line="31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180"/>
          </w:cols>
          <w:pgMar w:left="240" w:top="657" w:right="4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Other Expense, net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Other expense/(income), net included the following:</w:t>
      </w:r>
    </w:p>
    <w:p>
      <w:pPr>
        <w:spacing w:after="0" w:line="131" w:lineRule="exact"/>
        <w:rPr>
          <w:sz w:val="20"/>
          <w:szCs w:val="20"/>
          <w:color w:val="auto"/>
        </w:rPr>
      </w:pPr>
    </w:p>
    <w:p>
      <w:pPr>
        <w:ind w:left="540" w:right="160"/>
        <w:spacing w:after="0" w:line="281" w:lineRule="auto"/>
        <w:rPr>
          <w:sz w:val="20"/>
          <w:szCs w:val="20"/>
          <w:color w:val="auto"/>
        </w:rPr>
      </w:pPr>
      <w:r>
        <w:rPr>
          <w:rFonts w:ascii="Arial" w:cs="Arial" w:eastAsia="Arial" w:hAnsi="Arial"/>
          <w:sz w:val="18"/>
          <w:szCs w:val="18"/>
          <w:color w:val="auto"/>
        </w:rPr>
        <w:t>Foreign currency revaluations of intercompany balances resulted in losses of $3.8 million in 2012 and $3.9 million in 2011. The change is principally due to the relative strength of the euro against the US dollar, Canadian dollar, Australian dollar, and Japanese yen. Amortization of capitalized debt issuance costs were $0.7 million in 2012 and $0.5 million in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-430530</wp:posOffset>
            </wp:positionV>
            <wp:extent cx="68580" cy="685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-121285</wp:posOffset>
            </wp:positionV>
            <wp:extent cx="68580" cy="685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right="280"/>
        <w:spacing w:after="0" w:line="287" w:lineRule="auto"/>
        <w:rPr>
          <w:sz w:val="20"/>
          <w:szCs w:val="20"/>
          <w:color w:val="auto"/>
        </w:rPr>
      </w:pPr>
      <w:r>
        <w:rPr>
          <w:rFonts w:ascii="Arial" w:cs="Arial" w:eastAsia="Arial" w:hAnsi="Arial"/>
          <w:sz w:val="18"/>
          <w:szCs w:val="18"/>
          <w:color w:val="auto"/>
        </w:rPr>
        <w:t>Debt issuance costs were $0.4 million in 2012 compared with $0.6 million in 2011. These costs are principally fees associated with a letter-of-credit (LOC) that is required by the Canadian government until pending tax issues are resolved. We expect to resolve our tax issues with Canada during Q2 2012, which will result in lower LOC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-440055</wp:posOffset>
            </wp:positionV>
            <wp:extent cx="68580" cy="685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Company’s effective income tax rate from continuing operations, exclusive of discrete tax items, was 31 percent for the first quarter of 2012 and the first quarter of 2011. Discrete income taxes recorded in Q1 of each year reduced income taxes by $6.7 million in 2012 and $1.4 million in 2011.</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Discontinued Operations</w:t>
      </w:r>
    </w:p>
    <w:p>
      <w:pPr>
        <w:spacing w:after="0" w:line="126"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In the first quarter of 2012, the Company completed the sale of its Albany Doors Systems business resulting in a pre-tax gain of $58.0 million. Including operations of the discontinued business and related income taxes, first-quarter income from discontinued operations was $46.2 million in 2012 and $3.3 million in 2011.</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2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Despite the very weak Q1 sales in Machine Clothing, our outlook is for total Company Adjusted EBITDA (see non-GAAP tables) for Q2, and for the aggregate of Q2 through Q4, to be better than that of the comparable periods in 2011. Our primary area of concern, and the primary source of difficulties in Q1, is the weakness in Europe. A further deterioration in the European economy, coupled with the ripple effects this could have on the Asian and North American economies, would put downward pressure on the second half of the year, and make it more difficult to achieve these revised expectations for the remainder of 2012.</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 Clothing Segment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Trends</w:t>
      </w:r>
    </w:p>
    <w:p>
      <w:pPr>
        <w:spacing w:after="0" w:line="12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Machine Clothing (MC) is our primary business segment and accounted for 87% of our consolidated revenues during 2012. MC is comprised of two main product areas, paper machine clothing and engineered fabrics (EF). Paper machine clothing (PMC) is purchased primarily by manufacturers of paper and paperboard. EF manufactures products similar to PMC, but for customers in industries other than paper. The largest portion of revenue in this segment is derived from sales to the nonwovens industry, which includes the manufacture of diapers, personal care and household wipes. Other markets that are served by this segment are businesses adjacent to the paper industry, and manufacturers of tannery, textile and building products.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7" w:name="page38"/>
    <w:bookmarkEnd w:id="37"/>
    <w:p>
      <w:pPr>
        <w:jc w:val="both"/>
        <w:ind w:right="440"/>
        <w:spacing w:after="0"/>
        <w:rPr>
          <w:sz w:val="20"/>
          <w:szCs w:val="20"/>
          <w:color w:val="auto"/>
        </w:rPr>
      </w:pPr>
      <w:r>
        <w:rPr>
          <w:rFonts w:ascii="Arial" w:cs="Arial" w:eastAsia="Arial" w:hAnsi="Arial"/>
          <w:sz w:val="18"/>
          <w:szCs w:val="18"/>
          <w:color w:val="auto"/>
        </w:rPr>
        <w:t>According to RISI, Inc., global production of paper and paperboard is expected to grow at an annual rate of 2-4% over the next five years, driven primarily by secular demand increases in the Asia and South America, with stabilization in the mature markets of Europe and North America.</w:t>
      </w:r>
    </w:p>
    <w:p>
      <w:pPr>
        <w:spacing w:after="0" w:line="9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Shifting demand for paper, across different paper grades as well as across geographical regions, continues to drive the elimination of papermaking capacity in areas with significant established capacity, primarily in the mature markets of Europe and North America. At the same time, the newest, most efficient machines were being installed in areas of growing demand, including Asia and South America generally, as well as tissue and towel paper grades in all regions. Recent technological advances in PMC, while contributing to the papermaking efficiency of customers, have lengthened the useful life of many of our products and had an adverse impact on overall paper machine clothing demand. These factors help to explain why PMC revenue growth grows at a lesser rate than growth in paper production.</w:t>
      </w:r>
    </w:p>
    <w:p>
      <w:pPr>
        <w:spacing w:after="0" w:line="97"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The Company’s manufacturing and product platforms position us well to meet these shifting demands across product grades and geographic regions. Our strategy for meeting these challenges continues to be to grow share in all markets, with new products and technology, and to maintain our manufacturing footprint to align with global demand, while we offset the effects of inflation through continuous productivity improvement.</w:t>
      </w:r>
    </w:p>
    <w:p>
      <w:pPr>
        <w:spacing w:after="0" w:line="9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have incurred significant restructuring charges in recent periods as we reduced PMC manufacturing capacity in the United States, Canada, Germany, Finland, France, and Australia. We have also incurred costs for idle capacity and equipment relocation that were related to the shutdown of these plants, and underutilized costs related to our PMC plant in China. Expenses related to these items were included in “Cost of Goods Sold” in the periods in which they were incurred. In addition, we incurred restructuring charges related to the centralization of administrative functions in Europe, and reorganization of our research and development function that has improved our ability to bring value-added products to market faster.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00" w:type="dxa"/>
            <w:vAlign w:val="bottom"/>
            <w:tcBorders>
              <w:top w:val="single" w:sz="8" w:color="auto"/>
            </w:tcBorders>
          </w:tcPr>
          <w:p>
            <w:pPr>
              <w:spacing w:after="0"/>
              <w:rPr>
                <w:sz w:val="18"/>
                <w:szCs w:val="18"/>
                <w:color w:val="auto"/>
              </w:rPr>
            </w:pPr>
          </w:p>
        </w:tc>
        <w:tc>
          <w:tcPr>
            <w:tcW w:w="4580" w:type="dxa"/>
            <w:vAlign w:val="bottom"/>
            <w:tcBorders>
              <w:top w:val="single" w:sz="8" w:color="auto"/>
            </w:tcBorders>
            <w:gridSpan w:val="2"/>
          </w:tcPr>
          <w:p>
            <w:pPr>
              <w:jc w:val="right"/>
              <w:ind w:right="570"/>
              <w:spacing w:after="0"/>
              <w:rPr>
                <w:sz w:val="20"/>
                <w:szCs w:val="20"/>
                <w:color w:val="auto"/>
              </w:rPr>
            </w:pPr>
            <w:r>
              <w:rPr>
                <w:rFonts w:ascii="Arial" w:cs="Arial" w:eastAsia="Arial" w:hAnsi="Arial"/>
                <w:sz w:val="18"/>
                <w:szCs w:val="18"/>
                <w:color w:val="auto"/>
              </w:rPr>
              <w:t>Three months ended</w:t>
            </w:r>
          </w:p>
        </w:tc>
      </w:tr>
      <w:tr>
        <w:trPr>
          <w:trHeight w:val="181"/>
        </w:trPr>
        <w:tc>
          <w:tcPr>
            <w:tcW w:w="3400" w:type="dxa"/>
            <w:vAlign w:val="bottom"/>
          </w:tcPr>
          <w:p>
            <w:pPr>
              <w:spacing w:after="0"/>
              <w:rPr>
                <w:sz w:val="15"/>
                <w:szCs w:val="15"/>
                <w:color w:val="auto"/>
              </w:rPr>
            </w:pPr>
          </w:p>
        </w:tc>
        <w:tc>
          <w:tcPr>
            <w:tcW w:w="3580" w:type="dxa"/>
            <w:vAlign w:val="bottom"/>
          </w:tcPr>
          <w:p>
            <w:pPr>
              <w:jc w:val="right"/>
              <w:spacing w:after="0" w:line="181" w:lineRule="exact"/>
              <w:rPr>
                <w:sz w:val="20"/>
                <w:szCs w:val="20"/>
                <w:color w:val="auto"/>
              </w:rPr>
            </w:pPr>
            <w:r>
              <w:rPr>
                <w:rFonts w:ascii="Arial" w:cs="Arial" w:eastAsia="Arial" w:hAnsi="Arial"/>
                <w:sz w:val="18"/>
                <w:szCs w:val="18"/>
                <w:color w:val="auto"/>
              </w:rPr>
              <w:t>March 31,</w:t>
            </w:r>
          </w:p>
        </w:tc>
        <w:tc>
          <w:tcPr>
            <w:tcW w:w="1000" w:type="dxa"/>
            <w:vAlign w:val="bottom"/>
          </w:tcPr>
          <w:p>
            <w:pPr>
              <w:spacing w:after="0"/>
              <w:rPr>
                <w:sz w:val="15"/>
                <w:szCs w:val="15"/>
                <w:color w:val="auto"/>
              </w:rPr>
            </w:pPr>
          </w:p>
        </w:tc>
      </w:tr>
      <w:tr>
        <w:trPr>
          <w:trHeight w:val="225"/>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5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2012</w:t>
            </w: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2011</w:t>
            </w:r>
          </w:p>
        </w:tc>
      </w:tr>
      <w:tr>
        <w:trPr>
          <w:trHeight w:val="173"/>
        </w:trPr>
        <w:tc>
          <w:tcPr>
            <w:tcW w:w="3400" w:type="dxa"/>
            <w:vAlign w:val="bottom"/>
          </w:tcPr>
          <w:p>
            <w:pPr>
              <w:ind w:left="100"/>
              <w:spacing w:after="0" w:line="173" w:lineRule="exact"/>
              <w:rPr>
                <w:sz w:val="20"/>
                <w:szCs w:val="20"/>
                <w:color w:val="auto"/>
              </w:rPr>
            </w:pPr>
            <w:r>
              <w:rPr>
                <w:rFonts w:ascii="Arial" w:cs="Arial" w:eastAsia="Arial" w:hAnsi="Arial"/>
                <w:sz w:val="18"/>
                <w:szCs w:val="18"/>
                <w:color w:val="auto"/>
              </w:rPr>
              <w:t>Net sales</w:t>
            </w:r>
          </w:p>
        </w:tc>
        <w:tc>
          <w:tcPr>
            <w:tcW w:w="3580" w:type="dxa"/>
            <w:vAlign w:val="bottom"/>
          </w:tcPr>
          <w:p>
            <w:pPr>
              <w:jc w:val="right"/>
              <w:ind w:right="870"/>
              <w:spacing w:after="0" w:line="173" w:lineRule="exact"/>
              <w:rPr>
                <w:sz w:val="20"/>
                <w:szCs w:val="20"/>
                <w:color w:val="auto"/>
              </w:rPr>
            </w:pPr>
            <w:r>
              <w:rPr>
                <w:rFonts w:ascii="Arial" w:cs="Arial" w:eastAsia="Arial" w:hAnsi="Arial"/>
                <w:sz w:val="18"/>
                <w:szCs w:val="18"/>
                <w:b w:val="1"/>
                <w:bCs w:val="1"/>
                <w:color w:val="auto"/>
              </w:rPr>
              <w:t>$164,288</w:t>
            </w:r>
          </w:p>
        </w:tc>
        <w:tc>
          <w:tcPr>
            <w:tcW w:w="1000" w:type="dxa"/>
            <w:vAlign w:val="bottom"/>
          </w:tcPr>
          <w:p>
            <w:pPr>
              <w:jc w:val="right"/>
              <w:ind w:right="70"/>
              <w:spacing w:after="0" w:line="173" w:lineRule="exact"/>
              <w:rPr>
                <w:sz w:val="20"/>
                <w:szCs w:val="20"/>
                <w:color w:val="auto"/>
              </w:rPr>
            </w:pPr>
            <w:r>
              <w:rPr>
                <w:rFonts w:ascii="Arial" w:cs="Arial" w:eastAsia="Arial" w:hAnsi="Arial"/>
                <w:sz w:val="18"/>
                <w:szCs w:val="18"/>
                <w:color w:val="auto"/>
              </w:rPr>
              <w:t>$188,482</w:t>
            </w:r>
          </w:p>
        </w:tc>
      </w:tr>
      <w:tr>
        <w:trPr>
          <w:trHeight w:val="203"/>
        </w:trPr>
        <w:tc>
          <w:tcPr>
            <w:tcW w:w="3400" w:type="dxa"/>
            <w:vAlign w:val="bottom"/>
          </w:tcPr>
          <w:p>
            <w:pPr>
              <w:ind w:left="100"/>
              <w:spacing w:after="0" w:line="202" w:lineRule="exact"/>
              <w:rPr>
                <w:sz w:val="20"/>
                <w:szCs w:val="20"/>
                <w:color w:val="auto"/>
              </w:rPr>
            </w:pPr>
            <w:r>
              <w:rPr>
                <w:rFonts w:ascii="Arial" w:cs="Arial" w:eastAsia="Arial" w:hAnsi="Arial"/>
                <w:sz w:val="18"/>
                <w:szCs w:val="18"/>
                <w:color w:val="auto"/>
              </w:rPr>
              <w:t>Gross profit</w:t>
            </w:r>
          </w:p>
        </w:tc>
        <w:tc>
          <w:tcPr>
            <w:tcW w:w="3580" w:type="dxa"/>
            <w:vAlign w:val="bottom"/>
          </w:tcPr>
          <w:p>
            <w:pPr>
              <w:jc w:val="right"/>
              <w:ind w:right="870"/>
              <w:spacing w:after="0" w:line="202" w:lineRule="exact"/>
              <w:rPr>
                <w:sz w:val="20"/>
                <w:szCs w:val="20"/>
                <w:color w:val="auto"/>
              </w:rPr>
            </w:pPr>
            <w:r>
              <w:rPr>
                <w:rFonts w:ascii="Arial" w:cs="Arial" w:eastAsia="Arial" w:hAnsi="Arial"/>
                <w:sz w:val="18"/>
                <w:szCs w:val="18"/>
                <w:b w:val="1"/>
                <w:bCs w:val="1"/>
                <w:color w:val="auto"/>
              </w:rPr>
              <w:t>67,998</w:t>
            </w:r>
          </w:p>
        </w:tc>
        <w:tc>
          <w:tcPr>
            <w:tcW w:w="10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86,537</w:t>
            </w:r>
          </w:p>
        </w:tc>
      </w:tr>
      <w:tr>
        <w:trPr>
          <w:trHeight w:val="203"/>
        </w:trPr>
        <w:tc>
          <w:tcPr>
            <w:tcW w:w="3400" w:type="dxa"/>
            <w:vAlign w:val="bottom"/>
          </w:tcPr>
          <w:p>
            <w:pPr>
              <w:ind w:left="100"/>
              <w:spacing w:after="0" w:line="202" w:lineRule="exact"/>
              <w:rPr>
                <w:sz w:val="20"/>
                <w:szCs w:val="20"/>
                <w:color w:val="auto"/>
              </w:rPr>
            </w:pPr>
            <w:r>
              <w:rPr>
                <w:rFonts w:ascii="Arial" w:cs="Arial" w:eastAsia="Arial" w:hAnsi="Arial"/>
                <w:sz w:val="18"/>
                <w:szCs w:val="18"/>
                <w:color w:val="auto"/>
              </w:rPr>
              <w:t>% of net sales</w:t>
            </w:r>
          </w:p>
        </w:tc>
        <w:tc>
          <w:tcPr>
            <w:tcW w:w="3580" w:type="dxa"/>
            <w:vAlign w:val="bottom"/>
          </w:tcPr>
          <w:p>
            <w:pPr>
              <w:jc w:val="right"/>
              <w:ind w:right="710"/>
              <w:spacing w:after="0" w:line="202" w:lineRule="exact"/>
              <w:rPr>
                <w:sz w:val="20"/>
                <w:szCs w:val="20"/>
                <w:color w:val="auto"/>
              </w:rPr>
            </w:pPr>
            <w:r>
              <w:rPr>
                <w:rFonts w:ascii="Arial" w:cs="Arial" w:eastAsia="Arial" w:hAnsi="Arial"/>
                <w:sz w:val="18"/>
                <w:szCs w:val="18"/>
                <w:b w:val="1"/>
                <w:bCs w:val="1"/>
                <w:color w:val="auto"/>
              </w:rPr>
              <w:t>41.4%</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45.9%</w:t>
            </w:r>
          </w:p>
        </w:tc>
      </w:tr>
      <w:tr>
        <w:trPr>
          <w:trHeight w:val="225"/>
        </w:trPr>
        <w:tc>
          <w:tcPr>
            <w:tcW w:w="3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Operating income</w:t>
            </w:r>
          </w:p>
        </w:tc>
        <w:tc>
          <w:tcPr>
            <w:tcW w:w="35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30,845</w:t>
            </w: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50,271</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Net sales were affected by the following:</w:t>
      </w:r>
    </w:p>
    <w:p>
      <w:pPr>
        <w:spacing w:after="0" w:line="1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Changes in currency translation rates had the effect of decreasing 2012 sales by $1.6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-100330</wp:posOffset>
            </wp:positionV>
            <wp:extent cx="68580" cy="685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Excluding the effect of changes in currency translation rates, 2012 sales decreased 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-100330</wp:posOffset>
            </wp:positionV>
            <wp:extent cx="68580" cy="685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right="660"/>
        <w:spacing w:after="0" w:line="293" w:lineRule="auto"/>
        <w:rPr>
          <w:sz w:val="20"/>
          <w:szCs w:val="20"/>
          <w:color w:val="auto"/>
        </w:rPr>
      </w:pPr>
      <w:r>
        <w:rPr>
          <w:rFonts w:ascii="Arial" w:cs="Arial" w:eastAsia="Arial" w:hAnsi="Arial"/>
          <w:sz w:val="18"/>
          <w:szCs w:val="18"/>
          <w:color w:val="auto"/>
        </w:rPr>
        <w:t>Sales in Europe declined by another 10 percent in Q1 2012 as major customers retrenched in Europe and North American sales remained flat. Asia sales grew 40% over Q1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-289560</wp:posOffset>
            </wp:positionV>
            <wp:extent cx="68580" cy="685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2012 gross profit was principally due to the following:</w:t>
      </w:r>
    </w:p>
    <w:p>
      <w:pPr>
        <w:spacing w:after="0" w:line="1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$9.4 million decrease due to lower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-100330</wp:posOffset>
            </wp:positionV>
            <wp:extent cx="68580" cy="685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$3.1 million decrease due to lower levels of plant utilization.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-100330</wp:posOffset>
            </wp:positionV>
            <wp:extent cx="68580" cy="685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679"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Operating Income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2012 operating income was principally due to the net effect of the following:</w:t>
      </w:r>
    </w:p>
    <w:p>
      <w:pPr>
        <w:spacing w:after="0" w:line="1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$19.0 million decrease due to lower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-100330</wp:posOffset>
            </wp:positionV>
            <wp:extent cx="68580" cy="685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Selling expenses increased principally due to a $0.8 million increase in bad debt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-100330</wp:posOffset>
            </wp:positionV>
            <wp:extent cx="68580" cy="685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2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Because of strong Q1 orders, strong shipments at the end of March, and the fact that Machine Clothing margins remained firm in Q1 despite the weak sales, we expect Machine Clothing sales to rebound in Q2 to Q2 2011 levels of performance. But given the combination of the weak and deteriorating European economy and structural overcapacity in the European paper and paper machine clothing industries, we currently expect that approximately $5 million to $7 million of the Machine Clothing sales decline in Q1 will likely not return, and that MC sales in future quarters will reflect this decline. Unless the European economy strengthens in the second half of the year, our outlook is for total Machine Clothing Adjusted EBITDA (see non-GAAP tables) for quarters two through four of 2012 to be comparable to the equivalent three-quarter period in 2011. For the Company overall, our outlook is for total adjusted EBITDA for Q2, and for the aggregate of Q2 through Q4, to be better than that of the comparable periods in 2011. Our primary area of concern, and the primary source of difficulties in Q1, is the weakness in Europe. A further deterioration in the European economy, coupled with the ripple effects this could have on the Asian and North American economies, would put downward pressure on the second half of the year, and make it more difficult to achieve our revised expectations for the remainder of 2012.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Engineered Composites Segment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Trends</w:t>
      </w:r>
    </w:p>
    <w:p>
      <w:pPr>
        <w:spacing w:after="0" w:line="239" w:lineRule="auto"/>
        <w:rPr>
          <w:sz w:val="20"/>
          <w:szCs w:val="20"/>
          <w:color w:val="auto"/>
        </w:rPr>
      </w:pPr>
      <w:r>
        <w:rPr>
          <w:rFonts w:ascii="Arial" w:cs="Arial" w:eastAsia="Arial" w:hAnsi="Arial"/>
          <w:sz w:val="18"/>
          <w:szCs w:val="18"/>
          <w:color w:val="auto"/>
        </w:rPr>
        <w:t>AEC provides custom-designed advanced composite structures based on proprietary technology to customers in the aerospace and defense industries. AEC’s largest current development program relates to the LEAP engine being developed by CFM International. Under this program, AEC is developing a family of composite parts, including fan blades, to be incorporated into the LEAP engine. In 2011, approximately 25% of this segment’s sales were related to U.S. government contracts or programs.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40" w:type="dxa"/>
            <w:vAlign w:val="bottom"/>
            <w:tcBorders>
              <w:top w:val="single" w:sz="8" w:color="auto"/>
            </w:tcBorders>
          </w:tcPr>
          <w:p>
            <w:pPr>
              <w:spacing w:after="0"/>
              <w:rPr>
                <w:sz w:val="18"/>
                <w:szCs w:val="18"/>
                <w:color w:val="auto"/>
              </w:rPr>
            </w:pPr>
          </w:p>
        </w:tc>
        <w:tc>
          <w:tcPr>
            <w:tcW w:w="4540" w:type="dxa"/>
            <w:vAlign w:val="bottom"/>
            <w:tcBorders>
              <w:top w:val="single" w:sz="8" w:color="auto"/>
            </w:tcBorders>
            <w:gridSpan w:val="2"/>
          </w:tcPr>
          <w:p>
            <w:pPr>
              <w:jc w:val="right"/>
              <w:ind w:right="570"/>
              <w:spacing w:after="0"/>
              <w:rPr>
                <w:sz w:val="20"/>
                <w:szCs w:val="20"/>
                <w:color w:val="auto"/>
              </w:rPr>
            </w:pPr>
            <w:r>
              <w:rPr>
                <w:rFonts w:ascii="Arial" w:cs="Arial" w:eastAsia="Arial" w:hAnsi="Arial"/>
                <w:sz w:val="18"/>
                <w:szCs w:val="18"/>
                <w:color w:val="auto"/>
              </w:rPr>
              <w:t>Three months ended</w:t>
            </w:r>
          </w:p>
        </w:tc>
      </w:tr>
      <w:tr>
        <w:trPr>
          <w:trHeight w:val="181"/>
        </w:trPr>
        <w:tc>
          <w:tcPr>
            <w:tcW w:w="3440" w:type="dxa"/>
            <w:vAlign w:val="bottom"/>
          </w:tcPr>
          <w:p>
            <w:pPr>
              <w:spacing w:after="0"/>
              <w:rPr>
                <w:sz w:val="15"/>
                <w:szCs w:val="15"/>
                <w:color w:val="auto"/>
              </w:rPr>
            </w:pPr>
          </w:p>
        </w:tc>
        <w:tc>
          <w:tcPr>
            <w:tcW w:w="3600" w:type="dxa"/>
            <w:vAlign w:val="bottom"/>
          </w:tcPr>
          <w:p>
            <w:pPr>
              <w:jc w:val="right"/>
              <w:ind w:right="50"/>
              <w:spacing w:after="0" w:line="181" w:lineRule="exact"/>
              <w:rPr>
                <w:sz w:val="20"/>
                <w:szCs w:val="20"/>
                <w:color w:val="auto"/>
              </w:rPr>
            </w:pPr>
            <w:r>
              <w:rPr>
                <w:rFonts w:ascii="Arial" w:cs="Arial" w:eastAsia="Arial" w:hAnsi="Arial"/>
                <w:sz w:val="18"/>
                <w:szCs w:val="18"/>
                <w:color w:val="auto"/>
              </w:rPr>
              <w:t>March 31,</w:t>
            </w:r>
          </w:p>
        </w:tc>
        <w:tc>
          <w:tcPr>
            <w:tcW w:w="940" w:type="dxa"/>
            <w:vAlign w:val="bottom"/>
          </w:tcPr>
          <w:p>
            <w:pPr>
              <w:spacing w:after="0"/>
              <w:rPr>
                <w:sz w:val="15"/>
                <w:szCs w:val="15"/>
                <w:color w:val="auto"/>
              </w:rPr>
            </w:pPr>
          </w:p>
        </w:tc>
      </w:tr>
      <w:tr>
        <w:trPr>
          <w:trHeight w:val="225"/>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60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2012</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2011</w:t>
            </w:r>
          </w:p>
        </w:tc>
      </w:tr>
      <w:tr>
        <w:trPr>
          <w:trHeight w:val="173"/>
        </w:trPr>
        <w:tc>
          <w:tcPr>
            <w:tcW w:w="3440" w:type="dxa"/>
            <w:vAlign w:val="bottom"/>
          </w:tcPr>
          <w:p>
            <w:pPr>
              <w:ind w:left="100"/>
              <w:spacing w:after="0" w:line="173" w:lineRule="exact"/>
              <w:rPr>
                <w:sz w:val="20"/>
                <w:szCs w:val="20"/>
                <w:color w:val="auto"/>
              </w:rPr>
            </w:pPr>
            <w:r>
              <w:rPr>
                <w:rFonts w:ascii="Arial" w:cs="Arial" w:eastAsia="Arial" w:hAnsi="Arial"/>
                <w:sz w:val="18"/>
                <w:szCs w:val="18"/>
                <w:color w:val="auto"/>
              </w:rPr>
              <w:t>Net sales</w:t>
            </w:r>
          </w:p>
        </w:tc>
        <w:tc>
          <w:tcPr>
            <w:tcW w:w="3600" w:type="dxa"/>
            <w:vAlign w:val="bottom"/>
          </w:tcPr>
          <w:p>
            <w:pPr>
              <w:jc w:val="right"/>
              <w:ind w:right="930"/>
              <w:spacing w:after="0" w:line="173" w:lineRule="exact"/>
              <w:rPr>
                <w:sz w:val="20"/>
                <w:szCs w:val="20"/>
                <w:color w:val="auto"/>
              </w:rPr>
            </w:pPr>
            <w:r>
              <w:rPr>
                <w:rFonts w:ascii="Arial" w:cs="Arial" w:eastAsia="Arial" w:hAnsi="Arial"/>
                <w:sz w:val="18"/>
                <w:szCs w:val="18"/>
                <w:b w:val="1"/>
                <w:bCs w:val="1"/>
                <w:color w:val="auto"/>
              </w:rPr>
              <w:t>$15,789</w:t>
            </w:r>
          </w:p>
        </w:tc>
        <w:tc>
          <w:tcPr>
            <w:tcW w:w="940" w:type="dxa"/>
            <w:vAlign w:val="bottom"/>
          </w:tcPr>
          <w:p>
            <w:pPr>
              <w:jc w:val="right"/>
              <w:ind w:right="70"/>
              <w:spacing w:after="0" w:line="173" w:lineRule="exact"/>
              <w:rPr>
                <w:sz w:val="20"/>
                <w:szCs w:val="20"/>
                <w:color w:val="auto"/>
              </w:rPr>
            </w:pPr>
            <w:r>
              <w:rPr>
                <w:rFonts w:ascii="Arial" w:cs="Arial" w:eastAsia="Arial" w:hAnsi="Arial"/>
                <w:sz w:val="18"/>
                <w:szCs w:val="18"/>
                <w:color w:val="auto"/>
              </w:rPr>
              <w:t>$11,472</w:t>
            </w:r>
          </w:p>
        </w:tc>
      </w:tr>
      <w:tr>
        <w:trPr>
          <w:trHeight w:val="203"/>
        </w:trPr>
        <w:tc>
          <w:tcPr>
            <w:tcW w:w="3440" w:type="dxa"/>
            <w:vAlign w:val="bottom"/>
          </w:tcPr>
          <w:p>
            <w:pPr>
              <w:ind w:left="100"/>
              <w:spacing w:after="0" w:line="202" w:lineRule="exact"/>
              <w:rPr>
                <w:sz w:val="20"/>
                <w:szCs w:val="20"/>
                <w:color w:val="auto"/>
              </w:rPr>
            </w:pPr>
            <w:r>
              <w:rPr>
                <w:rFonts w:ascii="Arial" w:cs="Arial" w:eastAsia="Arial" w:hAnsi="Arial"/>
                <w:sz w:val="18"/>
                <w:szCs w:val="18"/>
                <w:color w:val="auto"/>
              </w:rPr>
              <w:t>Gross profit</w:t>
            </w:r>
          </w:p>
        </w:tc>
        <w:tc>
          <w:tcPr>
            <w:tcW w:w="3600" w:type="dxa"/>
            <w:vAlign w:val="bottom"/>
          </w:tcPr>
          <w:p>
            <w:pPr>
              <w:jc w:val="right"/>
              <w:ind w:right="930"/>
              <w:spacing w:after="0" w:line="202" w:lineRule="exact"/>
              <w:rPr>
                <w:sz w:val="20"/>
                <w:szCs w:val="20"/>
                <w:color w:val="auto"/>
              </w:rPr>
            </w:pPr>
            <w:r>
              <w:rPr>
                <w:rFonts w:ascii="Arial" w:cs="Arial" w:eastAsia="Arial" w:hAnsi="Arial"/>
                <w:sz w:val="18"/>
                <w:szCs w:val="18"/>
                <w:b w:val="1"/>
                <w:bCs w:val="1"/>
                <w:color w:val="auto"/>
              </w:rPr>
              <w:t>1,393</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w:t>
            </w:r>
          </w:p>
        </w:tc>
      </w:tr>
      <w:tr>
        <w:trPr>
          <w:trHeight w:val="203"/>
        </w:trPr>
        <w:tc>
          <w:tcPr>
            <w:tcW w:w="3440" w:type="dxa"/>
            <w:vAlign w:val="bottom"/>
          </w:tcPr>
          <w:p>
            <w:pPr>
              <w:ind w:left="100"/>
              <w:spacing w:after="0" w:line="202" w:lineRule="exact"/>
              <w:rPr>
                <w:sz w:val="20"/>
                <w:szCs w:val="20"/>
                <w:color w:val="auto"/>
              </w:rPr>
            </w:pPr>
            <w:r>
              <w:rPr>
                <w:rFonts w:ascii="Arial" w:cs="Arial" w:eastAsia="Arial" w:hAnsi="Arial"/>
                <w:sz w:val="18"/>
                <w:szCs w:val="18"/>
                <w:color w:val="auto"/>
              </w:rPr>
              <w:t>% of net sales</w:t>
            </w:r>
          </w:p>
        </w:tc>
        <w:tc>
          <w:tcPr>
            <w:tcW w:w="360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rPr>
              <w:t>8.8%</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-0.2%</w:t>
            </w:r>
          </w:p>
        </w:tc>
      </w:tr>
      <w:tr>
        <w:trPr>
          <w:trHeight w:val="225"/>
        </w:trPr>
        <w:tc>
          <w:tcPr>
            <w:tcW w:w="3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Operating income</w:t>
            </w:r>
          </w:p>
        </w:tc>
        <w:tc>
          <w:tcPr>
            <w:tcW w:w="360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29</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(1,043)</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Net sales were affected by the following:</w:t>
      </w:r>
    </w:p>
    <w:p>
      <w:pPr>
        <w:spacing w:after="0" w:line="1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Net sales in 2012 grew 37.6% over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-100330</wp:posOffset>
            </wp:positionV>
            <wp:extent cx="68580" cy="685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right="100"/>
        <w:spacing w:after="0" w:line="293" w:lineRule="auto"/>
        <w:rPr>
          <w:sz w:val="20"/>
          <w:szCs w:val="20"/>
          <w:color w:val="auto"/>
        </w:rPr>
      </w:pPr>
      <w:r>
        <w:rPr>
          <w:rFonts w:ascii="Arial" w:cs="Arial" w:eastAsia="Arial" w:hAnsi="Arial"/>
          <w:sz w:val="18"/>
          <w:szCs w:val="18"/>
          <w:color w:val="auto"/>
        </w:rPr>
        <w:t>The increase in 2012 sales is due to the continued growth in production of Landing Braces, LEAP-X, and Joint Strike Fighter advanced composite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-289560</wp:posOffset>
            </wp:positionV>
            <wp:extent cx="68580" cy="685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2012 gross profit included the following:</w:t>
      </w:r>
    </w:p>
    <w:p>
      <w:pPr>
        <w:spacing w:after="0" w:line="1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$1.2 million increase due to higher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-100330</wp:posOffset>
            </wp:positionV>
            <wp:extent cx="68580" cy="685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$0.2 million due to improved plant utilization.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-100330</wp:posOffset>
            </wp:positionV>
            <wp:extent cx="68580" cy="685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657" w:right="29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Operating Income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2011 operating income increased principally due to the increase in gross profit.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26"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As the landing gear brace program ramped back up in 2012, AEC was able to hit its short-term target of a $60.0 million annual sales run rate. We see this run rate as sustainable, with steadily improving profitability by the middle of 2012. We are working intensely with SNECMA on the Leap-X engine, producing test parts while advancing steadily toward manufacturing readiness, and are on track for a mid-decade inflection point in revenues and income as the Leap-X engine enters production. How steep the resulting growth rate will be continues to depend primarily on whether Boeing will re-engine the 737 in mid-decade or introduce a replacement aircraft at the end of the decade.</w:t>
      </w:r>
    </w:p>
    <w:p>
      <w:pPr>
        <w:spacing w:after="0" w:line="234" w:lineRule="auto"/>
        <w:rPr>
          <w:sz w:val="20"/>
          <w:szCs w:val="20"/>
          <w:color w:val="auto"/>
        </w:rPr>
      </w:pPr>
      <w:r>
        <w:rPr>
          <w:rFonts w:ascii="Arial" w:cs="Arial" w:eastAsia="Arial" w:hAnsi="Arial"/>
          <w:sz w:val="18"/>
          <w:szCs w:val="18"/>
          <w:b w:val="1"/>
          <w:bCs w:val="1"/>
          <w:color w:val="auto"/>
        </w:rPr>
        <w:t>PrimaLoft</w:t>
      </w:r>
      <w:r>
        <w:rPr>
          <w:rFonts w:ascii="Arial" w:cs="Arial" w:eastAsia="Arial" w:hAnsi="Arial"/>
          <w:sz w:val="30"/>
          <w:szCs w:val="30"/>
          <w:b w:val="1"/>
          <w:bCs w:val="1"/>
          <w:color w:val="auto"/>
          <w:vertAlign w:val="superscript"/>
        </w:rPr>
        <w:t>®</w:t>
      </w:r>
      <w:r>
        <w:rPr>
          <w:rFonts w:ascii="Arial" w:cs="Arial" w:eastAsia="Arial" w:hAnsi="Arial"/>
          <w:sz w:val="18"/>
          <w:szCs w:val="18"/>
          <w:b w:val="1"/>
          <w:bCs w:val="1"/>
          <w:color w:val="auto"/>
        </w:rPr>
        <w:t xml:space="preserve"> Products Segment</w:t>
      </w:r>
    </w:p>
    <w:p>
      <w:pPr>
        <w:spacing w:after="0" w:line="236" w:lineRule="auto"/>
        <w:rPr>
          <w:sz w:val="20"/>
          <w:szCs w:val="20"/>
          <w:color w:val="auto"/>
        </w:rPr>
      </w:pPr>
      <w:r>
        <w:rPr>
          <w:rFonts w:ascii="Arial" w:cs="Arial" w:eastAsia="Arial" w:hAnsi="Arial"/>
          <w:sz w:val="18"/>
          <w:szCs w:val="18"/>
          <w:b w:val="1"/>
          <w:bCs w:val="1"/>
          <w:color w:val="auto"/>
        </w:rPr>
        <w:t>Business Environment and Trends</w:t>
      </w:r>
    </w:p>
    <w:p>
      <w:pPr>
        <w:spacing w:after="0" w:line="1" w:lineRule="exact"/>
        <w:rPr>
          <w:sz w:val="20"/>
          <w:szCs w:val="20"/>
          <w:color w:val="auto"/>
        </w:rPr>
      </w:pPr>
    </w:p>
    <w:p>
      <w:pPr>
        <w:spacing w:after="0" w:line="218" w:lineRule="auto"/>
        <w:rPr>
          <w:sz w:val="20"/>
          <w:szCs w:val="20"/>
          <w:color w:val="auto"/>
        </w:rPr>
      </w:pPr>
      <w:r>
        <w:rPr>
          <w:rFonts w:ascii="Arial" w:cs="Arial" w:eastAsia="Arial" w:hAnsi="Arial"/>
          <w:sz w:val="18"/>
          <w:szCs w:val="18"/>
          <w:color w:val="auto"/>
        </w:rPr>
        <w:t>The PrimaLoft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segment includes sales of insulation and yarns for outdoor clothing, gloves, footwear, sleeping bags, and home furnishings. This segment has sales operations in the United States, Europe, and Asia, through which it sells products produced by third parties according to the Company’s proprietary specifications. This segment also generates a portion of its sales from the licensing of its intellectual property. Approximately one-quarter of this segment’s sales in each of the past two years has been to the U.S. military (for high-performance outerwear).</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00" w:type="dxa"/>
            <w:vAlign w:val="bottom"/>
            <w:tcBorders>
              <w:top w:val="single" w:sz="8" w:color="auto"/>
            </w:tcBorders>
          </w:tcPr>
          <w:p>
            <w:pPr>
              <w:spacing w:after="0"/>
              <w:rPr>
                <w:sz w:val="18"/>
                <w:szCs w:val="18"/>
                <w:color w:val="auto"/>
              </w:rPr>
            </w:pPr>
          </w:p>
        </w:tc>
        <w:tc>
          <w:tcPr>
            <w:tcW w:w="4480" w:type="dxa"/>
            <w:vAlign w:val="bottom"/>
            <w:tcBorders>
              <w:top w:val="single" w:sz="8" w:color="auto"/>
            </w:tcBorders>
            <w:gridSpan w:val="2"/>
          </w:tcPr>
          <w:p>
            <w:pPr>
              <w:jc w:val="right"/>
              <w:ind w:right="570"/>
              <w:spacing w:after="0"/>
              <w:rPr>
                <w:sz w:val="20"/>
                <w:szCs w:val="20"/>
                <w:color w:val="auto"/>
              </w:rPr>
            </w:pPr>
            <w:r>
              <w:rPr>
                <w:rFonts w:ascii="Arial" w:cs="Arial" w:eastAsia="Arial" w:hAnsi="Arial"/>
                <w:sz w:val="18"/>
                <w:szCs w:val="18"/>
                <w:color w:val="auto"/>
              </w:rPr>
              <w:t>Three months ended</w:t>
            </w:r>
          </w:p>
        </w:tc>
      </w:tr>
      <w:tr>
        <w:trPr>
          <w:trHeight w:val="181"/>
        </w:trPr>
        <w:tc>
          <w:tcPr>
            <w:tcW w:w="3500" w:type="dxa"/>
            <w:vAlign w:val="bottom"/>
          </w:tcPr>
          <w:p>
            <w:pPr>
              <w:spacing w:after="0"/>
              <w:rPr>
                <w:sz w:val="15"/>
                <w:szCs w:val="15"/>
                <w:color w:val="auto"/>
              </w:rPr>
            </w:pPr>
          </w:p>
        </w:tc>
        <w:tc>
          <w:tcPr>
            <w:tcW w:w="3580" w:type="dxa"/>
            <w:vAlign w:val="bottom"/>
          </w:tcPr>
          <w:p>
            <w:pPr>
              <w:jc w:val="right"/>
              <w:ind w:right="90"/>
              <w:spacing w:after="0" w:line="181" w:lineRule="exact"/>
              <w:rPr>
                <w:sz w:val="20"/>
                <w:szCs w:val="20"/>
                <w:color w:val="auto"/>
              </w:rPr>
            </w:pPr>
            <w:r>
              <w:rPr>
                <w:rFonts w:ascii="Arial" w:cs="Arial" w:eastAsia="Arial" w:hAnsi="Arial"/>
                <w:sz w:val="18"/>
                <w:szCs w:val="18"/>
                <w:color w:val="auto"/>
              </w:rPr>
              <w:t>March 31,</w:t>
            </w:r>
          </w:p>
        </w:tc>
        <w:tc>
          <w:tcPr>
            <w:tcW w:w="900" w:type="dxa"/>
            <w:vAlign w:val="bottom"/>
          </w:tcPr>
          <w:p>
            <w:pPr>
              <w:spacing w:after="0"/>
              <w:rPr>
                <w:sz w:val="15"/>
                <w:szCs w:val="15"/>
                <w:color w:val="auto"/>
              </w:rPr>
            </w:pPr>
          </w:p>
        </w:tc>
      </w:tr>
      <w:tr>
        <w:trPr>
          <w:trHeight w:val="225"/>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58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2012</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2011</w:t>
            </w:r>
          </w:p>
        </w:tc>
      </w:tr>
      <w:tr>
        <w:trPr>
          <w:trHeight w:val="173"/>
        </w:trPr>
        <w:tc>
          <w:tcPr>
            <w:tcW w:w="3500" w:type="dxa"/>
            <w:vAlign w:val="bottom"/>
          </w:tcPr>
          <w:p>
            <w:pPr>
              <w:ind w:left="100"/>
              <w:spacing w:after="0" w:line="173" w:lineRule="exact"/>
              <w:rPr>
                <w:sz w:val="20"/>
                <w:szCs w:val="20"/>
                <w:color w:val="auto"/>
              </w:rPr>
            </w:pPr>
            <w:r>
              <w:rPr>
                <w:rFonts w:ascii="Arial" w:cs="Arial" w:eastAsia="Arial" w:hAnsi="Arial"/>
                <w:sz w:val="18"/>
                <w:szCs w:val="18"/>
                <w:color w:val="auto"/>
              </w:rPr>
              <w:t>Net sales</w:t>
            </w:r>
          </w:p>
        </w:tc>
        <w:tc>
          <w:tcPr>
            <w:tcW w:w="3580" w:type="dxa"/>
            <w:vAlign w:val="bottom"/>
          </w:tcPr>
          <w:p>
            <w:pPr>
              <w:jc w:val="right"/>
              <w:ind w:right="970"/>
              <w:spacing w:after="0" w:line="173" w:lineRule="exact"/>
              <w:rPr>
                <w:sz w:val="20"/>
                <w:szCs w:val="20"/>
                <w:color w:val="auto"/>
              </w:rPr>
            </w:pPr>
            <w:r>
              <w:rPr>
                <w:rFonts w:ascii="Arial" w:cs="Arial" w:eastAsia="Arial" w:hAnsi="Arial"/>
                <w:sz w:val="18"/>
                <w:szCs w:val="18"/>
                <w:b w:val="1"/>
                <w:bCs w:val="1"/>
                <w:color w:val="auto"/>
              </w:rPr>
              <w:t>$8,476</w:t>
            </w:r>
          </w:p>
        </w:tc>
        <w:tc>
          <w:tcPr>
            <w:tcW w:w="900" w:type="dxa"/>
            <w:vAlign w:val="bottom"/>
          </w:tcPr>
          <w:p>
            <w:pPr>
              <w:jc w:val="right"/>
              <w:ind w:right="70"/>
              <w:spacing w:after="0" w:line="173" w:lineRule="exact"/>
              <w:rPr>
                <w:sz w:val="20"/>
                <w:szCs w:val="20"/>
                <w:color w:val="auto"/>
              </w:rPr>
            </w:pPr>
            <w:r>
              <w:rPr>
                <w:rFonts w:ascii="Arial" w:cs="Arial" w:eastAsia="Arial" w:hAnsi="Arial"/>
                <w:sz w:val="18"/>
                <w:szCs w:val="18"/>
                <w:color w:val="auto"/>
              </w:rPr>
              <w:t>$6,768</w:t>
            </w:r>
          </w:p>
        </w:tc>
      </w:tr>
      <w:tr>
        <w:trPr>
          <w:trHeight w:val="203"/>
        </w:trPr>
        <w:tc>
          <w:tcPr>
            <w:tcW w:w="3500" w:type="dxa"/>
            <w:vAlign w:val="bottom"/>
          </w:tcPr>
          <w:p>
            <w:pPr>
              <w:ind w:left="100"/>
              <w:spacing w:after="0" w:line="202" w:lineRule="exact"/>
              <w:rPr>
                <w:sz w:val="20"/>
                <w:szCs w:val="20"/>
                <w:color w:val="auto"/>
              </w:rPr>
            </w:pPr>
            <w:r>
              <w:rPr>
                <w:rFonts w:ascii="Arial" w:cs="Arial" w:eastAsia="Arial" w:hAnsi="Arial"/>
                <w:sz w:val="18"/>
                <w:szCs w:val="18"/>
                <w:color w:val="auto"/>
              </w:rPr>
              <w:t>Gross profit</w:t>
            </w:r>
          </w:p>
        </w:tc>
        <w:tc>
          <w:tcPr>
            <w:tcW w:w="3580" w:type="dxa"/>
            <w:vAlign w:val="bottom"/>
          </w:tcPr>
          <w:p>
            <w:pPr>
              <w:jc w:val="right"/>
              <w:ind w:right="970"/>
              <w:spacing w:after="0" w:line="202" w:lineRule="exact"/>
              <w:rPr>
                <w:sz w:val="20"/>
                <w:szCs w:val="20"/>
                <w:color w:val="auto"/>
              </w:rPr>
            </w:pPr>
            <w:r>
              <w:rPr>
                <w:rFonts w:ascii="Arial" w:cs="Arial" w:eastAsia="Arial" w:hAnsi="Arial"/>
                <w:sz w:val="18"/>
                <w:szCs w:val="18"/>
                <w:b w:val="1"/>
                <w:bCs w:val="1"/>
                <w:color w:val="auto"/>
              </w:rPr>
              <w:t>3,548</w:t>
            </w:r>
          </w:p>
        </w:tc>
        <w:tc>
          <w:tcPr>
            <w:tcW w:w="9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3,657</w:t>
            </w:r>
          </w:p>
        </w:tc>
      </w:tr>
      <w:tr>
        <w:trPr>
          <w:trHeight w:val="203"/>
        </w:trPr>
        <w:tc>
          <w:tcPr>
            <w:tcW w:w="3500" w:type="dxa"/>
            <w:vAlign w:val="bottom"/>
          </w:tcPr>
          <w:p>
            <w:pPr>
              <w:ind w:left="100"/>
              <w:spacing w:after="0" w:line="202" w:lineRule="exact"/>
              <w:rPr>
                <w:sz w:val="20"/>
                <w:szCs w:val="20"/>
                <w:color w:val="auto"/>
              </w:rPr>
            </w:pPr>
            <w:r>
              <w:rPr>
                <w:rFonts w:ascii="Arial" w:cs="Arial" w:eastAsia="Arial" w:hAnsi="Arial"/>
                <w:sz w:val="18"/>
                <w:szCs w:val="18"/>
                <w:color w:val="auto"/>
              </w:rPr>
              <w:t>% of net sales</w:t>
            </w:r>
          </w:p>
        </w:tc>
        <w:tc>
          <w:tcPr>
            <w:tcW w:w="3580" w:type="dxa"/>
            <w:vAlign w:val="bottom"/>
          </w:tcPr>
          <w:p>
            <w:pPr>
              <w:jc w:val="right"/>
              <w:ind w:right="810"/>
              <w:spacing w:after="0" w:line="202" w:lineRule="exact"/>
              <w:rPr>
                <w:sz w:val="20"/>
                <w:szCs w:val="20"/>
                <w:color w:val="auto"/>
              </w:rPr>
            </w:pPr>
            <w:r>
              <w:rPr>
                <w:rFonts w:ascii="Arial" w:cs="Arial" w:eastAsia="Arial" w:hAnsi="Arial"/>
                <w:sz w:val="18"/>
                <w:szCs w:val="18"/>
                <w:b w:val="1"/>
                <w:bCs w:val="1"/>
                <w:color w:val="auto"/>
              </w:rPr>
              <w:t>41.9%</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54.0%</w:t>
            </w:r>
          </w:p>
        </w:tc>
      </w:tr>
      <w:tr>
        <w:trPr>
          <w:trHeight w:val="225"/>
        </w:trPr>
        <w:tc>
          <w:tcPr>
            <w:tcW w:w="3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Operating income</w:t>
            </w:r>
          </w:p>
        </w:tc>
        <w:tc>
          <w:tcPr>
            <w:tcW w:w="358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1,556</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1,911</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Net sales were affected by the following:</w:t>
      </w:r>
    </w:p>
    <w:p>
      <w:pPr>
        <w:spacing w:after="0" w:line="1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Changes in currency translation rates had very little impact on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-100330</wp:posOffset>
            </wp:positionV>
            <wp:extent cx="68580" cy="685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right="180"/>
        <w:spacing w:after="0" w:line="293" w:lineRule="auto"/>
        <w:rPr>
          <w:sz w:val="20"/>
          <w:szCs w:val="20"/>
          <w:color w:val="auto"/>
        </w:rPr>
      </w:pPr>
      <w:r>
        <w:rPr>
          <w:rFonts w:ascii="Arial" w:cs="Arial" w:eastAsia="Arial" w:hAnsi="Arial"/>
          <w:sz w:val="18"/>
          <w:szCs w:val="18"/>
          <w:color w:val="auto"/>
        </w:rPr>
        <w:t>2012 sales increased 25.2% principally due to strong demand for outdoor clothing, driven by cold weather in Europe along with pricing increases implemented in Q3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-289560</wp:posOffset>
            </wp:positionV>
            <wp:extent cx="68580" cy="685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Gross profit in 2012 was lower in 2012 due to the following:</w:t>
      </w:r>
    </w:p>
    <w:p>
      <w:pPr>
        <w:spacing w:after="0" w:line="1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$0.5 million in higher toll manufacturing expenses related to delayed billing from one vendor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-100330</wp:posOffset>
            </wp:positionV>
            <wp:extent cx="68580" cy="685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was lower in 2012 principally due to lower gross profit and higher STG&amp;R expenses.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80" w:type="dxa"/>
            <w:vAlign w:val="bottom"/>
            <w:tcBorders>
              <w:top w:val="single" w:sz="8" w:color="auto"/>
            </w:tcBorders>
          </w:tcPr>
          <w:p>
            <w:pPr>
              <w:spacing w:after="0"/>
              <w:rPr>
                <w:sz w:val="18"/>
                <w:szCs w:val="18"/>
                <w:color w:val="auto"/>
              </w:rPr>
            </w:pPr>
          </w:p>
        </w:tc>
        <w:tc>
          <w:tcPr>
            <w:tcW w:w="37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Three months ended</w:t>
            </w:r>
          </w:p>
        </w:tc>
        <w:tc>
          <w:tcPr>
            <w:tcW w:w="1040" w:type="dxa"/>
            <w:vAlign w:val="bottom"/>
            <w:tcBorders>
              <w:top w:val="single" w:sz="8" w:color="auto"/>
            </w:tcBorders>
          </w:tcPr>
          <w:p>
            <w:pPr>
              <w:spacing w:after="0"/>
              <w:rPr>
                <w:sz w:val="18"/>
                <w:szCs w:val="18"/>
                <w:color w:val="auto"/>
              </w:rPr>
            </w:pPr>
          </w:p>
        </w:tc>
      </w:tr>
      <w:tr>
        <w:trPr>
          <w:trHeight w:val="181"/>
        </w:trPr>
        <w:tc>
          <w:tcPr>
            <w:tcW w:w="6680" w:type="dxa"/>
            <w:vAlign w:val="bottom"/>
          </w:tcPr>
          <w:p>
            <w:pPr>
              <w:spacing w:after="0"/>
              <w:rPr>
                <w:sz w:val="15"/>
                <w:szCs w:val="15"/>
                <w:color w:val="auto"/>
              </w:rPr>
            </w:pPr>
          </w:p>
        </w:tc>
        <w:tc>
          <w:tcPr>
            <w:tcW w:w="3700" w:type="dxa"/>
            <w:vAlign w:val="bottom"/>
          </w:tcPr>
          <w:p>
            <w:pPr>
              <w:jc w:val="right"/>
              <w:ind w:right="510"/>
              <w:spacing w:after="0" w:line="181" w:lineRule="exact"/>
              <w:rPr>
                <w:sz w:val="20"/>
                <w:szCs w:val="20"/>
                <w:color w:val="auto"/>
              </w:rPr>
            </w:pPr>
            <w:r>
              <w:rPr>
                <w:rFonts w:ascii="Arial" w:cs="Arial" w:eastAsia="Arial" w:hAnsi="Arial"/>
                <w:sz w:val="18"/>
                <w:szCs w:val="18"/>
                <w:color w:val="auto"/>
              </w:rPr>
              <w:t>March 31,</w:t>
            </w:r>
          </w:p>
        </w:tc>
        <w:tc>
          <w:tcPr>
            <w:tcW w:w="1040" w:type="dxa"/>
            <w:vAlign w:val="bottom"/>
          </w:tcPr>
          <w:p>
            <w:pPr>
              <w:spacing w:after="0"/>
              <w:rPr>
                <w:sz w:val="15"/>
                <w:szCs w:val="15"/>
                <w:color w:val="auto"/>
              </w:rPr>
            </w:pPr>
          </w:p>
        </w:tc>
      </w:tr>
      <w:tr>
        <w:trPr>
          <w:trHeight w:val="225"/>
        </w:trPr>
        <w:tc>
          <w:tcPr>
            <w:tcW w:w="6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700" w:type="dxa"/>
            <w:vAlign w:val="bottom"/>
            <w:tcBorders>
              <w:bottom w:val="single" w:sz="8" w:color="auto"/>
            </w:tcBorders>
          </w:tcPr>
          <w:p>
            <w:pPr>
              <w:jc w:val="right"/>
              <w:ind w:right="1470"/>
              <w:spacing w:after="0"/>
              <w:rPr>
                <w:sz w:val="20"/>
                <w:szCs w:val="20"/>
                <w:color w:val="auto"/>
              </w:rPr>
            </w:pPr>
            <w:r>
              <w:rPr>
                <w:rFonts w:ascii="Arial" w:cs="Arial" w:eastAsia="Arial" w:hAnsi="Arial"/>
                <w:sz w:val="18"/>
                <w:szCs w:val="18"/>
                <w:b w:val="1"/>
                <w:bCs w:val="1"/>
                <w:color w:val="auto"/>
              </w:rPr>
              <w:t>2012</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2011</w:t>
            </w:r>
          </w:p>
        </w:tc>
      </w:tr>
      <w:tr>
        <w:trPr>
          <w:trHeight w:val="173"/>
        </w:trPr>
        <w:tc>
          <w:tcPr>
            <w:tcW w:w="6680" w:type="dxa"/>
            <w:vAlign w:val="bottom"/>
          </w:tcPr>
          <w:p>
            <w:pPr>
              <w:ind w:left="100"/>
              <w:spacing w:after="0" w:line="173" w:lineRule="exact"/>
              <w:rPr>
                <w:sz w:val="20"/>
                <w:szCs w:val="20"/>
                <w:color w:val="auto"/>
              </w:rPr>
            </w:pPr>
            <w:r>
              <w:rPr>
                <w:rFonts w:ascii="Arial" w:cs="Arial" w:eastAsia="Arial" w:hAnsi="Arial"/>
                <w:sz w:val="18"/>
                <w:szCs w:val="18"/>
                <w:color w:val="auto"/>
              </w:rPr>
              <w:t>Net income</w:t>
            </w:r>
          </w:p>
        </w:tc>
        <w:tc>
          <w:tcPr>
            <w:tcW w:w="3700" w:type="dxa"/>
            <w:vAlign w:val="bottom"/>
          </w:tcPr>
          <w:p>
            <w:pPr>
              <w:jc w:val="right"/>
              <w:ind w:right="1470"/>
              <w:spacing w:after="0" w:line="173" w:lineRule="exact"/>
              <w:rPr>
                <w:sz w:val="20"/>
                <w:szCs w:val="20"/>
                <w:color w:val="auto"/>
              </w:rPr>
            </w:pPr>
            <w:r>
              <w:rPr>
                <w:rFonts w:ascii="Arial" w:cs="Arial" w:eastAsia="Arial" w:hAnsi="Arial"/>
                <w:sz w:val="18"/>
                <w:szCs w:val="18"/>
                <w:b w:val="1"/>
                <w:bCs w:val="1"/>
                <w:color w:val="auto"/>
              </w:rPr>
              <w:t>$47,041</w:t>
            </w:r>
          </w:p>
        </w:tc>
        <w:tc>
          <w:tcPr>
            <w:tcW w:w="104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$16,733</w:t>
            </w:r>
          </w:p>
        </w:tc>
      </w:tr>
      <w:tr>
        <w:trPr>
          <w:trHeight w:val="203"/>
        </w:trPr>
        <w:tc>
          <w:tcPr>
            <w:tcW w:w="6680" w:type="dxa"/>
            <w:vAlign w:val="bottom"/>
          </w:tcPr>
          <w:p>
            <w:pPr>
              <w:ind w:left="200"/>
              <w:spacing w:after="0" w:line="202" w:lineRule="exact"/>
              <w:rPr>
                <w:sz w:val="20"/>
                <w:szCs w:val="20"/>
                <w:color w:val="auto"/>
              </w:rPr>
            </w:pPr>
            <w:r>
              <w:rPr>
                <w:rFonts w:ascii="Arial" w:cs="Arial" w:eastAsia="Arial" w:hAnsi="Arial"/>
                <w:sz w:val="18"/>
                <w:szCs w:val="18"/>
                <w:color w:val="auto"/>
              </w:rPr>
              <w:t>Changes in working capital</w:t>
            </w:r>
          </w:p>
        </w:tc>
        <w:tc>
          <w:tcPr>
            <w:tcW w:w="3700" w:type="dxa"/>
            <w:vAlign w:val="bottom"/>
          </w:tcPr>
          <w:p>
            <w:pPr>
              <w:jc w:val="right"/>
              <w:ind w:right="1470"/>
              <w:spacing w:after="0" w:line="202" w:lineRule="exact"/>
              <w:rPr>
                <w:sz w:val="20"/>
                <w:szCs w:val="20"/>
                <w:color w:val="auto"/>
              </w:rPr>
            </w:pPr>
            <w:r>
              <w:rPr>
                <w:rFonts w:ascii="Arial" w:cs="Arial" w:eastAsia="Arial" w:hAnsi="Arial"/>
                <w:sz w:val="18"/>
                <w:szCs w:val="18"/>
                <w:b w:val="1"/>
                <w:bCs w:val="1"/>
                <w:color w:val="auto"/>
              </w:rPr>
              <w:t>3,772</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(9,917)</w:t>
            </w:r>
          </w:p>
        </w:tc>
      </w:tr>
      <w:tr>
        <w:trPr>
          <w:trHeight w:val="203"/>
        </w:trPr>
        <w:tc>
          <w:tcPr>
            <w:tcW w:w="6680" w:type="dxa"/>
            <w:vAlign w:val="bottom"/>
          </w:tcPr>
          <w:p>
            <w:pPr>
              <w:ind w:left="200"/>
              <w:spacing w:after="0" w:line="202" w:lineRule="exact"/>
              <w:rPr>
                <w:sz w:val="20"/>
                <w:szCs w:val="20"/>
                <w:color w:val="auto"/>
              </w:rPr>
            </w:pPr>
            <w:r>
              <w:rPr>
                <w:rFonts w:ascii="Arial" w:cs="Arial" w:eastAsia="Arial" w:hAnsi="Arial"/>
                <w:sz w:val="18"/>
                <w:szCs w:val="18"/>
                <w:color w:val="auto"/>
              </w:rPr>
              <w:t>Gain on disposition of assets</w:t>
            </w:r>
          </w:p>
        </w:tc>
        <w:tc>
          <w:tcPr>
            <w:tcW w:w="3700" w:type="dxa"/>
            <w:vAlign w:val="bottom"/>
          </w:tcPr>
          <w:p>
            <w:pPr>
              <w:jc w:val="right"/>
              <w:ind w:right="1410"/>
              <w:spacing w:after="0" w:line="202" w:lineRule="exact"/>
              <w:rPr>
                <w:sz w:val="20"/>
                <w:szCs w:val="20"/>
                <w:color w:val="auto"/>
              </w:rPr>
            </w:pPr>
            <w:r>
              <w:rPr>
                <w:rFonts w:ascii="Arial" w:cs="Arial" w:eastAsia="Arial" w:hAnsi="Arial"/>
                <w:sz w:val="18"/>
                <w:szCs w:val="18"/>
                <w:b w:val="1"/>
                <w:bCs w:val="1"/>
                <w:color w:val="auto"/>
              </w:rPr>
              <w:t>(57,968)</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(428)</w:t>
            </w:r>
          </w:p>
        </w:tc>
      </w:tr>
      <w:tr>
        <w:trPr>
          <w:trHeight w:val="203"/>
        </w:trPr>
        <w:tc>
          <w:tcPr>
            <w:tcW w:w="6680" w:type="dxa"/>
            <w:vAlign w:val="bottom"/>
          </w:tcPr>
          <w:p>
            <w:pPr>
              <w:ind w:left="200"/>
              <w:spacing w:after="0" w:line="202" w:lineRule="exact"/>
              <w:rPr>
                <w:sz w:val="20"/>
                <w:szCs w:val="20"/>
                <w:color w:val="auto"/>
              </w:rPr>
            </w:pPr>
            <w:r>
              <w:rPr>
                <w:rFonts w:ascii="Arial" w:cs="Arial" w:eastAsia="Arial" w:hAnsi="Arial"/>
                <w:sz w:val="18"/>
                <w:szCs w:val="18"/>
                <w:color w:val="auto"/>
              </w:rPr>
              <w:t>Changes in long-term liabilities, deferred taxes and other credits</w:t>
            </w:r>
          </w:p>
        </w:tc>
        <w:tc>
          <w:tcPr>
            <w:tcW w:w="3700" w:type="dxa"/>
            <w:vAlign w:val="bottom"/>
          </w:tcPr>
          <w:p>
            <w:pPr>
              <w:jc w:val="right"/>
              <w:ind w:right="1410"/>
              <w:spacing w:after="0" w:line="202" w:lineRule="exact"/>
              <w:rPr>
                <w:sz w:val="20"/>
                <w:szCs w:val="20"/>
                <w:color w:val="auto"/>
              </w:rPr>
            </w:pPr>
            <w:r>
              <w:rPr>
                <w:rFonts w:ascii="Arial" w:cs="Arial" w:eastAsia="Arial" w:hAnsi="Arial"/>
                <w:sz w:val="18"/>
                <w:szCs w:val="18"/>
                <w:b w:val="1"/>
                <w:bCs w:val="1"/>
                <w:color w:val="auto"/>
              </w:rPr>
              <w:t>(60,559)</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(2,213)</w:t>
            </w:r>
          </w:p>
        </w:tc>
      </w:tr>
      <w:tr>
        <w:trPr>
          <w:trHeight w:val="225"/>
        </w:trPr>
        <w:tc>
          <w:tcPr>
            <w:tcW w:w="66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operating items</w:t>
            </w:r>
          </w:p>
        </w:tc>
        <w:tc>
          <w:tcPr>
            <w:tcW w:w="3700" w:type="dxa"/>
            <w:vAlign w:val="bottom"/>
            <w:tcBorders>
              <w:bottom w:val="single" w:sz="8" w:color="auto"/>
            </w:tcBorders>
          </w:tcPr>
          <w:p>
            <w:pPr>
              <w:jc w:val="right"/>
              <w:ind w:right="1470"/>
              <w:spacing w:after="0"/>
              <w:rPr>
                <w:sz w:val="20"/>
                <w:szCs w:val="20"/>
                <w:color w:val="auto"/>
              </w:rPr>
            </w:pPr>
            <w:r>
              <w:rPr>
                <w:rFonts w:ascii="Arial" w:cs="Arial" w:eastAsia="Arial" w:hAnsi="Arial"/>
                <w:sz w:val="18"/>
                <w:szCs w:val="18"/>
                <w:b w:val="1"/>
                <w:bCs w:val="1"/>
                <w:color w:val="auto"/>
              </w:rPr>
              <w:t>25,046</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16,873</w:t>
            </w:r>
          </w:p>
        </w:tc>
      </w:tr>
      <w:tr>
        <w:trPr>
          <w:trHeight w:val="173"/>
        </w:trPr>
        <w:tc>
          <w:tcPr>
            <w:tcW w:w="6680" w:type="dxa"/>
            <w:vAlign w:val="bottom"/>
          </w:tcPr>
          <w:p>
            <w:pPr>
              <w:ind w:left="100"/>
              <w:spacing w:after="0" w:line="173" w:lineRule="exact"/>
              <w:rPr>
                <w:sz w:val="20"/>
                <w:szCs w:val="20"/>
                <w:color w:val="auto"/>
              </w:rPr>
            </w:pPr>
            <w:r>
              <w:rPr>
                <w:rFonts w:ascii="Arial" w:cs="Arial" w:eastAsia="Arial" w:hAnsi="Arial"/>
                <w:sz w:val="18"/>
                <w:szCs w:val="18"/>
                <w:color w:val="auto"/>
              </w:rPr>
              <w:t>Net cash (used in)/provided by operating activities</w:t>
            </w:r>
          </w:p>
        </w:tc>
        <w:tc>
          <w:tcPr>
            <w:tcW w:w="3700" w:type="dxa"/>
            <w:vAlign w:val="bottom"/>
          </w:tcPr>
          <w:p>
            <w:pPr>
              <w:jc w:val="right"/>
              <w:ind w:right="1410"/>
              <w:spacing w:after="0" w:line="173" w:lineRule="exact"/>
              <w:rPr>
                <w:sz w:val="20"/>
                <w:szCs w:val="20"/>
                <w:color w:val="auto"/>
              </w:rPr>
            </w:pPr>
            <w:r>
              <w:rPr>
                <w:rFonts w:ascii="Arial" w:cs="Arial" w:eastAsia="Arial" w:hAnsi="Arial"/>
                <w:sz w:val="18"/>
                <w:szCs w:val="18"/>
                <w:b w:val="1"/>
                <w:bCs w:val="1"/>
                <w:color w:val="auto"/>
              </w:rPr>
              <w:t>($42,668)</w:t>
            </w:r>
          </w:p>
        </w:tc>
        <w:tc>
          <w:tcPr>
            <w:tcW w:w="1040" w:type="dxa"/>
            <w:vAlign w:val="bottom"/>
          </w:tcPr>
          <w:p>
            <w:pPr>
              <w:jc w:val="right"/>
              <w:ind w:right="10"/>
              <w:spacing w:after="0" w:line="173" w:lineRule="exact"/>
              <w:rPr>
                <w:sz w:val="20"/>
                <w:szCs w:val="20"/>
                <w:color w:val="auto"/>
              </w:rPr>
            </w:pPr>
            <w:r>
              <w:rPr>
                <w:rFonts w:ascii="Arial" w:cs="Arial" w:eastAsia="Arial" w:hAnsi="Arial"/>
                <w:sz w:val="18"/>
                <w:szCs w:val="18"/>
                <w:color w:val="auto"/>
              </w:rPr>
              <w:t>21,048</w:t>
            </w:r>
          </w:p>
        </w:tc>
      </w:tr>
      <w:tr>
        <w:trPr>
          <w:trHeight w:val="203"/>
        </w:trPr>
        <w:tc>
          <w:tcPr>
            <w:tcW w:w="6680" w:type="dxa"/>
            <w:vAlign w:val="bottom"/>
          </w:tcPr>
          <w:p>
            <w:pPr>
              <w:ind w:left="100"/>
              <w:spacing w:after="0" w:line="202" w:lineRule="exact"/>
              <w:rPr>
                <w:sz w:val="20"/>
                <w:szCs w:val="20"/>
                <w:color w:val="auto"/>
              </w:rPr>
            </w:pPr>
            <w:r>
              <w:rPr>
                <w:rFonts w:ascii="Arial" w:cs="Arial" w:eastAsia="Arial" w:hAnsi="Arial"/>
                <w:sz w:val="18"/>
                <w:szCs w:val="18"/>
                <w:color w:val="auto"/>
              </w:rPr>
              <w:t>Net cash provided by/(used in) investing activities</w:t>
            </w:r>
          </w:p>
        </w:tc>
        <w:tc>
          <w:tcPr>
            <w:tcW w:w="3700" w:type="dxa"/>
            <w:vAlign w:val="bottom"/>
          </w:tcPr>
          <w:p>
            <w:pPr>
              <w:jc w:val="right"/>
              <w:ind w:right="1470"/>
              <w:spacing w:after="0" w:line="202" w:lineRule="exact"/>
              <w:rPr>
                <w:sz w:val="20"/>
                <w:szCs w:val="20"/>
                <w:color w:val="auto"/>
              </w:rPr>
            </w:pPr>
            <w:r>
              <w:rPr>
                <w:rFonts w:ascii="Arial" w:cs="Arial" w:eastAsia="Arial" w:hAnsi="Arial"/>
                <w:sz w:val="18"/>
                <w:szCs w:val="18"/>
                <w:b w:val="1"/>
                <w:bCs w:val="1"/>
                <w:color w:val="auto"/>
              </w:rPr>
              <w:t>108,234</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(4,265)</w:t>
            </w:r>
          </w:p>
        </w:tc>
      </w:tr>
      <w:tr>
        <w:trPr>
          <w:trHeight w:val="203"/>
        </w:trPr>
        <w:tc>
          <w:tcPr>
            <w:tcW w:w="6680" w:type="dxa"/>
            <w:vAlign w:val="bottom"/>
          </w:tcPr>
          <w:p>
            <w:pPr>
              <w:ind w:left="100"/>
              <w:spacing w:after="0" w:line="202" w:lineRule="exact"/>
              <w:rPr>
                <w:sz w:val="20"/>
                <w:szCs w:val="20"/>
                <w:color w:val="auto"/>
              </w:rPr>
            </w:pPr>
            <w:r>
              <w:rPr>
                <w:rFonts w:ascii="Arial" w:cs="Arial" w:eastAsia="Arial" w:hAnsi="Arial"/>
                <w:sz w:val="18"/>
                <w:szCs w:val="18"/>
                <w:color w:val="auto"/>
              </w:rPr>
              <w:t>Net cash (used in)/provided by financing activities</w:t>
            </w:r>
          </w:p>
        </w:tc>
        <w:tc>
          <w:tcPr>
            <w:tcW w:w="3700" w:type="dxa"/>
            <w:vAlign w:val="bottom"/>
          </w:tcPr>
          <w:p>
            <w:pPr>
              <w:jc w:val="right"/>
              <w:ind w:right="1410"/>
              <w:spacing w:after="0" w:line="202" w:lineRule="exact"/>
              <w:rPr>
                <w:sz w:val="20"/>
                <w:szCs w:val="20"/>
                <w:color w:val="auto"/>
              </w:rPr>
            </w:pPr>
            <w:r>
              <w:rPr>
                <w:rFonts w:ascii="Arial" w:cs="Arial" w:eastAsia="Arial" w:hAnsi="Arial"/>
                <w:sz w:val="18"/>
                <w:szCs w:val="18"/>
                <w:b w:val="1"/>
                <w:bCs w:val="1"/>
                <w:color w:val="auto"/>
              </w:rPr>
              <w:t>(52,119)</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(9,998)</w:t>
            </w:r>
          </w:p>
        </w:tc>
      </w:tr>
      <w:tr>
        <w:trPr>
          <w:trHeight w:val="225"/>
        </w:trPr>
        <w:tc>
          <w:tcPr>
            <w:tcW w:w="66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Effect of exchange rate changes on cash and cash equivalents</w:t>
            </w:r>
          </w:p>
        </w:tc>
        <w:tc>
          <w:tcPr>
            <w:tcW w:w="3700" w:type="dxa"/>
            <w:vAlign w:val="bottom"/>
            <w:tcBorders>
              <w:bottom w:val="single" w:sz="8" w:color="auto"/>
            </w:tcBorders>
          </w:tcPr>
          <w:p>
            <w:pPr>
              <w:jc w:val="right"/>
              <w:ind w:right="1470"/>
              <w:spacing w:after="0"/>
              <w:rPr>
                <w:sz w:val="20"/>
                <w:szCs w:val="20"/>
                <w:color w:val="auto"/>
              </w:rPr>
            </w:pPr>
            <w:r>
              <w:rPr>
                <w:rFonts w:ascii="Arial" w:cs="Arial" w:eastAsia="Arial" w:hAnsi="Arial"/>
                <w:sz w:val="18"/>
                <w:szCs w:val="18"/>
                <w:b w:val="1"/>
                <w:bCs w:val="1"/>
                <w:color w:val="auto"/>
              </w:rPr>
              <w:t>8,569</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8,432</w:t>
            </w:r>
          </w:p>
        </w:tc>
      </w:tr>
      <w:tr>
        <w:trPr>
          <w:trHeight w:val="173"/>
        </w:trPr>
        <w:tc>
          <w:tcPr>
            <w:tcW w:w="6680" w:type="dxa"/>
            <w:vAlign w:val="bottom"/>
          </w:tcPr>
          <w:p>
            <w:pPr>
              <w:ind w:left="100"/>
              <w:spacing w:after="0" w:line="173" w:lineRule="exact"/>
              <w:rPr>
                <w:sz w:val="20"/>
                <w:szCs w:val="20"/>
                <w:color w:val="auto"/>
              </w:rPr>
            </w:pPr>
            <w:r>
              <w:rPr>
                <w:rFonts w:ascii="Arial" w:cs="Arial" w:eastAsia="Arial" w:hAnsi="Arial"/>
                <w:sz w:val="18"/>
                <w:szCs w:val="18"/>
                <w:color w:val="auto"/>
              </w:rPr>
              <w:t>Increase in cash and cash equivalents</w:t>
            </w:r>
          </w:p>
        </w:tc>
        <w:tc>
          <w:tcPr>
            <w:tcW w:w="3700" w:type="dxa"/>
            <w:vAlign w:val="bottom"/>
          </w:tcPr>
          <w:p>
            <w:pPr>
              <w:jc w:val="right"/>
              <w:ind w:right="1470"/>
              <w:spacing w:after="0" w:line="173" w:lineRule="exact"/>
              <w:rPr>
                <w:sz w:val="20"/>
                <w:szCs w:val="20"/>
                <w:color w:val="auto"/>
              </w:rPr>
            </w:pPr>
            <w:r>
              <w:rPr>
                <w:rFonts w:ascii="Arial" w:cs="Arial" w:eastAsia="Arial" w:hAnsi="Arial"/>
                <w:sz w:val="18"/>
                <w:szCs w:val="18"/>
                <w:b w:val="1"/>
                <w:bCs w:val="1"/>
                <w:color w:val="auto"/>
              </w:rPr>
              <w:t>22,016</w:t>
            </w:r>
          </w:p>
        </w:tc>
        <w:tc>
          <w:tcPr>
            <w:tcW w:w="1040" w:type="dxa"/>
            <w:vAlign w:val="bottom"/>
          </w:tcPr>
          <w:p>
            <w:pPr>
              <w:jc w:val="right"/>
              <w:ind w:right="10"/>
              <w:spacing w:after="0" w:line="173" w:lineRule="exact"/>
              <w:rPr>
                <w:sz w:val="20"/>
                <w:szCs w:val="20"/>
                <w:color w:val="auto"/>
              </w:rPr>
            </w:pPr>
            <w:r>
              <w:rPr>
                <w:rFonts w:ascii="Arial" w:cs="Arial" w:eastAsia="Arial" w:hAnsi="Arial"/>
                <w:sz w:val="18"/>
                <w:szCs w:val="18"/>
                <w:b w:val="1"/>
                <w:bCs w:val="1"/>
                <w:color w:val="auto"/>
              </w:rPr>
              <w:t>15,217</w:t>
            </w:r>
          </w:p>
        </w:tc>
      </w:tr>
      <w:tr>
        <w:trPr>
          <w:trHeight w:val="203"/>
        </w:trPr>
        <w:tc>
          <w:tcPr>
            <w:tcW w:w="6680" w:type="dxa"/>
            <w:vAlign w:val="bottom"/>
          </w:tcPr>
          <w:p>
            <w:pPr>
              <w:ind w:left="100"/>
              <w:spacing w:after="0" w:line="202" w:lineRule="exact"/>
              <w:rPr>
                <w:sz w:val="20"/>
                <w:szCs w:val="20"/>
                <w:color w:val="auto"/>
              </w:rPr>
            </w:pPr>
            <w:r>
              <w:rPr>
                <w:rFonts w:ascii="Arial" w:cs="Arial" w:eastAsia="Arial" w:hAnsi="Arial"/>
                <w:sz w:val="18"/>
                <w:szCs w:val="18"/>
                <w:color w:val="auto"/>
              </w:rPr>
              <w:t>Change in cash balances of discontinued operations</w:t>
            </w:r>
          </w:p>
        </w:tc>
        <w:tc>
          <w:tcPr>
            <w:tcW w:w="3700" w:type="dxa"/>
            <w:vAlign w:val="bottom"/>
          </w:tcPr>
          <w:p>
            <w:pPr>
              <w:jc w:val="right"/>
              <w:ind w:right="1470"/>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4,376</w:t>
            </w:r>
          </w:p>
        </w:tc>
      </w:tr>
      <w:tr>
        <w:trPr>
          <w:trHeight w:val="225"/>
        </w:trPr>
        <w:tc>
          <w:tcPr>
            <w:tcW w:w="66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Cash and cash equivalents at beginning of year</w:t>
            </w:r>
          </w:p>
        </w:tc>
        <w:tc>
          <w:tcPr>
            <w:tcW w:w="3700" w:type="dxa"/>
            <w:vAlign w:val="bottom"/>
            <w:tcBorders>
              <w:bottom w:val="single" w:sz="8" w:color="auto"/>
            </w:tcBorders>
          </w:tcPr>
          <w:p>
            <w:pPr>
              <w:jc w:val="right"/>
              <w:ind w:right="1470"/>
              <w:spacing w:after="0"/>
              <w:rPr>
                <w:sz w:val="20"/>
                <w:szCs w:val="20"/>
                <w:color w:val="auto"/>
              </w:rPr>
            </w:pPr>
            <w:r>
              <w:rPr>
                <w:rFonts w:ascii="Arial" w:cs="Arial" w:eastAsia="Arial" w:hAnsi="Arial"/>
                <w:sz w:val="18"/>
                <w:szCs w:val="18"/>
                <w:b w:val="1"/>
                <w:bCs w:val="1"/>
                <w:color w:val="auto"/>
              </w:rPr>
              <w:t>118,909</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117,925</w:t>
            </w:r>
          </w:p>
        </w:tc>
      </w:tr>
      <w:tr>
        <w:trPr>
          <w:trHeight w:val="196"/>
        </w:trPr>
        <w:tc>
          <w:tcPr>
            <w:tcW w:w="66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Cash and cash equivalents at end of period</w:t>
            </w:r>
          </w:p>
        </w:tc>
        <w:tc>
          <w:tcPr>
            <w:tcW w:w="3700" w:type="dxa"/>
            <w:vAlign w:val="bottom"/>
            <w:tcBorders>
              <w:bottom w:val="single" w:sz="8" w:color="auto"/>
            </w:tcBorders>
          </w:tcPr>
          <w:p>
            <w:pPr>
              <w:jc w:val="right"/>
              <w:ind w:right="1470"/>
              <w:spacing w:after="0" w:line="196" w:lineRule="exact"/>
              <w:rPr>
                <w:sz w:val="20"/>
                <w:szCs w:val="20"/>
                <w:color w:val="auto"/>
              </w:rPr>
            </w:pPr>
            <w:r>
              <w:rPr>
                <w:rFonts w:ascii="Arial" w:cs="Arial" w:eastAsia="Arial" w:hAnsi="Arial"/>
                <w:sz w:val="18"/>
                <w:szCs w:val="18"/>
                <w:b w:val="1"/>
                <w:bCs w:val="1"/>
                <w:color w:val="auto"/>
              </w:rPr>
              <w:t>$140,925</w:t>
            </w:r>
          </w:p>
        </w:tc>
        <w:tc>
          <w:tcPr>
            <w:tcW w:w="10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$137,518</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Below is our discussion of cash flow activities comparing the three-months ending March 31, 2012 to the same period of 2011:</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26"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The decrease in cash provided by operating activities in 2012 was principally due to contributions to pension plans totaling $60.1 million in 2012. The contributions included $ 30 million to the U.S. pension plan, and $30.1 million paid to permanently extinguish the Swedish pension plan liability, which led to a charge of $9.2 million. Depreciation and amortization expense totaled $16.1 million in 2012 and $16.3 million in 2011. For the full year 2012, we expect our depreciation and amortization to total $65.0 million.</w:t>
      </w:r>
    </w:p>
    <w:p>
      <w:pPr>
        <w:spacing w:after="0" w:line="9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the first quarter of 2012, the Company disclosed a plan to utilize proceeds from the sale of ADS, as well as excess cash held outside of the U.S., to fund and, in some areas, settle part of our global pension liabilities. The pension contributions noted above were part of this plan. In April 2012, the Company contributed an additional $ 20 million to the U.S. pension plan and then entered into a transaction whereby our U.S. pension plan transferred approximately $176 million to MassMutual, and MassMutual will have the responsibility for future pension payments to retirees that were receiving pension payments as of December 31, 2011. We will record a pension settlement charge in Q2 2012 estimated to be $105 - $115 million. We are continuing to pursue a plan to execute a similar transaction for our Canadian pension plan. Assuming we complete the planned transaction for the Canadian plan, the aggregate effect for these actions is expect to reduce global unfunded pension liabilities by about $70 million, and operating income should improve by $2 million per quarter.</w:t>
      </w:r>
    </w:p>
    <w:p>
      <w:pPr>
        <w:spacing w:after="0" w:line="100"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Changes in working capital include changes in inventories and accounts receivable. Inventories increased $3.9 million in 2012 and $8.4 million in 2011. Accounts receivable decreased $3.4 million in 2012, and decreased $1.9 million in 2011.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1" w:name="page42"/>
    <w:bookmarkEnd w:id="41"/>
    <w:p>
      <w:pPr>
        <w:ind w:right="120"/>
        <w:spacing w:after="0" w:line="238" w:lineRule="auto"/>
        <w:rPr>
          <w:sz w:val="20"/>
          <w:szCs w:val="20"/>
          <w:color w:val="auto"/>
        </w:rPr>
      </w:pPr>
      <w:r>
        <w:rPr>
          <w:rFonts w:ascii="Arial" w:cs="Arial" w:eastAsia="Arial" w:hAnsi="Arial"/>
          <w:sz w:val="18"/>
          <w:szCs w:val="18"/>
          <w:color w:val="auto"/>
        </w:rPr>
        <w:t>In the first quarter of 2012, we reached a settlement with the Canadian Revenue Agency (CRA) of reassessment notices for tax years 2001 to 2008. This settlement is expected to result in cash payments of $1.5 million in 2012 as well as the reduction of available tax assets of $2.7 million. Letters of credit of $51 million in the aggregate, required by the CRA during this process, are expected to be released by the CRA by the end of the Q2. Including the utilization of net operating loss carry-forwards and other deferred tax assets, cash paid for income taxes in Q1 2012 was approximately $4 million, and is expected to total $12 to $15 million in 2012.</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26"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Capital expenditures, including purchased software, were $4.3 million during the first quarter of 2012 and $6.0 million in the first quarter of 2011. We estimate capital spending for the full year of 2012 to be approximately $40 - $50 million.</w:t>
      </w:r>
    </w:p>
    <w:p>
      <w:pPr>
        <w:spacing w:after="0" w:line="8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During Q1 2012, the Company completed the sale of Albany Door Systems. $117 million of the $135 million sale price was received in January, with the remainder expected to be received in July 2013. We sold one U.S. manufacturing property during the first quarter of 2011 for $1.7 million in cash proceeds.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26"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Cash dividends paid were $4.1 million during Q1 2012 and $3.7 million during Q1 2011. Dividends have been declared each quarter since the fourth quarter of 2001. Decisions with respect to whether a dividend will be paid, as well as the amount of the dividend, if applicable, are made by the Board of Directors each quarter. To the extent the Board declares cash dividends in the future, we would expect to pay such dividends out of operating cash flows. Future cash dividends will depend on debt covenants and on the Board’s assessment of our ability to generate sufficient cash flows.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26"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We finance our business activities primarily with cash generated from operations and borrowings, largely through our revolving credit agreement as discussed below. Our subsidiaries outside of the United States may also maintain working capital lines with local banks, but borrowings under such local facilities tend not to be significant. Substantially all of our cash balance at March 31, 2012 was held non-U.S. subsidiaries.</w:t>
      </w:r>
    </w:p>
    <w:p>
      <w:pPr>
        <w:spacing w:after="0" w:line="9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have a $390 million five-year revolving credit agreement that was executed during 2010. During 2012 we paid down outstanding debt under this agreement of $48 million, leaving $139 million outstanding as of March 31, 2012. These debt payments were made possible by our ability to repatriate cash from non-U.S. accounts in a tax efficient manner. As of March 31, 2012, we also had $51 million in letters of credit outstanding under this agreement, in respect of preliminary assessments for income tax contingencies. Income tax contingencies are more fully described in Note 7 of Notes to Consolidated Financial Statements.</w:t>
      </w:r>
    </w:p>
    <w:p>
      <w:pPr>
        <w:spacing w:after="0" w:line="95"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applicable interest rate for borrowings under the agreement is LIBOR plus a spread (all-in), based on our leverage ratio at the time of borrowing. Spreads under the 2010 agreement are higher than under the old agreement, reflecting changes in market spreads. As of March 31 the all-in interest rate was 4.07% in 2012 and 3.58% in 2011.</w:t>
      </w:r>
    </w:p>
    <w:p>
      <w:pPr>
        <w:spacing w:after="0" w:line="9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connection with our 2010 credit agreement, we entered into interest rate swap agreements that have the effect of fixing the LIBOR portion of the effective interest rate (before addition of the spread) on $ 105.0 million of the indebtedness drawn under the credit agreement at the rate of 2.04% until these swap agreements expire on July 16, 2015. Under the terms of hedging transactions, we pay the fixed rate of 2.04% and the counterparties pay a floating rate based on the three-month LIBOR rate at each quarterly calculation date. On March 31, 2012, the applicable spread was 225 basis points, yielding an effective annual rate of 4.29%.</w:t>
      </w:r>
    </w:p>
    <w:p>
      <w:pPr>
        <w:spacing w:after="0" w:line="95"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We have a $ 150.0 million borrowing from the Prudential Insurance Company of America, for which the agreement was amended and restated during 2010. The principal is due in three installments of $50.0 million each in 2013, 2015, and 2017, and the interest rate is fixed at 6.84%.</w:t>
      </w:r>
    </w:p>
    <w:p>
      <w:pPr>
        <w:spacing w:after="0" w:line="65"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We also have $28.4 million principal amount of 2.25% convertible notes outstanding that were issued March 2006. The notes are convertible upon the occurrence of specified events, as described in Note 11 of Notes to Consolidated Financial Statements.</w:t>
      </w:r>
    </w:p>
    <w:p>
      <w:pPr>
        <w:spacing w:after="0" w:line="8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Reflecting, in each case, the effect of subsequent amendments to each agreement, we are currently required to maintain a leverage ratio of not greater than 3.50 to 1.00 and to maintain a minimum interest coverage of 3.00 to 1.00 under the new credit agreement and Prudential agreement.</w:t>
      </w:r>
    </w:p>
    <w:p>
      <w:pPr>
        <w:spacing w:after="0" w:line="95"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As of March 31, 2012, our leverage ratio was 1.31 to 1.00 and our interest coverage ratio was 10.97 to 1.00. We may purchase our Common Stock or pay dividends to the extent our leverage ratio remains at or below 3.50 to 1.00, and may make acquisitions with cash provided our leverage ratio would not exceed 3.00 to 1.00 after giving pro forma effect to the acquisition. As of March 31, 2012, we were in compliance with the covenants of our debt and credit agreements.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42" w:name="page43"/>
    <w:bookmarkEnd w:id="42"/>
    <w:p>
      <w:pPr>
        <w:spacing w:after="0" w:line="239" w:lineRule="auto"/>
        <w:rPr>
          <w:sz w:val="20"/>
          <w:szCs w:val="20"/>
          <w:color w:val="auto"/>
        </w:rPr>
      </w:pPr>
      <w:r>
        <w:rPr>
          <w:rFonts w:ascii="Arial" w:cs="Arial" w:eastAsia="Arial" w:hAnsi="Arial"/>
          <w:sz w:val="18"/>
          <w:szCs w:val="18"/>
          <w:color w:val="auto"/>
        </w:rPr>
        <w:t>Our ability to borrow additional amounts under the credit agreement is conditional upon the absence of any defaults, as well as the absence of any material adverse change. Based on the maximum leverage ratio and our consolidated EBITDA (as defined in the new agreement), and without modification to any other credit agreements, as of March 31, 2012, we would have been able to borrow an additional $199 million under our credit agreements.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2012, we have no off-balance sheet arrangements required to be disclosed pursuant to Item 303(a)(4) of Regulation S-K.</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679"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6"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In May 2011, the Financial Accounting Standards Board (FASB) amended authoritative guidance related to common fair value measurements and disclosure requirements. This pronouncement was issued to provide a consistent definition of fair value and ensure that the fair value measurement and disclosure requirements are similar between U.S. GAAP and IFRS. This pronouncement changes certain fair value measurement principles and enhances the disclosure requirements, particularly for level 3 fair value measurements, and is effective for reporting periods beginning on or after December 15, 2011. This pronouncement was adopted effective January 1, 2012 and did not have a material effect on our financial statements.</w:t>
      </w:r>
    </w:p>
    <w:p>
      <w:pPr>
        <w:spacing w:after="0" w:line="9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June and December 2011, the FASB issued guidance that eliminates the option to report other comprehensive income and its components in the statement of changes in stockholders’ equity and requires an entity to present the total of comprehensive income, the components of net income and the components of other comprehensive income either in a single continuous statement or in two separate but consecutive statements. This pronouncement is effective for fiscal years, and interim periods within those years, beginning after December 15, 2011. This guidance was adopted effective January 1, 2012 and concerns presentation and disclosure only and did not have a material impact on our financial statements.</w:t>
      </w:r>
    </w:p>
    <w:p>
      <w:pPr>
        <w:spacing w:after="0" w:line="9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September 2011, the FASB issued guidance intended to reduce the cost and complexity of the annual goodwill impairment test by providing entities an option to perform a “qualitative” assessment to determine whether further impairment testing is necessary. This pronouncement is effective for annual and interim goodwill impairment tests performed for fiscal years beginning after December 15, 2011. The adoption of this guidance is not expected to have a material effect on our financial statements.</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40"/>
          </w:cols>
          <w:pgMar w:left="240" w:top="657" w:right="31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Non-GAAP Measures</w:t>
      </w:r>
    </w:p>
    <w:p>
      <w:pPr>
        <w:spacing w:after="0" w:line="12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This Form 10-Q contains certain items, such as earnings before interest, taxes, depreciation, and amortization (EBITDA), EBITDA from continuing operations, EBITDA excluding restructuring charges, currency revaluation effect and gains related to the sale of buildings and early retirement of debt, sales excluding currency effects, and certain income and expense items on a per share basis, that could be considered non-GAAP financial measures. Such items are provided because we believe that, when presented together with the GAAP items to which they relate, they provide additional useful information to investors regarding our operational performance. Presenting increases or decreases in sales, after currency effects are excluded, can give us and investors insight into underlying sales trends. An understanding of the impact in a particular year of specific restructuring costs or gains and losses and EBITDA of continuing operations can give us and investors additional insight into annual performance, especially when compared to years in which such items had a greater or lesser effect, or no effect.</w:t>
      </w:r>
    </w:p>
    <w:p>
      <w:pPr>
        <w:spacing w:after="0" w:line="10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effect of changes in currency translation rates is calculated by converting amounts reported in local currencies into U.S. dollars at the exchange rate of a prior period. That amount is then compared to the U.S. dollar amount reported in the current period. We calculate EBITDA from continuing operations by adding Interest expense net, Income taxes, Depreciation, and Amortization to Income from continuing operations. We believe that EBITDA from continuing operations provides useful information to investors because it provides an indication of the strength and performance of our ongoing business operations. Although depreciation and amortization are operating costs under GAAP, they are noncash expenses equal to current period allocation of costs associated with capital and other long-lived investments made in prior periods. While we will continue to make capital and other investments in the future, we have recently concluded a period of significant investment in plant, equipment, and software. Depreciation and amortization associated with these investments have a significant impact on our net income. EBITDA is also a calculation commonly used by investors and analysts to evaluate and compare the periodic and future operating performance and value of companies. EBITDA, as defined by us, may not be similar to EBITDA measures of other companies. EBITDA may not be considered a measurement under GAAP, and should be considered in addition to, but not as a substitute for, the information contained in our statements of operations</w:t>
      </w:r>
      <w:r>
        <w:rPr>
          <w:rFonts w:ascii="Arial" w:cs="Arial" w:eastAsia="Arial" w:hAnsi="Arial"/>
          <w:sz w:val="18"/>
          <w:szCs w:val="18"/>
          <w:i w:val="1"/>
          <w:iCs w:val="1"/>
          <w:color w:val="auto"/>
        </w:rPr>
        <w:t>.</w:t>
      </w:r>
    </w:p>
    <w:p>
      <w:pPr>
        <w:spacing w:after="0" w:line="97" w:lineRule="exact"/>
        <w:rPr>
          <w:sz w:val="20"/>
          <w:szCs w:val="20"/>
          <w:color w:val="auto"/>
        </w:rPr>
      </w:pPr>
    </w:p>
    <w:p>
      <w:pPr>
        <w:ind w:right="780"/>
        <w:spacing w:after="0" w:line="246" w:lineRule="auto"/>
        <w:rPr>
          <w:sz w:val="20"/>
          <w:szCs w:val="20"/>
          <w:color w:val="auto"/>
        </w:rPr>
      </w:pPr>
      <w:r>
        <w:rPr>
          <w:rFonts w:ascii="Arial" w:cs="Arial" w:eastAsia="Arial" w:hAnsi="Arial"/>
          <w:sz w:val="18"/>
          <w:szCs w:val="18"/>
          <w:color w:val="auto"/>
        </w:rPr>
        <w:t>The following table contains the calculation of EBITDA from continuing operations and EBITDA (from Continuing Operations and Total Company) excluding restructuring charges, foreign currency revaluation effects, and pension settlement:</w:t>
      </w:r>
    </w:p>
    <w:p>
      <w:pPr>
        <w:spacing w:after="0" w:line="272"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5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24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Three months ended</w:t>
            </w: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440" w:type="dxa"/>
            <w:vAlign w:val="bottom"/>
          </w:tcPr>
          <w:p>
            <w:pPr>
              <w:jc w:val="right"/>
              <w:ind w:right="570"/>
              <w:spacing w:after="0" w:line="181" w:lineRule="exact"/>
              <w:rPr>
                <w:sz w:val="20"/>
                <w:szCs w:val="20"/>
                <w:color w:val="auto"/>
              </w:rPr>
            </w:pPr>
            <w:r>
              <w:rPr>
                <w:rFonts w:ascii="Arial" w:cs="Arial" w:eastAsia="Arial" w:hAnsi="Arial"/>
                <w:sz w:val="18"/>
                <w:szCs w:val="18"/>
                <w:color w:val="auto"/>
              </w:rPr>
              <w:t>March 31,</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5280" w:type="dxa"/>
            <w:vAlign w:val="bottom"/>
            <w:tcBorders>
              <w:bottom w:val="single" w:sz="8" w:color="auto"/>
            </w:tcBorders>
            <w:gridSpan w:val="3"/>
          </w:tcPr>
          <w:p>
            <w:pPr>
              <w:jc w:val="right"/>
              <w:ind w:right="1530"/>
              <w:spacing w:after="0"/>
              <w:rPr>
                <w:sz w:val="20"/>
                <w:szCs w:val="20"/>
                <w:color w:val="auto"/>
              </w:rPr>
            </w:pPr>
            <w:r>
              <w:rPr>
                <w:rFonts w:ascii="Arial" w:cs="Arial" w:eastAsia="Arial" w:hAnsi="Arial"/>
                <w:sz w:val="18"/>
                <w:szCs w:val="18"/>
                <w:b w:val="1"/>
                <w:bCs w:val="1"/>
                <w:color w:val="auto"/>
              </w:rPr>
              <w:t>2012</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173"/>
        </w:trPr>
        <w:tc>
          <w:tcPr>
            <w:tcW w:w="5160" w:type="dxa"/>
            <w:vAlign w:val="bottom"/>
          </w:tcPr>
          <w:p>
            <w:pPr>
              <w:ind w:left="100"/>
              <w:spacing w:after="0" w:line="173" w:lineRule="exact"/>
              <w:rPr>
                <w:sz w:val="20"/>
                <w:szCs w:val="20"/>
                <w:color w:val="auto"/>
              </w:rPr>
            </w:pPr>
            <w:r>
              <w:rPr>
                <w:rFonts w:ascii="Arial" w:cs="Arial" w:eastAsia="Arial" w:hAnsi="Arial"/>
                <w:sz w:val="18"/>
                <w:szCs w:val="18"/>
                <w:color w:val="auto"/>
              </w:rPr>
              <w:t>Income from continuing operations</w:t>
            </w:r>
          </w:p>
        </w:tc>
        <w:tc>
          <w:tcPr>
            <w:tcW w:w="5280" w:type="dxa"/>
            <w:vAlign w:val="bottom"/>
            <w:gridSpan w:val="3"/>
          </w:tcPr>
          <w:p>
            <w:pPr>
              <w:jc w:val="right"/>
              <w:ind w:right="1530"/>
              <w:spacing w:after="0" w:line="173" w:lineRule="exact"/>
              <w:rPr>
                <w:sz w:val="20"/>
                <w:szCs w:val="20"/>
                <w:color w:val="auto"/>
              </w:rPr>
            </w:pPr>
            <w:r>
              <w:rPr>
                <w:rFonts w:ascii="Arial" w:cs="Arial" w:eastAsia="Arial" w:hAnsi="Arial"/>
                <w:sz w:val="18"/>
                <w:szCs w:val="18"/>
                <w:b w:val="1"/>
                <w:bCs w:val="1"/>
                <w:color w:val="auto"/>
              </w:rPr>
              <w:t>$834</w:t>
            </w:r>
          </w:p>
        </w:tc>
        <w:tc>
          <w:tcPr>
            <w:tcW w:w="98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$13,404</w:t>
            </w:r>
          </w:p>
        </w:tc>
        <w:tc>
          <w:tcPr>
            <w:tcW w:w="0" w:type="dxa"/>
            <w:vAlign w:val="bottom"/>
          </w:tcPr>
          <w:p>
            <w:pPr>
              <w:spacing w:after="0"/>
              <w:rPr>
                <w:sz w:val="1"/>
                <w:szCs w:val="1"/>
                <w:color w:val="auto"/>
              </w:rPr>
            </w:pPr>
          </w:p>
        </w:tc>
      </w:tr>
      <w:tr>
        <w:trPr>
          <w:trHeight w:val="203"/>
        </w:trPr>
        <w:tc>
          <w:tcPr>
            <w:tcW w:w="5160" w:type="dxa"/>
            <w:vAlign w:val="bottom"/>
          </w:tcPr>
          <w:p>
            <w:pPr>
              <w:ind w:left="100"/>
              <w:spacing w:after="0" w:line="202" w:lineRule="exact"/>
              <w:rPr>
                <w:sz w:val="20"/>
                <w:szCs w:val="20"/>
                <w:color w:val="auto"/>
              </w:rPr>
            </w:pPr>
            <w:r>
              <w:rPr>
                <w:rFonts w:ascii="Arial" w:cs="Arial" w:eastAsia="Arial" w:hAnsi="Arial"/>
                <w:sz w:val="18"/>
                <w:szCs w:val="18"/>
                <w:color w:val="auto"/>
              </w:rPr>
              <w:t>Interest expense, net</w:t>
            </w:r>
          </w:p>
        </w:tc>
        <w:tc>
          <w:tcPr>
            <w:tcW w:w="5280" w:type="dxa"/>
            <w:vAlign w:val="bottom"/>
            <w:gridSpan w:val="3"/>
          </w:tcPr>
          <w:p>
            <w:pPr>
              <w:jc w:val="right"/>
              <w:ind w:right="1530"/>
              <w:spacing w:after="0" w:line="202" w:lineRule="exact"/>
              <w:rPr>
                <w:sz w:val="20"/>
                <w:szCs w:val="20"/>
                <w:color w:val="auto"/>
              </w:rPr>
            </w:pPr>
            <w:r>
              <w:rPr>
                <w:rFonts w:ascii="Arial" w:cs="Arial" w:eastAsia="Arial" w:hAnsi="Arial"/>
                <w:sz w:val="18"/>
                <w:szCs w:val="18"/>
                <w:b w:val="1"/>
                <w:bCs w:val="1"/>
                <w:color w:val="auto"/>
              </w:rPr>
              <w:t>4,644</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4,776</w:t>
            </w:r>
          </w:p>
        </w:tc>
        <w:tc>
          <w:tcPr>
            <w:tcW w:w="0" w:type="dxa"/>
            <w:vAlign w:val="bottom"/>
          </w:tcPr>
          <w:p>
            <w:pPr>
              <w:spacing w:after="0"/>
              <w:rPr>
                <w:sz w:val="1"/>
                <w:szCs w:val="1"/>
                <w:color w:val="auto"/>
              </w:rPr>
            </w:pPr>
          </w:p>
        </w:tc>
      </w:tr>
      <w:tr>
        <w:trPr>
          <w:trHeight w:val="203"/>
        </w:trPr>
        <w:tc>
          <w:tcPr>
            <w:tcW w:w="5160" w:type="dxa"/>
            <w:vAlign w:val="bottom"/>
          </w:tcPr>
          <w:p>
            <w:pPr>
              <w:ind w:left="100"/>
              <w:spacing w:after="0" w:line="202" w:lineRule="exact"/>
              <w:rPr>
                <w:sz w:val="20"/>
                <w:szCs w:val="20"/>
                <w:color w:val="auto"/>
              </w:rPr>
            </w:pPr>
            <w:r>
              <w:rPr>
                <w:rFonts w:ascii="Arial" w:cs="Arial" w:eastAsia="Arial" w:hAnsi="Arial"/>
                <w:sz w:val="18"/>
                <w:szCs w:val="18"/>
                <w:color w:val="auto"/>
              </w:rPr>
              <w:t>Income tax (benefit)/expense</w:t>
            </w:r>
          </w:p>
        </w:tc>
        <w:tc>
          <w:tcPr>
            <w:tcW w:w="5280" w:type="dxa"/>
            <w:vAlign w:val="bottom"/>
            <w:gridSpan w:val="3"/>
          </w:tcPr>
          <w:p>
            <w:pPr>
              <w:jc w:val="right"/>
              <w:ind w:right="1470"/>
              <w:spacing w:after="0" w:line="202" w:lineRule="exact"/>
              <w:rPr>
                <w:sz w:val="20"/>
                <w:szCs w:val="20"/>
                <w:color w:val="auto"/>
              </w:rPr>
            </w:pPr>
            <w:r>
              <w:rPr>
                <w:rFonts w:ascii="Arial" w:cs="Arial" w:eastAsia="Arial" w:hAnsi="Arial"/>
                <w:sz w:val="18"/>
                <w:szCs w:val="18"/>
                <w:b w:val="1"/>
                <w:bCs w:val="1"/>
                <w:color w:val="auto"/>
              </w:rPr>
              <w:t>(9,379)</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3,988</w:t>
            </w:r>
          </w:p>
        </w:tc>
        <w:tc>
          <w:tcPr>
            <w:tcW w:w="0" w:type="dxa"/>
            <w:vAlign w:val="bottom"/>
          </w:tcPr>
          <w:p>
            <w:pPr>
              <w:spacing w:after="0"/>
              <w:rPr>
                <w:sz w:val="1"/>
                <w:szCs w:val="1"/>
                <w:color w:val="auto"/>
              </w:rPr>
            </w:pPr>
          </w:p>
        </w:tc>
      </w:tr>
      <w:tr>
        <w:trPr>
          <w:trHeight w:val="225"/>
        </w:trPr>
        <w:tc>
          <w:tcPr>
            <w:tcW w:w="51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Depreciation and amortization</w:t>
            </w:r>
          </w:p>
        </w:tc>
        <w:tc>
          <w:tcPr>
            <w:tcW w:w="5280" w:type="dxa"/>
            <w:vAlign w:val="bottom"/>
            <w:tcBorders>
              <w:bottom w:val="single" w:sz="8" w:color="auto"/>
            </w:tcBorders>
            <w:gridSpan w:val="3"/>
          </w:tcPr>
          <w:p>
            <w:pPr>
              <w:jc w:val="right"/>
              <w:ind w:right="1530"/>
              <w:spacing w:after="0"/>
              <w:rPr>
                <w:sz w:val="20"/>
                <w:szCs w:val="20"/>
                <w:color w:val="auto"/>
              </w:rPr>
            </w:pPr>
            <w:r>
              <w:rPr>
                <w:rFonts w:ascii="Arial" w:cs="Arial" w:eastAsia="Arial" w:hAnsi="Arial"/>
                <w:sz w:val="18"/>
                <w:szCs w:val="18"/>
                <w:b w:val="1"/>
                <w:bCs w:val="1"/>
                <w:color w:val="auto"/>
              </w:rPr>
              <w:t>16,111</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15,718</w:t>
            </w:r>
          </w:p>
        </w:tc>
        <w:tc>
          <w:tcPr>
            <w:tcW w:w="0" w:type="dxa"/>
            <w:vAlign w:val="bottom"/>
          </w:tcPr>
          <w:p>
            <w:pPr>
              <w:spacing w:after="0"/>
              <w:rPr>
                <w:sz w:val="1"/>
                <w:szCs w:val="1"/>
                <w:color w:val="auto"/>
              </w:rPr>
            </w:pPr>
          </w:p>
        </w:tc>
      </w:tr>
      <w:tr>
        <w:trPr>
          <w:trHeight w:val="173"/>
        </w:trPr>
        <w:tc>
          <w:tcPr>
            <w:tcW w:w="5160" w:type="dxa"/>
            <w:vAlign w:val="bottom"/>
          </w:tcPr>
          <w:p>
            <w:pPr>
              <w:ind w:left="100"/>
              <w:spacing w:after="0" w:line="173" w:lineRule="exact"/>
              <w:rPr>
                <w:sz w:val="20"/>
                <w:szCs w:val="20"/>
                <w:color w:val="auto"/>
              </w:rPr>
            </w:pPr>
            <w:r>
              <w:rPr>
                <w:rFonts w:ascii="Arial" w:cs="Arial" w:eastAsia="Arial" w:hAnsi="Arial"/>
                <w:sz w:val="18"/>
                <w:szCs w:val="18"/>
                <w:color w:val="auto"/>
              </w:rPr>
              <w:t>EBITDA from continuing operations</w:t>
            </w:r>
          </w:p>
        </w:tc>
        <w:tc>
          <w:tcPr>
            <w:tcW w:w="5280" w:type="dxa"/>
            <w:vAlign w:val="bottom"/>
            <w:gridSpan w:val="3"/>
          </w:tcPr>
          <w:p>
            <w:pPr>
              <w:jc w:val="right"/>
              <w:ind w:right="1530"/>
              <w:spacing w:after="0" w:line="173" w:lineRule="exact"/>
              <w:rPr>
                <w:sz w:val="20"/>
                <w:szCs w:val="20"/>
                <w:color w:val="auto"/>
              </w:rPr>
            </w:pPr>
            <w:r>
              <w:rPr>
                <w:rFonts w:ascii="Arial" w:cs="Arial" w:eastAsia="Arial" w:hAnsi="Arial"/>
                <w:sz w:val="18"/>
                <w:szCs w:val="18"/>
                <w:b w:val="1"/>
                <w:bCs w:val="1"/>
                <w:color w:val="auto"/>
              </w:rPr>
              <w:t>12,210</w:t>
            </w:r>
          </w:p>
        </w:tc>
        <w:tc>
          <w:tcPr>
            <w:tcW w:w="980" w:type="dxa"/>
            <w:vAlign w:val="bottom"/>
          </w:tcPr>
          <w:p>
            <w:pPr>
              <w:jc w:val="right"/>
              <w:ind w:right="10"/>
              <w:spacing w:after="0" w:line="173" w:lineRule="exact"/>
              <w:rPr>
                <w:sz w:val="20"/>
                <w:szCs w:val="20"/>
                <w:color w:val="auto"/>
              </w:rPr>
            </w:pPr>
            <w:r>
              <w:rPr>
                <w:rFonts w:ascii="Arial" w:cs="Arial" w:eastAsia="Arial" w:hAnsi="Arial"/>
                <w:sz w:val="18"/>
                <w:szCs w:val="18"/>
                <w:color w:val="auto"/>
              </w:rPr>
              <w:t>37,886</w:t>
            </w:r>
          </w:p>
        </w:tc>
        <w:tc>
          <w:tcPr>
            <w:tcW w:w="0" w:type="dxa"/>
            <w:vAlign w:val="bottom"/>
          </w:tcPr>
          <w:p>
            <w:pPr>
              <w:spacing w:after="0"/>
              <w:rPr>
                <w:sz w:val="1"/>
                <w:szCs w:val="1"/>
                <w:color w:val="auto"/>
              </w:rPr>
            </w:pPr>
          </w:p>
        </w:tc>
      </w:tr>
      <w:tr>
        <w:trPr>
          <w:trHeight w:val="203"/>
        </w:trPr>
        <w:tc>
          <w:tcPr>
            <w:tcW w:w="5160" w:type="dxa"/>
            <w:vAlign w:val="bottom"/>
          </w:tcPr>
          <w:p>
            <w:pPr>
              <w:ind w:left="100"/>
              <w:spacing w:after="0" w:line="202" w:lineRule="exact"/>
              <w:rPr>
                <w:sz w:val="20"/>
                <w:szCs w:val="20"/>
                <w:color w:val="auto"/>
              </w:rPr>
            </w:pPr>
            <w:r>
              <w:rPr>
                <w:rFonts w:ascii="Arial" w:cs="Arial" w:eastAsia="Arial" w:hAnsi="Arial"/>
                <w:sz w:val="18"/>
                <w:szCs w:val="18"/>
                <w:color w:val="auto"/>
              </w:rPr>
              <w:t>Restructuring and other, net</w:t>
            </w:r>
          </w:p>
        </w:tc>
        <w:tc>
          <w:tcPr>
            <w:tcW w:w="5280" w:type="dxa"/>
            <w:vAlign w:val="bottom"/>
            <w:gridSpan w:val="3"/>
          </w:tcPr>
          <w:p>
            <w:pPr>
              <w:jc w:val="right"/>
              <w:ind w:right="1530"/>
              <w:spacing w:after="0" w:line="202" w:lineRule="exact"/>
              <w:rPr>
                <w:sz w:val="20"/>
                <w:szCs w:val="20"/>
                <w:color w:val="auto"/>
              </w:rPr>
            </w:pPr>
            <w:r>
              <w:rPr>
                <w:rFonts w:ascii="Arial" w:cs="Arial" w:eastAsia="Arial" w:hAnsi="Arial"/>
                <w:sz w:val="18"/>
                <w:szCs w:val="18"/>
                <w:b w:val="1"/>
                <w:bCs w:val="1"/>
                <w:color w:val="auto"/>
              </w:rPr>
              <w:t>258</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3"/>
        </w:trPr>
        <w:tc>
          <w:tcPr>
            <w:tcW w:w="5160" w:type="dxa"/>
            <w:vAlign w:val="bottom"/>
          </w:tcPr>
          <w:p>
            <w:pPr>
              <w:ind w:left="100"/>
              <w:spacing w:after="0" w:line="202" w:lineRule="exact"/>
              <w:rPr>
                <w:sz w:val="20"/>
                <w:szCs w:val="20"/>
                <w:color w:val="auto"/>
              </w:rPr>
            </w:pPr>
            <w:r>
              <w:rPr>
                <w:rFonts w:ascii="Arial" w:cs="Arial" w:eastAsia="Arial" w:hAnsi="Arial"/>
                <w:sz w:val="18"/>
                <w:szCs w:val="18"/>
                <w:color w:val="auto"/>
              </w:rPr>
              <w:t>Foreign currency revaluation losses</w:t>
            </w:r>
          </w:p>
        </w:tc>
        <w:tc>
          <w:tcPr>
            <w:tcW w:w="5280" w:type="dxa"/>
            <w:vAlign w:val="bottom"/>
            <w:gridSpan w:val="3"/>
          </w:tcPr>
          <w:p>
            <w:pPr>
              <w:jc w:val="right"/>
              <w:ind w:right="1530"/>
              <w:spacing w:after="0" w:line="202" w:lineRule="exact"/>
              <w:rPr>
                <w:sz w:val="20"/>
                <w:szCs w:val="20"/>
                <w:color w:val="auto"/>
              </w:rPr>
            </w:pPr>
            <w:r>
              <w:rPr>
                <w:rFonts w:ascii="Arial" w:cs="Arial" w:eastAsia="Arial" w:hAnsi="Arial"/>
                <w:sz w:val="18"/>
                <w:szCs w:val="18"/>
                <w:b w:val="1"/>
                <w:bCs w:val="1"/>
                <w:color w:val="auto"/>
              </w:rPr>
              <w:t>5,600</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5,850</w:t>
            </w:r>
          </w:p>
        </w:tc>
        <w:tc>
          <w:tcPr>
            <w:tcW w:w="0" w:type="dxa"/>
            <w:vAlign w:val="bottom"/>
          </w:tcPr>
          <w:p>
            <w:pPr>
              <w:spacing w:after="0"/>
              <w:rPr>
                <w:sz w:val="1"/>
                <w:szCs w:val="1"/>
                <w:color w:val="auto"/>
              </w:rPr>
            </w:pPr>
          </w:p>
        </w:tc>
      </w:tr>
      <w:tr>
        <w:trPr>
          <w:trHeight w:val="225"/>
        </w:trPr>
        <w:tc>
          <w:tcPr>
            <w:tcW w:w="51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Settlement of Swedish pension plan</w:t>
            </w:r>
          </w:p>
        </w:tc>
        <w:tc>
          <w:tcPr>
            <w:tcW w:w="5280" w:type="dxa"/>
            <w:vAlign w:val="bottom"/>
            <w:tcBorders>
              <w:bottom w:val="single" w:sz="8" w:color="auto"/>
            </w:tcBorders>
            <w:gridSpan w:val="3"/>
          </w:tcPr>
          <w:p>
            <w:pPr>
              <w:jc w:val="right"/>
              <w:ind w:right="1530"/>
              <w:spacing w:after="0"/>
              <w:rPr>
                <w:sz w:val="20"/>
                <w:szCs w:val="20"/>
                <w:color w:val="auto"/>
              </w:rPr>
            </w:pPr>
            <w:r>
              <w:rPr>
                <w:rFonts w:ascii="Arial" w:cs="Arial" w:eastAsia="Arial" w:hAnsi="Arial"/>
                <w:sz w:val="18"/>
                <w:szCs w:val="18"/>
                <w:b w:val="1"/>
                <w:bCs w:val="1"/>
                <w:color w:val="auto"/>
              </w:rPr>
              <w:t>9,175</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5160" w:type="dxa"/>
            <w:vAlign w:val="bottom"/>
          </w:tcPr>
          <w:p>
            <w:pPr>
              <w:ind w:left="100"/>
              <w:spacing w:after="0" w:line="195" w:lineRule="exact"/>
              <w:rPr>
                <w:sz w:val="20"/>
                <w:szCs w:val="20"/>
                <w:color w:val="auto"/>
              </w:rPr>
            </w:pPr>
            <w:r>
              <w:rPr>
                <w:rFonts w:ascii="Arial" w:cs="Arial" w:eastAsia="Arial" w:hAnsi="Arial"/>
                <w:sz w:val="18"/>
                <w:szCs w:val="18"/>
                <w:color w:val="auto"/>
              </w:rPr>
              <w:t>EBTDA from continuing operations, excluding</w:t>
            </w:r>
          </w:p>
        </w:tc>
        <w:tc>
          <w:tcPr>
            <w:tcW w:w="5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100"/>
              <w:spacing w:after="0" w:line="202" w:lineRule="exact"/>
              <w:rPr>
                <w:sz w:val="20"/>
                <w:szCs w:val="20"/>
                <w:color w:val="auto"/>
              </w:rPr>
            </w:pPr>
            <w:r>
              <w:rPr>
                <w:rFonts w:ascii="Arial" w:cs="Arial" w:eastAsia="Arial" w:hAnsi="Arial"/>
                <w:sz w:val="18"/>
                <w:szCs w:val="18"/>
                <w:color w:val="auto"/>
              </w:rPr>
              <w:t>restructuring charges, foreign currency revaluation effects</w:t>
            </w:r>
          </w:p>
        </w:tc>
        <w:tc>
          <w:tcPr>
            <w:tcW w:w="5280" w:type="dxa"/>
            <w:vAlign w:val="bottom"/>
            <w:gridSpan w:val="3"/>
            <w:vMerge w:val="restart"/>
          </w:tcPr>
          <w:p>
            <w:pPr>
              <w:jc w:val="right"/>
              <w:ind w:right="1530"/>
              <w:spacing w:after="0"/>
              <w:rPr>
                <w:sz w:val="20"/>
                <w:szCs w:val="20"/>
                <w:color w:val="auto"/>
              </w:rPr>
            </w:pPr>
            <w:r>
              <w:rPr>
                <w:rFonts w:ascii="Arial" w:cs="Arial" w:eastAsia="Arial" w:hAnsi="Arial"/>
                <w:sz w:val="18"/>
                <w:szCs w:val="18"/>
                <w:b w:val="1"/>
                <w:bCs w:val="1"/>
                <w:color w:val="auto"/>
              </w:rPr>
              <w:t>$27,243</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and pension settlement</w:t>
            </w:r>
          </w:p>
        </w:tc>
        <w:tc>
          <w:tcPr>
            <w:tcW w:w="5280" w:type="dxa"/>
            <w:vAlign w:val="bottom"/>
            <w:tcBorders>
              <w:bottom w:val="single" w:sz="8" w:color="auto"/>
            </w:tcBorders>
            <w:gridSpan w:val="3"/>
            <w:vMerge w:val="continue"/>
          </w:tcPr>
          <w:p>
            <w:pPr>
              <w:spacing w:after="0"/>
              <w:rPr>
                <w:sz w:val="17"/>
                <w:szCs w:val="17"/>
                <w:color w:val="auto"/>
              </w:rPr>
            </w:pPr>
          </w:p>
        </w:tc>
        <w:tc>
          <w:tcPr>
            <w:tcW w:w="9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$43,770</w:t>
            </w:r>
          </w:p>
        </w:tc>
        <w:tc>
          <w:tcPr>
            <w:tcW w:w="0" w:type="dxa"/>
            <w:vAlign w:val="bottom"/>
          </w:tcPr>
          <w:p>
            <w:pPr>
              <w:spacing w:after="0"/>
              <w:rPr>
                <w:sz w:val="1"/>
                <w:szCs w:val="1"/>
                <w:color w:val="auto"/>
              </w:rPr>
            </w:pPr>
          </w:p>
        </w:tc>
      </w:tr>
      <w:tr>
        <w:trPr>
          <w:trHeight w:val="601"/>
        </w:trPr>
        <w:tc>
          <w:tcPr>
            <w:tcW w:w="5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160" w:type="dxa"/>
            <w:vAlign w:val="bottom"/>
            <w:tcBorders>
              <w:top w:val="single" w:sz="8" w:color="auto"/>
              <w:left w:val="single" w:sz="8" w:color="auto"/>
            </w:tcBorders>
          </w:tcPr>
          <w:p>
            <w:pPr>
              <w:spacing w:after="0"/>
              <w:rPr>
                <w:sz w:val="16"/>
                <w:szCs w:val="16"/>
                <w:color w:val="auto"/>
              </w:rPr>
            </w:pPr>
          </w:p>
        </w:tc>
        <w:tc>
          <w:tcPr>
            <w:tcW w:w="560" w:type="dxa"/>
            <w:vAlign w:val="bottom"/>
            <w:tcBorders>
              <w:top w:val="single" w:sz="8" w:color="auto"/>
              <w:right w:val="single" w:sz="8" w:color="auto"/>
            </w:tcBorders>
          </w:tcPr>
          <w:p>
            <w:pPr>
              <w:spacing w:after="0"/>
              <w:rPr>
                <w:sz w:val="16"/>
                <w:szCs w:val="16"/>
                <w:color w:val="auto"/>
              </w:rPr>
            </w:pPr>
          </w:p>
        </w:tc>
        <w:tc>
          <w:tcPr>
            <w:tcW w:w="2280" w:type="dxa"/>
            <w:vAlign w:val="bottom"/>
            <w:tcBorders>
              <w:top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AEC EBITDA</w:t>
            </w:r>
          </w:p>
        </w:tc>
        <w:tc>
          <w:tcPr>
            <w:tcW w:w="2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6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(in thousands)</w:t>
            </w:r>
          </w:p>
        </w:tc>
        <w:tc>
          <w:tcPr>
            <w:tcW w:w="56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Three months ended</w:t>
            </w:r>
          </w:p>
        </w:tc>
        <w:tc>
          <w:tcPr>
            <w:tcW w:w="2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Borders>
              <w:left w:val="single" w:sz="8" w:color="auto"/>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jc w:val="center"/>
              <w:spacing w:after="0" w:line="203" w:lineRule="exact"/>
              <w:rPr>
                <w:sz w:val="20"/>
                <w:szCs w:val="20"/>
                <w:color w:val="auto"/>
              </w:rPr>
            </w:pPr>
            <w:r>
              <w:rPr>
                <w:rFonts w:ascii="Arial" w:cs="Arial" w:eastAsia="Arial" w:hAnsi="Arial"/>
                <w:sz w:val="18"/>
                <w:szCs w:val="18"/>
                <w:color w:val="auto"/>
              </w:rPr>
              <w:t>March 31, 2012</w:t>
            </w:r>
          </w:p>
        </w:tc>
        <w:tc>
          <w:tcPr>
            <w:tcW w:w="2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tcBorders>
              <w:left w:val="single" w:sz="8" w:color="auto"/>
              <w:bottom w:val="single" w:sz="8" w:color="auto"/>
            </w:tcBorders>
          </w:tcPr>
          <w:p>
            <w:pPr>
              <w:ind w:left="120"/>
              <w:spacing w:after="0" w:line="196" w:lineRule="exact"/>
              <w:rPr>
                <w:sz w:val="20"/>
                <w:szCs w:val="20"/>
                <w:color w:val="auto"/>
              </w:rPr>
            </w:pPr>
            <w:r>
              <w:rPr>
                <w:rFonts w:ascii="Arial" w:cs="Arial" w:eastAsia="Arial" w:hAnsi="Arial"/>
                <w:sz w:val="18"/>
                <w:szCs w:val="18"/>
                <w:color w:val="auto"/>
              </w:rPr>
              <w:t>Operating income</w:t>
            </w:r>
          </w:p>
        </w:tc>
        <w:tc>
          <w:tcPr>
            <w:tcW w:w="56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$29</w:t>
            </w:r>
          </w:p>
        </w:tc>
        <w:tc>
          <w:tcPr>
            <w:tcW w:w="2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tcBorders>
              <w:left w:val="single" w:sz="8" w:color="auto"/>
              <w:bottom w:val="single" w:sz="8" w:color="auto"/>
            </w:tcBorders>
          </w:tcPr>
          <w:p>
            <w:pPr>
              <w:ind w:left="120"/>
              <w:spacing w:after="0" w:line="196" w:lineRule="exact"/>
              <w:rPr>
                <w:sz w:val="20"/>
                <w:szCs w:val="20"/>
                <w:color w:val="auto"/>
              </w:rPr>
            </w:pPr>
            <w:r>
              <w:rPr>
                <w:rFonts w:ascii="Arial" w:cs="Arial" w:eastAsia="Arial" w:hAnsi="Arial"/>
                <w:sz w:val="18"/>
                <w:szCs w:val="18"/>
                <w:color w:val="auto"/>
              </w:rPr>
              <w:t>Depreciation and amortization</w:t>
            </w:r>
          </w:p>
        </w:tc>
        <w:tc>
          <w:tcPr>
            <w:tcW w:w="56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1,405</w:t>
            </w:r>
          </w:p>
        </w:tc>
        <w:tc>
          <w:tcPr>
            <w:tcW w:w="2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tcBorders>
              <w:left w:val="single" w:sz="8" w:color="auto"/>
              <w:bottom w:val="single" w:sz="8" w:color="auto"/>
            </w:tcBorders>
          </w:tcPr>
          <w:p>
            <w:pPr>
              <w:ind w:left="120"/>
              <w:spacing w:after="0" w:line="196" w:lineRule="exact"/>
              <w:rPr>
                <w:sz w:val="20"/>
                <w:szCs w:val="20"/>
                <w:color w:val="auto"/>
              </w:rPr>
            </w:pPr>
            <w:r>
              <w:rPr>
                <w:rFonts w:ascii="Arial" w:cs="Arial" w:eastAsia="Arial" w:hAnsi="Arial"/>
                <w:sz w:val="18"/>
                <w:szCs w:val="18"/>
                <w:b w:val="1"/>
                <w:bCs w:val="1"/>
                <w:color w:val="auto"/>
              </w:rPr>
              <w:t>EBITDA</w:t>
            </w:r>
          </w:p>
        </w:tc>
        <w:tc>
          <w:tcPr>
            <w:tcW w:w="56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$1,434</w:t>
            </w:r>
          </w:p>
        </w:tc>
        <w:tc>
          <w:tcPr>
            <w:tcW w:w="2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8"/>
        </w:trPr>
        <w:tc>
          <w:tcPr>
            <w:tcW w:w="5160" w:type="dxa"/>
            <w:vAlign w:val="bottom"/>
          </w:tcPr>
          <w:p>
            <w:pPr>
              <w:spacing w:after="0"/>
              <w:rPr>
                <w:sz w:val="24"/>
                <w:szCs w:val="24"/>
                <w:color w:val="auto"/>
              </w:rPr>
            </w:pPr>
          </w:p>
        </w:tc>
        <w:tc>
          <w:tcPr>
            <w:tcW w:w="2840" w:type="dxa"/>
            <w:vAlign w:val="bottom"/>
            <w:gridSpan w:val="2"/>
          </w:tcPr>
          <w:p>
            <w:pPr>
              <w:jc w:val="right"/>
              <w:ind w:right="2090"/>
              <w:spacing w:after="0"/>
              <w:rPr>
                <w:sz w:val="20"/>
                <w:szCs w:val="20"/>
                <w:color w:val="auto"/>
              </w:rPr>
            </w:pPr>
            <w:r>
              <w:rPr>
                <w:rFonts w:ascii="Arial" w:cs="Arial" w:eastAsia="Arial" w:hAnsi="Arial"/>
                <w:sz w:val="18"/>
                <w:szCs w:val="18"/>
                <w:color w:val="auto"/>
              </w:rPr>
              <w:t>43</w:t>
            </w:r>
          </w:p>
        </w:tc>
        <w:tc>
          <w:tcPr>
            <w:tcW w:w="2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57" w:right="239" w:bottom="1440" w:gutter="0" w:footer="0" w:header="0"/>
        </w:sectPr>
      </w:pPr>
    </w:p>
    <w:bookmarkStart w:id="45" w:name="page46"/>
    <w:bookmarkEnd w:id="45"/>
    <w:p>
      <w:pPr>
        <w:jc w:val="both"/>
        <w:ind w:right="720"/>
        <w:spacing w:after="0" w:line="239" w:lineRule="auto"/>
        <w:rPr>
          <w:sz w:val="20"/>
          <w:szCs w:val="20"/>
          <w:color w:val="auto"/>
        </w:rPr>
      </w:pPr>
      <w:r>
        <w:rPr>
          <w:rFonts w:ascii="Arial" w:cs="Arial" w:eastAsia="Arial" w:hAnsi="Arial"/>
          <w:sz w:val="18"/>
          <w:szCs w:val="18"/>
          <w:color w:val="auto"/>
        </w:rPr>
        <w:t>The Company discloses certain income and expense items on a per share basis. The Company believes that such disclosures provide important insight into underlying quarterly earnings and are financial performance metrics commonly used by investors. The Company calculates the per share amount for items included in continuing operations by using the effective tax rate utilized during the applicable reporting period and the weighted average number of shares outstanding for the period.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 ended March 31, 2012</w:t>
      </w:r>
    </w:p>
    <w:p>
      <w:pPr>
        <w:spacing w:after="0" w:line="106"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5160" w:type="dxa"/>
            <w:vAlign w:val="bottom"/>
            <w:tcBorders>
              <w:top w:val="single" w:sz="8" w:color="auto"/>
              <w:left w:val="single" w:sz="8" w:color="auto"/>
              <w:right w:val="single" w:sz="8" w:color="auto"/>
            </w:tcBorders>
          </w:tcPr>
          <w:p>
            <w:pPr>
              <w:spacing w:after="0"/>
              <w:rPr>
                <w:sz w:val="18"/>
                <w:szCs w:val="18"/>
                <w:color w:val="auto"/>
              </w:rPr>
            </w:pPr>
          </w:p>
        </w:tc>
        <w:tc>
          <w:tcPr>
            <w:tcW w:w="1260" w:type="dxa"/>
            <w:vAlign w:val="bottom"/>
            <w:tcBorders>
              <w:top w:val="single" w:sz="8" w:color="auto"/>
              <w:right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Pre-tax</w:t>
            </w:r>
          </w:p>
        </w:tc>
        <w:tc>
          <w:tcPr>
            <w:tcW w:w="1280" w:type="dxa"/>
            <w:vAlign w:val="bottom"/>
            <w:tcBorders>
              <w:top w:val="single" w:sz="8" w:color="auto"/>
              <w:right w:val="single" w:sz="8" w:color="auto"/>
            </w:tcBorders>
          </w:tcPr>
          <w:p>
            <w:pPr>
              <w:spacing w:after="0"/>
              <w:rPr>
                <w:sz w:val="18"/>
                <w:szCs w:val="18"/>
                <w:color w:val="auto"/>
              </w:rPr>
            </w:pPr>
          </w:p>
        </w:tc>
        <w:tc>
          <w:tcPr>
            <w:tcW w:w="1240" w:type="dxa"/>
            <w:vAlign w:val="bottom"/>
            <w:tcBorders>
              <w:top w:val="single" w:sz="8" w:color="auto"/>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After-tax</w:t>
            </w:r>
          </w:p>
        </w:tc>
        <w:tc>
          <w:tcPr>
            <w:tcW w:w="1240" w:type="dxa"/>
            <w:vAlign w:val="bottom"/>
            <w:tcBorders>
              <w:top w:val="single" w:sz="8" w:color="auto"/>
              <w:right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Shares</w:t>
            </w: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Per</w:t>
            </w:r>
          </w:p>
        </w:tc>
        <w:tc>
          <w:tcPr>
            <w:tcW w:w="0" w:type="dxa"/>
            <w:vAlign w:val="bottom"/>
          </w:tcPr>
          <w:p>
            <w:pPr>
              <w:spacing w:after="0"/>
              <w:rPr>
                <w:sz w:val="1"/>
                <w:szCs w:val="1"/>
                <w:color w:val="auto"/>
              </w:rPr>
            </w:pPr>
          </w:p>
        </w:tc>
      </w:tr>
      <w:tr>
        <w:trPr>
          <w:trHeight w:val="95"/>
        </w:trPr>
        <w:tc>
          <w:tcPr>
            <w:tcW w:w="5160" w:type="dxa"/>
            <w:vAlign w:val="bottom"/>
            <w:tcBorders>
              <w:left w:val="single" w:sz="8" w:color="auto"/>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(in thousands, except per share amounts)</w:t>
            </w:r>
          </w:p>
        </w:tc>
        <w:tc>
          <w:tcPr>
            <w:tcW w:w="1260" w:type="dxa"/>
            <w:vAlign w:val="bottom"/>
            <w:tcBorders>
              <w:right w:val="single" w:sz="8" w:color="auto"/>
            </w:tcBorders>
            <w:vMerge w:val="continue"/>
          </w:tcPr>
          <w:p>
            <w:pPr>
              <w:spacing w:after="0"/>
              <w:rPr>
                <w:sz w:val="8"/>
                <w:szCs w:val="8"/>
                <w:color w:val="auto"/>
              </w:rPr>
            </w:pPr>
          </w:p>
        </w:tc>
        <w:tc>
          <w:tcPr>
            <w:tcW w:w="1280" w:type="dxa"/>
            <w:vAlign w:val="bottom"/>
            <w:tcBorders>
              <w:right w:val="single" w:sz="8" w:color="auto"/>
            </w:tcBorders>
            <w:vMerge w:val="restart"/>
          </w:tcPr>
          <w:p>
            <w:pPr>
              <w:jc w:val="right"/>
              <w:ind w:right="170"/>
              <w:spacing w:after="0" w:line="202" w:lineRule="exact"/>
              <w:rPr>
                <w:sz w:val="20"/>
                <w:szCs w:val="20"/>
                <w:color w:val="auto"/>
              </w:rPr>
            </w:pPr>
            <w:r>
              <w:rPr>
                <w:rFonts w:ascii="Arial" w:cs="Arial" w:eastAsia="Arial" w:hAnsi="Arial"/>
                <w:sz w:val="18"/>
                <w:szCs w:val="18"/>
                <w:color w:val="auto"/>
              </w:rPr>
              <w:t>Tax Effect</w:t>
            </w:r>
          </w:p>
        </w:tc>
        <w:tc>
          <w:tcPr>
            <w:tcW w:w="1240" w:type="dxa"/>
            <w:vAlign w:val="bottom"/>
            <w:tcBorders>
              <w:right w:val="single" w:sz="8" w:color="auto"/>
            </w:tcBorders>
            <w:vMerge w:val="continue"/>
          </w:tcPr>
          <w:p>
            <w:pPr>
              <w:spacing w:after="0"/>
              <w:rPr>
                <w:sz w:val="8"/>
                <w:szCs w:val="8"/>
                <w:color w:val="auto"/>
              </w:rPr>
            </w:pPr>
          </w:p>
        </w:tc>
        <w:tc>
          <w:tcPr>
            <w:tcW w:w="1240" w:type="dxa"/>
            <w:vAlign w:val="bottom"/>
            <w:tcBorders>
              <w:right w:val="single" w:sz="8" w:color="auto"/>
            </w:tcBorders>
            <w:vMerge w:val="continue"/>
          </w:tcPr>
          <w:p>
            <w:pPr>
              <w:spacing w:after="0"/>
              <w:rPr>
                <w:sz w:val="8"/>
                <w:szCs w:val="8"/>
                <w:color w:val="auto"/>
              </w:rPr>
            </w:pPr>
          </w:p>
        </w:tc>
        <w:tc>
          <w:tcPr>
            <w:tcW w:w="124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color w:val="auto"/>
                <w:w w:val="99"/>
              </w:rPr>
              <w:t>Share</w:t>
            </w:r>
          </w:p>
        </w:tc>
        <w:tc>
          <w:tcPr>
            <w:tcW w:w="0" w:type="dxa"/>
            <w:vAlign w:val="bottom"/>
          </w:tcPr>
          <w:p>
            <w:pPr>
              <w:spacing w:after="0"/>
              <w:rPr>
                <w:sz w:val="1"/>
                <w:szCs w:val="1"/>
                <w:color w:val="auto"/>
              </w:rPr>
            </w:pPr>
          </w:p>
        </w:tc>
      </w:tr>
      <w:tr>
        <w:trPr>
          <w:trHeight w:val="108"/>
        </w:trPr>
        <w:tc>
          <w:tcPr>
            <w:tcW w:w="5160" w:type="dxa"/>
            <w:vAlign w:val="bottom"/>
            <w:tcBorders>
              <w:left w:val="single" w:sz="8" w:color="auto"/>
              <w:right w:val="single" w:sz="8" w:color="auto"/>
            </w:tcBorders>
            <w:vMerge w:val="continue"/>
          </w:tcPr>
          <w:p>
            <w:pPr>
              <w:spacing w:after="0"/>
              <w:rPr>
                <w:sz w:val="9"/>
                <w:szCs w:val="9"/>
                <w:color w:val="auto"/>
              </w:rPr>
            </w:pPr>
          </w:p>
        </w:tc>
        <w:tc>
          <w:tcPr>
            <w:tcW w:w="126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color w:val="auto"/>
              </w:rPr>
              <w:t>amounts</w:t>
            </w:r>
          </w:p>
        </w:tc>
        <w:tc>
          <w:tcPr>
            <w:tcW w:w="128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restart"/>
          </w:tcPr>
          <w:p>
            <w:pPr>
              <w:jc w:val="right"/>
              <w:ind w:right="310"/>
              <w:spacing w:after="0"/>
              <w:rPr>
                <w:sz w:val="20"/>
                <w:szCs w:val="20"/>
                <w:color w:val="auto"/>
              </w:rPr>
            </w:pPr>
            <w:r>
              <w:rPr>
                <w:rFonts w:ascii="Arial" w:cs="Arial" w:eastAsia="Arial" w:hAnsi="Arial"/>
                <w:sz w:val="18"/>
                <w:szCs w:val="18"/>
                <w:color w:val="auto"/>
              </w:rPr>
              <w:t>Effect</w:t>
            </w:r>
          </w:p>
        </w:tc>
        <w:tc>
          <w:tcPr>
            <w:tcW w:w="124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Outstanding</w:t>
            </w:r>
          </w:p>
        </w:tc>
        <w:tc>
          <w:tcPr>
            <w:tcW w:w="12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5160" w:type="dxa"/>
            <w:vAlign w:val="bottom"/>
            <w:tcBorders>
              <w:left w:val="single" w:sz="8" w:color="auto"/>
              <w:right w:val="single" w:sz="8" w:color="auto"/>
            </w:tcBorders>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restart"/>
          </w:tcPr>
          <w:p>
            <w:pPr>
              <w:jc w:val="right"/>
              <w:ind w:right="310"/>
              <w:spacing w:after="0" w:line="203" w:lineRule="exact"/>
              <w:rPr>
                <w:sz w:val="20"/>
                <w:szCs w:val="20"/>
                <w:color w:val="auto"/>
              </w:rPr>
            </w:pPr>
            <w:r>
              <w:rPr>
                <w:rFonts w:ascii="Arial" w:cs="Arial" w:eastAsia="Arial" w:hAnsi="Arial"/>
                <w:sz w:val="18"/>
                <w:szCs w:val="18"/>
                <w:color w:val="auto"/>
              </w:rPr>
              <w:t>Effect</w:t>
            </w:r>
          </w:p>
        </w:tc>
        <w:tc>
          <w:tcPr>
            <w:tcW w:w="0" w:type="dxa"/>
            <w:vAlign w:val="bottom"/>
          </w:tcPr>
          <w:p>
            <w:pPr>
              <w:spacing w:after="0"/>
              <w:rPr>
                <w:sz w:val="1"/>
                <w:szCs w:val="1"/>
                <w:color w:val="auto"/>
              </w:rPr>
            </w:pPr>
          </w:p>
        </w:tc>
      </w:tr>
      <w:tr>
        <w:trPr>
          <w:trHeight w:val="95"/>
        </w:trPr>
        <w:tc>
          <w:tcPr>
            <w:tcW w:w="5160" w:type="dxa"/>
            <w:vAlign w:val="bottom"/>
            <w:tcBorders>
              <w:left w:val="single" w:sz="8" w:color="auto"/>
              <w:bottom w:val="single" w:sz="8" w:color="auto"/>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128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51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Restructuring and other, net from continuing operations</w:t>
            </w:r>
          </w:p>
        </w:tc>
        <w:tc>
          <w:tcPr>
            <w:tcW w:w="126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$258</w:t>
            </w:r>
          </w:p>
        </w:tc>
        <w:tc>
          <w:tcPr>
            <w:tcW w:w="128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$80</w:t>
            </w:r>
          </w:p>
        </w:tc>
        <w:tc>
          <w:tcPr>
            <w:tcW w:w="124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$178</w:t>
            </w:r>
          </w:p>
        </w:tc>
        <w:tc>
          <w:tcPr>
            <w:tcW w:w="124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31,309</w:t>
            </w:r>
          </w:p>
        </w:tc>
        <w:tc>
          <w:tcPr>
            <w:tcW w:w="124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96"/>
        </w:trPr>
        <w:tc>
          <w:tcPr>
            <w:tcW w:w="51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w w:val="99"/>
              </w:rPr>
              <w:t>Foreign currency revaluation losses from continuing operations</w:t>
            </w:r>
          </w:p>
        </w:tc>
        <w:tc>
          <w:tcPr>
            <w:tcW w:w="126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5,600</w:t>
            </w:r>
          </w:p>
        </w:tc>
        <w:tc>
          <w:tcPr>
            <w:tcW w:w="128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1,736</w:t>
            </w:r>
          </w:p>
        </w:tc>
        <w:tc>
          <w:tcPr>
            <w:tcW w:w="124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3,864</w:t>
            </w:r>
          </w:p>
        </w:tc>
        <w:tc>
          <w:tcPr>
            <w:tcW w:w="124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31,309</w:t>
            </w:r>
          </w:p>
        </w:tc>
        <w:tc>
          <w:tcPr>
            <w:tcW w:w="124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196"/>
        </w:trPr>
        <w:tc>
          <w:tcPr>
            <w:tcW w:w="51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Settlement of Swedish pension plan</w:t>
            </w:r>
          </w:p>
        </w:tc>
        <w:tc>
          <w:tcPr>
            <w:tcW w:w="126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9,175</w:t>
            </w:r>
          </w:p>
        </w:tc>
        <w:tc>
          <w:tcPr>
            <w:tcW w:w="128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2,413</w:t>
            </w:r>
          </w:p>
        </w:tc>
        <w:tc>
          <w:tcPr>
            <w:tcW w:w="124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6,762</w:t>
            </w:r>
          </w:p>
        </w:tc>
        <w:tc>
          <w:tcPr>
            <w:tcW w:w="124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31,309</w:t>
            </w:r>
          </w:p>
        </w:tc>
        <w:tc>
          <w:tcPr>
            <w:tcW w:w="124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196"/>
        </w:trPr>
        <w:tc>
          <w:tcPr>
            <w:tcW w:w="51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Discrete income tax benefit from continuing operations</w:t>
            </w:r>
          </w:p>
        </w:tc>
        <w:tc>
          <w:tcPr>
            <w:tcW w:w="126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6,733</w:t>
            </w:r>
          </w:p>
        </w:tc>
        <w:tc>
          <w:tcPr>
            <w:tcW w:w="124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6,733</w:t>
            </w:r>
          </w:p>
        </w:tc>
        <w:tc>
          <w:tcPr>
            <w:tcW w:w="124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31,309</w:t>
            </w:r>
          </w:p>
        </w:tc>
        <w:tc>
          <w:tcPr>
            <w:tcW w:w="124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331"/>
        </w:trPr>
        <w:tc>
          <w:tcPr>
            <w:tcW w:w="5160" w:type="dxa"/>
            <w:vAlign w:val="bottom"/>
          </w:tcPr>
          <w:p>
            <w:pPr>
              <w:spacing w:after="0"/>
              <w:rPr>
                <w:sz w:val="20"/>
                <w:szCs w:val="20"/>
                <w:color w:val="auto"/>
              </w:rPr>
            </w:pPr>
            <w:r>
              <w:rPr>
                <w:rFonts w:ascii="Arial" w:cs="Arial" w:eastAsia="Arial" w:hAnsi="Arial"/>
                <w:sz w:val="18"/>
                <w:szCs w:val="18"/>
                <w:b w:val="1"/>
                <w:bCs w:val="1"/>
                <w:color w:val="auto"/>
              </w:rPr>
              <w:t>Quarter ended March 31, 2011</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516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5160" w:type="dxa"/>
            <w:vAlign w:val="bottom"/>
            <w:tcBorders>
              <w:left w:val="single" w:sz="8" w:color="auto"/>
              <w:right w:val="single" w:sz="8" w:color="auto"/>
            </w:tcBorders>
          </w:tcPr>
          <w:p>
            <w:pPr>
              <w:spacing w:after="0"/>
              <w:rPr>
                <w:sz w:val="16"/>
                <w:szCs w:val="16"/>
                <w:color w:val="auto"/>
              </w:rPr>
            </w:pPr>
          </w:p>
        </w:tc>
        <w:tc>
          <w:tcPr>
            <w:tcW w:w="126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Pre-tax</w:t>
            </w:r>
          </w:p>
        </w:tc>
        <w:tc>
          <w:tcPr>
            <w:tcW w:w="128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After-tax</w:t>
            </w:r>
          </w:p>
        </w:tc>
        <w:tc>
          <w:tcPr>
            <w:tcW w:w="124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Shares</w:t>
            </w:r>
          </w:p>
        </w:tc>
        <w:tc>
          <w:tcPr>
            <w:tcW w:w="1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Per</w:t>
            </w:r>
          </w:p>
        </w:tc>
        <w:tc>
          <w:tcPr>
            <w:tcW w:w="0" w:type="dxa"/>
            <w:vAlign w:val="bottom"/>
          </w:tcPr>
          <w:p>
            <w:pPr>
              <w:spacing w:after="0"/>
              <w:rPr>
                <w:sz w:val="1"/>
                <w:szCs w:val="1"/>
                <w:color w:val="auto"/>
              </w:rPr>
            </w:pPr>
          </w:p>
        </w:tc>
      </w:tr>
      <w:tr>
        <w:trPr>
          <w:trHeight w:val="95"/>
        </w:trPr>
        <w:tc>
          <w:tcPr>
            <w:tcW w:w="5160" w:type="dxa"/>
            <w:vAlign w:val="bottom"/>
            <w:tcBorders>
              <w:left w:val="single" w:sz="8" w:color="auto"/>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(in thousands, except per share amounts)</w:t>
            </w:r>
          </w:p>
        </w:tc>
        <w:tc>
          <w:tcPr>
            <w:tcW w:w="1260" w:type="dxa"/>
            <w:vAlign w:val="bottom"/>
            <w:tcBorders>
              <w:right w:val="single" w:sz="8" w:color="auto"/>
            </w:tcBorders>
            <w:vMerge w:val="continue"/>
          </w:tcPr>
          <w:p>
            <w:pPr>
              <w:spacing w:after="0"/>
              <w:rPr>
                <w:sz w:val="8"/>
                <w:szCs w:val="8"/>
                <w:color w:val="auto"/>
              </w:rPr>
            </w:pPr>
          </w:p>
        </w:tc>
        <w:tc>
          <w:tcPr>
            <w:tcW w:w="1280" w:type="dxa"/>
            <w:vAlign w:val="bottom"/>
            <w:tcBorders>
              <w:right w:val="single" w:sz="8" w:color="auto"/>
            </w:tcBorders>
            <w:vMerge w:val="restart"/>
          </w:tcPr>
          <w:p>
            <w:pPr>
              <w:jc w:val="right"/>
              <w:ind w:right="170"/>
              <w:spacing w:after="0" w:line="202" w:lineRule="exact"/>
              <w:rPr>
                <w:sz w:val="20"/>
                <w:szCs w:val="20"/>
                <w:color w:val="auto"/>
              </w:rPr>
            </w:pPr>
            <w:r>
              <w:rPr>
                <w:rFonts w:ascii="Arial" w:cs="Arial" w:eastAsia="Arial" w:hAnsi="Arial"/>
                <w:sz w:val="18"/>
                <w:szCs w:val="18"/>
                <w:color w:val="auto"/>
              </w:rPr>
              <w:t>Tax Effect</w:t>
            </w:r>
          </w:p>
        </w:tc>
        <w:tc>
          <w:tcPr>
            <w:tcW w:w="1240" w:type="dxa"/>
            <w:vAlign w:val="bottom"/>
            <w:tcBorders>
              <w:right w:val="single" w:sz="8" w:color="auto"/>
            </w:tcBorders>
            <w:vMerge w:val="continue"/>
          </w:tcPr>
          <w:p>
            <w:pPr>
              <w:spacing w:after="0"/>
              <w:rPr>
                <w:sz w:val="8"/>
                <w:szCs w:val="8"/>
                <w:color w:val="auto"/>
              </w:rPr>
            </w:pPr>
          </w:p>
        </w:tc>
        <w:tc>
          <w:tcPr>
            <w:tcW w:w="1240" w:type="dxa"/>
            <w:vAlign w:val="bottom"/>
            <w:tcBorders>
              <w:right w:val="single" w:sz="8" w:color="auto"/>
            </w:tcBorders>
            <w:vMerge w:val="continue"/>
          </w:tcPr>
          <w:p>
            <w:pPr>
              <w:spacing w:after="0"/>
              <w:rPr>
                <w:sz w:val="8"/>
                <w:szCs w:val="8"/>
                <w:color w:val="auto"/>
              </w:rPr>
            </w:pPr>
          </w:p>
        </w:tc>
        <w:tc>
          <w:tcPr>
            <w:tcW w:w="124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color w:val="auto"/>
                <w:w w:val="99"/>
              </w:rPr>
              <w:t>Share</w:t>
            </w:r>
          </w:p>
        </w:tc>
        <w:tc>
          <w:tcPr>
            <w:tcW w:w="0" w:type="dxa"/>
            <w:vAlign w:val="bottom"/>
          </w:tcPr>
          <w:p>
            <w:pPr>
              <w:spacing w:after="0"/>
              <w:rPr>
                <w:sz w:val="1"/>
                <w:szCs w:val="1"/>
                <w:color w:val="auto"/>
              </w:rPr>
            </w:pPr>
          </w:p>
        </w:tc>
      </w:tr>
      <w:tr>
        <w:trPr>
          <w:trHeight w:val="108"/>
        </w:trPr>
        <w:tc>
          <w:tcPr>
            <w:tcW w:w="5160" w:type="dxa"/>
            <w:vAlign w:val="bottom"/>
            <w:tcBorders>
              <w:left w:val="single" w:sz="8" w:color="auto"/>
              <w:right w:val="single" w:sz="8" w:color="auto"/>
            </w:tcBorders>
            <w:vMerge w:val="continue"/>
          </w:tcPr>
          <w:p>
            <w:pPr>
              <w:spacing w:after="0"/>
              <w:rPr>
                <w:sz w:val="9"/>
                <w:szCs w:val="9"/>
                <w:color w:val="auto"/>
              </w:rPr>
            </w:pPr>
          </w:p>
        </w:tc>
        <w:tc>
          <w:tcPr>
            <w:tcW w:w="126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color w:val="auto"/>
              </w:rPr>
              <w:t>amounts</w:t>
            </w:r>
          </w:p>
        </w:tc>
        <w:tc>
          <w:tcPr>
            <w:tcW w:w="128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restart"/>
          </w:tcPr>
          <w:p>
            <w:pPr>
              <w:jc w:val="right"/>
              <w:ind w:right="310"/>
              <w:spacing w:after="0"/>
              <w:rPr>
                <w:sz w:val="20"/>
                <w:szCs w:val="20"/>
                <w:color w:val="auto"/>
              </w:rPr>
            </w:pPr>
            <w:r>
              <w:rPr>
                <w:rFonts w:ascii="Arial" w:cs="Arial" w:eastAsia="Arial" w:hAnsi="Arial"/>
                <w:sz w:val="18"/>
                <w:szCs w:val="18"/>
                <w:color w:val="auto"/>
              </w:rPr>
              <w:t>Effect</w:t>
            </w:r>
          </w:p>
        </w:tc>
        <w:tc>
          <w:tcPr>
            <w:tcW w:w="124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Outstanding</w:t>
            </w:r>
          </w:p>
        </w:tc>
        <w:tc>
          <w:tcPr>
            <w:tcW w:w="12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5160" w:type="dxa"/>
            <w:vAlign w:val="bottom"/>
            <w:tcBorders>
              <w:left w:val="single" w:sz="8" w:color="auto"/>
              <w:right w:val="single" w:sz="8" w:color="auto"/>
            </w:tcBorders>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restart"/>
          </w:tcPr>
          <w:p>
            <w:pPr>
              <w:jc w:val="right"/>
              <w:ind w:right="310"/>
              <w:spacing w:after="0" w:line="203" w:lineRule="exact"/>
              <w:rPr>
                <w:sz w:val="20"/>
                <w:szCs w:val="20"/>
                <w:color w:val="auto"/>
              </w:rPr>
            </w:pPr>
            <w:r>
              <w:rPr>
                <w:rFonts w:ascii="Arial" w:cs="Arial" w:eastAsia="Arial" w:hAnsi="Arial"/>
                <w:sz w:val="18"/>
                <w:szCs w:val="18"/>
                <w:color w:val="auto"/>
              </w:rPr>
              <w:t>Effect</w:t>
            </w:r>
          </w:p>
        </w:tc>
        <w:tc>
          <w:tcPr>
            <w:tcW w:w="0" w:type="dxa"/>
            <w:vAlign w:val="bottom"/>
          </w:tcPr>
          <w:p>
            <w:pPr>
              <w:spacing w:after="0"/>
              <w:rPr>
                <w:sz w:val="1"/>
                <w:szCs w:val="1"/>
                <w:color w:val="auto"/>
              </w:rPr>
            </w:pPr>
          </w:p>
        </w:tc>
      </w:tr>
      <w:tr>
        <w:trPr>
          <w:trHeight w:val="95"/>
        </w:trPr>
        <w:tc>
          <w:tcPr>
            <w:tcW w:w="5160" w:type="dxa"/>
            <w:vAlign w:val="bottom"/>
            <w:tcBorders>
              <w:left w:val="single" w:sz="8" w:color="auto"/>
              <w:bottom w:val="single" w:sz="8" w:color="auto"/>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128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51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Restructuring and other, net from continuing operations</w:t>
            </w:r>
          </w:p>
        </w:tc>
        <w:tc>
          <w:tcPr>
            <w:tcW w:w="126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$34</w:t>
            </w:r>
          </w:p>
        </w:tc>
        <w:tc>
          <w:tcPr>
            <w:tcW w:w="128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$11</w:t>
            </w:r>
          </w:p>
        </w:tc>
        <w:tc>
          <w:tcPr>
            <w:tcW w:w="124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$23</w:t>
            </w:r>
          </w:p>
        </w:tc>
        <w:tc>
          <w:tcPr>
            <w:tcW w:w="124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31,223</w:t>
            </w:r>
          </w:p>
        </w:tc>
        <w:tc>
          <w:tcPr>
            <w:tcW w:w="124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196"/>
        </w:trPr>
        <w:tc>
          <w:tcPr>
            <w:tcW w:w="51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w w:val="99"/>
              </w:rPr>
              <w:t>Foreign currency revaluation losses from continuing operations</w:t>
            </w:r>
          </w:p>
        </w:tc>
        <w:tc>
          <w:tcPr>
            <w:tcW w:w="126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5,850</w:t>
            </w:r>
          </w:p>
        </w:tc>
        <w:tc>
          <w:tcPr>
            <w:tcW w:w="128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1,819</w:t>
            </w:r>
          </w:p>
        </w:tc>
        <w:tc>
          <w:tcPr>
            <w:tcW w:w="124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4,031</w:t>
            </w:r>
          </w:p>
        </w:tc>
        <w:tc>
          <w:tcPr>
            <w:tcW w:w="124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31,223</w:t>
            </w:r>
          </w:p>
        </w:tc>
        <w:tc>
          <w:tcPr>
            <w:tcW w:w="124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196"/>
        </w:trPr>
        <w:tc>
          <w:tcPr>
            <w:tcW w:w="51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Discrete income tax benefit from continuing operations</w:t>
            </w:r>
          </w:p>
        </w:tc>
        <w:tc>
          <w:tcPr>
            <w:tcW w:w="126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1,413</w:t>
            </w:r>
          </w:p>
        </w:tc>
        <w:tc>
          <w:tcPr>
            <w:tcW w:w="124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1,413</w:t>
            </w:r>
          </w:p>
        </w:tc>
        <w:tc>
          <w:tcPr>
            <w:tcW w:w="124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31,223</w:t>
            </w:r>
          </w:p>
        </w:tc>
        <w:tc>
          <w:tcPr>
            <w:tcW w:w="124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The Company defines net debt as total debt minus cash. Management views net debt, a non-GAAP financial measure, as a measure of the Company's ability to reduce debt, add to cash balances, pay dividends, repurchase stock, and fund investing and financing activities. A reconciliation of total debt to net debt as of March 31 and December 31, 2011, is shown below:</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the calculation of net debt:</w:t>
      </w:r>
    </w:p>
    <w:p>
      <w:pPr>
        <w:spacing w:after="0" w:line="84"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6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2120" w:type="dxa"/>
            <w:vAlign w:val="bottom"/>
            <w:tcBorders>
              <w:top w:val="single" w:sz="8" w:color="auto"/>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March 31, 2012</w:t>
            </w:r>
          </w:p>
        </w:tc>
        <w:tc>
          <w:tcPr>
            <w:tcW w:w="234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December 31, 2011</w:t>
            </w:r>
          </w:p>
        </w:tc>
        <w:tc>
          <w:tcPr>
            <w:tcW w:w="2280" w:type="dxa"/>
            <w:vAlign w:val="bottom"/>
          </w:tcPr>
          <w:p>
            <w:pPr>
              <w:spacing w:after="0"/>
              <w:rPr>
                <w:sz w:val="18"/>
                <w:szCs w:val="18"/>
                <w:color w:val="auto"/>
              </w:rPr>
            </w:pPr>
          </w:p>
        </w:tc>
      </w:tr>
      <w:tr>
        <w:trPr>
          <w:trHeight w:val="196"/>
        </w:trPr>
        <w:tc>
          <w:tcPr>
            <w:tcW w:w="468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Notes and loans payable</w:t>
            </w:r>
          </w:p>
        </w:tc>
        <w:tc>
          <w:tcPr>
            <w:tcW w:w="2120" w:type="dxa"/>
            <w:vAlign w:val="bottom"/>
            <w:tcBorders>
              <w:bottom w:val="single" w:sz="8" w:color="auto"/>
              <w:right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$193</w:t>
            </w:r>
          </w:p>
        </w:tc>
        <w:tc>
          <w:tcPr>
            <w:tcW w:w="234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$424</w:t>
            </w:r>
          </w:p>
        </w:tc>
        <w:tc>
          <w:tcPr>
            <w:tcW w:w="2280" w:type="dxa"/>
            <w:vAlign w:val="bottom"/>
          </w:tcPr>
          <w:p>
            <w:pPr>
              <w:spacing w:after="0"/>
              <w:rPr>
                <w:sz w:val="17"/>
                <w:szCs w:val="17"/>
                <w:color w:val="auto"/>
              </w:rPr>
            </w:pPr>
          </w:p>
        </w:tc>
      </w:tr>
      <w:tr>
        <w:trPr>
          <w:trHeight w:val="196"/>
        </w:trPr>
        <w:tc>
          <w:tcPr>
            <w:tcW w:w="468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Current maturities of long-term debt</w:t>
            </w:r>
          </w:p>
        </w:tc>
        <w:tc>
          <w:tcPr>
            <w:tcW w:w="2120" w:type="dxa"/>
            <w:vAlign w:val="bottom"/>
            <w:tcBorders>
              <w:bottom w:val="single" w:sz="8" w:color="auto"/>
              <w:right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30,145</w:t>
            </w:r>
          </w:p>
        </w:tc>
        <w:tc>
          <w:tcPr>
            <w:tcW w:w="234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1,263</w:t>
            </w:r>
          </w:p>
        </w:tc>
        <w:tc>
          <w:tcPr>
            <w:tcW w:w="2280" w:type="dxa"/>
            <w:vAlign w:val="bottom"/>
          </w:tcPr>
          <w:p>
            <w:pPr>
              <w:spacing w:after="0"/>
              <w:rPr>
                <w:sz w:val="17"/>
                <w:szCs w:val="17"/>
                <w:color w:val="auto"/>
              </w:rPr>
            </w:pPr>
          </w:p>
        </w:tc>
      </w:tr>
      <w:tr>
        <w:trPr>
          <w:trHeight w:val="196"/>
        </w:trPr>
        <w:tc>
          <w:tcPr>
            <w:tcW w:w="468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Long-term debt</w:t>
            </w:r>
          </w:p>
        </w:tc>
        <w:tc>
          <w:tcPr>
            <w:tcW w:w="2120" w:type="dxa"/>
            <w:vAlign w:val="bottom"/>
            <w:tcBorders>
              <w:bottom w:val="single" w:sz="8" w:color="auto"/>
              <w:right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296,636</w:t>
            </w:r>
          </w:p>
        </w:tc>
        <w:tc>
          <w:tcPr>
            <w:tcW w:w="234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373,125</w:t>
            </w:r>
          </w:p>
        </w:tc>
        <w:tc>
          <w:tcPr>
            <w:tcW w:w="2280" w:type="dxa"/>
            <w:vAlign w:val="bottom"/>
          </w:tcPr>
          <w:p>
            <w:pPr>
              <w:spacing w:after="0"/>
              <w:rPr>
                <w:sz w:val="17"/>
                <w:szCs w:val="17"/>
                <w:color w:val="auto"/>
              </w:rPr>
            </w:pPr>
          </w:p>
        </w:tc>
      </w:tr>
      <w:tr>
        <w:trPr>
          <w:trHeight w:val="196"/>
        </w:trPr>
        <w:tc>
          <w:tcPr>
            <w:tcW w:w="468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b w:val="1"/>
                <w:bCs w:val="1"/>
                <w:color w:val="auto"/>
              </w:rPr>
              <w:t>Total debt</w:t>
            </w:r>
          </w:p>
        </w:tc>
        <w:tc>
          <w:tcPr>
            <w:tcW w:w="2120" w:type="dxa"/>
            <w:vAlign w:val="bottom"/>
            <w:tcBorders>
              <w:bottom w:val="single" w:sz="8" w:color="auto"/>
              <w:right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326,974</w:t>
            </w:r>
          </w:p>
        </w:tc>
        <w:tc>
          <w:tcPr>
            <w:tcW w:w="234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374,812</w:t>
            </w:r>
          </w:p>
        </w:tc>
        <w:tc>
          <w:tcPr>
            <w:tcW w:w="2280" w:type="dxa"/>
            <w:vAlign w:val="bottom"/>
          </w:tcPr>
          <w:p>
            <w:pPr>
              <w:spacing w:after="0"/>
              <w:rPr>
                <w:sz w:val="17"/>
                <w:szCs w:val="17"/>
                <w:color w:val="auto"/>
              </w:rPr>
            </w:pPr>
          </w:p>
        </w:tc>
      </w:tr>
      <w:tr>
        <w:trPr>
          <w:trHeight w:val="196"/>
        </w:trPr>
        <w:tc>
          <w:tcPr>
            <w:tcW w:w="468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Cash</w:t>
            </w:r>
          </w:p>
        </w:tc>
        <w:tc>
          <w:tcPr>
            <w:tcW w:w="2120" w:type="dxa"/>
            <w:vAlign w:val="bottom"/>
            <w:tcBorders>
              <w:bottom w:val="single" w:sz="8" w:color="auto"/>
              <w:right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140,925</w:t>
            </w:r>
          </w:p>
        </w:tc>
        <w:tc>
          <w:tcPr>
            <w:tcW w:w="234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118,909</w:t>
            </w:r>
          </w:p>
        </w:tc>
        <w:tc>
          <w:tcPr>
            <w:tcW w:w="2280" w:type="dxa"/>
            <w:vAlign w:val="bottom"/>
          </w:tcPr>
          <w:p>
            <w:pPr>
              <w:spacing w:after="0"/>
              <w:rPr>
                <w:sz w:val="17"/>
                <w:szCs w:val="17"/>
                <w:color w:val="auto"/>
              </w:rPr>
            </w:pPr>
          </w:p>
        </w:tc>
      </w:tr>
      <w:tr>
        <w:trPr>
          <w:trHeight w:val="196"/>
        </w:trPr>
        <w:tc>
          <w:tcPr>
            <w:tcW w:w="468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b w:val="1"/>
                <w:bCs w:val="1"/>
                <w:color w:val="auto"/>
              </w:rPr>
              <w:t>Net debt</w:t>
            </w:r>
          </w:p>
        </w:tc>
        <w:tc>
          <w:tcPr>
            <w:tcW w:w="2120" w:type="dxa"/>
            <w:vAlign w:val="bottom"/>
            <w:tcBorders>
              <w:bottom w:val="single" w:sz="8" w:color="auto"/>
              <w:right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$186,049</w:t>
            </w:r>
          </w:p>
        </w:tc>
        <w:tc>
          <w:tcPr>
            <w:tcW w:w="234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$255,903</w:t>
            </w:r>
          </w:p>
        </w:tc>
        <w:tc>
          <w:tcPr>
            <w:tcW w:w="2280" w:type="dxa"/>
            <w:vAlign w:val="bottom"/>
          </w:tcPr>
          <w:p>
            <w:pPr>
              <w:spacing w:after="0"/>
              <w:rPr>
                <w:sz w:val="17"/>
                <w:szCs w:val="17"/>
                <w:color w:val="auto"/>
              </w:rPr>
            </w:pPr>
          </w:p>
        </w:tc>
      </w:tr>
      <w:tr>
        <w:trPr>
          <w:trHeight w:val="628"/>
        </w:trPr>
        <w:tc>
          <w:tcPr>
            <w:tcW w:w="4680" w:type="dxa"/>
            <w:vAlign w:val="bottom"/>
          </w:tcPr>
          <w:p>
            <w:pPr>
              <w:spacing w:after="0"/>
              <w:rPr>
                <w:sz w:val="24"/>
                <w:szCs w:val="24"/>
                <w:color w:val="auto"/>
              </w:rPr>
            </w:pPr>
          </w:p>
        </w:tc>
        <w:tc>
          <w:tcPr>
            <w:tcW w:w="2120" w:type="dxa"/>
            <w:vAlign w:val="bottom"/>
          </w:tcPr>
          <w:p>
            <w:pPr>
              <w:jc w:val="right"/>
              <w:ind w:right="890"/>
              <w:spacing w:after="0"/>
              <w:rPr>
                <w:sz w:val="20"/>
                <w:szCs w:val="20"/>
                <w:color w:val="auto"/>
              </w:rPr>
            </w:pPr>
            <w:r>
              <w:rPr>
                <w:rFonts w:ascii="Arial" w:cs="Arial" w:eastAsia="Arial" w:hAnsi="Arial"/>
                <w:sz w:val="18"/>
                <w:szCs w:val="18"/>
                <w:color w:val="auto"/>
              </w:rPr>
              <w:t>44</w:t>
            </w:r>
          </w:p>
        </w:tc>
        <w:tc>
          <w:tcPr>
            <w:tcW w:w="23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7"/>
        </w:trPr>
        <w:tc>
          <w:tcPr>
            <w:tcW w:w="46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679"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6"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For discussion of our exposure to market risk, refer to “Quantitative and Qualitative Disclosures About Market Risk” under Item 7A of form 10-K, which is included as an exhibit to this Form 10-Q.</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6"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Disclosure controls and procedures.</w:t>
      </w:r>
    </w:p>
    <w:p>
      <w:pPr>
        <w:spacing w:after="0" w:line="10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principal executive officers and principal financial officer, based on their evaluation of disclosure controls and procedures (as defined in Exchange Act Rules 13a-15(e) and 15d-15(e)) as of the end of the period covered by this Quarterly Report on Form 10-Q, have concluded that the Company’s disclosure controls and procedures are effective for ensuring that information required to be disclosed in the reports that it files or submits under the Securities Exchange Act of 1934 is recorded, processed, summarized and reported within the time periods specified in the Commission’s rules and forms. Disclosure controls and procedures include, without limitation, controls and procedures designed to ensure that information required to be disclosed in filed or submitted reports is accumulated and communicated to the Company’s management, including its principal executive officer and principal financial officer as appropriate, to allow timely decisions regarding required disclosure.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10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There were no changes in the Company’s internal control over financial reporting that occurred during the last fiscal quarter that have materially affected, or are reasonably likely to materially affect, the Company’s internal control over financial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Litigation</w:t>
      </w:r>
    </w:p>
    <w:p>
      <w:pPr>
        <w:spacing w:after="0" w:line="18"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Albany International Corp is a defendant in suits brought in various courts in the United States by plaintiffs who allege that they have suffered personal injury as a result of exposure to asbestos-containing products that we previously manufactured. We produced asbestos-containing paper machine clothing synthetic dryer fabrics marketed during the period from 1967 to 1976 and used in certain paper mills. Such fabrics generally had a useful life of three to twelve months.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defending 4,440 claims as of April 25, 2012.</w:t>
      </w:r>
    </w:p>
    <w:p>
      <w:pPr>
        <w:spacing w:after="0" w:line="104"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70"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1740" w:type="dxa"/>
            <w:vAlign w:val="bottom"/>
            <w:tcBorders>
              <w:top w:val="single" w:sz="8" w:color="auto"/>
              <w:left w:val="single" w:sz="8" w:color="auto"/>
              <w:right w:val="single" w:sz="8" w:color="auto"/>
            </w:tcBorders>
            <w:vMerge w:val="restart"/>
          </w:tcPr>
          <w:p>
            <w:pPr>
              <w:ind w:left="380"/>
              <w:spacing w:after="0"/>
              <w:rPr>
                <w:sz w:val="20"/>
                <w:szCs w:val="20"/>
                <w:color w:val="auto"/>
              </w:rPr>
            </w:pPr>
            <w:r>
              <w:rPr>
                <w:rFonts w:ascii="Arial" w:cs="Arial" w:eastAsia="Arial" w:hAnsi="Arial"/>
                <w:sz w:val="18"/>
                <w:szCs w:val="18"/>
                <w:i w:val="1"/>
                <w:iCs w:val="1"/>
                <w:color w:val="auto"/>
              </w:rPr>
              <w:t>Year ended</w:t>
            </w:r>
          </w:p>
        </w:tc>
        <w:tc>
          <w:tcPr>
            <w:tcW w:w="1840" w:type="dxa"/>
            <w:vAlign w:val="bottom"/>
            <w:tcBorders>
              <w:top w:val="single" w:sz="8" w:color="auto"/>
              <w:right w:val="single" w:sz="8" w:color="auto"/>
            </w:tcBorders>
            <w:vMerge w:val="restart"/>
          </w:tcPr>
          <w:p>
            <w:pPr>
              <w:jc w:val="right"/>
              <w:ind w:right="190"/>
              <w:spacing w:after="0"/>
              <w:rPr>
                <w:sz w:val="20"/>
                <w:szCs w:val="20"/>
                <w:color w:val="auto"/>
              </w:rPr>
            </w:pPr>
            <w:r>
              <w:rPr>
                <w:rFonts w:ascii="Arial" w:cs="Arial" w:eastAsia="Arial" w:hAnsi="Arial"/>
                <w:sz w:val="18"/>
                <w:szCs w:val="18"/>
                <w:i w:val="1"/>
                <w:iCs w:val="1"/>
                <w:color w:val="auto"/>
              </w:rPr>
              <w:t>Opening Number</w:t>
            </w:r>
          </w:p>
        </w:tc>
        <w:tc>
          <w:tcPr>
            <w:tcW w:w="2260" w:type="dxa"/>
            <w:vAlign w:val="bottom"/>
            <w:tcBorders>
              <w:top w:val="single" w:sz="8" w:color="auto"/>
              <w:right w:val="single" w:sz="8" w:color="auto"/>
            </w:tcBorders>
            <w:vMerge w:val="restart"/>
          </w:tcPr>
          <w:p>
            <w:pPr>
              <w:jc w:val="right"/>
              <w:ind w:right="330"/>
              <w:spacing w:after="0"/>
              <w:rPr>
                <w:sz w:val="20"/>
                <w:szCs w:val="20"/>
                <w:color w:val="auto"/>
              </w:rPr>
            </w:pPr>
            <w:r>
              <w:rPr>
                <w:rFonts w:ascii="Arial" w:cs="Arial" w:eastAsia="Arial" w:hAnsi="Arial"/>
                <w:sz w:val="18"/>
                <w:szCs w:val="18"/>
                <w:i w:val="1"/>
                <w:iCs w:val="1"/>
                <w:color w:val="auto"/>
              </w:rPr>
              <w:t>Claims Dismissed,</w:t>
            </w:r>
          </w:p>
        </w:tc>
        <w:tc>
          <w:tcPr>
            <w:tcW w:w="1380" w:type="dxa"/>
            <w:vAlign w:val="bottom"/>
            <w:tcBorders>
              <w:top w:val="single" w:sz="8" w:color="auto"/>
              <w:right w:val="single" w:sz="8" w:color="auto"/>
            </w:tcBorders>
          </w:tcPr>
          <w:p>
            <w:pPr>
              <w:spacing w:after="0"/>
              <w:rPr>
                <w:sz w:val="17"/>
                <w:szCs w:val="17"/>
                <w:color w:val="auto"/>
              </w:rPr>
            </w:pPr>
          </w:p>
        </w:tc>
        <w:tc>
          <w:tcPr>
            <w:tcW w:w="1820" w:type="dxa"/>
            <w:vAlign w:val="bottom"/>
            <w:tcBorders>
              <w:top w:val="single" w:sz="8" w:color="auto"/>
              <w:right w:val="single" w:sz="8" w:color="auto"/>
            </w:tcBorders>
            <w:vMerge w:val="restart"/>
          </w:tcPr>
          <w:p>
            <w:pPr>
              <w:jc w:val="right"/>
              <w:ind w:right="210"/>
              <w:spacing w:after="0"/>
              <w:rPr>
                <w:sz w:val="20"/>
                <w:szCs w:val="20"/>
                <w:color w:val="auto"/>
              </w:rPr>
            </w:pPr>
            <w:r>
              <w:rPr>
                <w:rFonts w:ascii="Arial" w:cs="Arial" w:eastAsia="Arial" w:hAnsi="Arial"/>
                <w:sz w:val="18"/>
                <w:szCs w:val="18"/>
                <w:i w:val="1"/>
                <w:iCs w:val="1"/>
                <w:color w:val="auto"/>
              </w:rPr>
              <w:t>Closing Number</w:t>
            </w:r>
          </w:p>
        </w:tc>
        <w:tc>
          <w:tcPr>
            <w:tcW w:w="2380" w:type="dxa"/>
            <w:vAlign w:val="bottom"/>
            <w:tcBorders>
              <w:top w:val="single" w:sz="8" w:color="auto"/>
              <w:right w:val="single" w:sz="8" w:color="auto"/>
            </w:tcBorders>
          </w:tcPr>
          <w:p>
            <w:pPr>
              <w:jc w:val="right"/>
              <w:ind w:right="570"/>
              <w:spacing w:after="0" w:line="197" w:lineRule="exact"/>
              <w:rPr>
                <w:sz w:val="20"/>
                <w:szCs w:val="20"/>
                <w:color w:val="auto"/>
              </w:rPr>
            </w:pPr>
            <w:r>
              <w:rPr>
                <w:rFonts w:ascii="Arial" w:cs="Arial" w:eastAsia="Arial" w:hAnsi="Arial"/>
                <w:sz w:val="18"/>
                <w:szCs w:val="18"/>
                <w:i w:val="1"/>
                <w:iCs w:val="1"/>
                <w:color w:val="auto"/>
              </w:rPr>
              <w:t>Amounts Paid</w:t>
            </w:r>
          </w:p>
        </w:tc>
        <w:tc>
          <w:tcPr>
            <w:tcW w:w="0" w:type="dxa"/>
            <w:vAlign w:val="bottom"/>
          </w:tcPr>
          <w:p>
            <w:pPr>
              <w:spacing w:after="0"/>
              <w:rPr>
                <w:sz w:val="1"/>
                <w:szCs w:val="1"/>
                <w:color w:val="auto"/>
              </w:rPr>
            </w:pPr>
          </w:p>
        </w:tc>
      </w:tr>
      <w:tr>
        <w:trPr>
          <w:trHeight w:val="95"/>
        </w:trPr>
        <w:tc>
          <w:tcPr>
            <w:tcW w:w="1740" w:type="dxa"/>
            <w:vAlign w:val="bottom"/>
            <w:tcBorders>
              <w:left w:val="single" w:sz="8" w:color="auto"/>
              <w:right w:val="single" w:sz="8" w:color="auto"/>
            </w:tcBorders>
            <w:vMerge w:val="continue"/>
          </w:tcPr>
          <w:p>
            <w:pPr>
              <w:spacing w:after="0"/>
              <w:rPr>
                <w:sz w:val="8"/>
                <w:szCs w:val="8"/>
                <w:color w:val="auto"/>
              </w:rPr>
            </w:pPr>
          </w:p>
        </w:tc>
        <w:tc>
          <w:tcPr>
            <w:tcW w:w="1840" w:type="dxa"/>
            <w:vAlign w:val="bottom"/>
            <w:tcBorders>
              <w:right w:val="single" w:sz="8" w:color="auto"/>
            </w:tcBorders>
            <w:vMerge w:val="continue"/>
          </w:tcPr>
          <w:p>
            <w:pPr>
              <w:spacing w:after="0"/>
              <w:rPr>
                <w:sz w:val="8"/>
                <w:szCs w:val="8"/>
                <w:color w:val="auto"/>
              </w:rPr>
            </w:pPr>
          </w:p>
        </w:tc>
        <w:tc>
          <w:tcPr>
            <w:tcW w:w="2260" w:type="dxa"/>
            <w:vAlign w:val="bottom"/>
            <w:tcBorders>
              <w:right w:val="single" w:sz="8" w:color="auto"/>
            </w:tcBorders>
            <w:vMerge w:val="continue"/>
          </w:tcPr>
          <w:p>
            <w:pPr>
              <w:spacing w:after="0"/>
              <w:rPr>
                <w:sz w:val="8"/>
                <w:szCs w:val="8"/>
                <w:color w:val="auto"/>
              </w:rPr>
            </w:pPr>
          </w:p>
        </w:tc>
        <w:tc>
          <w:tcPr>
            <w:tcW w:w="1380" w:type="dxa"/>
            <w:vAlign w:val="bottom"/>
            <w:tcBorders>
              <w:right w:val="single" w:sz="8" w:color="auto"/>
            </w:tcBorders>
            <w:vMerge w:val="restart"/>
          </w:tcPr>
          <w:p>
            <w:pPr>
              <w:jc w:val="right"/>
              <w:ind w:right="130"/>
              <w:spacing w:after="0" w:line="202" w:lineRule="exact"/>
              <w:rPr>
                <w:sz w:val="20"/>
                <w:szCs w:val="20"/>
                <w:color w:val="auto"/>
              </w:rPr>
            </w:pPr>
            <w:r>
              <w:rPr>
                <w:rFonts w:ascii="Arial" w:cs="Arial" w:eastAsia="Arial" w:hAnsi="Arial"/>
                <w:sz w:val="18"/>
                <w:szCs w:val="18"/>
                <w:i w:val="1"/>
                <w:iCs w:val="1"/>
                <w:color w:val="auto"/>
              </w:rPr>
              <w:t>New Claims</w:t>
            </w:r>
          </w:p>
        </w:tc>
        <w:tc>
          <w:tcPr>
            <w:tcW w:w="1820" w:type="dxa"/>
            <w:vAlign w:val="bottom"/>
            <w:tcBorders>
              <w:right w:val="single" w:sz="8" w:color="auto"/>
            </w:tcBorders>
            <w:vMerge w:val="continue"/>
          </w:tcPr>
          <w:p>
            <w:pPr>
              <w:spacing w:after="0"/>
              <w:rPr>
                <w:sz w:val="8"/>
                <w:szCs w:val="8"/>
                <w:color w:val="auto"/>
              </w:rPr>
            </w:pPr>
          </w:p>
        </w:tc>
        <w:tc>
          <w:tcPr>
            <w:tcW w:w="2380" w:type="dxa"/>
            <w:vAlign w:val="bottom"/>
            <w:tcBorders>
              <w:right w:val="single" w:sz="8" w:color="auto"/>
            </w:tcBorders>
            <w:vMerge w:val="restart"/>
          </w:tcPr>
          <w:p>
            <w:pPr>
              <w:jc w:val="right"/>
              <w:ind w:right="310"/>
              <w:spacing w:after="0" w:line="202" w:lineRule="exact"/>
              <w:rPr>
                <w:sz w:val="20"/>
                <w:szCs w:val="20"/>
                <w:color w:val="auto"/>
              </w:rPr>
            </w:pPr>
            <w:r>
              <w:rPr>
                <w:rFonts w:ascii="Arial" w:cs="Arial" w:eastAsia="Arial" w:hAnsi="Arial"/>
                <w:sz w:val="18"/>
                <w:szCs w:val="18"/>
                <w:i w:val="1"/>
                <w:iCs w:val="1"/>
                <w:color w:val="auto"/>
              </w:rPr>
              <w:t>(thousands) to Settle</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restart"/>
          </w:tcPr>
          <w:p>
            <w:pPr>
              <w:ind w:left="300"/>
              <w:spacing w:after="0"/>
              <w:rPr>
                <w:sz w:val="20"/>
                <w:szCs w:val="20"/>
                <w:color w:val="auto"/>
              </w:rPr>
            </w:pPr>
            <w:r>
              <w:rPr>
                <w:rFonts w:ascii="Arial" w:cs="Arial" w:eastAsia="Arial" w:hAnsi="Arial"/>
                <w:sz w:val="18"/>
                <w:szCs w:val="18"/>
                <w:i w:val="1"/>
                <w:iCs w:val="1"/>
                <w:color w:val="auto"/>
              </w:rPr>
              <w:t>December 31,</w:t>
            </w:r>
          </w:p>
        </w:tc>
        <w:tc>
          <w:tcPr>
            <w:tcW w:w="1840" w:type="dxa"/>
            <w:vAlign w:val="bottom"/>
            <w:tcBorders>
              <w:right w:val="single" w:sz="8" w:color="auto"/>
            </w:tcBorders>
            <w:vMerge w:val="restart"/>
          </w:tcPr>
          <w:p>
            <w:pPr>
              <w:jc w:val="right"/>
              <w:ind w:right="470"/>
              <w:spacing w:after="0"/>
              <w:rPr>
                <w:sz w:val="20"/>
                <w:szCs w:val="20"/>
                <w:color w:val="auto"/>
              </w:rPr>
            </w:pPr>
            <w:r>
              <w:rPr>
                <w:rFonts w:ascii="Arial" w:cs="Arial" w:eastAsia="Arial" w:hAnsi="Arial"/>
                <w:sz w:val="18"/>
                <w:szCs w:val="18"/>
                <w:i w:val="1"/>
                <w:iCs w:val="1"/>
                <w:color w:val="auto"/>
              </w:rPr>
              <w:t>of Claims</w:t>
            </w:r>
          </w:p>
        </w:tc>
        <w:tc>
          <w:tcPr>
            <w:tcW w:w="22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i w:val="1"/>
                <w:iCs w:val="1"/>
                <w:color w:val="auto"/>
              </w:rPr>
              <w:t>Settled, or Resolved</w:t>
            </w:r>
          </w:p>
        </w:tc>
        <w:tc>
          <w:tcPr>
            <w:tcW w:w="138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restart"/>
          </w:tcPr>
          <w:p>
            <w:pPr>
              <w:jc w:val="right"/>
              <w:ind w:right="470"/>
              <w:spacing w:after="0"/>
              <w:rPr>
                <w:sz w:val="20"/>
                <w:szCs w:val="20"/>
                <w:color w:val="auto"/>
              </w:rPr>
            </w:pPr>
            <w:r>
              <w:rPr>
                <w:rFonts w:ascii="Arial" w:cs="Arial" w:eastAsia="Arial" w:hAnsi="Arial"/>
                <w:sz w:val="18"/>
                <w:szCs w:val="18"/>
                <w:i w:val="1"/>
                <w:iCs w:val="1"/>
                <w:color w:val="auto"/>
              </w:rPr>
              <w:t>of Claims</w:t>
            </w:r>
          </w:p>
        </w:tc>
        <w:tc>
          <w:tcPr>
            <w:tcW w:w="23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74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2260" w:type="dxa"/>
            <w:vAlign w:val="bottom"/>
            <w:tcBorders>
              <w:right w:val="single" w:sz="8" w:color="auto"/>
            </w:tcBorders>
            <w:vMerge w:val="continue"/>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1820" w:type="dxa"/>
            <w:vAlign w:val="bottom"/>
            <w:tcBorders>
              <w:right w:val="single" w:sz="8" w:color="auto"/>
            </w:tcBorders>
            <w:vMerge w:val="continue"/>
          </w:tcPr>
          <w:p>
            <w:pPr>
              <w:spacing w:after="0"/>
              <w:rPr>
                <w:sz w:val="11"/>
                <w:szCs w:val="11"/>
                <w:color w:val="auto"/>
              </w:rPr>
            </w:pPr>
          </w:p>
        </w:tc>
        <w:tc>
          <w:tcPr>
            <w:tcW w:w="2380" w:type="dxa"/>
            <w:vAlign w:val="bottom"/>
            <w:tcBorders>
              <w:right w:val="single" w:sz="8" w:color="auto"/>
            </w:tcBorders>
            <w:vMerge w:val="restart"/>
          </w:tcPr>
          <w:p>
            <w:pPr>
              <w:jc w:val="right"/>
              <w:ind w:right="550"/>
              <w:spacing w:after="0"/>
              <w:rPr>
                <w:sz w:val="20"/>
                <w:szCs w:val="20"/>
                <w:color w:val="auto"/>
              </w:rPr>
            </w:pPr>
            <w:r>
              <w:rPr>
                <w:rFonts w:ascii="Arial" w:cs="Arial" w:eastAsia="Arial" w:hAnsi="Arial"/>
                <w:sz w:val="18"/>
                <w:szCs w:val="18"/>
                <w:i w:val="1"/>
                <w:iCs w:val="1"/>
                <w:color w:val="auto"/>
              </w:rPr>
              <w:t>or Resolve ($)</w:t>
            </w:r>
          </w:p>
        </w:tc>
        <w:tc>
          <w:tcPr>
            <w:tcW w:w="0" w:type="dxa"/>
            <w:vAlign w:val="bottom"/>
          </w:tcPr>
          <w:p>
            <w:pPr>
              <w:spacing w:after="0"/>
              <w:rPr>
                <w:sz w:val="1"/>
                <w:szCs w:val="1"/>
                <w:color w:val="auto"/>
              </w:rPr>
            </w:pPr>
          </w:p>
        </w:tc>
      </w:tr>
      <w:tr>
        <w:trPr>
          <w:trHeight w:val="95"/>
        </w:trPr>
        <w:tc>
          <w:tcPr>
            <w:tcW w:w="1740" w:type="dxa"/>
            <w:vAlign w:val="bottom"/>
            <w:tcBorders>
              <w:left w:val="single" w:sz="8" w:color="auto"/>
              <w:bottom w:val="single" w:sz="8" w:color="auto"/>
              <w:right w:val="single" w:sz="8" w:color="auto"/>
            </w:tcBorders>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right w:val="single" w:sz="8" w:color="auto"/>
            </w:tcBorders>
          </w:tcPr>
          <w:p>
            <w:pPr>
              <w:spacing w:after="0"/>
              <w:rPr>
                <w:sz w:val="8"/>
                <w:szCs w:val="8"/>
                <w:color w:val="auto"/>
              </w:rPr>
            </w:pPr>
          </w:p>
        </w:tc>
        <w:tc>
          <w:tcPr>
            <w:tcW w:w="1820" w:type="dxa"/>
            <w:vAlign w:val="bottom"/>
            <w:tcBorders>
              <w:bottom w:val="single" w:sz="8" w:color="auto"/>
              <w:right w:val="single" w:sz="8" w:color="auto"/>
            </w:tcBorders>
          </w:tcPr>
          <w:p>
            <w:pPr>
              <w:spacing w:after="0"/>
              <w:rPr>
                <w:sz w:val="8"/>
                <w:szCs w:val="8"/>
                <w:color w:val="auto"/>
              </w:rPr>
            </w:pPr>
          </w:p>
        </w:tc>
        <w:tc>
          <w:tcPr>
            <w:tcW w:w="238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7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i w:val="1"/>
                <w:iCs w:val="1"/>
                <w:color w:val="auto"/>
              </w:rPr>
              <w:t>2005</w:t>
            </w:r>
          </w:p>
        </w:tc>
        <w:tc>
          <w:tcPr>
            <w:tcW w:w="184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29,411</w:t>
            </w:r>
          </w:p>
        </w:tc>
        <w:tc>
          <w:tcPr>
            <w:tcW w:w="226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i w:val="1"/>
                <w:iCs w:val="1"/>
                <w:color w:val="auto"/>
              </w:rPr>
              <w:t>6,257</w:t>
            </w:r>
          </w:p>
        </w:tc>
        <w:tc>
          <w:tcPr>
            <w:tcW w:w="13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1,297</w:t>
            </w:r>
          </w:p>
        </w:tc>
        <w:tc>
          <w:tcPr>
            <w:tcW w:w="18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24,451</w:t>
            </w:r>
          </w:p>
        </w:tc>
        <w:tc>
          <w:tcPr>
            <w:tcW w:w="23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504</w:t>
            </w:r>
          </w:p>
        </w:tc>
        <w:tc>
          <w:tcPr>
            <w:tcW w:w="0" w:type="dxa"/>
            <w:vAlign w:val="bottom"/>
          </w:tcPr>
          <w:p>
            <w:pPr>
              <w:spacing w:after="0"/>
              <w:rPr>
                <w:sz w:val="1"/>
                <w:szCs w:val="1"/>
                <w:color w:val="auto"/>
              </w:rPr>
            </w:pPr>
          </w:p>
        </w:tc>
      </w:tr>
      <w:tr>
        <w:trPr>
          <w:trHeight w:val="196"/>
        </w:trPr>
        <w:tc>
          <w:tcPr>
            <w:tcW w:w="17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i w:val="1"/>
                <w:iCs w:val="1"/>
                <w:color w:val="auto"/>
              </w:rPr>
              <w:t>2006</w:t>
            </w:r>
          </w:p>
        </w:tc>
        <w:tc>
          <w:tcPr>
            <w:tcW w:w="184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24,451</w:t>
            </w:r>
          </w:p>
        </w:tc>
        <w:tc>
          <w:tcPr>
            <w:tcW w:w="226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i w:val="1"/>
                <w:iCs w:val="1"/>
                <w:color w:val="auto"/>
              </w:rPr>
              <w:t>6,841</w:t>
            </w:r>
          </w:p>
        </w:tc>
        <w:tc>
          <w:tcPr>
            <w:tcW w:w="13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1,806</w:t>
            </w:r>
          </w:p>
        </w:tc>
        <w:tc>
          <w:tcPr>
            <w:tcW w:w="18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19,416</w:t>
            </w:r>
          </w:p>
        </w:tc>
        <w:tc>
          <w:tcPr>
            <w:tcW w:w="23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3,879</w:t>
            </w:r>
          </w:p>
        </w:tc>
        <w:tc>
          <w:tcPr>
            <w:tcW w:w="0" w:type="dxa"/>
            <w:vAlign w:val="bottom"/>
          </w:tcPr>
          <w:p>
            <w:pPr>
              <w:spacing w:after="0"/>
              <w:rPr>
                <w:sz w:val="1"/>
                <w:szCs w:val="1"/>
                <w:color w:val="auto"/>
              </w:rPr>
            </w:pPr>
          </w:p>
        </w:tc>
      </w:tr>
      <w:tr>
        <w:trPr>
          <w:trHeight w:val="196"/>
        </w:trPr>
        <w:tc>
          <w:tcPr>
            <w:tcW w:w="17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i w:val="1"/>
                <w:iCs w:val="1"/>
                <w:color w:val="auto"/>
              </w:rPr>
              <w:t>2007</w:t>
            </w:r>
          </w:p>
        </w:tc>
        <w:tc>
          <w:tcPr>
            <w:tcW w:w="184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19,416</w:t>
            </w:r>
          </w:p>
        </w:tc>
        <w:tc>
          <w:tcPr>
            <w:tcW w:w="226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i w:val="1"/>
                <w:iCs w:val="1"/>
                <w:color w:val="auto"/>
              </w:rPr>
              <w:t>808</w:t>
            </w:r>
          </w:p>
        </w:tc>
        <w:tc>
          <w:tcPr>
            <w:tcW w:w="13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190</w:t>
            </w:r>
          </w:p>
        </w:tc>
        <w:tc>
          <w:tcPr>
            <w:tcW w:w="18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18,798</w:t>
            </w:r>
          </w:p>
        </w:tc>
        <w:tc>
          <w:tcPr>
            <w:tcW w:w="23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15</w:t>
            </w:r>
          </w:p>
        </w:tc>
        <w:tc>
          <w:tcPr>
            <w:tcW w:w="0" w:type="dxa"/>
            <w:vAlign w:val="bottom"/>
          </w:tcPr>
          <w:p>
            <w:pPr>
              <w:spacing w:after="0"/>
              <w:rPr>
                <w:sz w:val="1"/>
                <w:szCs w:val="1"/>
                <w:color w:val="auto"/>
              </w:rPr>
            </w:pPr>
          </w:p>
        </w:tc>
      </w:tr>
      <w:tr>
        <w:trPr>
          <w:trHeight w:val="196"/>
        </w:trPr>
        <w:tc>
          <w:tcPr>
            <w:tcW w:w="17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i w:val="1"/>
                <w:iCs w:val="1"/>
                <w:color w:val="auto"/>
              </w:rPr>
              <w:t>2008</w:t>
            </w:r>
          </w:p>
        </w:tc>
        <w:tc>
          <w:tcPr>
            <w:tcW w:w="184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18,798</w:t>
            </w:r>
          </w:p>
        </w:tc>
        <w:tc>
          <w:tcPr>
            <w:tcW w:w="226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i w:val="1"/>
                <w:iCs w:val="1"/>
                <w:color w:val="auto"/>
              </w:rPr>
              <w:t>523</w:t>
            </w:r>
          </w:p>
        </w:tc>
        <w:tc>
          <w:tcPr>
            <w:tcW w:w="13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110</w:t>
            </w:r>
          </w:p>
        </w:tc>
        <w:tc>
          <w:tcPr>
            <w:tcW w:w="18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18,385</w:t>
            </w:r>
          </w:p>
        </w:tc>
        <w:tc>
          <w:tcPr>
            <w:tcW w:w="23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52</w:t>
            </w:r>
          </w:p>
        </w:tc>
        <w:tc>
          <w:tcPr>
            <w:tcW w:w="0" w:type="dxa"/>
            <w:vAlign w:val="bottom"/>
          </w:tcPr>
          <w:p>
            <w:pPr>
              <w:spacing w:after="0"/>
              <w:rPr>
                <w:sz w:val="1"/>
                <w:szCs w:val="1"/>
                <w:color w:val="auto"/>
              </w:rPr>
            </w:pPr>
          </w:p>
        </w:tc>
      </w:tr>
      <w:tr>
        <w:trPr>
          <w:trHeight w:val="196"/>
        </w:trPr>
        <w:tc>
          <w:tcPr>
            <w:tcW w:w="17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i w:val="1"/>
                <w:iCs w:val="1"/>
                <w:color w:val="auto"/>
              </w:rPr>
              <w:t>2009</w:t>
            </w:r>
          </w:p>
        </w:tc>
        <w:tc>
          <w:tcPr>
            <w:tcW w:w="184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18,385</w:t>
            </w:r>
          </w:p>
        </w:tc>
        <w:tc>
          <w:tcPr>
            <w:tcW w:w="226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i w:val="1"/>
                <w:iCs w:val="1"/>
                <w:color w:val="auto"/>
              </w:rPr>
              <w:t>9,482</w:t>
            </w:r>
          </w:p>
        </w:tc>
        <w:tc>
          <w:tcPr>
            <w:tcW w:w="13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42</w:t>
            </w:r>
          </w:p>
        </w:tc>
        <w:tc>
          <w:tcPr>
            <w:tcW w:w="18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8,945</w:t>
            </w:r>
          </w:p>
        </w:tc>
        <w:tc>
          <w:tcPr>
            <w:tcW w:w="23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88</w:t>
            </w:r>
          </w:p>
        </w:tc>
        <w:tc>
          <w:tcPr>
            <w:tcW w:w="0" w:type="dxa"/>
            <w:vAlign w:val="bottom"/>
          </w:tcPr>
          <w:p>
            <w:pPr>
              <w:spacing w:after="0"/>
              <w:rPr>
                <w:sz w:val="1"/>
                <w:szCs w:val="1"/>
                <w:color w:val="auto"/>
              </w:rPr>
            </w:pPr>
          </w:p>
        </w:tc>
      </w:tr>
      <w:tr>
        <w:trPr>
          <w:trHeight w:val="196"/>
        </w:trPr>
        <w:tc>
          <w:tcPr>
            <w:tcW w:w="17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i w:val="1"/>
                <w:iCs w:val="1"/>
                <w:color w:val="auto"/>
              </w:rPr>
              <w:t>2010</w:t>
            </w:r>
          </w:p>
        </w:tc>
        <w:tc>
          <w:tcPr>
            <w:tcW w:w="184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8,945</w:t>
            </w:r>
          </w:p>
        </w:tc>
        <w:tc>
          <w:tcPr>
            <w:tcW w:w="226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i w:val="1"/>
                <w:iCs w:val="1"/>
                <w:color w:val="auto"/>
              </w:rPr>
              <w:t>3,963</w:t>
            </w:r>
          </w:p>
        </w:tc>
        <w:tc>
          <w:tcPr>
            <w:tcW w:w="13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188</w:t>
            </w:r>
          </w:p>
        </w:tc>
        <w:tc>
          <w:tcPr>
            <w:tcW w:w="18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5,170</w:t>
            </w:r>
          </w:p>
        </w:tc>
        <w:tc>
          <w:tcPr>
            <w:tcW w:w="23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159</w:t>
            </w:r>
          </w:p>
        </w:tc>
        <w:tc>
          <w:tcPr>
            <w:tcW w:w="0" w:type="dxa"/>
            <w:vAlign w:val="bottom"/>
          </w:tcPr>
          <w:p>
            <w:pPr>
              <w:spacing w:after="0"/>
              <w:rPr>
                <w:sz w:val="1"/>
                <w:szCs w:val="1"/>
                <w:color w:val="auto"/>
              </w:rPr>
            </w:pPr>
          </w:p>
        </w:tc>
      </w:tr>
      <w:tr>
        <w:trPr>
          <w:trHeight w:val="196"/>
        </w:trPr>
        <w:tc>
          <w:tcPr>
            <w:tcW w:w="17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i w:val="1"/>
                <w:iCs w:val="1"/>
                <w:color w:val="auto"/>
              </w:rPr>
              <w:t>2011</w:t>
            </w:r>
          </w:p>
        </w:tc>
        <w:tc>
          <w:tcPr>
            <w:tcW w:w="184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5,170</w:t>
            </w:r>
          </w:p>
        </w:tc>
        <w:tc>
          <w:tcPr>
            <w:tcW w:w="226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i w:val="1"/>
                <w:iCs w:val="1"/>
                <w:color w:val="auto"/>
              </w:rPr>
              <w:t>789</w:t>
            </w:r>
          </w:p>
        </w:tc>
        <w:tc>
          <w:tcPr>
            <w:tcW w:w="13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65</w:t>
            </w:r>
          </w:p>
        </w:tc>
        <w:tc>
          <w:tcPr>
            <w:tcW w:w="18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4,446</w:t>
            </w:r>
          </w:p>
        </w:tc>
        <w:tc>
          <w:tcPr>
            <w:tcW w:w="23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1,111</w:t>
            </w:r>
          </w:p>
        </w:tc>
        <w:tc>
          <w:tcPr>
            <w:tcW w:w="0" w:type="dxa"/>
            <w:vAlign w:val="bottom"/>
          </w:tcPr>
          <w:p>
            <w:pPr>
              <w:spacing w:after="0"/>
              <w:rPr>
                <w:sz w:val="1"/>
                <w:szCs w:val="1"/>
                <w:color w:val="auto"/>
              </w:rPr>
            </w:pPr>
          </w:p>
        </w:tc>
      </w:tr>
      <w:tr>
        <w:trPr>
          <w:trHeight w:val="196"/>
        </w:trPr>
        <w:tc>
          <w:tcPr>
            <w:tcW w:w="17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b w:val="1"/>
                <w:bCs w:val="1"/>
                <w:i w:val="1"/>
                <w:iCs w:val="1"/>
                <w:color w:val="auto"/>
              </w:rPr>
              <w:t>2012 to date</w:t>
            </w:r>
          </w:p>
        </w:tc>
        <w:tc>
          <w:tcPr>
            <w:tcW w:w="184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i w:val="1"/>
                <w:iCs w:val="1"/>
                <w:color w:val="auto"/>
              </w:rPr>
              <w:t>4,446</w:t>
            </w:r>
          </w:p>
        </w:tc>
        <w:tc>
          <w:tcPr>
            <w:tcW w:w="226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i w:val="1"/>
                <w:iCs w:val="1"/>
                <w:color w:val="auto"/>
              </w:rPr>
              <w:t>40</w:t>
            </w:r>
          </w:p>
        </w:tc>
        <w:tc>
          <w:tcPr>
            <w:tcW w:w="13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i w:val="1"/>
                <w:iCs w:val="1"/>
                <w:color w:val="auto"/>
              </w:rPr>
              <w:t>34</w:t>
            </w:r>
          </w:p>
        </w:tc>
        <w:tc>
          <w:tcPr>
            <w:tcW w:w="18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i w:val="1"/>
                <w:iCs w:val="1"/>
                <w:color w:val="auto"/>
              </w:rPr>
              <w:t>4,440</w:t>
            </w:r>
          </w:p>
        </w:tc>
        <w:tc>
          <w:tcPr>
            <w:tcW w:w="23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i w:val="1"/>
                <w:iCs w:val="1"/>
                <w:color w:val="auto"/>
              </w:rPr>
              <w:t>513</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right="40"/>
        <w:spacing w:after="0" w:line="246" w:lineRule="auto"/>
        <w:rPr>
          <w:sz w:val="20"/>
          <w:szCs w:val="20"/>
          <w:color w:val="auto"/>
        </w:rPr>
      </w:pPr>
      <w:r>
        <w:rPr>
          <w:rFonts w:ascii="Arial" w:cs="Arial" w:eastAsia="Arial" w:hAnsi="Arial"/>
          <w:sz w:val="18"/>
          <w:szCs w:val="18"/>
          <w:color w:val="auto"/>
        </w:rPr>
        <w:t>We anticipate that additional claims will be filed against the Company and related companies in the future, but are unable to predict the number and timing of such future claims.</w:t>
      </w:r>
    </w:p>
    <w:p>
      <w:pPr>
        <w:spacing w:after="0" w:line="89"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Exposure and disease information sufficiently meaningful to estimate a range of possible loss of a particular claim is typically not available until late in the discovery process, and often not until a trial date is imminent and a settlement demand has been received. For these reasons, we do not believe a meaningful estimate can be made regarding the range of possible loss with respect to pending or future claims.</w:t>
      </w:r>
    </w:p>
    <w:p>
      <w:pPr>
        <w:spacing w:after="0" w:line="95"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While we believe we have meritorious defenses to these claims, we have settled certain claims for amounts we consider reasonable given the facts and circumstances of each case. Our insurer, Liberty Mutual, has defended each case and funded settlements under a standard reservation of rights. As of April 25, 2012, we had resolved, by means of settlement or dismissal, 36,320 claims. The total cost of resolving all claims was $8,628,500. Of this amount, almost 100% was paid by our insurance carrier. The Company has approximately $130 million in confirmed insurance coverage that should be available with respect to current and future asbestos claims, as well as additional insurance coverage that we should be able to access.</w:t>
      </w:r>
    </w:p>
    <w:p>
      <w:pPr>
        <w:spacing w:after="0" w:line="9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Brandon Drying Fabrics, Inc. (“Brandon”), a subsidiary of Geschmay Corp., which is a subsidiary of the Company, is also a separate defendant in many of the asbestos cases in which Albany is named as a defendant. Brandon was defending against 7,874 claims as of April 25, 2012.</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8" w:name="page49"/>
    <w:bookmarkEnd w:id="48"/>
    <w:p>
      <w:pPr>
        <w:ind w:right="440"/>
        <w:spacing w:after="0" w:line="24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70"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1740" w:type="dxa"/>
            <w:vAlign w:val="bottom"/>
            <w:tcBorders>
              <w:top w:val="single" w:sz="8" w:color="auto"/>
              <w:left w:val="single" w:sz="8" w:color="auto"/>
              <w:right w:val="single" w:sz="8" w:color="auto"/>
            </w:tcBorders>
            <w:vMerge w:val="restart"/>
          </w:tcPr>
          <w:p>
            <w:pPr>
              <w:ind w:left="380"/>
              <w:spacing w:after="0"/>
              <w:rPr>
                <w:sz w:val="20"/>
                <w:szCs w:val="20"/>
                <w:color w:val="auto"/>
              </w:rPr>
            </w:pPr>
            <w:r>
              <w:rPr>
                <w:rFonts w:ascii="Arial" w:cs="Arial" w:eastAsia="Arial" w:hAnsi="Arial"/>
                <w:sz w:val="18"/>
                <w:szCs w:val="18"/>
                <w:i w:val="1"/>
                <w:iCs w:val="1"/>
                <w:color w:val="auto"/>
              </w:rPr>
              <w:t>Year ended</w:t>
            </w:r>
          </w:p>
        </w:tc>
        <w:tc>
          <w:tcPr>
            <w:tcW w:w="1840" w:type="dxa"/>
            <w:vAlign w:val="bottom"/>
            <w:tcBorders>
              <w:top w:val="single" w:sz="8" w:color="auto"/>
              <w:right w:val="single" w:sz="8" w:color="auto"/>
            </w:tcBorders>
            <w:vMerge w:val="restart"/>
          </w:tcPr>
          <w:p>
            <w:pPr>
              <w:jc w:val="right"/>
              <w:ind w:right="190"/>
              <w:spacing w:after="0"/>
              <w:rPr>
                <w:sz w:val="20"/>
                <w:szCs w:val="20"/>
                <w:color w:val="auto"/>
              </w:rPr>
            </w:pPr>
            <w:r>
              <w:rPr>
                <w:rFonts w:ascii="Arial" w:cs="Arial" w:eastAsia="Arial" w:hAnsi="Arial"/>
                <w:sz w:val="18"/>
                <w:szCs w:val="18"/>
                <w:i w:val="1"/>
                <w:iCs w:val="1"/>
                <w:color w:val="auto"/>
              </w:rPr>
              <w:t>Opening Number</w:t>
            </w:r>
          </w:p>
        </w:tc>
        <w:tc>
          <w:tcPr>
            <w:tcW w:w="2260" w:type="dxa"/>
            <w:vAlign w:val="bottom"/>
            <w:tcBorders>
              <w:top w:val="single" w:sz="8" w:color="auto"/>
              <w:right w:val="single" w:sz="8" w:color="auto"/>
            </w:tcBorders>
            <w:vMerge w:val="restart"/>
          </w:tcPr>
          <w:p>
            <w:pPr>
              <w:jc w:val="right"/>
              <w:ind w:right="330"/>
              <w:spacing w:after="0"/>
              <w:rPr>
                <w:sz w:val="20"/>
                <w:szCs w:val="20"/>
                <w:color w:val="auto"/>
              </w:rPr>
            </w:pPr>
            <w:r>
              <w:rPr>
                <w:rFonts w:ascii="Arial" w:cs="Arial" w:eastAsia="Arial" w:hAnsi="Arial"/>
                <w:sz w:val="18"/>
                <w:szCs w:val="18"/>
                <w:i w:val="1"/>
                <w:iCs w:val="1"/>
                <w:color w:val="auto"/>
              </w:rPr>
              <w:t>Claims Dismissed,</w:t>
            </w:r>
          </w:p>
        </w:tc>
        <w:tc>
          <w:tcPr>
            <w:tcW w:w="1380" w:type="dxa"/>
            <w:vAlign w:val="bottom"/>
            <w:tcBorders>
              <w:top w:val="single" w:sz="8" w:color="auto"/>
              <w:right w:val="single" w:sz="8" w:color="auto"/>
            </w:tcBorders>
          </w:tcPr>
          <w:p>
            <w:pPr>
              <w:spacing w:after="0"/>
              <w:rPr>
                <w:sz w:val="17"/>
                <w:szCs w:val="17"/>
                <w:color w:val="auto"/>
              </w:rPr>
            </w:pPr>
          </w:p>
        </w:tc>
        <w:tc>
          <w:tcPr>
            <w:tcW w:w="1820" w:type="dxa"/>
            <w:vAlign w:val="bottom"/>
            <w:tcBorders>
              <w:top w:val="single" w:sz="8" w:color="auto"/>
              <w:right w:val="single" w:sz="8" w:color="auto"/>
            </w:tcBorders>
            <w:vMerge w:val="restart"/>
          </w:tcPr>
          <w:p>
            <w:pPr>
              <w:jc w:val="right"/>
              <w:ind w:right="210"/>
              <w:spacing w:after="0"/>
              <w:rPr>
                <w:sz w:val="20"/>
                <w:szCs w:val="20"/>
                <w:color w:val="auto"/>
              </w:rPr>
            </w:pPr>
            <w:r>
              <w:rPr>
                <w:rFonts w:ascii="Arial" w:cs="Arial" w:eastAsia="Arial" w:hAnsi="Arial"/>
                <w:sz w:val="18"/>
                <w:szCs w:val="18"/>
                <w:i w:val="1"/>
                <w:iCs w:val="1"/>
                <w:color w:val="auto"/>
              </w:rPr>
              <w:t>Closing Number</w:t>
            </w:r>
          </w:p>
        </w:tc>
        <w:tc>
          <w:tcPr>
            <w:tcW w:w="2380" w:type="dxa"/>
            <w:vAlign w:val="bottom"/>
            <w:tcBorders>
              <w:top w:val="single" w:sz="8" w:color="auto"/>
              <w:right w:val="single" w:sz="8" w:color="auto"/>
            </w:tcBorders>
          </w:tcPr>
          <w:p>
            <w:pPr>
              <w:jc w:val="right"/>
              <w:ind w:right="570"/>
              <w:spacing w:after="0" w:line="197" w:lineRule="exact"/>
              <w:rPr>
                <w:sz w:val="20"/>
                <w:szCs w:val="20"/>
                <w:color w:val="auto"/>
              </w:rPr>
            </w:pPr>
            <w:r>
              <w:rPr>
                <w:rFonts w:ascii="Arial" w:cs="Arial" w:eastAsia="Arial" w:hAnsi="Arial"/>
                <w:sz w:val="18"/>
                <w:szCs w:val="18"/>
                <w:i w:val="1"/>
                <w:iCs w:val="1"/>
                <w:color w:val="auto"/>
              </w:rPr>
              <w:t>Amounts Paid</w:t>
            </w:r>
          </w:p>
        </w:tc>
        <w:tc>
          <w:tcPr>
            <w:tcW w:w="0" w:type="dxa"/>
            <w:vAlign w:val="bottom"/>
          </w:tcPr>
          <w:p>
            <w:pPr>
              <w:spacing w:after="0"/>
              <w:rPr>
                <w:sz w:val="1"/>
                <w:szCs w:val="1"/>
                <w:color w:val="auto"/>
              </w:rPr>
            </w:pPr>
          </w:p>
        </w:tc>
      </w:tr>
      <w:tr>
        <w:trPr>
          <w:trHeight w:val="95"/>
        </w:trPr>
        <w:tc>
          <w:tcPr>
            <w:tcW w:w="1740" w:type="dxa"/>
            <w:vAlign w:val="bottom"/>
            <w:tcBorders>
              <w:left w:val="single" w:sz="8" w:color="auto"/>
              <w:right w:val="single" w:sz="8" w:color="auto"/>
            </w:tcBorders>
            <w:vMerge w:val="continue"/>
          </w:tcPr>
          <w:p>
            <w:pPr>
              <w:spacing w:after="0"/>
              <w:rPr>
                <w:sz w:val="8"/>
                <w:szCs w:val="8"/>
                <w:color w:val="auto"/>
              </w:rPr>
            </w:pPr>
          </w:p>
        </w:tc>
        <w:tc>
          <w:tcPr>
            <w:tcW w:w="1840" w:type="dxa"/>
            <w:vAlign w:val="bottom"/>
            <w:tcBorders>
              <w:right w:val="single" w:sz="8" w:color="auto"/>
            </w:tcBorders>
            <w:vMerge w:val="continue"/>
          </w:tcPr>
          <w:p>
            <w:pPr>
              <w:spacing w:after="0"/>
              <w:rPr>
                <w:sz w:val="8"/>
                <w:szCs w:val="8"/>
                <w:color w:val="auto"/>
              </w:rPr>
            </w:pPr>
          </w:p>
        </w:tc>
        <w:tc>
          <w:tcPr>
            <w:tcW w:w="2260" w:type="dxa"/>
            <w:vAlign w:val="bottom"/>
            <w:tcBorders>
              <w:right w:val="single" w:sz="8" w:color="auto"/>
            </w:tcBorders>
            <w:vMerge w:val="continue"/>
          </w:tcPr>
          <w:p>
            <w:pPr>
              <w:spacing w:after="0"/>
              <w:rPr>
                <w:sz w:val="8"/>
                <w:szCs w:val="8"/>
                <w:color w:val="auto"/>
              </w:rPr>
            </w:pPr>
          </w:p>
        </w:tc>
        <w:tc>
          <w:tcPr>
            <w:tcW w:w="1380" w:type="dxa"/>
            <w:vAlign w:val="bottom"/>
            <w:tcBorders>
              <w:right w:val="single" w:sz="8" w:color="auto"/>
            </w:tcBorders>
            <w:vMerge w:val="restart"/>
          </w:tcPr>
          <w:p>
            <w:pPr>
              <w:jc w:val="right"/>
              <w:ind w:right="130"/>
              <w:spacing w:after="0" w:line="202" w:lineRule="exact"/>
              <w:rPr>
                <w:sz w:val="20"/>
                <w:szCs w:val="20"/>
                <w:color w:val="auto"/>
              </w:rPr>
            </w:pPr>
            <w:r>
              <w:rPr>
                <w:rFonts w:ascii="Arial" w:cs="Arial" w:eastAsia="Arial" w:hAnsi="Arial"/>
                <w:sz w:val="18"/>
                <w:szCs w:val="18"/>
                <w:i w:val="1"/>
                <w:iCs w:val="1"/>
                <w:color w:val="auto"/>
              </w:rPr>
              <w:t>New Claims</w:t>
            </w:r>
          </w:p>
        </w:tc>
        <w:tc>
          <w:tcPr>
            <w:tcW w:w="1820" w:type="dxa"/>
            <w:vAlign w:val="bottom"/>
            <w:tcBorders>
              <w:right w:val="single" w:sz="8" w:color="auto"/>
            </w:tcBorders>
            <w:vMerge w:val="continue"/>
          </w:tcPr>
          <w:p>
            <w:pPr>
              <w:spacing w:after="0"/>
              <w:rPr>
                <w:sz w:val="8"/>
                <w:szCs w:val="8"/>
                <w:color w:val="auto"/>
              </w:rPr>
            </w:pPr>
          </w:p>
        </w:tc>
        <w:tc>
          <w:tcPr>
            <w:tcW w:w="2380" w:type="dxa"/>
            <w:vAlign w:val="bottom"/>
            <w:tcBorders>
              <w:right w:val="single" w:sz="8" w:color="auto"/>
            </w:tcBorders>
            <w:vMerge w:val="restart"/>
          </w:tcPr>
          <w:p>
            <w:pPr>
              <w:jc w:val="right"/>
              <w:ind w:right="310"/>
              <w:spacing w:after="0" w:line="202" w:lineRule="exact"/>
              <w:rPr>
                <w:sz w:val="20"/>
                <w:szCs w:val="20"/>
                <w:color w:val="auto"/>
              </w:rPr>
            </w:pPr>
            <w:r>
              <w:rPr>
                <w:rFonts w:ascii="Arial" w:cs="Arial" w:eastAsia="Arial" w:hAnsi="Arial"/>
                <w:sz w:val="18"/>
                <w:szCs w:val="18"/>
                <w:i w:val="1"/>
                <w:iCs w:val="1"/>
                <w:color w:val="auto"/>
              </w:rPr>
              <w:t>(thousands) to Settle</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restart"/>
          </w:tcPr>
          <w:p>
            <w:pPr>
              <w:ind w:left="300"/>
              <w:spacing w:after="0"/>
              <w:rPr>
                <w:sz w:val="20"/>
                <w:szCs w:val="20"/>
                <w:color w:val="auto"/>
              </w:rPr>
            </w:pPr>
            <w:r>
              <w:rPr>
                <w:rFonts w:ascii="Arial" w:cs="Arial" w:eastAsia="Arial" w:hAnsi="Arial"/>
                <w:sz w:val="18"/>
                <w:szCs w:val="18"/>
                <w:i w:val="1"/>
                <w:iCs w:val="1"/>
                <w:color w:val="auto"/>
              </w:rPr>
              <w:t>December 31,</w:t>
            </w:r>
          </w:p>
        </w:tc>
        <w:tc>
          <w:tcPr>
            <w:tcW w:w="1840" w:type="dxa"/>
            <w:vAlign w:val="bottom"/>
            <w:tcBorders>
              <w:right w:val="single" w:sz="8" w:color="auto"/>
            </w:tcBorders>
            <w:vMerge w:val="restart"/>
          </w:tcPr>
          <w:p>
            <w:pPr>
              <w:jc w:val="right"/>
              <w:ind w:right="470"/>
              <w:spacing w:after="0"/>
              <w:rPr>
                <w:sz w:val="20"/>
                <w:szCs w:val="20"/>
                <w:color w:val="auto"/>
              </w:rPr>
            </w:pPr>
            <w:r>
              <w:rPr>
                <w:rFonts w:ascii="Arial" w:cs="Arial" w:eastAsia="Arial" w:hAnsi="Arial"/>
                <w:sz w:val="18"/>
                <w:szCs w:val="18"/>
                <w:i w:val="1"/>
                <w:iCs w:val="1"/>
                <w:color w:val="auto"/>
              </w:rPr>
              <w:t>of Claims</w:t>
            </w:r>
          </w:p>
        </w:tc>
        <w:tc>
          <w:tcPr>
            <w:tcW w:w="22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i w:val="1"/>
                <w:iCs w:val="1"/>
                <w:color w:val="auto"/>
              </w:rPr>
              <w:t>Settled, or Resolved</w:t>
            </w:r>
          </w:p>
        </w:tc>
        <w:tc>
          <w:tcPr>
            <w:tcW w:w="138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restart"/>
          </w:tcPr>
          <w:p>
            <w:pPr>
              <w:jc w:val="right"/>
              <w:ind w:right="470"/>
              <w:spacing w:after="0"/>
              <w:rPr>
                <w:sz w:val="20"/>
                <w:szCs w:val="20"/>
                <w:color w:val="auto"/>
              </w:rPr>
            </w:pPr>
            <w:r>
              <w:rPr>
                <w:rFonts w:ascii="Arial" w:cs="Arial" w:eastAsia="Arial" w:hAnsi="Arial"/>
                <w:sz w:val="18"/>
                <w:szCs w:val="18"/>
                <w:i w:val="1"/>
                <w:iCs w:val="1"/>
                <w:color w:val="auto"/>
              </w:rPr>
              <w:t>of Claims</w:t>
            </w:r>
          </w:p>
        </w:tc>
        <w:tc>
          <w:tcPr>
            <w:tcW w:w="23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74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2260" w:type="dxa"/>
            <w:vAlign w:val="bottom"/>
            <w:tcBorders>
              <w:right w:val="single" w:sz="8" w:color="auto"/>
            </w:tcBorders>
            <w:vMerge w:val="continue"/>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1820" w:type="dxa"/>
            <w:vAlign w:val="bottom"/>
            <w:tcBorders>
              <w:right w:val="single" w:sz="8" w:color="auto"/>
            </w:tcBorders>
            <w:vMerge w:val="continue"/>
          </w:tcPr>
          <w:p>
            <w:pPr>
              <w:spacing w:after="0"/>
              <w:rPr>
                <w:sz w:val="11"/>
                <w:szCs w:val="11"/>
                <w:color w:val="auto"/>
              </w:rPr>
            </w:pPr>
          </w:p>
        </w:tc>
        <w:tc>
          <w:tcPr>
            <w:tcW w:w="2380" w:type="dxa"/>
            <w:vAlign w:val="bottom"/>
            <w:tcBorders>
              <w:right w:val="single" w:sz="8" w:color="auto"/>
            </w:tcBorders>
            <w:vMerge w:val="restart"/>
          </w:tcPr>
          <w:p>
            <w:pPr>
              <w:jc w:val="right"/>
              <w:ind w:right="550"/>
              <w:spacing w:after="0"/>
              <w:rPr>
                <w:sz w:val="20"/>
                <w:szCs w:val="20"/>
                <w:color w:val="auto"/>
              </w:rPr>
            </w:pPr>
            <w:r>
              <w:rPr>
                <w:rFonts w:ascii="Arial" w:cs="Arial" w:eastAsia="Arial" w:hAnsi="Arial"/>
                <w:sz w:val="18"/>
                <w:szCs w:val="18"/>
                <w:i w:val="1"/>
                <w:iCs w:val="1"/>
                <w:color w:val="auto"/>
              </w:rPr>
              <w:t>or Resolve ($)</w:t>
            </w:r>
          </w:p>
        </w:tc>
        <w:tc>
          <w:tcPr>
            <w:tcW w:w="0" w:type="dxa"/>
            <w:vAlign w:val="bottom"/>
          </w:tcPr>
          <w:p>
            <w:pPr>
              <w:spacing w:after="0"/>
              <w:rPr>
                <w:sz w:val="1"/>
                <w:szCs w:val="1"/>
                <w:color w:val="auto"/>
              </w:rPr>
            </w:pPr>
          </w:p>
        </w:tc>
      </w:tr>
      <w:tr>
        <w:trPr>
          <w:trHeight w:val="95"/>
        </w:trPr>
        <w:tc>
          <w:tcPr>
            <w:tcW w:w="1740" w:type="dxa"/>
            <w:vAlign w:val="bottom"/>
            <w:tcBorders>
              <w:left w:val="single" w:sz="8" w:color="auto"/>
              <w:bottom w:val="single" w:sz="8" w:color="auto"/>
              <w:right w:val="single" w:sz="8" w:color="auto"/>
            </w:tcBorders>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right w:val="single" w:sz="8" w:color="auto"/>
            </w:tcBorders>
          </w:tcPr>
          <w:p>
            <w:pPr>
              <w:spacing w:after="0"/>
              <w:rPr>
                <w:sz w:val="8"/>
                <w:szCs w:val="8"/>
                <w:color w:val="auto"/>
              </w:rPr>
            </w:pPr>
          </w:p>
        </w:tc>
        <w:tc>
          <w:tcPr>
            <w:tcW w:w="1820" w:type="dxa"/>
            <w:vAlign w:val="bottom"/>
            <w:tcBorders>
              <w:bottom w:val="single" w:sz="8" w:color="auto"/>
              <w:right w:val="single" w:sz="8" w:color="auto"/>
            </w:tcBorders>
          </w:tcPr>
          <w:p>
            <w:pPr>
              <w:spacing w:after="0"/>
              <w:rPr>
                <w:sz w:val="8"/>
                <w:szCs w:val="8"/>
                <w:color w:val="auto"/>
              </w:rPr>
            </w:pPr>
          </w:p>
        </w:tc>
        <w:tc>
          <w:tcPr>
            <w:tcW w:w="238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7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i w:val="1"/>
                <w:iCs w:val="1"/>
                <w:color w:val="auto"/>
              </w:rPr>
              <w:t>2005</w:t>
            </w:r>
          </w:p>
        </w:tc>
        <w:tc>
          <w:tcPr>
            <w:tcW w:w="184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9,985</w:t>
            </w:r>
          </w:p>
        </w:tc>
        <w:tc>
          <w:tcPr>
            <w:tcW w:w="226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i w:val="1"/>
                <w:iCs w:val="1"/>
                <w:color w:val="auto"/>
              </w:rPr>
              <w:t>642</w:t>
            </w:r>
          </w:p>
        </w:tc>
        <w:tc>
          <w:tcPr>
            <w:tcW w:w="13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223</w:t>
            </w:r>
          </w:p>
        </w:tc>
        <w:tc>
          <w:tcPr>
            <w:tcW w:w="18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9,566</w:t>
            </w:r>
          </w:p>
        </w:tc>
        <w:tc>
          <w:tcPr>
            <w:tcW w:w="23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r>
        <w:trPr>
          <w:trHeight w:val="196"/>
        </w:trPr>
        <w:tc>
          <w:tcPr>
            <w:tcW w:w="17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i w:val="1"/>
                <w:iCs w:val="1"/>
                <w:color w:val="auto"/>
              </w:rPr>
              <w:t>2006</w:t>
            </w:r>
          </w:p>
        </w:tc>
        <w:tc>
          <w:tcPr>
            <w:tcW w:w="184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9,566</w:t>
            </w:r>
          </w:p>
        </w:tc>
        <w:tc>
          <w:tcPr>
            <w:tcW w:w="226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i w:val="1"/>
                <w:iCs w:val="1"/>
                <w:color w:val="auto"/>
              </w:rPr>
              <w:t>1,182</w:t>
            </w:r>
          </w:p>
        </w:tc>
        <w:tc>
          <w:tcPr>
            <w:tcW w:w="13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730</w:t>
            </w:r>
          </w:p>
        </w:tc>
        <w:tc>
          <w:tcPr>
            <w:tcW w:w="18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9,114</w:t>
            </w:r>
          </w:p>
        </w:tc>
        <w:tc>
          <w:tcPr>
            <w:tcW w:w="23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r>
        <w:trPr>
          <w:trHeight w:val="196"/>
        </w:trPr>
        <w:tc>
          <w:tcPr>
            <w:tcW w:w="17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i w:val="1"/>
                <w:iCs w:val="1"/>
                <w:color w:val="auto"/>
              </w:rPr>
              <w:t>2007</w:t>
            </w:r>
          </w:p>
        </w:tc>
        <w:tc>
          <w:tcPr>
            <w:tcW w:w="184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9,114</w:t>
            </w:r>
          </w:p>
        </w:tc>
        <w:tc>
          <w:tcPr>
            <w:tcW w:w="226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i w:val="1"/>
                <w:iCs w:val="1"/>
                <w:color w:val="auto"/>
              </w:rPr>
              <w:t>462</w:t>
            </w:r>
          </w:p>
        </w:tc>
        <w:tc>
          <w:tcPr>
            <w:tcW w:w="13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88</w:t>
            </w:r>
          </w:p>
        </w:tc>
        <w:tc>
          <w:tcPr>
            <w:tcW w:w="18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8,740</w:t>
            </w:r>
          </w:p>
        </w:tc>
        <w:tc>
          <w:tcPr>
            <w:tcW w:w="23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r>
        <w:trPr>
          <w:trHeight w:val="196"/>
        </w:trPr>
        <w:tc>
          <w:tcPr>
            <w:tcW w:w="17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i w:val="1"/>
                <w:iCs w:val="1"/>
                <w:color w:val="auto"/>
              </w:rPr>
              <w:t>2008</w:t>
            </w:r>
          </w:p>
        </w:tc>
        <w:tc>
          <w:tcPr>
            <w:tcW w:w="184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8,740</w:t>
            </w:r>
          </w:p>
        </w:tc>
        <w:tc>
          <w:tcPr>
            <w:tcW w:w="226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i w:val="1"/>
                <w:iCs w:val="1"/>
                <w:color w:val="auto"/>
              </w:rPr>
              <w:t>86</w:t>
            </w:r>
          </w:p>
        </w:tc>
        <w:tc>
          <w:tcPr>
            <w:tcW w:w="13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10</w:t>
            </w:r>
          </w:p>
        </w:tc>
        <w:tc>
          <w:tcPr>
            <w:tcW w:w="18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8,664</w:t>
            </w:r>
          </w:p>
        </w:tc>
        <w:tc>
          <w:tcPr>
            <w:tcW w:w="23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r>
        <w:trPr>
          <w:trHeight w:val="196"/>
        </w:trPr>
        <w:tc>
          <w:tcPr>
            <w:tcW w:w="17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i w:val="1"/>
                <w:iCs w:val="1"/>
                <w:color w:val="auto"/>
              </w:rPr>
              <w:t>2009</w:t>
            </w:r>
          </w:p>
        </w:tc>
        <w:tc>
          <w:tcPr>
            <w:tcW w:w="184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8,664</w:t>
            </w:r>
          </w:p>
        </w:tc>
        <w:tc>
          <w:tcPr>
            <w:tcW w:w="226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i w:val="1"/>
                <w:iCs w:val="1"/>
                <w:color w:val="auto"/>
              </w:rPr>
              <w:t>760</w:t>
            </w:r>
          </w:p>
        </w:tc>
        <w:tc>
          <w:tcPr>
            <w:tcW w:w="13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3</w:t>
            </w:r>
          </w:p>
        </w:tc>
        <w:tc>
          <w:tcPr>
            <w:tcW w:w="18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7,907</w:t>
            </w:r>
          </w:p>
        </w:tc>
        <w:tc>
          <w:tcPr>
            <w:tcW w:w="23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r>
        <w:trPr>
          <w:trHeight w:val="196"/>
        </w:trPr>
        <w:tc>
          <w:tcPr>
            <w:tcW w:w="17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i w:val="1"/>
                <w:iCs w:val="1"/>
                <w:color w:val="auto"/>
              </w:rPr>
              <w:t>2010</w:t>
            </w:r>
          </w:p>
        </w:tc>
        <w:tc>
          <w:tcPr>
            <w:tcW w:w="184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7,907</w:t>
            </w:r>
          </w:p>
        </w:tc>
        <w:tc>
          <w:tcPr>
            <w:tcW w:w="226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i w:val="1"/>
                <w:iCs w:val="1"/>
                <w:color w:val="auto"/>
              </w:rPr>
              <w:t>47</w:t>
            </w:r>
          </w:p>
        </w:tc>
        <w:tc>
          <w:tcPr>
            <w:tcW w:w="13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9</w:t>
            </w:r>
          </w:p>
        </w:tc>
        <w:tc>
          <w:tcPr>
            <w:tcW w:w="18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7,869</w:t>
            </w:r>
          </w:p>
        </w:tc>
        <w:tc>
          <w:tcPr>
            <w:tcW w:w="23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r>
        <w:trPr>
          <w:trHeight w:val="196"/>
        </w:trPr>
        <w:tc>
          <w:tcPr>
            <w:tcW w:w="17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i w:val="1"/>
                <w:iCs w:val="1"/>
                <w:color w:val="auto"/>
              </w:rPr>
              <w:t>2011</w:t>
            </w:r>
          </w:p>
        </w:tc>
        <w:tc>
          <w:tcPr>
            <w:tcW w:w="184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7,869</w:t>
            </w:r>
          </w:p>
        </w:tc>
        <w:tc>
          <w:tcPr>
            <w:tcW w:w="226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i w:val="1"/>
                <w:iCs w:val="1"/>
                <w:color w:val="auto"/>
              </w:rPr>
              <w:t>3</w:t>
            </w:r>
          </w:p>
        </w:tc>
        <w:tc>
          <w:tcPr>
            <w:tcW w:w="13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11</w:t>
            </w:r>
          </w:p>
        </w:tc>
        <w:tc>
          <w:tcPr>
            <w:tcW w:w="18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7,877</w:t>
            </w:r>
          </w:p>
        </w:tc>
        <w:tc>
          <w:tcPr>
            <w:tcW w:w="23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r>
        <w:trPr>
          <w:trHeight w:val="196"/>
        </w:trPr>
        <w:tc>
          <w:tcPr>
            <w:tcW w:w="17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b w:val="1"/>
                <w:bCs w:val="1"/>
                <w:i w:val="1"/>
                <w:iCs w:val="1"/>
                <w:color w:val="auto"/>
              </w:rPr>
              <w:t>2012 to date</w:t>
            </w:r>
          </w:p>
        </w:tc>
        <w:tc>
          <w:tcPr>
            <w:tcW w:w="184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7,877</w:t>
            </w:r>
          </w:p>
        </w:tc>
        <w:tc>
          <w:tcPr>
            <w:tcW w:w="2260" w:type="dxa"/>
            <w:vAlign w:val="bottom"/>
            <w:tcBorders>
              <w:bottom w:val="single" w:sz="8" w:color="auto"/>
              <w:right w:val="single" w:sz="8" w:color="auto"/>
            </w:tcBorders>
          </w:tcPr>
          <w:p>
            <w:pPr>
              <w:jc w:val="right"/>
              <w:ind w:right="10"/>
              <w:spacing w:after="0" w:line="196" w:lineRule="exact"/>
              <w:rPr>
                <w:sz w:val="20"/>
                <w:szCs w:val="20"/>
                <w:color w:val="auto"/>
              </w:rPr>
            </w:pPr>
            <w:r>
              <w:rPr>
                <w:rFonts w:ascii="Arial" w:cs="Arial" w:eastAsia="Arial" w:hAnsi="Arial"/>
                <w:sz w:val="18"/>
                <w:szCs w:val="18"/>
                <w:i w:val="1"/>
                <w:iCs w:val="1"/>
                <w:color w:val="auto"/>
              </w:rPr>
              <w:t>4</w:t>
            </w:r>
          </w:p>
        </w:tc>
        <w:tc>
          <w:tcPr>
            <w:tcW w:w="13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1</w:t>
            </w:r>
          </w:p>
        </w:tc>
        <w:tc>
          <w:tcPr>
            <w:tcW w:w="18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7,874</w:t>
            </w:r>
          </w:p>
        </w:tc>
        <w:tc>
          <w:tcPr>
            <w:tcW w:w="23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acquired Geschmay Corp., formerly known as Wangner Systems Corporation, in 1999. Brandon is a wholly owned subsidiary of Geschmay Corp. In 1978, Brandon acquired certain assets from Abney Mills (“Abney”), a South Carolina textile manufacturer. Among the assets acquired by Brandon from Abney were assets of Abney’s wholly owned subsidiary, Brandon Sales, Inc. which had sold, among other things, dryer fabrics containing asbestos made by its parent, Abney. Although Brandon manufactured and sold dryer fabrics under its own name subsequent to the asset purchase, none of such fabrics contained asbestos. Because Brandon did not manufacture asbestos-containing products, and because it does not believe that it was the legal successor to, or otherwise responsible for obligations of Abney with respect to products manufactured by Abney, it believes it has strong defenses to the claims that have been asserted against it. As of April 25, 2012, Brandon has resolved, by means of settlement or dismissal, 9,725 claims for a total of $0.2 million. Brandon’s insurance carriers initially agreed to pay 88.2% of the total indemnification and defense costs related to these proceedings, subject to the standard reservation of rights. The remaining 11.8% of the costs had been borne directly by Brandon. During 2004, Brandon’s insurance carriers agreed to cover 100% of indemnification and defense costs, subject to policy limits and the standard reservation of rights, and to reimburse Brandon for all indemnity and defense costs paid directly by Brandon related to these proceedings.</w:t>
      </w:r>
    </w:p>
    <w:p>
      <w:pPr>
        <w:spacing w:after="0" w:line="97"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For the same reasons set forth above with respect to Albany’s claims, as well as the fact that no amounts have been paid to resolve any Brandon claims since 2001, we do not believe a meaningful estimate can be made regarding the range of possible loss with respect to these remaining claims.</w:t>
      </w:r>
    </w:p>
    <w:p>
      <w:pPr>
        <w:spacing w:after="0" w:line="9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Mount Vernon. In some of these asbestos cases, the Company is named both as a direct defendant and as the “successor in interest” to Mount Vernon Mills (“Mount Vernon”). We acquired certain assets from Mount Vernon in 1993. Certain plaintiffs allege injury caused by asbestos-containing products alleged to have been sold by Mount Vernon many years prior to this acquisition. Mount Vernon is contractually obligated to indemnify the Company against any liability arising out of such products. We deny any liability for products sold by Mount Vernon prior to the acquisition of the Mount Vernon assets. Pursuant to its contractual indemnification obligations, Mount Vernon has assumed the defense of these claims. On this basis, we have successfully moved for dismissal in a number of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62230</wp:posOffset>
            </wp:positionV>
            <wp:extent cx="180975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1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Although we do not believe, based on currently available information and for the reasons stated above, that a meaningful estimate of a range of possible loss can be made with respect to such claims, based on our understanding of the insurance policies available, how settlement amounts have been allocated to various policies, our settlement experience, the absence of any judgments against the Company or Brandon, the ratio of paper mill claims to total claims filed, and the defenses available, we currently do not anticipate any material liability relating to the resolution of the aforementioned pending proceedings in excess of existing insurance limits. Consequently, 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 factors and the trends in claims against us to date, we do not anticipate that additional claims likely to be filed against us in the future will have a material adverse effect on our financial position, results of operations, or cash flows. We are aware that litigation is inherently uncertain, especially when the outcome is dependent primarily on determinations of factual matters to be made by juries.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62865</wp:posOffset>
            </wp:positionV>
            <wp:extent cx="180975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49" w:name="page50"/>
    <w:bookmarkEnd w:id="49"/>
    <w:p>
      <w:pPr>
        <w:ind w:left="60"/>
        <w:spacing w:after="0"/>
        <w:rPr>
          <w:sz w:val="20"/>
          <w:szCs w:val="20"/>
          <w:color w:val="auto"/>
        </w:rPr>
      </w:pPr>
      <w:r>
        <w:rPr>
          <w:rFonts w:ascii="Arial" w:cs="Arial" w:eastAsia="Arial" w:hAnsi="Arial"/>
          <w:sz w:val="18"/>
          <w:szCs w:val="18"/>
          <w:b w:val="1"/>
          <w:bCs w:val="1"/>
          <w:color w:val="auto"/>
        </w:rPr>
        <w:t>NAFTA Audits</w:t>
      </w:r>
    </w:p>
    <w:p>
      <w:pPr>
        <w:spacing w:after="0" w:line="193"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The Company’s affiliate in Mexico was notified in November 2010 that Mexican customs authorities expected to issue demands for duties on certain imports of PMC from the Company and the Company’s affiliate in Canada for which the Company has claimed duty-free treatment under the North American Free Trade Agreement (“NAFTA”).</w:t>
      </w:r>
    </w:p>
    <w:p>
      <w:pPr>
        <w:spacing w:after="0" w:line="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notices result from a decision by the Mexican Servicio de Administración Tributaria (“SAT”) to invalidate NAFTA certificates provided by the Company on products shipped to its Mexican affiliate during the years 2006 through 2008. The Demand Notices arose from an SAT audit during 2010, at the conclusion of which the SAT determined that the Company had failed to provide documentation sufficient to show that the certificates were validly issued, and declared the certificates issued during this period to be invalid. The Company believes that the certificates of origin were valid and properly issued and therefore commenced administrative appeals with SAT disputing its resolutions. While these appeals were pending, SAT revoked its earlier declarations of invalidation with respect to the certificates of origin at issue in 28 of the 36 open audits, and ordered a further review of such certificates. SAT is still considering the Company’s appeal with regard to the remaining 8 open audits. The import duties identified in the notices sent to the Company’s Mexican affiliate are approximately US $2.5 million, and relate to only a portion of the shipments covered by the certificates of origin initially invalidated by SAT.</w:t>
      </w:r>
    </w:p>
    <w:p>
      <w:pPr>
        <w:spacing w:after="0" w:line="99"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In the event of an adverse ruling at the conclusion of the administrative appeal process, the Company would have an opportunity to appeal the outcome in Mexican Tax Court, during which it would have an opportunity to present evidence to establish that the shipments in question were of U.S. and Canadian origin and entitled to the benefits of NAFTA. As all of the shipments covered by the remaining invalidated certificates were, in fact, of U.S. or Canadian origin, the Company expects that it will be able to demonstrate that the certificates were validly issued. The Company has been advised by counsel that, if this is the case, then the Tax Court is likely to revoke any pending SAT invalidation actions and rule in favor of the Company.</w:t>
      </w:r>
    </w:p>
    <w:p>
      <w:pPr>
        <w:spacing w:after="0" w:line="9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In the unlikely event that the Company were not to prevail, however, then it could become subject to additional demand notices for the balance of the shipments during the period from 2006 through 2008 covered by the invalidated certificates. If such demand notices were to be issued for all the shipments so covered, then the Company could be liable for duties aggregating approximately $4.0 million. The Company has also been advised by counsel that SAT would likely seek additional antidumping duties and penalties which could increase these amounts by up to 900%, but that the possibility that SAT would succeed in obtaining such additional duties and penalties is remote. The Company also does not believe that it faces any material risk of certificates being invalidated with respect to any period other than the 2006 through 2008 audit period. For this reason, the Company does not feel that this matter is likely to have a material adverse effect on the Company’s financial position, results of operations and cash flows.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1A. Risk Factors</w:t>
      </w:r>
    </w:p>
    <w:p>
      <w:pPr>
        <w:spacing w:after="0" w:line="12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There have been no material changes in risks since December 31, 2011. For discussion of risk factors, refer to Item 1A of our Annual Report on Form 10-K for the year ended December 31, 2011.</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6"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We made no share purchases during the first quarter of 2012. We remain authorized by the Board of Directors to purchase up to 2 million shares of our Class A Common Stock.</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180"/>
          </w:cols>
          <w:pgMar w:left="240" w:top="657" w:right="47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6. Exhibits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Exhibit No. Description</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60" w:type="dxa"/>
            <w:vAlign w:val="bottom"/>
          </w:tcPr>
          <w:p>
            <w:pPr>
              <w:jc w:val="right"/>
              <w:ind w:right="210"/>
              <w:spacing w:after="0"/>
              <w:rPr>
                <w:sz w:val="20"/>
                <w:szCs w:val="20"/>
                <w:color w:val="auto"/>
              </w:rPr>
            </w:pPr>
            <w:r>
              <w:rPr>
                <w:rFonts w:ascii="Arial" w:cs="Arial" w:eastAsia="Arial" w:hAnsi="Arial"/>
                <w:sz w:val="18"/>
                <w:szCs w:val="18"/>
                <w:color w:val="auto"/>
                <w:w w:val="96"/>
              </w:rPr>
              <w:t>31.1</w:t>
            </w:r>
          </w:p>
        </w:tc>
        <w:tc>
          <w:tcPr>
            <w:tcW w:w="10480" w:type="dxa"/>
            <w:vAlign w:val="bottom"/>
          </w:tcPr>
          <w:p>
            <w:pPr>
              <w:ind w:left="320"/>
              <w:spacing w:after="0"/>
              <w:rPr>
                <w:sz w:val="20"/>
                <w:szCs w:val="20"/>
                <w:color w:val="auto"/>
              </w:rPr>
            </w:pPr>
            <w:r>
              <w:rPr>
                <w:rFonts w:ascii="Arial" w:cs="Arial" w:eastAsia="Arial" w:hAnsi="Arial"/>
                <w:sz w:val="18"/>
                <w:szCs w:val="18"/>
                <w:color w:val="auto"/>
              </w:rPr>
              <w:t>Certification of the Chief Executive Officer pursuant to Rule 13a-14(a)/15d-14(a) of the Exchange Act.</w:t>
            </w:r>
          </w:p>
        </w:tc>
      </w:tr>
      <w:tr>
        <w:trPr>
          <w:trHeight w:val="311"/>
        </w:trPr>
        <w:tc>
          <w:tcPr>
            <w:tcW w:w="660" w:type="dxa"/>
            <w:vAlign w:val="bottom"/>
          </w:tcPr>
          <w:p>
            <w:pPr>
              <w:jc w:val="right"/>
              <w:ind w:right="210"/>
              <w:spacing w:after="0"/>
              <w:rPr>
                <w:sz w:val="20"/>
                <w:szCs w:val="20"/>
                <w:color w:val="auto"/>
              </w:rPr>
            </w:pPr>
            <w:r>
              <w:rPr>
                <w:rFonts w:ascii="Arial" w:cs="Arial" w:eastAsia="Arial" w:hAnsi="Arial"/>
                <w:sz w:val="18"/>
                <w:szCs w:val="18"/>
                <w:color w:val="auto"/>
                <w:w w:val="96"/>
              </w:rPr>
              <w:t>31.2</w:t>
            </w:r>
          </w:p>
        </w:tc>
        <w:tc>
          <w:tcPr>
            <w:tcW w:w="10480" w:type="dxa"/>
            <w:vAlign w:val="bottom"/>
          </w:tcPr>
          <w:p>
            <w:pPr>
              <w:ind w:left="320"/>
              <w:spacing w:after="0"/>
              <w:rPr>
                <w:sz w:val="20"/>
                <w:szCs w:val="20"/>
                <w:color w:val="auto"/>
              </w:rPr>
            </w:pPr>
            <w:r>
              <w:rPr>
                <w:rFonts w:ascii="Arial" w:cs="Arial" w:eastAsia="Arial" w:hAnsi="Arial"/>
                <w:sz w:val="18"/>
                <w:szCs w:val="18"/>
                <w:color w:val="auto"/>
              </w:rPr>
              <w:t>Certification of the Chief Financial Officer pursuant to Rule 13a-14(a)/15d-14(a) of the Exchange Act.</w:t>
            </w:r>
          </w:p>
        </w:tc>
      </w:tr>
      <w:tr>
        <w:trPr>
          <w:trHeight w:val="296"/>
        </w:trPr>
        <w:tc>
          <w:tcPr>
            <w:tcW w:w="660" w:type="dxa"/>
            <w:vAlign w:val="bottom"/>
          </w:tcPr>
          <w:p>
            <w:pPr>
              <w:jc w:val="right"/>
              <w:ind w:right="210"/>
              <w:spacing w:after="0"/>
              <w:rPr>
                <w:sz w:val="20"/>
                <w:szCs w:val="20"/>
                <w:color w:val="auto"/>
              </w:rPr>
            </w:pPr>
            <w:r>
              <w:rPr>
                <w:rFonts w:ascii="Arial" w:cs="Arial" w:eastAsia="Arial" w:hAnsi="Arial"/>
                <w:sz w:val="18"/>
                <w:szCs w:val="18"/>
                <w:color w:val="auto"/>
                <w:w w:val="96"/>
              </w:rPr>
              <w:t>32.1</w:t>
            </w:r>
          </w:p>
        </w:tc>
        <w:tc>
          <w:tcPr>
            <w:tcW w:w="10480" w:type="dxa"/>
            <w:vAlign w:val="bottom"/>
          </w:tcPr>
          <w:p>
            <w:pPr>
              <w:ind w:left="320"/>
              <w:spacing w:after="0"/>
              <w:rPr>
                <w:sz w:val="20"/>
                <w:szCs w:val="20"/>
                <w:color w:val="auto"/>
              </w:rPr>
            </w:pPr>
            <w:r>
              <w:rPr>
                <w:rFonts w:ascii="Arial" w:cs="Arial" w:eastAsia="Arial" w:hAnsi="Arial"/>
                <w:sz w:val="18"/>
                <w:szCs w:val="18"/>
                <w:color w:val="auto"/>
                <w:w w:val="99"/>
              </w:rPr>
              <w:t>Certification pursuant to Section 906 of the Sarbanes-Oxley Act of 2002 (Subsections (a) and (b) of Section 1350, Chapter 63 of</w:t>
            </w:r>
          </w:p>
        </w:tc>
      </w:tr>
      <w:tr>
        <w:trPr>
          <w:trHeight w:val="217"/>
        </w:trPr>
        <w:tc>
          <w:tcPr>
            <w:tcW w:w="660" w:type="dxa"/>
            <w:vAlign w:val="bottom"/>
          </w:tcPr>
          <w:p>
            <w:pPr>
              <w:spacing w:after="0"/>
              <w:rPr>
                <w:sz w:val="18"/>
                <w:szCs w:val="18"/>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Title 18, United States Code).</w:t>
            </w:r>
          </w:p>
        </w:tc>
      </w:tr>
      <w:tr>
        <w:trPr>
          <w:trHeight w:val="311"/>
        </w:trPr>
        <w:tc>
          <w:tcPr>
            <w:tcW w:w="660" w:type="dxa"/>
            <w:vAlign w:val="bottom"/>
          </w:tcPr>
          <w:p>
            <w:pPr>
              <w:jc w:val="right"/>
              <w:ind w:right="210"/>
              <w:spacing w:after="0"/>
              <w:rPr>
                <w:sz w:val="20"/>
                <w:szCs w:val="20"/>
                <w:color w:val="auto"/>
              </w:rPr>
            </w:pPr>
            <w:r>
              <w:rPr>
                <w:rFonts w:ascii="Arial" w:cs="Arial" w:eastAsia="Arial" w:hAnsi="Arial"/>
                <w:sz w:val="18"/>
                <w:szCs w:val="18"/>
                <w:color w:val="auto"/>
                <w:w w:val="96"/>
              </w:rPr>
              <w:t>99.1</w:t>
            </w:r>
          </w:p>
        </w:tc>
        <w:tc>
          <w:tcPr>
            <w:tcW w:w="10480" w:type="dxa"/>
            <w:vAlign w:val="bottom"/>
          </w:tcPr>
          <w:p>
            <w:pPr>
              <w:ind w:left="320"/>
              <w:spacing w:after="0"/>
              <w:rPr>
                <w:sz w:val="20"/>
                <w:szCs w:val="20"/>
                <w:color w:val="auto"/>
              </w:rPr>
            </w:pPr>
            <w:r>
              <w:rPr>
                <w:rFonts w:ascii="Arial" w:cs="Arial" w:eastAsia="Arial" w:hAnsi="Arial"/>
                <w:sz w:val="18"/>
                <w:szCs w:val="18"/>
                <w:color w:val="auto"/>
              </w:rPr>
              <w:t>Quantitative and qualitative disclosures about market risks as reported at December 31, 2010.</w:t>
            </w:r>
          </w:p>
        </w:tc>
      </w:tr>
    </w:tbl>
    <w:p>
      <w:pPr>
        <w:spacing w:after="0" w:line="94" w:lineRule="exact"/>
        <w:rPr>
          <w:sz w:val="20"/>
          <w:szCs w:val="20"/>
          <w:color w:val="auto"/>
        </w:rPr>
      </w:pPr>
    </w:p>
    <w:p>
      <w:pPr>
        <w:ind w:left="980" w:right="200" w:hanging="972"/>
        <w:spacing w:after="0" w:line="246"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following financial information from the Registrant’s Quarterly Report on Form 10-Q for the quarter ended March 31, 2012, formatted in eXtensible Business Reporting Language (XBRL), furnished herewith:</w:t>
      </w:r>
    </w:p>
    <w:p>
      <w:pPr>
        <w:spacing w:after="0" w:line="88" w:lineRule="exact"/>
        <w:rPr>
          <w:rFonts w:ascii="Arial" w:cs="Arial" w:eastAsia="Arial" w:hAnsi="Arial"/>
          <w:sz w:val="18"/>
          <w:szCs w:val="18"/>
          <w:color w:val="auto"/>
        </w:rPr>
      </w:pPr>
    </w:p>
    <w:p>
      <w:pPr>
        <w:ind w:left="1260" w:hanging="250"/>
        <w:spacing w:after="0"/>
        <w:tabs>
          <w:tab w:leader="none" w:pos="1260" w:val="left"/>
        </w:tabs>
        <w:numPr>
          <w:ilvl w:val="1"/>
          <w:numId w:val="6"/>
        </w:numPr>
        <w:rPr>
          <w:rFonts w:ascii="Arial" w:cs="Arial" w:eastAsia="Arial" w:hAnsi="Arial"/>
          <w:sz w:val="18"/>
          <w:szCs w:val="18"/>
          <w:color w:val="auto"/>
        </w:rPr>
      </w:pPr>
      <w:r>
        <w:rPr>
          <w:rFonts w:ascii="Arial" w:cs="Arial" w:eastAsia="Arial" w:hAnsi="Arial"/>
          <w:sz w:val="18"/>
          <w:szCs w:val="18"/>
          <w:color w:val="auto"/>
        </w:rPr>
        <w:t>Consolidated Balance Sheets at March 31, 2012 and December 31, 2011,</w:t>
      </w:r>
    </w:p>
    <w:p>
      <w:pPr>
        <w:spacing w:after="0" w:line="103" w:lineRule="exact"/>
        <w:rPr>
          <w:rFonts w:ascii="Arial" w:cs="Arial" w:eastAsia="Arial" w:hAnsi="Arial"/>
          <w:sz w:val="18"/>
          <w:szCs w:val="18"/>
          <w:color w:val="auto"/>
        </w:rPr>
      </w:pPr>
    </w:p>
    <w:p>
      <w:pPr>
        <w:ind w:left="1260" w:hanging="290"/>
        <w:spacing w:after="0"/>
        <w:tabs>
          <w:tab w:leader="none" w:pos="1260" w:val="left"/>
        </w:tabs>
        <w:numPr>
          <w:ilvl w:val="1"/>
          <w:numId w:val="6"/>
        </w:numPr>
        <w:rPr>
          <w:rFonts w:ascii="Arial" w:cs="Arial" w:eastAsia="Arial" w:hAnsi="Arial"/>
          <w:sz w:val="18"/>
          <w:szCs w:val="18"/>
          <w:color w:val="auto"/>
        </w:rPr>
      </w:pPr>
      <w:r>
        <w:rPr>
          <w:rFonts w:ascii="Arial" w:cs="Arial" w:eastAsia="Arial" w:hAnsi="Arial"/>
          <w:sz w:val="18"/>
          <w:szCs w:val="18"/>
          <w:color w:val="auto"/>
        </w:rPr>
        <w:t>Consolidated Statements of Income for the three months ended March 31, 2012 and 2011,</w:t>
      </w:r>
    </w:p>
    <w:p>
      <w:pPr>
        <w:spacing w:after="0" w:line="103" w:lineRule="exact"/>
        <w:rPr>
          <w:rFonts w:ascii="Arial" w:cs="Arial" w:eastAsia="Arial" w:hAnsi="Arial"/>
          <w:sz w:val="18"/>
          <w:szCs w:val="18"/>
          <w:color w:val="auto"/>
        </w:rPr>
      </w:pPr>
    </w:p>
    <w:p>
      <w:pPr>
        <w:ind w:left="1260" w:hanging="330"/>
        <w:spacing w:after="0"/>
        <w:tabs>
          <w:tab w:leader="none" w:pos="1260" w:val="left"/>
        </w:tabs>
        <w:numPr>
          <w:ilvl w:val="1"/>
          <w:numId w:val="6"/>
        </w:numPr>
        <w:rPr>
          <w:rFonts w:ascii="Arial" w:cs="Arial" w:eastAsia="Arial" w:hAnsi="Arial"/>
          <w:sz w:val="18"/>
          <w:szCs w:val="18"/>
          <w:color w:val="auto"/>
        </w:rPr>
      </w:pPr>
      <w:r>
        <w:rPr>
          <w:rFonts w:ascii="Arial" w:cs="Arial" w:eastAsia="Arial" w:hAnsi="Arial"/>
          <w:sz w:val="18"/>
          <w:szCs w:val="18"/>
          <w:color w:val="auto"/>
        </w:rPr>
        <w:t>Consolidated Statements of Cash Flows for the three ended March 31, 2012 and 2011, and</w:t>
      </w:r>
    </w:p>
    <w:p>
      <w:pPr>
        <w:spacing w:after="0" w:line="103" w:lineRule="exact"/>
        <w:rPr>
          <w:rFonts w:ascii="Arial" w:cs="Arial" w:eastAsia="Arial" w:hAnsi="Arial"/>
          <w:sz w:val="18"/>
          <w:szCs w:val="18"/>
          <w:color w:val="auto"/>
        </w:rPr>
      </w:pPr>
    </w:p>
    <w:p>
      <w:pPr>
        <w:ind w:left="1260" w:hanging="340"/>
        <w:spacing w:after="0"/>
        <w:tabs>
          <w:tab w:leader="none" w:pos="1260" w:val="left"/>
        </w:tabs>
        <w:numPr>
          <w:ilvl w:val="1"/>
          <w:numId w:val="6"/>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03" w:lineRule="exact"/>
        <w:rPr>
          <w:rFonts w:ascii="Arial" w:cs="Arial" w:eastAsia="Arial" w:hAnsi="Arial"/>
          <w:sz w:val="18"/>
          <w:szCs w:val="18"/>
          <w:color w:val="auto"/>
        </w:rPr>
      </w:pPr>
    </w:p>
    <w:p>
      <w:pPr>
        <w:ind w:left="1260"/>
        <w:spacing w:after="0" w:line="246" w:lineRule="auto"/>
        <w:rPr>
          <w:rFonts w:ascii="Arial" w:cs="Arial" w:eastAsia="Arial" w:hAnsi="Arial"/>
          <w:sz w:val="18"/>
          <w:szCs w:val="18"/>
          <w:color w:val="auto"/>
        </w:rPr>
      </w:pPr>
      <w:r>
        <w:rPr>
          <w:rFonts w:ascii="Arial" w:cs="Arial" w:eastAsia="Arial" w:hAnsi="Arial"/>
          <w:sz w:val="18"/>
          <w:szCs w:val="18"/>
          <w:color w:val="auto"/>
        </w:rPr>
        <w:t>As provided in Rule 406T of Regulation S-T, this information shall not be deemed “filed” for purposes of Sections 11 and 12 of the Securities Act and Section 18 of the Securities Exchange Act or otherwise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40"/>
          </w:cols>
          <w:pgMar w:left="240" w:top="657" w:right="419" w:bottom="1440" w:gutter="0" w:footer="0" w:header="0"/>
        </w:sectPr>
      </w:pPr>
    </w:p>
    <w:bookmarkStart w:id="52" w:name="page53"/>
    <w:bookmarkEnd w:id="52"/>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9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1" w:lineRule="exact"/>
        <w:rPr>
          <w:sz w:val="20"/>
          <w:szCs w:val="20"/>
          <w:color w:val="auto"/>
        </w:rPr>
      </w:pPr>
    </w:p>
    <w:p>
      <w:pPr>
        <w:jc w:val="center"/>
        <w:ind w:left="6860"/>
        <w:spacing w:after="0"/>
        <w:rPr>
          <w:sz w:val="20"/>
          <w:szCs w:val="20"/>
          <w:color w:val="auto"/>
        </w:rPr>
      </w:pPr>
      <w:r>
        <w:rPr>
          <w:rFonts w:ascii="Arial" w:cs="Arial" w:eastAsia="Arial" w:hAnsi="Arial"/>
          <w:sz w:val="18"/>
          <w:szCs w:val="18"/>
          <w:u w:val="single" w:color="auto"/>
          <w:color w:val="auto"/>
        </w:rPr>
        <w:t>ALBANY INTERNATIONAL CORP</w:t>
      </w:r>
      <w:r>
        <w:rPr>
          <w:rFonts w:ascii="Arial" w:cs="Arial" w:eastAsia="Arial" w:hAnsi="Arial"/>
          <w:sz w:val="18"/>
          <w:szCs w:val="18"/>
          <w:color w:val="auto"/>
        </w:rPr>
        <w:t xml:space="preserve"> .</w:t>
      </w:r>
    </w:p>
    <w:p>
      <w:pPr>
        <w:jc w:val="center"/>
        <w:ind w:left="6860"/>
        <w:spacing w:after="0"/>
        <w:rPr>
          <w:sz w:val="20"/>
          <w:szCs w:val="20"/>
          <w:color w:val="auto"/>
        </w:rPr>
      </w:pPr>
      <w:r>
        <w:rPr>
          <w:rFonts w:ascii="Arial" w:cs="Arial" w:eastAsia="Arial" w:hAnsi="Arial"/>
          <w:sz w:val="18"/>
          <w:szCs w:val="18"/>
          <w:color w:val="auto"/>
        </w:rPr>
        <w:t>(Registrant)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 May 4, 2012</w:t>
      </w:r>
    </w:p>
    <w:p>
      <w:pPr>
        <w:spacing w:after="0" w:line="212" w:lineRule="exact"/>
        <w:rPr>
          <w:sz w:val="20"/>
          <w:szCs w:val="20"/>
          <w:color w:val="auto"/>
        </w:rPr>
      </w:pPr>
    </w:p>
    <w:p>
      <w:pPr>
        <w:ind w:left="640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John B. Cozzolino</w:t>
      </w:r>
    </w:p>
    <w:p>
      <w:pPr>
        <w:spacing w:after="0" w:line="19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B. Cozzolino</w:t>
      </w:r>
    </w:p>
    <w:p>
      <w:pPr>
        <w:ind w:left="6860"/>
        <w:spacing w:after="0" w:line="234"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120"/>
          </w:cols>
          <w:pgMar w:left="240" w:top="657" w:right="539" w:bottom="1440" w:gutter="0" w:footer="0" w:header="0"/>
        </w:sectPr>
      </w:pPr>
    </w:p>
    <w:bookmarkStart w:id="53" w:name="page54"/>
    <w:bookmarkEnd w:id="53"/>
    <w:p>
      <w:pPr>
        <w:jc w:val="center"/>
        <w:ind w:right="-79"/>
        <w:spacing w:after="0"/>
        <w:rPr>
          <w:sz w:val="20"/>
          <w:szCs w:val="20"/>
          <w:color w:val="auto"/>
        </w:rPr>
      </w:pPr>
      <w:r>
        <w:rPr>
          <w:rFonts w:ascii="Arial" w:cs="Arial" w:eastAsia="Arial" w:hAnsi="Arial"/>
          <w:sz w:val="18"/>
          <w:szCs w:val="18"/>
          <w:b w:val="1"/>
          <w:bCs w:val="1"/>
          <w:color w:val="auto"/>
        </w:rPr>
        <w:t>EXHIBIT (31.1)</w:t>
      </w:r>
    </w:p>
    <w:p>
      <w:pPr>
        <w:spacing w:after="0" w:line="1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CERTIFICATION PURSUANT TO</w:t>
      </w:r>
    </w:p>
    <w:p>
      <w:pPr>
        <w:jc w:val="center"/>
        <w:ind w:right="-79"/>
        <w:spacing w:after="0" w:line="234" w:lineRule="auto"/>
        <w:rPr>
          <w:sz w:val="20"/>
          <w:szCs w:val="20"/>
          <w:color w:val="auto"/>
        </w:rPr>
      </w:pPr>
      <w:r>
        <w:rPr>
          <w:rFonts w:ascii="Arial" w:cs="Arial" w:eastAsia="Arial" w:hAnsi="Arial"/>
          <w:sz w:val="18"/>
          <w:szCs w:val="18"/>
          <w:b w:val="1"/>
          <w:bCs w:val="1"/>
          <w:color w:val="auto"/>
        </w:rPr>
        <w:t>RULE 13A-14 OF THE SECURITIES EXCHANGE ACT OF 1934,</w:t>
      </w:r>
    </w:p>
    <w:p>
      <w:pPr>
        <w:jc w:val="center"/>
        <w:ind w:right="-79"/>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Joseph G. Morone, certify that:</w:t>
      </w:r>
    </w:p>
    <w:p>
      <w:pPr>
        <w:spacing w:after="0" w:line="198" w:lineRule="exact"/>
        <w:rPr>
          <w:sz w:val="20"/>
          <w:szCs w:val="20"/>
          <w:color w:val="auto"/>
        </w:rPr>
      </w:pPr>
    </w:p>
    <w:p>
      <w:pPr>
        <w:ind w:left="820" w:hanging="338"/>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198" w:lineRule="exact"/>
        <w:rPr>
          <w:rFonts w:ascii="Arial" w:cs="Arial" w:eastAsia="Arial" w:hAnsi="Arial"/>
          <w:sz w:val="18"/>
          <w:szCs w:val="18"/>
          <w:color w:val="auto"/>
        </w:rPr>
      </w:pPr>
    </w:p>
    <w:p>
      <w:pPr>
        <w:ind w:left="820" w:right="20" w:hanging="338"/>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ind w:left="820" w:right="80" w:hanging="338"/>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Arial" w:cs="Arial" w:eastAsia="Arial" w:hAnsi="Arial"/>
          <w:sz w:val="18"/>
          <w:szCs w:val="18"/>
          <w:color w:val="auto"/>
        </w:rPr>
      </w:pPr>
    </w:p>
    <w:p>
      <w:pPr>
        <w:jc w:val="both"/>
        <w:ind w:left="820" w:right="180" w:hanging="338"/>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ind w:left="1260" w:right="160" w:hanging="388"/>
        <w:spacing w:after="0"/>
        <w:tabs>
          <w:tab w:leader="none" w:pos="12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ind w:left="1260" w:right="160" w:hanging="388"/>
        <w:spacing w:after="0"/>
        <w:tabs>
          <w:tab w:leader="none" w:pos="12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jc w:val="both"/>
        <w:ind w:left="1260" w:right="80" w:hanging="378"/>
        <w:spacing w:after="0"/>
        <w:tabs>
          <w:tab w:leader="none" w:pos="1260"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ind w:left="1260" w:right="220" w:hanging="388"/>
        <w:spacing w:after="0"/>
        <w:tabs>
          <w:tab w:leader="none" w:pos="12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left="820" w:right="80" w:hanging="338"/>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8"/>
          <w:szCs w:val="18"/>
          <w:color w:val="auto"/>
        </w:rPr>
      </w:pPr>
    </w:p>
    <w:p>
      <w:pPr>
        <w:ind w:left="1260" w:right="80" w:hanging="388"/>
        <w:spacing w:after="0"/>
        <w:tabs>
          <w:tab w:leader="none" w:pos="12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260" w:hanging="388"/>
        <w:spacing w:after="0" w:line="246" w:lineRule="auto"/>
        <w:tabs>
          <w:tab w:leader="none" w:pos="12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Date: May 4, 2012</w:t>
      </w:r>
    </w:p>
    <w:p>
      <w:pPr>
        <w:ind w:left="6860"/>
        <w:spacing w:after="0" w:line="234" w:lineRule="auto"/>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Joseph G. Morone</w:t>
      </w:r>
    </w:p>
    <w:p>
      <w:pPr>
        <w:ind w:left="7320"/>
        <w:spacing w:after="0" w:line="235" w:lineRule="auto"/>
        <w:rPr>
          <w:sz w:val="20"/>
          <w:szCs w:val="20"/>
          <w:color w:val="auto"/>
        </w:rPr>
      </w:pPr>
      <w:r>
        <w:rPr>
          <w:rFonts w:ascii="Arial" w:cs="Arial" w:eastAsia="Arial" w:hAnsi="Arial"/>
          <w:sz w:val="18"/>
          <w:szCs w:val="18"/>
          <w:color w:val="auto"/>
        </w:rPr>
        <w:t>Joseph G. Morone</w:t>
      </w:r>
    </w:p>
    <w:p>
      <w:pPr>
        <w:ind w:left="7320"/>
        <w:spacing w:after="0" w:line="235"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431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54" w:name="page55"/>
    <w:bookmarkEnd w:id="54"/>
    <w:p>
      <w:pPr>
        <w:jc w:val="center"/>
        <w:ind w:right="-79"/>
        <w:spacing w:after="0"/>
        <w:rPr>
          <w:sz w:val="20"/>
          <w:szCs w:val="20"/>
          <w:color w:val="auto"/>
        </w:rPr>
      </w:pPr>
      <w:r>
        <w:rPr>
          <w:rFonts w:ascii="Arial" w:cs="Arial" w:eastAsia="Arial" w:hAnsi="Arial"/>
          <w:sz w:val="18"/>
          <w:szCs w:val="18"/>
          <w:b w:val="1"/>
          <w:bCs w:val="1"/>
          <w:color w:val="auto"/>
        </w:rPr>
        <w:t>EXHIBIT (31.2)</w:t>
      </w:r>
    </w:p>
    <w:p>
      <w:pPr>
        <w:spacing w:after="0" w:line="1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CERTIFICATION PURSUANT TO</w:t>
      </w:r>
    </w:p>
    <w:p>
      <w:pPr>
        <w:jc w:val="center"/>
        <w:ind w:right="-79"/>
        <w:spacing w:after="0" w:line="234" w:lineRule="auto"/>
        <w:rPr>
          <w:sz w:val="20"/>
          <w:szCs w:val="20"/>
          <w:color w:val="auto"/>
        </w:rPr>
      </w:pPr>
      <w:r>
        <w:rPr>
          <w:rFonts w:ascii="Arial" w:cs="Arial" w:eastAsia="Arial" w:hAnsi="Arial"/>
          <w:sz w:val="18"/>
          <w:szCs w:val="18"/>
          <w:b w:val="1"/>
          <w:bCs w:val="1"/>
          <w:color w:val="auto"/>
        </w:rPr>
        <w:t>RULE 13A-14 OF THE SECURITIES EXCHANGE ACT OF 1934,</w:t>
      </w:r>
    </w:p>
    <w:p>
      <w:pPr>
        <w:jc w:val="center"/>
        <w:ind w:right="-79"/>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John B. Cozzolino, certify that:</w:t>
      </w:r>
    </w:p>
    <w:p>
      <w:pPr>
        <w:spacing w:after="0" w:line="198" w:lineRule="exact"/>
        <w:rPr>
          <w:sz w:val="20"/>
          <w:szCs w:val="20"/>
          <w:color w:val="auto"/>
        </w:rPr>
      </w:pPr>
    </w:p>
    <w:p>
      <w:pPr>
        <w:ind w:left="820" w:hanging="338"/>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198" w:lineRule="exact"/>
        <w:rPr>
          <w:rFonts w:ascii="Arial" w:cs="Arial" w:eastAsia="Arial" w:hAnsi="Arial"/>
          <w:sz w:val="18"/>
          <w:szCs w:val="18"/>
          <w:color w:val="auto"/>
        </w:rPr>
      </w:pPr>
    </w:p>
    <w:p>
      <w:pPr>
        <w:ind w:left="820" w:right="20" w:hanging="338"/>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ind w:left="820" w:right="80" w:hanging="338"/>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Arial" w:cs="Arial" w:eastAsia="Arial" w:hAnsi="Arial"/>
          <w:sz w:val="18"/>
          <w:szCs w:val="18"/>
          <w:color w:val="auto"/>
        </w:rPr>
      </w:pPr>
    </w:p>
    <w:p>
      <w:pPr>
        <w:jc w:val="both"/>
        <w:ind w:left="820" w:right="180" w:hanging="338"/>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ind w:left="1260" w:right="160" w:hanging="388"/>
        <w:spacing w:after="0"/>
        <w:tabs>
          <w:tab w:leader="none" w:pos="12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ind w:left="1260" w:right="160" w:hanging="388"/>
        <w:spacing w:after="0"/>
        <w:tabs>
          <w:tab w:leader="none" w:pos="12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jc w:val="both"/>
        <w:ind w:left="1260" w:right="80" w:hanging="378"/>
        <w:spacing w:after="0"/>
        <w:tabs>
          <w:tab w:leader="none" w:pos="126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ind w:left="1260" w:right="220" w:hanging="388"/>
        <w:spacing w:after="0"/>
        <w:tabs>
          <w:tab w:leader="none" w:pos="12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left="820" w:right="80" w:hanging="338"/>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8"/>
          <w:szCs w:val="18"/>
          <w:color w:val="auto"/>
        </w:rPr>
      </w:pPr>
    </w:p>
    <w:p>
      <w:pPr>
        <w:ind w:left="1260" w:right="80" w:hanging="388"/>
        <w:spacing w:after="0"/>
        <w:tabs>
          <w:tab w:leader="none" w:pos="12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260" w:hanging="388"/>
        <w:spacing w:after="0" w:line="246" w:lineRule="auto"/>
        <w:tabs>
          <w:tab w:leader="none" w:pos="12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Date: May 4, 2012</w:t>
      </w:r>
    </w:p>
    <w:p>
      <w:pPr>
        <w:ind w:left="6860"/>
        <w:spacing w:after="0" w:line="234" w:lineRule="auto"/>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John B. Cozzolino</w:t>
      </w:r>
    </w:p>
    <w:p>
      <w:pPr>
        <w:ind w:left="7320"/>
        <w:spacing w:after="0" w:line="235" w:lineRule="auto"/>
        <w:rPr>
          <w:sz w:val="20"/>
          <w:szCs w:val="20"/>
          <w:color w:val="auto"/>
        </w:rPr>
      </w:pPr>
      <w:r>
        <w:rPr>
          <w:rFonts w:ascii="Arial" w:cs="Arial" w:eastAsia="Arial" w:hAnsi="Arial"/>
          <w:sz w:val="18"/>
          <w:szCs w:val="18"/>
          <w:color w:val="auto"/>
        </w:rPr>
        <w:t>John B. Cozzolino</w:t>
      </w:r>
    </w:p>
    <w:p>
      <w:pPr>
        <w:ind w:left="7320"/>
        <w:spacing w:after="0" w:line="235"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431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55" w:name="page56"/>
    <w:bookmarkEnd w:id="55"/>
    <w:p>
      <w:pPr>
        <w:jc w:val="center"/>
        <w:ind w:right="-119"/>
        <w:spacing w:after="0"/>
        <w:rPr>
          <w:sz w:val="20"/>
          <w:szCs w:val="20"/>
          <w:color w:val="auto"/>
        </w:rPr>
      </w:pPr>
      <w:r>
        <w:rPr>
          <w:rFonts w:ascii="Arial" w:cs="Arial" w:eastAsia="Arial" w:hAnsi="Arial"/>
          <w:sz w:val="18"/>
          <w:szCs w:val="18"/>
          <w:b w:val="1"/>
          <w:bCs w:val="1"/>
          <w:color w:val="auto"/>
        </w:rPr>
        <w:t>EXHIBIT (32.1)</w:t>
      </w:r>
    </w:p>
    <w:p>
      <w:pPr>
        <w:spacing w:after="0" w:line="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CERTIFICATION PURSUANT TO</w:t>
      </w:r>
    </w:p>
    <w:p>
      <w:pPr>
        <w:jc w:val="center"/>
        <w:ind w:right="-119"/>
        <w:spacing w:after="0" w:line="234" w:lineRule="auto"/>
        <w:rPr>
          <w:sz w:val="20"/>
          <w:szCs w:val="20"/>
          <w:color w:val="auto"/>
        </w:rPr>
      </w:pPr>
      <w:r>
        <w:rPr>
          <w:rFonts w:ascii="Arial" w:cs="Arial" w:eastAsia="Arial" w:hAnsi="Arial"/>
          <w:sz w:val="18"/>
          <w:szCs w:val="18"/>
          <w:b w:val="1"/>
          <w:bCs w:val="1"/>
          <w:color w:val="auto"/>
        </w:rPr>
        <w:t>18 U.S.C. SECTION 1350,</w:t>
      </w:r>
    </w:p>
    <w:p>
      <w:pPr>
        <w:jc w:val="center"/>
        <w:ind w:right="-119"/>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connection with the Quarterly Report of Albany International Corp. (the Company) on Form 10-Q for the period ending September 30, 2011, as filed with the Securities and Exchange Commission on the date hereof (the Report), Joseph G. Morone, President and Chief Executive Officer, and John B. Cozzolino, Chief Financial Officer and Treasurer of the Company, certify, pursuant to 18 U.S.C. § 1350, as adopted pursuant to § 906 of the Sarbanes-Oxley Act of 2002, that:</w:t>
      </w:r>
    </w:p>
    <w:p>
      <w:pPr>
        <w:spacing w:after="0" w:line="94"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and Exchange Act of 1934; and</w:t>
      </w:r>
    </w:p>
    <w:p>
      <w:pPr>
        <w:spacing w:after="0" w:line="198" w:lineRule="exact"/>
        <w:rPr>
          <w:rFonts w:ascii="Arial" w:cs="Arial" w:eastAsia="Arial" w:hAnsi="Arial"/>
          <w:sz w:val="18"/>
          <w:szCs w:val="18"/>
          <w:color w:val="auto"/>
        </w:rPr>
      </w:pPr>
    </w:p>
    <w:p>
      <w:pPr>
        <w:ind w:left="460" w:right="260" w:hanging="452"/>
        <w:spacing w:after="0" w:line="246"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May 4, 2012</w:t>
      </w:r>
    </w:p>
    <w:p>
      <w:pPr>
        <w:spacing w:after="0" w:line="9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Joseph G. Morone</w:t>
      </w:r>
    </w:p>
    <w:p>
      <w:pPr>
        <w:ind w:left="5720"/>
        <w:spacing w:after="0" w:line="234" w:lineRule="auto"/>
        <w:rPr>
          <w:sz w:val="20"/>
          <w:szCs w:val="20"/>
          <w:color w:val="auto"/>
        </w:rPr>
      </w:pPr>
      <w:r>
        <w:rPr>
          <w:rFonts w:ascii="Arial" w:cs="Arial" w:eastAsia="Arial" w:hAnsi="Arial"/>
          <w:sz w:val="18"/>
          <w:szCs w:val="18"/>
          <w:color w:val="auto"/>
        </w:rPr>
        <w:t>Joseph G. Morone</w:t>
      </w:r>
    </w:p>
    <w:p>
      <w:pPr>
        <w:ind w:left="5720"/>
        <w:spacing w:after="0" w:line="235"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19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John B. Cozzolino</w:t>
      </w:r>
    </w:p>
    <w:p>
      <w:pPr>
        <w:ind w:left="5720"/>
        <w:spacing w:after="0" w:line="234" w:lineRule="auto"/>
        <w:rPr>
          <w:sz w:val="20"/>
          <w:szCs w:val="20"/>
          <w:color w:val="auto"/>
        </w:rPr>
      </w:pPr>
      <w:r>
        <w:rPr>
          <w:rFonts w:ascii="Arial" w:cs="Arial" w:eastAsia="Arial" w:hAnsi="Arial"/>
          <w:sz w:val="18"/>
          <w:szCs w:val="18"/>
          <w:color w:val="auto"/>
        </w:rPr>
        <w:t>John B. Cozzolino</w:t>
      </w:r>
    </w:p>
    <w:p>
      <w:pPr>
        <w:ind w:left="5720"/>
        <w:spacing w:after="0" w:line="235"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431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00"/>
          </w:cols>
          <w:pgMar w:left="240" w:top="118" w:right="35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EXHIBIT (99.1)</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RISK SENSITIVITY – AS OF DECEMBER 31, 2011</w:t>
      </w:r>
    </w:p>
    <w:p>
      <w:pPr>
        <w:spacing w:after="0" w:line="158"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color w:val="auto"/>
        </w:rPr>
        <w:t>We have market risk with respect to foreign currency exchange rates and interest rates. The market risk is the potential loss arising from adverse changes in these rates as discussed below.</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2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have manufacturing plants and sales transactions worldwide and therefore are subject to foreign currency risk. This risk is composed of both potential losses from the translation of foreign currency financial statements and the remeasurement of foreign currency transactions. To manage this risk, we periodically enter into forward exchange contracts either to hedge the net assets of a foreign investment or to provide an economic hedge against future cash flows. The total net assets of non-U.S. operations and long-term intercompany loans denominated in nonfunctional currencies subject to potential loss amount to approximately $622.4 million. The potential loss in fair value resulting from a hypothetical 10% adverse change in quoted foreign currency exchange rates amounts to $ 62.2 million. Furthermore, related to foreign currency transactions, we have exposure to nonfunctional currency balances totaling $142.5 million. This amount includes, on an absolute basis, exposures to assets and liabilities held in currencies other than our local entity’s functional currency. On a net basis, we had approximately $28.7 million of foreign currency liabilities as of December 31, 2011. As currency rates change, these nonfunctional currency balances are revalued, and the corresponding adjustment is recorded in the income statement. A hypothetical change of 10% in currency rates could result in an adjustment to the income statement of approximately $2.9 million. Actual results may differ.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interest rate fluctuations with respect to our variable rate debt, depending on general economic conditions.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On December 31, 2011, we had the following variable rate debt: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900" w:type="dxa"/>
            <w:vAlign w:val="bottom"/>
          </w:tcPr>
          <w:p>
            <w:pPr>
              <w:spacing w:after="0"/>
              <w:rPr>
                <w:sz w:val="20"/>
                <w:szCs w:val="20"/>
                <w:color w:val="auto"/>
              </w:rPr>
            </w:pPr>
            <w:r>
              <w:rPr>
                <w:rFonts w:ascii="Arial" w:cs="Arial" w:eastAsia="Arial" w:hAnsi="Arial"/>
                <w:sz w:val="18"/>
                <w:szCs w:val="18"/>
                <w:b w:val="1"/>
                <w:bCs w:val="1"/>
                <w:color w:val="auto"/>
              </w:rPr>
              <w:t>Short-term debt</w:t>
            </w:r>
          </w:p>
        </w:tc>
        <w:tc>
          <w:tcPr>
            <w:tcW w:w="1520" w:type="dxa"/>
            <w:vAlign w:val="bottom"/>
          </w:tcPr>
          <w:p>
            <w:pPr>
              <w:spacing w:after="0"/>
              <w:rPr>
                <w:sz w:val="20"/>
                <w:szCs w:val="20"/>
                <w:color w:val="auto"/>
              </w:rPr>
            </w:pPr>
          </w:p>
        </w:tc>
      </w:tr>
      <w:tr>
        <w:trPr>
          <w:trHeight w:val="243"/>
        </w:trPr>
        <w:tc>
          <w:tcPr>
            <w:tcW w:w="9900" w:type="dxa"/>
            <w:vAlign w:val="bottom"/>
          </w:tcPr>
          <w:p>
            <w:pPr>
              <w:spacing w:after="0"/>
              <w:rPr>
                <w:sz w:val="20"/>
                <w:szCs w:val="20"/>
                <w:color w:val="auto"/>
              </w:rPr>
            </w:pPr>
            <w:r>
              <w:rPr>
                <w:rFonts w:ascii="Arial" w:cs="Arial" w:eastAsia="Arial" w:hAnsi="Arial"/>
                <w:sz w:val="18"/>
                <w:szCs w:val="18"/>
                <w:color w:val="auto"/>
              </w:rPr>
              <w:t>Notes payable, end of period interest rate of 1.30%</w:t>
            </w:r>
          </w:p>
        </w:tc>
        <w:tc>
          <w:tcPr>
            <w:tcW w:w="1520" w:type="dxa"/>
            <w:vAlign w:val="bottom"/>
          </w:tcPr>
          <w:p>
            <w:pPr>
              <w:jc w:val="right"/>
              <w:spacing w:after="0"/>
              <w:rPr>
                <w:sz w:val="20"/>
                <w:szCs w:val="20"/>
                <w:color w:val="auto"/>
              </w:rPr>
            </w:pPr>
            <w:r>
              <w:rPr>
                <w:rFonts w:ascii="Arial" w:cs="Arial" w:eastAsia="Arial" w:hAnsi="Arial"/>
                <w:sz w:val="18"/>
                <w:szCs w:val="18"/>
                <w:color w:val="auto"/>
              </w:rPr>
              <w:t>$424</w:t>
            </w:r>
          </w:p>
        </w:tc>
      </w:tr>
      <w:tr>
        <w:trPr>
          <w:trHeight w:val="229"/>
        </w:trPr>
        <w:tc>
          <w:tcPr>
            <w:tcW w:w="9900" w:type="dxa"/>
            <w:vAlign w:val="bottom"/>
          </w:tcPr>
          <w:p>
            <w:pPr>
              <w:spacing w:after="0"/>
              <w:rPr>
                <w:sz w:val="20"/>
                <w:szCs w:val="20"/>
                <w:color w:val="auto"/>
              </w:rPr>
            </w:pPr>
            <w:r>
              <w:rPr>
                <w:rFonts w:ascii="Arial" w:cs="Arial" w:eastAsia="Arial" w:hAnsi="Arial"/>
                <w:sz w:val="18"/>
                <w:szCs w:val="18"/>
                <w:b w:val="1"/>
                <w:bCs w:val="1"/>
                <w:color w:val="auto"/>
              </w:rPr>
              <w:t>Long-term debt</w:t>
            </w:r>
          </w:p>
        </w:tc>
        <w:tc>
          <w:tcPr>
            <w:tcW w:w="1520" w:type="dxa"/>
            <w:vAlign w:val="bottom"/>
          </w:tcPr>
          <w:p>
            <w:pPr>
              <w:spacing w:after="0"/>
              <w:rPr>
                <w:sz w:val="19"/>
                <w:szCs w:val="19"/>
                <w:color w:val="auto"/>
              </w:rPr>
            </w:pPr>
          </w:p>
        </w:tc>
      </w:tr>
      <w:tr>
        <w:trPr>
          <w:trHeight w:val="203"/>
        </w:trPr>
        <w:tc>
          <w:tcPr>
            <w:tcW w:w="9900" w:type="dxa"/>
            <w:vAlign w:val="bottom"/>
          </w:tcPr>
          <w:p>
            <w:pPr>
              <w:spacing w:after="0" w:line="202" w:lineRule="exact"/>
              <w:rPr>
                <w:sz w:val="20"/>
                <w:szCs w:val="20"/>
                <w:color w:val="auto"/>
              </w:rPr>
            </w:pPr>
            <w:r>
              <w:rPr>
                <w:rFonts w:ascii="Arial" w:cs="Arial" w:eastAsia="Arial" w:hAnsi="Arial"/>
                <w:sz w:val="18"/>
                <w:szCs w:val="18"/>
                <w:color w:val="auto"/>
              </w:rPr>
              <w:t>Credit agreement with borrowings outstanding, net of $105.0 million fixed rate portion, at an end of period interest</w:t>
            </w:r>
          </w:p>
        </w:tc>
        <w:tc>
          <w:tcPr>
            <w:tcW w:w="1520" w:type="dxa"/>
            <w:vAlign w:val="bottom"/>
          </w:tcPr>
          <w:p>
            <w:pPr>
              <w:spacing w:after="0"/>
              <w:rPr>
                <w:sz w:val="17"/>
                <w:szCs w:val="17"/>
                <w:color w:val="auto"/>
              </w:rPr>
            </w:pPr>
          </w:p>
        </w:tc>
      </w:tr>
      <w:tr>
        <w:trPr>
          <w:trHeight w:val="217"/>
        </w:trPr>
        <w:tc>
          <w:tcPr>
            <w:tcW w:w="9900" w:type="dxa"/>
            <w:vAlign w:val="bottom"/>
          </w:tcPr>
          <w:p>
            <w:pPr>
              <w:spacing w:after="0"/>
              <w:rPr>
                <w:sz w:val="20"/>
                <w:szCs w:val="20"/>
                <w:color w:val="auto"/>
              </w:rPr>
            </w:pPr>
            <w:r>
              <w:rPr>
                <w:rFonts w:ascii="Arial" w:cs="Arial" w:eastAsia="Arial" w:hAnsi="Arial"/>
                <w:sz w:val="18"/>
                <w:szCs w:val="18"/>
                <w:color w:val="auto"/>
              </w:rPr>
              <w:t>rate of 2.75% in 2011, due in 2015</w:t>
            </w:r>
          </w:p>
        </w:tc>
        <w:tc>
          <w:tcPr>
            <w:tcW w:w="1520" w:type="dxa"/>
            <w:vAlign w:val="bottom"/>
          </w:tcPr>
          <w:p>
            <w:pPr>
              <w:jc w:val="right"/>
              <w:spacing w:after="0"/>
              <w:rPr>
                <w:sz w:val="20"/>
                <w:szCs w:val="20"/>
                <w:color w:val="auto"/>
              </w:rPr>
            </w:pPr>
            <w:r>
              <w:rPr>
                <w:rFonts w:ascii="Arial" w:cs="Arial" w:eastAsia="Arial" w:hAnsi="Arial"/>
                <w:sz w:val="18"/>
                <w:szCs w:val="18"/>
                <w:color w:val="auto"/>
              </w:rPr>
              <w:t>82,000</w:t>
            </w:r>
          </w:p>
        </w:tc>
      </w:tr>
      <w:tr>
        <w:trPr>
          <w:trHeight w:val="431"/>
        </w:trPr>
        <w:tc>
          <w:tcPr>
            <w:tcW w:w="9900" w:type="dxa"/>
            <w:vAlign w:val="bottom"/>
          </w:tcPr>
          <w:p>
            <w:pPr>
              <w:spacing w:after="0"/>
              <w:rPr>
                <w:sz w:val="20"/>
                <w:szCs w:val="20"/>
                <w:color w:val="auto"/>
              </w:rPr>
            </w:pPr>
            <w:r>
              <w:rPr>
                <w:rFonts w:ascii="Arial" w:cs="Arial" w:eastAsia="Arial" w:hAnsi="Arial"/>
                <w:sz w:val="18"/>
                <w:szCs w:val="18"/>
                <w:color w:val="auto"/>
              </w:rPr>
              <w:t>Various notes and mortgages relative to operations principally outside the United States, at an average end of</w:t>
            </w:r>
          </w:p>
        </w:tc>
        <w:tc>
          <w:tcPr>
            <w:tcW w:w="1520" w:type="dxa"/>
            <w:vAlign w:val="bottom"/>
          </w:tcPr>
          <w:p>
            <w:pPr>
              <w:spacing w:after="0"/>
              <w:rPr>
                <w:sz w:val="24"/>
                <w:szCs w:val="24"/>
                <w:color w:val="auto"/>
              </w:rPr>
            </w:pPr>
          </w:p>
        </w:tc>
      </w:tr>
      <w:tr>
        <w:trPr>
          <w:trHeight w:val="203"/>
        </w:trPr>
        <w:tc>
          <w:tcPr>
            <w:tcW w:w="99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period rate of 3.02% in 2011, due in varying amounts through 2014</w:t>
            </w:r>
          </w:p>
        </w:tc>
        <w:tc>
          <w:tcPr>
            <w:tcW w:w="1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10,000</w:t>
            </w:r>
          </w:p>
        </w:tc>
      </w:tr>
      <w:tr>
        <w:trPr>
          <w:trHeight w:val="399"/>
        </w:trPr>
        <w:tc>
          <w:tcPr>
            <w:tcW w:w="9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$92,424</w:t>
            </w:r>
          </w:p>
        </w:tc>
      </w:tr>
    </w:tbl>
    <w:p>
      <w:pPr>
        <w:spacing w:after="0" w:line="377"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Assuming borrowings were outstanding for an entire year, an increase/decrease of one percentage point in weighted average interest rates would increase/decrease interest expense by $0.9 million. To manage interest rate risk, we may periodically enter into interest rate swap agreements to effectively fix the interest rates on variable debt to a specific rate for a period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635635</wp:posOffset>
            </wp:positionV>
            <wp:extent cx="7246620" cy="431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1"/>
    </w:lvl>
  </w:abstractNum>
  <w:abstractNum w:abstractNumId="3">
    <w:nsid w:val="2EB141F2"/>
    <w:multiLevelType w:val="hybridMultilevel"/>
    <w:lvl w:ilvl="0">
      <w:lvlJc w:val="left"/>
      <w:lvlText w:val="1"/>
      <w:numFmt w:val="bullet"/>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decimal"/>
      <w:start w:val="101"/>
    </w:lvl>
    <w:lvl w:ilvl="1">
      <w:lvlJc w:val="left"/>
      <w:lvlText w:val="(%2)"/>
      <w:numFmt w:val="lowerRoman"/>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2019-12-09T09:54:07Z</dcterms:created>
  <dcterms:modified xsi:type="dcterms:W3CDTF">2019-12-09T09:54:07Z</dcterms:modified>
</cp:coreProperties>
</file>