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80"/>
        <w:spacing w:after="0"/>
        <w:rPr>
          <w:sz w:val="20"/>
          <w:szCs w:val="20"/>
          <w:color w:val="auto"/>
        </w:rPr>
      </w:pPr>
      <w:r>
        <w:rPr>
          <w:rFonts w:ascii="Arial" w:cs="Arial" w:eastAsia="Arial" w:hAnsi="Arial"/>
          <w:sz w:val="18"/>
          <w:szCs w:val="18"/>
          <w:color w:val="auto"/>
        </w:rPr>
        <w:t>UNITED STATES</w:t>
      </w:r>
    </w:p>
    <w:p>
      <w:pPr>
        <w:spacing w:after="0" w:line="167"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SECURITIES AND EXCHANGE COMMISSION</w:t>
      </w:r>
    </w:p>
    <w:p>
      <w:pPr>
        <w:ind w:left="3700"/>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32"/>
          <w:szCs w:val="32"/>
          <w:color w:val="auto"/>
        </w:rPr>
        <w:t>FORM 10-K</w:t>
      </w:r>
    </w:p>
    <w:p>
      <w:pPr>
        <w:spacing w:after="0" w:line="19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2015</w:t>
      </w:r>
    </w:p>
    <w:p>
      <w:pPr>
        <w:ind w:left="45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2060" w:right="1060" w:hanging="2028"/>
        <w:spacing w:after="0" w:line="45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ind w:left="33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32"/>
          <w:szCs w:val="32"/>
          <w:u w:val="single" w:color="auto"/>
          <w:color w:val="auto"/>
        </w:rPr>
        <w:t>ALBANY INTERNATIONAL CORP.</w:t>
      </w:r>
    </w:p>
    <w:p>
      <w:pPr>
        <w:spacing w:after="0" w:line="6"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800" w:type="dxa"/>
            <w:vAlign w:val="bottom"/>
            <w:gridSpan w:val="3"/>
          </w:tcPr>
          <w:p>
            <w:pPr>
              <w:jc w:val="center"/>
              <w:ind w:right="3040"/>
              <w:spacing w:after="0"/>
              <w:rPr>
                <w:sz w:val="20"/>
                <w:szCs w:val="20"/>
                <w:color w:val="auto"/>
              </w:rPr>
            </w:pPr>
            <w:r>
              <w:rPr>
                <w:rFonts w:ascii="Arial" w:cs="Arial" w:eastAsia="Arial" w:hAnsi="Arial"/>
                <w:sz w:val="18"/>
                <w:szCs w:val="18"/>
                <w:color w:val="auto"/>
                <w:w w:val="99"/>
              </w:rPr>
              <w:t>Delaware</w:t>
            </w:r>
          </w:p>
        </w:tc>
        <w:tc>
          <w:tcPr>
            <w:tcW w:w="3000" w:type="dxa"/>
            <w:vAlign w:val="bottom"/>
            <w:gridSpan w:val="5"/>
          </w:tcPr>
          <w:p>
            <w:pPr>
              <w:jc w:val="right"/>
              <w:ind w:right="220"/>
              <w:spacing w:after="0"/>
              <w:rPr>
                <w:sz w:val="20"/>
                <w:szCs w:val="20"/>
                <w:color w:val="auto"/>
              </w:rPr>
            </w:pPr>
            <w:r>
              <w:rPr>
                <w:rFonts w:ascii="Arial" w:cs="Arial" w:eastAsia="Arial" w:hAnsi="Arial"/>
                <w:sz w:val="18"/>
                <w:szCs w:val="18"/>
                <w:color w:val="auto"/>
              </w:rPr>
              <w:t>14-0462060</w:t>
            </w:r>
          </w:p>
        </w:tc>
      </w:tr>
      <w:tr>
        <w:trPr>
          <w:trHeight w:val="20"/>
        </w:trPr>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240" w:type="dxa"/>
            <w:vAlign w:val="bottom"/>
            <w:gridSpan w:val="4"/>
          </w:tcPr>
          <w:p>
            <w:pPr>
              <w:jc w:val="center"/>
              <w:ind w:right="1540"/>
              <w:spacing w:after="0"/>
              <w:rPr>
                <w:sz w:val="20"/>
                <w:szCs w:val="20"/>
                <w:color w:val="auto"/>
              </w:rPr>
            </w:pPr>
            <w:r>
              <w:rPr>
                <w:rFonts w:ascii="Arial" w:cs="Arial" w:eastAsia="Arial" w:hAnsi="Arial"/>
                <w:sz w:val="18"/>
                <w:szCs w:val="18"/>
                <w:color w:val="auto"/>
              </w:rPr>
              <w:t>(State or other jurisdiction of</w:t>
            </w:r>
          </w:p>
        </w:tc>
        <w:tc>
          <w:tcPr>
            <w:tcW w:w="3000" w:type="dxa"/>
            <w:vAlign w:val="bottom"/>
            <w:gridSpan w:val="5"/>
          </w:tcPr>
          <w:p>
            <w:pPr>
              <w:jc w:val="center"/>
              <w:ind w:left="1550"/>
              <w:spacing w:after="0"/>
              <w:rPr>
                <w:sz w:val="20"/>
                <w:szCs w:val="20"/>
                <w:color w:val="auto"/>
              </w:rPr>
            </w:pPr>
            <w:r>
              <w:rPr>
                <w:rFonts w:ascii="Arial" w:cs="Arial" w:eastAsia="Arial" w:hAnsi="Arial"/>
                <w:sz w:val="18"/>
                <w:szCs w:val="18"/>
                <w:color w:val="auto"/>
                <w:w w:val="99"/>
              </w:rPr>
              <w:t>(IRS Employer</w:t>
            </w:r>
          </w:p>
        </w:tc>
      </w:tr>
      <w:tr>
        <w:trPr>
          <w:trHeight w:val="217"/>
        </w:trPr>
        <w:tc>
          <w:tcPr>
            <w:tcW w:w="5240" w:type="dxa"/>
            <w:vAlign w:val="bottom"/>
            <w:gridSpan w:val="4"/>
          </w:tcPr>
          <w:p>
            <w:pPr>
              <w:jc w:val="center"/>
              <w:ind w:right="1500"/>
              <w:spacing w:after="0"/>
              <w:rPr>
                <w:sz w:val="20"/>
                <w:szCs w:val="20"/>
                <w:color w:val="auto"/>
              </w:rPr>
            </w:pPr>
            <w:r>
              <w:rPr>
                <w:rFonts w:ascii="Arial" w:cs="Arial" w:eastAsia="Arial" w:hAnsi="Arial"/>
                <w:sz w:val="18"/>
                <w:szCs w:val="18"/>
                <w:color w:val="auto"/>
                <w:w w:val="99"/>
              </w:rPr>
              <w:t>incorporation or organization)</w:t>
            </w:r>
          </w:p>
        </w:tc>
        <w:tc>
          <w:tcPr>
            <w:tcW w:w="3000" w:type="dxa"/>
            <w:vAlign w:val="bottom"/>
            <w:gridSpan w:val="5"/>
          </w:tcPr>
          <w:p>
            <w:pPr>
              <w:ind w:left="1600"/>
              <w:spacing w:after="0"/>
              <w:rPr>
                <w:sz w:val="20"/>
                <w:szCs w:val="20"/>
                <w:color w:val="auto"/>
              </w:rPr>
            </w:pPr>
            <w:r>
              <w:rPr>
                <w:rFonts w:ascii="Arial" w:cs="Arial" w:eastAsia="Arial" w:hAnsi="Arial"/>
                <w:sz w:val="18"/>
                <w:szCs w:val="18"/>
                <w:color w:val="auto"/>
                <w:w w:val="98"/>
              </w:rPr>
              <w:t>Identification No.)</w:t>
            </w:r>
          </w:p>
        </w:tc>
      </w:tr>
      <w:tr>
        <w:trPr>
          <w:trHeight w:val="365"/>
        </w:trPr>
        <w:tc>
          <w:tcPr>
            <w:tcW w:w="5240" w:type="dxa"/>
            <w:vAlign w:val="bottom"/>
            <w:gridSpan w:val="4"/>
          </w:tcPr>
          <w:p>
            <w:pPr>
              <w:jc w:val="center"/>
              <w:ind w:right="1600"/>
              <w:spacing w:after="0"/>
              <w:rPr>
                <w:sz w:val="20"/>
                <w:szCs w:val="20"/>
                <w:color w:val="auto"/>
              </w:rPr>
            </w:pPr>
            <w:r>
              <w:rPr>
                <w:rFonts w:ascii="Arial" w:cs="Arial" w:eastAsia="Arial" w:hAnsi="Arial"/>
                <w:sz w:val="18"/>
                <w:szCs w:val="18"/>
                <w:color w:val="auto"/>
                <w:w w:val="99"/>
              </w:rPr>
              <w:t>216 Airport Drive, Rochester, New Hampshire</w:t>
            </w:r>
          </w:p>
        </w:tc>
        <w:tc>
          <w:tcPr>
            <w:tcW w:w="2780" w:type="dxa"/>
            <w:vAlign w:val="bottom"/>
            <w:gridSpan w:val="4"/>
          </w:tcPr>
          <w:p>
            <w:pPr>
              <w:jc w:val="right"/>
              <w:ind w:right="240"/>
              <w:spacing w:after="0"/>
              <w:rPr>
                <w:sz w:val="20"/>
                <w:szCs w:val="20"/>
                <w:color w:val="auto"/>
              </w:rPr>
            </w:pPr>
            <w:r>
              <w:rPr>
                <w:rFonts w:ascii="Arial" w:cs="Arial" w:eastAsia="Arial" w:hAnsi="Arial"/>
                <w:sz w:val="18"/>
                <w:szCs w:val="18"/>
                <w:color w:val="auto"/>
              </w:rPr>
              <w:t>03867</w:t>
            </w:r>
          </w:p>
        </w:tc>
        <w:tc>
          <w:tcPr>
            <w:tcW w:w="220" w:type="dxa"/>
            <w:vAlign w:val="bottom"/>
          </w:tcPr>
          <w:p>
            <w:pPr>
              <w:spacing w:after="0"/>
              <w:rPr>
                <w:sz w:val="24"/>
                <w:szCs w:val="24"/>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8"/>
                <w:szCs w:val="18"/>
                <w:color w:val="auto"/>
                <w:w w:val="98"/>
              </w:rPr>
              <w:t>(Zip Code)</w:t>
            </w:r>
          </w:p>
        </w:tc>
      </w:tr>
    </w:tbl>
    <w:p>
      <w:pPr>
        <w:spacing w:after="0" w:line="188"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Registrant's telephone number, including area code 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-19050</wp:posOffset>
            </wp:positionV>
            <wp:extent cx="743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151"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43"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4640" w:type="dxa"/>
            <w:vAlign w:val="bottom"/>
            <w:gridSpan w:val="2"/>
          </w:tcPr>
          <w:p>
            <w:pPr>
              <w:jc w:val="center"/>
              <w:ind w:right="3200"/>
              <w:spacing w:after="0"/>
              <w:rPr>
                <w:sz w:val="20"/>
                <w:szCs w:val="20"/>
                <w:color w:val="auto"/>
              </w:rPr>
            </w:pPr>
            <w:r>
              <w:rPr>
                <w:rFonts w:ascii="Arial" w:cs="Arial" w:eastAsia="Arial" w:hAnsi="Arial"/>
                <w:sz w:val="18"/>
                <w:szCs w:val="18"/>
                <w:color w:val="auto"/>
                <w:w w:val="99"/>
              </w:rPr>
              <w:t>Title of each class</w:t>
            </w:r>
          </w:p>
        </w:tc>
        <w:tc>
          <w:tcPr>
            <w:tcW w:w="3580" w:type="dxa"/>
            <w:vAlign w:val="bottom"/>
            <w:gridSpan w:val="3"/>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439"/>
        </w:trPr>
        <w:tc>
          <w:tcPr>
            <w:tcW w:w="5620" w:type="dxa"/>
            <w:vAlign w:val="bottom"/>
            <w:gridSpan w:val="3"/>
          </w:tcPr>
          <w:p>
            <w:pPr>
              <w:jc w:val="center"/>
              <w:ind w:right="2200"/>
              <w:spacing w:after="0"/>
              <w:rPr>
                <w:sz w:val="20"/>
                <w:szCs w:val="20"/>
                <w:color w:val="auto"/>
              </w:rPr>
            </w:pPr>
            <w:r>
              <w:rPr>
                <w:rFonts w:ascii="Arial" w:cs="Arial" w:eastAsia="Arial" w:hAnsi="Arial"/>
                <w:sz w:val="18"/>
                <w:szCs w:val="18"/>
                <w:color w:val="auto"/>
              </w:rPr>
              <w:t>Class A Common Stock ($0.001 par value)</w:t>
            </w:r>
          </w:p>
        </w:tc>
        <w:tc>
          <w:tcPr>
            <w:tcW w:w="3580" w:type="dxa"/>
            <w:vAlign w:val="bottom"/>
            <w:gridSpan w:val="3"/>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554"/>
        </w:trPr>
        <w:tc>
          <w:tcPr>
            <w:tcW w:w="980" w:type="dxa"/>
            <w:vAlign w:val="bottom"/>
          </w:tcPr>
          <w:p>
            <w:pPr>
              <w:spacing w:after="0"/>
              <w:rPr>
                <w:sz w:val="24"/>
                <w:szCs w:val="24"/>
                <w:color w:val="auto"/>
              </w:rPr>
            </w:pPr>
          </w:p>
        </w:tc>
        <w:tc>
          <w:tcPr>
            <w:tcW w:w="5960" w:type="dxa"/>
            <w:vAlign w:val="bottom"/>
            <w:gridSpan w:val="3"/>
          </w:tcPr>
          <w:p>
            <w:pPr>
              <w:ind w:left="860"/>
              <w:spacing w:after="0"/>
              <w:rPr>
                <w:sz w:val="20"/>
                <w:szCs w:val="20"/>
                <w:color w:val="auto"/>
              </w:rPr>
            </w:pPr>
            <w:r>
              <w:rPr>
                <w:rFonts w:ascii="Arial" w:cs="Arial" w:eastAsia="Arial" w:hAnsi="Arial"/>
                <w:sz w:val="18"/>
                <w:szCs w:val="18"/>
                <w:color w:val="auto"/>
              </w:rPr>
              <w:t>Securities registered pursuant to Section 12(g) of the Act:</w:t>
            </w: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None</w:t>
            </w:r>
          </w:p>
        </w:tc>
        <w:tc>
          <w:tcPr>
            <w:tcW w:w="182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(Title of Class)</w:t>
            </w:r>
          </w:p>
        </w:tc>
      </w:tr>
    </w:tbl>
    <w:p>
      <w:pPr>
        <w:spacing w:after="0" w:line="3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66040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80"/>
          </w:cols>
          <w:pgMar w:left="1280" w:top="247" w:right="239"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207"/>
        </w:trPr>
        <w:tc>
          <w:tcPr>
            <w:tcW w:w="994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No _</w:t>
            </w:r>
          </w:p>
        </w:tc>
      </w:tr>
      <w:tr>
        <w:trPr>
          <w:trHeight w:val="20"/>
        </w:trPr>
        <w:tc>
          <w:tcPr>
            <w:tcW w:w="9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994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_</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w w:val="94"/>
              </w:rPr>
              <w:t>No X</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ind w:right="700" w:firstLine="648"/>
        <w:spacing w:after="0"/>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76"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w:t>
      </w:r>
    </w:p>
    <w:p>
      <w:pPr>
        <w:spacing w:after="0" w:line="126"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284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180" w:type="dxa"/>
            <w:vAlign w:val="bottom"/>
          </w:tcPr>
          <w:p>
            <w:pPr>
              <w:ind w:left="880"/>
              <w:spacing w:after="0"/>
              <w:rPr>
                <w:sz w:val="20"/>
                <w:szCs w:val="20"/>
                <w:color w:val="auto"/>
              </w:rPr>
            </w:pPr>
            <w:r>
              <w:rPr>
                <w:rFonts w:ascii="Arial" w:cs="Arial" w:eastAsia="Arial" w:hAnsi="Arial"/>
                <w:sz w:val="18"/>
                <w:szCs w:val="18"/>
                <w:color w:val="auto"/>
              </w:rPr>
              <w:t>Accelerated filer _</w:t>
            </w:r>
          </w:p>
        </w:tc>
      </w:tr>
      <w:tr>
        <w:trPr>
          <w:trHeight w:val="399"/>
        </w:trPr>
        <w:tc>
          <w:tcPr>
            <w:tcW w:w="1840" w:type="dxa"/>
            <w:vAlign w:val="bottom"/>
          </w:tcPr>
          <w:p>
            <w:pPr>
              <w:spacing w:after="0"/>
              <w:rPr>
                <w:sz w:val="20"/>
                <w:szCs w:val="20"/>
                <w:color w:val="auto"/>
              </w:rPr>
            </w:pPr>
            <w:r>
              <w:rPr>
                <w:rFonts w:ascii="Arial" w:cs="Arial" w:eastAsia="Arial" w:hAnsi="Arial"/>
                <w:sz w:val="18"/>
                <w:szCs w:val="18"/>
                <w:color w:val="auto"/>
              </w:rPr>
              <w:t>Non-accelerated filer_</w:t>
            </w:r>
          </w:p>
        </w:tc>
        <w:tc>
          <w:tcPr>
            <w:tcW w:w="1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180" w:type="dxa"/>
            <w:vAlign w:val="bottom"/>
          </w:tcPr>
          <w:p>
            <w:pPr>
              <w:ind w:left="880"/>
              <w:spacing w:after="0"/>
              <w:rPr>
                <w:sz w:val="20"/>
                <w:szCs w:val="20"/>
                <w:color w:val="auto"/>
              </w:rPr>
            </w:pPr>
            <w:r>
              <w:rPr>
                <w:rFonts w:ascii="Arial" w:cs="Arial" w:eastAsia="Arial" w:hAnsi="Arial"/>
                <w:sz w:val="18"/>
                <w:szCs w:val="18"/>
                <w:color w:val="auto"/>
                <w:w w:val="99"/>
              </w:rPr>
              <w:t>Smaller reporting company _</w:t>
            </w:r>
          </w:p>
        </w:tc>
      </w:tr>
    </w:tbl>
    <w:p>
      <w:pPr>
        <w:spacing w:after="0" w:line="161" w:lineRule="exact"/>
        <w:rPr>
          <w:sz w:val="20"/>
          <w:szCs w:val="20"/>
          <w:color w:val="auto"/>
        </w:rPr>
      </w:pPr>
    </w:p>
    <w:p>
      <w:pPr>
        <w:ind w:left="660"/>
        <w:spacing w:after="0"/>
        <w:tabs>
          <w:tab w:leader="none" w:pos="9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 Yes 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17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aggregate market value of the Common Stock held by non-affiliates of the registrant on June 30, 2015, the last business day of the registrant’s most recently completed second quarter, computed by reference to the price at which Common Stock was last sold on such a date, was $1.1 billion.</w:t>
      </w:r>
    </w:p>
    <w:p>
      <w:pPr>
        <w:spacing w:after="0" w:line="17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registrant had 28.8 million shares of Class A Common Stock and 3.2 million shares of Class B Common Stock outstanding as of January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1740" w:type="dxa"/>
            <w:vAlign w:val="bottom"/>
            <w:gridSpan w:val="2"/>
          </w:tcPr>
          <w:p>
            <w:pPr>
              <w:jc w:val="center"/>
              <w:ind w:left="1190"/>
              <w:spacing w:after="0"/>
              <w:rPr>
                <w:sz w:val="20"/>
                <w:szCs w:val="20"/>
                <w:color w:val="auto"/>
              </w:rPr>
            </w:pPr>
            <w:r>
              <w:rPr>
                <w:rFonts w:ascii="Arial" w:cs="Arial" w:eastAsia="Arial" w:hAnsi="Arial"/>
                <w:sz w:val="18"/>
                <w:szCs w:val="18"/>
                <w:color w:val="auto"/>
                <w:w w:val="95"/>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379"/>
        </w:trPr>
        <w:tc>
          <w:tcPr>
            <w:tcW w:w="9340" w:type="dxa"/>
            <w:vAlign w:val="bottom"/>
            <w:gridSpan w:val="2"/>
          </w:tcPr>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May 13, 2016</w:t>
            </w:r>
          </w:p>
        </w:tc>
        <w:tc>
          <w:tcPr>
            <w:tcW w:w="1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III</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9"/>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60" w:type="dxa"/>
            <w:vAlign w:val="bottom"/>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r>
      <w:tr>
        <w:trPr>
          <w:trHeight w:val="378"/>
        </w:trPr>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tcPr>
          <w:p>
            <w:pPr>
              <w:jc w:val="right"/>
              <w:ind w:right="5330"/>
              <w:spacing w:after="0"/>
              <w:rPr>
                <w:sz w:val="20"/>
                <w:szCs w:val="20"/>
                <w:color w:val="auto"/>
              </w:rPr>
            </w:pPr>
            <w:r>
              <w:rPr>
                <w:rFonts w:ascii="Arial" w:cs="Arial" w:eastAsia="Arial" w:hAnsi="Arial"/>
                <w:sz w:val="18"/>
                <w:szCs w:val="18"/>
                <w:b w:val="1"/>
                <w:bCs w:val="1"/>
                <w:color w:val="auto"/>
              </w:rPr>
              <w:t>PART I</w:t>
            </w:r>
          </w:p>
        </w:tc>
      </w:tr>
      <w:tr>
        <w:trPr>
          <w:trHeight w:val="351"/>
        </w:trPr>
        <w:tc>
          <w:tcPr>
            <w:tcW w:w="1600" w:type="dxa"/>
            <w:vAlign w:val="bottom"/>
          </w:tcPr>
          <w:p>
            <w:pPr>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1920" w:type="dxa"/>
            <w:vAlign w:val="bottom"/>
            <w:gridSpan w:val="6"/>
          </w:tcPr>
          <w:p>
            <w:pPr>
              <w:spacing w:after="0"/>
              <w:rPr>
                <w:sz w:val="24"/>
                <w:szCs w:val="24"/>
                <w:color w:val="auto"/>
              </w:rPr>
            </w:pPr>
          </w:p>
        </w:tc>
        <w:tc>
          <w:tcPr>
            <w:tcW w:w="7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1A.</w:t>
            </w:r>
          </w:p>
        </w:tc>
        <w:tc>
          <w:tcPr>
            <w:tcW w:w="266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7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6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Unresolved Staff Comments</w:t>
              </w:r>
            </w:hyperlink>
          </w:p>
        </w:tc>
        <w:tc>
          <w:tcPr>
            <w:tcW w:w="400" w:type="dxa"/>
            <w:vAlign w:val="bottom"/>
          </w:tcPr>
          <w:p>
            <w:pPr>
              <w:spacing w:after="0"/>
              <w:rPr>
                <w:sz w:val="24"/>
                <w:szCs w:val="24"/>
                <w:color w:val="auto"/>
              </w:rPr>
            </w:pPr>
          </w:p>
        </w:tc>
        <w:tc>
          <w:tcPr>
            <w:tcW w:w="7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Properties</w:t>
              </w:r>
            </w:hyperlink>
          </w:p>
        </w:tc>
        <w:tc>
          <w:tcPr>
            <w:tcW w:w="1820" w:type="dxa"/>
            <w:vAlign w:val="bottom"/>
            <w:gridSpan w:val="5"/>
          </w:tcPr>
          <w:p>
            <w:pPr>
              <w:spacing w:after="0"/>
              <w:rPr>
                <w:sz w:val="24"/>
                <w:szCs w:val="24"/>
                <w:color w:val="auto"/>
              </w:rPr>
            </w:pPr>
          </w:p>
        </w:tc>
        <w:tc>
          <w:tcPr>
            <w:tcW w:w="7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3.</w:t>
            </w:r>
          </w:p>
        </w:tc>
        <w:tc>
          <w:tcPr>
            <w:tcW w:w="26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7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60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4.</w:t>
            </w:r>
          </w:p>
        </w:tc>
        <w:tc>
          <w:tcPr>
            <w:tcW w:w="26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7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60" w:type="dxa"/>
            <w:vAlign w:val="bottom"/>
            <w:gridSpan w:val="6"/>
          </w:tcPr>
          <w:p>
            <w:pPr>
              <w:ind w:left="1700"/>
              <w:spacing w:after="0"/>
              <w:rPr>
                <w:sz w:val="20"/>
                <w:szCs w:val="20"/>
                <w:color w:val="auto"/>
              </w:rPr>
            </w:pPr>
            <w:r>
              <w:rPr>
                <w:rFonts w:ascii="Arial" w:cs="Arial" w:eastAsia="Arial" w:hAnsi="Arial"/>
                <w:sz w:val="18"/>
                <w:szCs w:val="18"/>
                <w:b w:val="1"/>
                <w:bCs w:val="1"/>
                <w:color w:val="auto"/>
              </w:rPr>
              <w:t>PART II</w:t>
            </w:r>
          </w:p>
        </w:tc>
        <w:tc>
          <w:tcPr>
            <w:tcW w:w="760" w:type="dxa"/>
            <w:vAlign w:val="bottom"/>
          </w:tcPr>
          <w:p>
            <w:pPr>
              <w:spacing w:after="0"/>
              <w:rPr>
                <w:sz w:val="20"/>
                <w:szCs w:val="20"/>
                <w:color w:val="auto"/>
              </w:rPr>
            </w:pPr>
          </w:p>
        </w:tc>
      </w:tr>
      <w:tr>
        <w:trPr>
          <w:trHeight w:val="338"/>
        </w:trPr>
        <w:tc>
          <w:tcPr>
            <w:tcW w:w="1600" w:type="dxa"/>
            <w:vAlign w:val="bottom"/>
          </w:tcPr>
          <w:p>
            <w:pPr>
              <w:spacing w:after="0"/>
              <w:rPr>
                <w:sz w:val="20"/>
                <w:szCs w:val="20"/>
                <w:color w:val="auto"/>
              </w:rPr>
            </w:pPr>
            <w:r>
              <w:rPr>
                <w:rFonts w:ascii="Arial" w:cs="Arial" w:eastAsia="Arial" w:hAnsi="Arial"/>
                <w:sz w:val="18"/>
                <w:szCs w:val="18"/>
                <w:color w:val="auto"/>
              </w:rPr>
              <w:t>Item 5.</w:t>
            </w:r>
          </w:p>
        </w:tc>
        <w:tc>
          <w:tcPr>
            <w:tcW w:w="84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Market for the Registrant’s Common Equity, Related Stockholder Matters, and Issuer Purchases of Equity</w:t>
              </w:r>
            </w:hyperlink>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1600" w:type="dxa"/>
            <w:vAlign w:val="bottom"/>
          </w:tcPr>
          <w:p>
            <w:pPr>
              <w:spacing w:after="0"/>
              <w:rPr>
                <w:sz w:val="15"/>
                <w:szCs w:val="15"/>
                <w:color w:val="auto"/>
              </w:rPr>
            </w:pPr>
          </w:p>
        </w:tc>
        <w:tc>
          <w:tcPr>
            <w:tcW w:w="8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Securities</w:t>
              </w:r>
            </w:hyperlink>
          </w:p>
        </w:tc>
        <w:tc>
          <w:tcPr>
            <w:tcW w:w="8160" w:type="dxa"/>
            <w:vAlign w:val="bottom"/>
            <w:gridSpan w:val="9"/>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6.</w:t>
            </w:r>
          </w:p>
        </w:tc>
        <w:tc>
          <w:tcPr>
            <w:tcW w:w="19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Selected Financial Data</w:t>
              </w:r>
            </w:hyperlink>
          </w:p>
        </w:tc>
        <w:tc>
          <w:tcPr>
            <w:tcW w:w="70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7.</w:t>
            </w:r>
          </w:p>
        </w:tc>
        <w:tc>
          <w:tcPr>
            <w:tcW w:w="71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18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7A.</w:t>
            </w:r>
          </w:p>
        </w:tc>
        <w:tc>
          <w:tcPr>
            <w:tcW w:w="89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8.</w:t>
            </w:r>
          </w:p>
        </w:tc>
        <w:tc>
          <w:tcPr>
            <w:tcW w:w="3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Financial Statements and Supplementary Data</w:t>
              </w:r>
            </w:hyperlink>
          </w:p>
        </w:tc>
        <w:tc>
          <w:tcPr>
            <w:tcW w:w="960" w:type="dxa"/>
            <w:vAlign w:val="bottom"/>
            <w:tcBorders>
              <w:top w:val="single" w:sz="8" w:color="0000EE"/>
            </w:tcBorders>
          </w:tcPr>
          <w:p>
            <w:pPr>
              <w:spacing w:after="0"/>
              <w:rPr>
                <w:sz w:val="24"/>
                <w:szCs w:val="24"/>
                <w:color w:val="auto"/>
              </w:rPr>
            </w:pPr>
          </w:p>
        </w:tc>
        <w:tc>
          <w:tcPr>
            <w:tcW w:w="42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9.</w:t>
            </w:r>
          </w:p>
        </w:tc>
        <w:tc>
          <w:tcPr>
            <w:tcW w:w="896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9A.</w:t>
            </w:r>
          </w:p>
        </w:tc>
        <w:tc>
          <w:tcPr>
            <w:tcW w:w="7140" w:type="dxa"/>
            <w:vAlign w:val="bottom"/>
            <w:tcBorders>
              <w:top w:val="single" w:sz="8" w:color="0000EE"/>
            </w:tcBorders>
            <w:gridSpan w:val="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8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9B.</w:t>
            </w:r>
          </w:p>
        </w:tc>
        <w:tc>
          <w:tcPr>
            <w:tcW w:w="1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96">
              <w:r>
                <w:rPr>
                  <w:rFonts w:ascii="Arial" w:cs="Arial" w:eastAsia="Arial" w:hAnsi="Arial"/>
                  <w:sz w:val="18"/>
                  <w:szCs w:val="18"/>
                  <w:color w:val="0000EE"/>
                  <w:w w:val="99"/>
                </w:rPr>
                <w:t>Other Information</w:t>
              </w:r>
            </w:hyperlink>
          </w:p>
        </w:tc>
        <w:tc>
          <w:tcPr>
            <w:tcW w:w="580" w:type="dxa"/>
            <w:vAlign w:val="bottom"/>
            <w:tcBorders>
              <w:top w:val="single" w:sz="8" w:color="0000EE"/>
            </w:tcBorders>
            <w:gridSpan w:val="2"/>
          </w:tcPr>
          <w:p>
            <w:pPr>
              <w:spacing w:after="0"/>
              <w:rPr>
                <w:sz w:val="24"/>
                <w:szCs w:val="24"/>
                <w:color w:val="auto"/>
              </w:rPr>
            </w:pPr>
          </w:p>
        </w:tc>
        <w:tc>
          <w:tcPr>
            <w:tcW w:w="696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20" w:type="dxa"/>
            <w:vAlign w:val="bottom"/>
            <w:gridSpan w:val="3"/>
          </w:tcPr>
          <w:p>
            <w:pPr>
              <w:ind w:left="480"/>
              <w:spacing w:after="0"/>
              <w:rPr>
                <w:sz w:val="20"/>
                <w:szCs w:val="20"/>
                <w:color w:val="auto"/>
              </w:rPr>
            </w:pPr>
            <w:r>
              <w:rPr>
                <w:rFonts w:ascii="Arial" w:cs="Arial" w:eastAsia="Arial" w:hAnsi="Arial"/>
                <w:sz w:val="18"/>
                <w:szCs w:val="18"/>
                <w:b w:val="1"/>
                <w:bCs w:val="1"/>
                <w:color w:val="auto"/>
              </w:rPr>
              <w:t>PART III</w:t>
            </w:r>
          </w:p>
        </w:tc>
        <w:tc>
          <w:tcPr>
            <w:tcW w:w="3300" w:type="dxa"/>
            <w:vAlign w:val="bottom"/>
          </w:tcPr>
          <w:p>
            <w:pPr>
              <w:spacing w:after="0"/>
              <w:rPr>
                <w:sz w:val="20"/>
                <w:szCs w:val="20"/>
                <w:color w:val="auto"/>
              </w:rPr>
            </w:pPr>
          </w:p>
        </w:tc>
      </w:tr>
      <w:tr>
        <w:trPr>
          <w:trHeight w:val="338"/>
        </w:trPr>
        <w:tc>
          <w:tcPr>
            <w:tcW w:w="1600" w:type="dxa"/>
            <w:vAlign w:val="bottom"/>
          </w:tcPr>
          <w:p>
            <w:pPr>
              <w:spacing w:after="0"/>
              <w:rPr>
                <w:sz w:val="20"/>
                <w:szCs w:val="20"/>
                <w:color w:val="auto"/>
              </w:rPr>
            </w:pPr>
            <w:r>
              <w:rPr>
                <w:rFonts w:ascii="Arial" w:cs="Arial" w:eastAsia="Arial" w:hAnsi="Arial"/>
                <w:sz w:val="18"/>
                <w:szCs w:val="18"/>
                <w:color w:val="auto"/>
              </w:rPr>
              <w:t>Item 10.</w:t>
            </w:r>
          </w:p>
        </w:tc>
        <w:tc>
          <w:tcPr>
            <w:tcW w:w="642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3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11.</w:t>
            </w:r>
          </w:p>
        </w:tc>
        <w:tc>
          <w:tcPr>
            <w:tcW w:w="4500" w:type="dxa"/>
            <w:vAlign w:val="bottom"/>
            <w:tcBorders>
              <w:top w:val="single" w:sz="8" w:color="0000EE"/>
            </w:tcBorders>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1920" w:type="dxa"/>
            <w:vAlign w:val="bottom"/>
            <w:gridSpan w:val="2"/>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6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12.</w:t>
            </w:r>
          </w:p>
        </w:tc>
        <w:tc>
          <w:tcPr>
            <w:tcW w:w="6420" w:type="dxa"/>
            <w:vAlign w:val="bottom"/>
            <w:tcBorders>
              <w:bottom w:val="single" w:sz="8" w:color="0000EE"/>
            </w:tcBorders>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w:t>
              </w:r>
            </w:hyperlink>
          </w:p>
        </w:tc>
        <w:tc>
          <w:tcPr>
            <w:tcW w:w="3300" w:type="dxa"/>
            <w:vAlign w:val="bottom"/>
          </w:tcPr>
          <w:p>
            <w:pPr>
              <w:spacing w:after="0"/>
              <w:rPr>
                <w:sz w:val="24"/>
                <w:szCs w:val="24"/>
                <w:color w:val="auto"/>
              </w:rPr>
            </w:pPr>
          </w:p>
        </w:tc>
      </w:tr>
      <w:tr>
        <w:trPr>
          <w:trHeight w:val="183"/>
        </w:trPr>
        <w:tc>
          <w:tcPr>
            <w:tcW w:w="1600" w:type="dxa"/>
            <w:vAlign w:val="bottom"/>
          </w:tcPr>
          <w:p>
            <w:pPr>
              <w:spacing w:after="0"/>
              <w:rPr>
                <w:sz w:val="15"/>
                <w:szCs w:val="15"/>
                <w:color w:val="auto"/>
              </w:rPr>
            </w:pPr>
          </w:p>
        </w:tc>
        <w:tc>
          <w:tcPr>
            <w:tcW w:w="162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Stockholder Matters</w:t>
              </w:r>
            </w:hyperlink>
          </w:p>
        </w:tc>
        <w:tc>
          <w:tcPr>
            <w:tcW w:w="4800" w:type="dxa"/>
            <w:vAlign w:val="bottom"/>
            <w:gridSpan w:val="5"/>
          </w:tcPr>
          <w:p>
            <w:pPr>
              <w:spacing w:after="0"/>
              <w:rPr>
                <w:sz w:val="15"/>
                <w:szCs w:val="15"/>
                <w:color w:val="auto"/>
              </w:rPr>
            </w:pPr>
          </w:p>
        </w:tc>
        <w:tc>
          <w:tcPr>
            <w:tcW w:w="330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13.</w:t>
            </w:r>
          </w:p>
        </w:tc>
        <w:tc>
          <w:tcPr>
            <w:tcW w:w="57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Certain Relationships, Related Transactions and Director Independence</w:t>
              </w:r>
            </w:hyperlink>
          </w:p>
        </w:tc>
        <w:tc>
          <w:tcPr>
            <w:tcW w:w="68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rPr>
              <w:t>Item 14.</w:t>
            </w:r>
          </w:p>
        </w:tc>
        <w:tc>
          <w:tcPr>
            <w:tcW w:w="32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Principal Accountant Fees and Services</w:t>
              </w:r>
            </w:hyperlink>
          </w:p>
        </w:tc>
        <w:tc>
          <w:tcPr>
            <w:tcW w:w="3220" w:type="dxa"/>
            <w:vAlign w:val="bottom"/>
            <w:gridSpan w:val="3"/>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100" w:type="dxa"/>
            <w:vAlign w:val="bottom"/>
          </w:tcPr>
          <w:p>
            <w:pPr>
              <w:jc w:val="right"/>
              <w:ind w:right="5270"/>
              <w:spacing w:after="0"/>
              <w:rPr>
                <w:sz w:val="20"/>
                <w:szCs w:val="20"/>
                <w:color w:val="auto"/>
              </w:rPr>
            </w:pPr>
            <w:r>
              <w:rPr>
                <w:rFonts w:ascii="Arial" w:cs="Arial" w:eastAsia="Arial" w:hAnsi="Arial"/>
                <w:sz w:val="18"/>
                <w:szCs w:val="18"/>
                <w:b w:val="1"/>
                <w:bCs w:val="1"/>
                <w:color w:val="auto"/>
              </w:rPr>
              <w:t>PART IV</w:t>
            </w:r>
          </w:p>
        </w:tc>
      </w:tr>
      <w:tr>
        <w:trPr>
          <w:trHeight w:val="351"/>
        </w:trPr>
        <w:tc>
          <w:tcPr>
            <w:tcW w:w="1700" w:type="dxa"/>
            <w:vAlign w:val="bottom"/>
          </w:tcPr>
          <w:p>
            <w:pPr>
              <w:ind w:left="100"/>
              <w:spacing w:after="0"/>
              <w:rPr>
                <w:sz w:val="20"/>
                <w:szCs w:val="20"/>
                <w:color w:val="auto"/>
              </w:rPr>
            </w:pPr>
            <w:r>
              <w:rPr>
                <w:rFonts w:ascii="Arial" w:cs="Arial" w:eastAsia="Arial" w:hAnsi="Arial"/>
                <w:sz w:val="18"/>
                <w:szCs w:val="18"/>
                <w:color w:val="auto"/>
              </w:rPr>
              <w:t>Item 15.</w:t>
            </w:r>
          </w:p>
        </w:tc>
        <w:tc>
          <w:tcPr>
            <w:tcW w:w="3620" w:type="dxa"/>
            <w:vAlign w:val="bottom"/>
            <w:tcBorders>
              <w:bottom w:val="single" w:sz="8" w:color="0000EE"/>
            </w:tcBorders>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6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15"/>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29"/>
        </w:trPr>
        <w:tc>
          <w:tcPr>
            <w:tcW w:w="170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610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78"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360" w:right="600" w:hanging="122"/>
        <w:spacing w:after="0" w:line="246"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macroeconomic conditions;</w:t>
      </w:r>
    </w:p>
    <w:p>
      <w:pPr>
        <w:spacing w:after="0" w:line="156" w:lineRule="exact"/>
        <w:rPr>
          <w:rFonts w:ascii="Arial" w:cs="Arial" w:eastAsia="Arial" w:hAnsi="Arial"/>
          <w:sz w:val="18"/>
          <w:szCs w:val="18"/>
          <w:color w:val="auto"/>
        </w:rPr>
      </w:pPr>
    </w:p>
    <w:p>
      <w:pPr>
        <w:ind w:left="360" w:right="160" w:hanging="122"/>
        <w:spacing w:after="0" w:line="246"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demand for paper in certain regions and market segments that continues at a rate that is greater than anticipated, and growth in demand in other segments or regions that is lower or slower than anticipated;</w:t>
      </w:r>
    </w:p>
    <w:p>
      <w:pPr>
        <w:spacing w:after="0" w:line="156" w:lineRule="exact"/>
        <w:rPr>
          <w:rFonts w:ascii="Arial" w:cs="Arial" w:eastAsia="Arial" w:hAnsi="Arial"/>
          <w:sz w:val="18"/>
          <w:szCs w:val="18"/>
          <w:color w:val="auto"/>
        </w:rPr>
      </w:pPr>
    </w:p>
    <w:p>
      <w:pPr>
        <w:ind w:left="360" w:hanging="12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71" w:lineRule="exact"/>
        <w:rPr>
          <w:rFonts w:ascii="Arial" w:cs="Arial" w:eastAsia="Arial" w:hAnsi="Arial"/>
          <w:sz w:val="18"/>
          <w:szCs w:val="18"/>
          <w:color w:val="auto"/>
        </w:rPr>
      </w:pPr>
    </w:p>
    <w:p>
      <w:pPr>
        <w:ind w:left="360" w:hanging="12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Item 1A - “Risk Factors”, as well as in the “Business Environment Overview and Trends” in Item 7 of this annual report.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65"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71"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w:t>
      </w:r>
    </w:p>
    <w:p>
      <w:pPr>
        <w:spacing w:after="0" w:line="17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products in the paper machine clothing segment include forming, pressing, and dryer fabrics, and process belts. A forming fabric assists in paper sheet formation and conveys the very wet sheet (more than 75%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66"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 Machine Clothing segment also supplies customized, consumable fabrics used in the manufacturing process in the pulp, corrugator, nonwovens, fiber cement, building products, and tannery and textile industries.</w:t>
      </w:r>
    </w:p>
    <w:p>
      <w:pPr>
        <w:spacing w:after="0" w:line="15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sell our Machine Clothing products directly to customer end-users. Our products, manufacturing processes, and distribution channels for Machine Clothing are substantially the same in each region of the world in which we operate. The sales of paper machine clothing forming, pressing, and dryer fabrics, individually and in the aggregate, accounted for more than 10 percent of our consolidated net sales during one or more of the last three years.</w:t>
      </w:r>
    </w:p>
    <w:p>
      <w:pPr>
        <w:spacing w:after="0" w:line="17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to this program of advanced composite fan blades and cases under a long-term supply contract. In 2015, approximately 15 percent of this segment’s sales were related to U.S. government contracts or programs.</w:t>
      </w:r>
    </w:p>
    <w:p>
      <w:pPr>
        <w:spacing w:after="0" w:line="162"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See “Business Environment Overview and Trends” under Item 7, Management’s Discussion and Analysis of Financial Condition and Results of Operations, for a discussion of general segment developments in recent years.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table of net sales by segment for 2015,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3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187"/>
        </w:trPr>
        <w:tc>
          <w:tcPr>
            <w:tcW w:w="4500" w:type="dxa"/>
            <w:vAlign w:val="bottom"/>
          </w:tcPr>
          <w:p>
            <w:pPr>
              <w:ind w:left="100"/>
              <w:spacing w:after="0" w:line="187"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530"/>
              <w:spacing w:after="0" w:line="187" w:lineRule="exact"/>
              <w:rPr>
                <w:sz w:val="20"/>
                <w:szCs w:val="20"/>
                <w:color w:val="auto"/>
              </w:rPr>
            </w:pPr>
            <w:r>
              <w:rPr>
                <w:rFonts w:ascii="Arial" w:cs="Arial" w:eastAsia="Arial" w:hAnsi="Arial"/>
                <w:sz w:val="18"/>
                <w:szCs w:val="18"/>
                <w:b w:val="1"/>
                <w:bCs w:val="1"/>
                <w:color w:val="auto"/>
              </w:rPr>
              <w:t>$608,581</w:t>
            </w:r>
          </w:p>
        </w:tc>
        <w:tc>
          <w:tcPr>
            <w:tcW w:w="2040" w:type="dxa"/>
            <w:vAlign w:val="bottom"/>
          </w:tcPr>
          <w:p>
            <w:pPr>
              <w:jc w:val="right"/>
              <w:ind w:right="510"/>
              <w:spacing w:after="0" w:line="187" w:lineRule="exact"/>
              <w:rPr>
                <w:sz w:val="20"/>
                <w:szCs w:val="20"/>
                <w:color w:val="auto"/>
              </w:rPr>
            </w:pPr>
            <w:r>
              <w:rPr>
                <w:rFonts w:ascii="Arial" w:cs="Arial" w:eastAsia="Arial" w:hAnsi="Arial"/>
                <w:sz w:val="18"/>
                <w:szCs w:val="18"/>
                <w:color w:val="auto"/>
              </w:rPr>
              <w:t>$655,026</w:t>
            </w:r>
          </w:p>
        </w:tc>
        <w:tc>
          <w:tcPr>
            <w:tcW w:w="1540" w:type="dxa"/>
            <w:vAlign w:val="bottom"/>
          </w:tcPr>
          <w:p>
            <w:pPr>
              <w:jc w:val="right"/>
              <w:ind w:right="10"/>
              <w:spacing w:after="0" w:line="187" w:lineRule="exact"/>
              <w:rPr>
                <w:sz w:val="20"/>
                <w:szCs w:val="20"/>
                <w:color w:val="auto"/>
              </w:rPr>
            </w:pPr>
            <w:r>
              <w:rPr>
                <w:rFonts w:ascii="Arial" w:cs="Arial" w:eastAsia="Arial" w:hAnsi="Arial"/>
                <w:sz w:val="18"/>
                <w:szCs w:val="18"/>
                <w:color w:val="auto"/>
              </w:rPr>
              <w:t>$674,747</w:t>
            </w:r>
          </w:p>
        </w:tc>
      </w:tr>
      <w:tr>
        <w:trPr>
          <w:trHeight w:val="225"/>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Albany Engineered Composites</w:t>
            </w:r>
          </w:p>
        </w:tc>
        <w:tc>
          <w:tcPr>
            <w:tcW w:w="3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101,287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90,319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82,667</w:t>
            </w:r>
          </w:p>
        </w:tc>
      </w:tr>
      <w:tr>
        <w:trPr>
          <w:trHeight w:val="210"/>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Consolidated total</w:t>
            </w:r>
          </w:p>
        </w:tc>
        <w:tc>
          <w:tcPr>
            <w:tcW w:w="3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$709,868</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$745,345</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$757,414</w:t>
            </w:r>
          </w:p>
        </w:tc>
      </w:tr>
    </w:tbl>
    <w:p>
      <w:pPr>
        <w:spacing w:after="0" w:line="202"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“Reportable Segments and Geographic Data,” of the Consolidated Financial Statements, included under Item 8 of this Form 10-K, is incorporated herein.</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International Operations</w:t>
      </w:r>
    </w:p>
    <w:p>
      <w:pPr>
        <w:spacing w:after="0" w:line="207"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We maintain manufacturing facilities in Brazil, Canada, China, France, Italy, Mexico, South Korea, Sweden, the United Kingdom, and the United States. We also have a 50% interest in a company in Russia (see Note 1 of Notes to Consolidated Financial Statements).</w:t>
      </w:r>
    </w:p>
    <w:p>
      <w:pPr>
        <w:spacing w:after="0" w:line="156" w:lineRule="exact"/>
        <w:rPr>
          <w:sz w:val="20"/>
          <w:szCs w:val="20"/>
          <w:color w:val="auto"/>
        </w:rPr>
      </w:pPr>
    </w:p>
    <w:p>
      <w:pPr>
        <w:jc w:val="both"/>
        <w:ind w:right="340" w:firstLine="648"/>
        <w:spacing w:after="0"/>
        <w:rPr>
          <w:sz w:val="20"/>
          <w:szCs w:val="20"/>
          <w:color w:val="auto"/>
        </w:rPr>
      </w:pPr>
      <w:r>
        <w:rPr>
          <w:rFonts w:ascii="Arial" w:cs="Arial" w:eastAsia="Arial" w:hAnsi="Arial"/>
          <w:sz w:val="18"/>
          <w:szCs w:val="18"/>
          <w:color w:val="auto"/>
        </w:rPr>
        <w:t>Our geographically diversified operations allow us to serve our markets efficiently and to provide extensive technical services to our customers. We benefit from the transfer of research and development and product innovations between geographic regions. The worldwide scope of our manufacturing and marketing efforts helps to mitigate the impact of regional economic downturns.</w:t>
      </w:r>
    </w:p>
    <w:p>
      <w:pPr>
        <w:spacing w:after="0" w:line="16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We have a cash repatriation strategy that targets a certain amount of foreign current year earnings that are not permanently reinvested. To date, we have been able to make such repatriations without substantial governmental restrictions and do not foresee any material changes in our ability to continue to do so in the future. In addition, we believe that the risks associated with our operations outside the United States are no greater than those normally associated with doing business in those 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193"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6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addition to supplying paper, paperboard, and tissue companies, the Machine Clothing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w:t>
      </w:r>
    </w:p>
    <w:p>
      <w:pPr>
        <w:spacing w:after="0" w:line="17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Albany Engineered Composites segment primarily serves customers in commercial and military aircraft engine and airframe markets. Sales and working capital rose sharply in the last few years in this segment. Additionally, we anticipate intensive growth in the future, which could lead to further increases in working capital levels.</w:t>
      </w:r>
    </w:p>
    <w:p>
      <w:pPr>
        <w:spacing w:after="0" w:line="16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the Machine Clothing segment, the Chinese New Year, summer months, and the end of the year are often periods of lower production for some of our customers, which can lead to weak sales periods for the Company. In recent years, these seasonal variations coupled with shorter order cycles and reduction of inventory throughout the supply chain have resulted in sales being distributed unevenly throughout the year. These combined factors make quarterly comparisons difficult throughout the year. Seasonality is not a significant factor in the Albany Engineered Composites segment.</w:t>
      </w:r>
    </w:p>
    <w:p>
      <w:pPr>
        <w:spacing w:after="0" w:line="16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Backlog in the Machine Clothing segment was $171.0 million at December 31, 2015, compared to $195.5 million at December 31, 2014. The decrease reflects a trend toward shorter order-to-delivery times. Backlog in the Albany Engineered Composites segment was $34.0 million at December 31, 2015, compared to $22.8 million at December 31, 2014. The backlog in each segment is generally expected to be invoiced during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19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 w:name="page7"/>
    <w:bookmarkEnd w:id="6"/>
    <w:p>
      <w:pPr>
        <w:ind w:right="120" w:firstLine="648"/>
        <w:spacing w:after="0" w:line="236"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we employ highly skilled sales and technical service personnel who work directly with each customer’s plant operating management. Our technical service programs give our service engineers field access to the measurement and analysis equipment needed for troubleshooting and application engineering in many areas. Sales, service, and technical expenses are major cost components of the Company.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a stream of new Machine Clothing products and enhancements, including the INLINE forming fabric family including KRAFTLINE and PRINTLINE; press fabrics such as HYDROCROSS, SEAM HYDROCROSS, SEAMPLANE, Seam KMX, and SPRING; process belts such as VENTABELT EVM, VENTABELT XTS and TRANSBELT GX; dryer fabrics such as SPIRALTOP, AEROPULSE and AEROPOINT; DURASPIRAL corrugator belts; and TOPSTAT, SUPRASTAT and NOVALACE fabrics for the nonwovens industry.</w:t>
      </w:r>
    </w:p>
    <w:p>
      <w:pPr>
        <w:spacing w:after="0" w:line="16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Albany Engineered Composites designs, develops and manufactures advanced composite parts for complex aerospace and other high-performance applications, using a range of core technologies, including its proprietary 3D woven reinforced composites technology. AEC is capable of designing and manufacturing 3D composite structures that are reinforced in multiple directions. By controlling the fiber and matrix materials, as well as the weaving architecture, we are able to engineer components that meet specific performance goals while also meeting cost, qualification, certification and production needs. AEC’s other core technologies include traditional and non-traditional 2D laminated composite structures, contour weaving, steered weaving, discrete through-thickness reinforcement technologies (such as Z-fiber™ reinforcements), and sandwich structures (X_COR™, K_COR™ and Ceramic Truss Core or CTC™). AEC’s research and technology team also works actively with existing and potential customers on applications involving other emerging technologies, such as ceramic matrix composites, pin insertion and 3D fiber placement.</w:t>
      </w:r>
    </w:p>
    <w:p>
      <w:pPr>
        <w:spacing w:after="0" w:line="18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Company-funded research expenses totaled $ 31.7 million in 2015, $32.4 million in 2014, and $30.2 million in 2013. In 2015, these costs were 4.5% of total Company net sales, including $11.0 million or 10.9% of net sales in our AEC segment. Research and development in the AEC segment includes both Company-sponsored and customer-funded activities. Some customer funded research and development may be on a cost sharing basis, in which case amounts charged to the customer are credited against research and development costs. Research and development expenses were reduced by $0.0 million in 2015, $0.4 million in 2014, and $1.4 million in 2013 as a result of such arrangements. For customer-funded research and development in which we anticipate funding to exceed expenses, we include amounts charged to the customer in Net sales. Cost of sales associated with customer-funded research was $3.4 million in 2015, $3.6 million in 2014, and $2.8 million in 2013.</w:t>
      </w:r>
    </w:p>
    <w:p>
      <w:pPr>
        <w:spacing w:after="0" w:line="168"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conduct our major research and development in Halmstad, Sweden; Manchester, England; Kaukauna, Wisconsin and Rochester, New Hampshire. Additionally, we conduct process and product design development activities at locations in Quebec, Canada; Kaukauna, Wisconsin; and St. Stephen, South Carolina.</w:t>
      </w:r>
    </w:p>
    <w:p>
      <w:pPr>
        <w:spacing w:after="0" w:line="16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well over 1,900 patents, and more than 200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p>
      <w:pPr>
        <w:ind w:right="80"/>
        <w:spacing w:after="0"/>
        <w:rPr>
          <w:sz w:val="20"/>
          <w:szCs w:val="20"/>
          <w:color w:val="auto"/>
        </w:rPr>
      </w:pPr>
      <w:r>
        <w:rPr>
          <w:rFonts w:ascii="Arial" w:cs="Arial" w:eastAsia="Arial" w:hAnsi="Arial"/>
          <w:sz w:val="18"/>
          <w:szCs w:val="18"/>
          <w:color w:val="auto"/>
        </w:rPr>
        <w:t>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0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Primary raw materials for our Machine Clothing products are polymer monofilaments and fibers, which have generally been available from a number of suppliers. Therefore, we have not needed to maintain raw material inventories in excess of our current needs to assure availability. In addition, we manufacture polymer monofilaments, a basic raw material for all types of Machine Clothing, at our facility in Homer, New York, which supplies approximately 50%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Currently, the primary raw materials used in each segment are derived from petroleum, and are therefore sensitive to changes in the price of petroleum and petroleum intermediates.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in 2015, while the two largest competitors each had a market share of approximately half of ours.</w:t>
      </w:r>
    </w:p>
    <w:p>
      <w:pPr>
        <w:spacing w:after="0" w:line="170"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While some competitors in the Machine Clothing segment tend to compete more on the basis of price, and others attempt to compete more on the basis of technology, both are significant competitive factors in this industry. Some of the Company’s paper machine clothing competitors also supply paper machines and papermaking equipment, and endeavor to compete by bundling clothing with original equipment and aftermarket services. We, like our competitors, provide technical support to customers through our sales and technical service personnel, including (1) consulting on performance of the machine, (2) consulting on machine configurations, both new and rebuilt, (3) selection and custom manufacture of the appropriate machine clothing, and (4) storing fabrics for delivery to the user. Revenues earned from these services are reflected in the prices charged for our products.</w:t>
      </w:r>
    </w:p>
    <w:p>
      <w:pPr>
        <w:spacing w:after="0" w:line="16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primary competitive factors in the markets in which our Albany Engineered Composites segment competes is product performance and price. Achieving lower weight without sacrificing strength is the key to improving fuel efficiency, and is a critical performance requirement in the aerospace industry. Our unique, proprietary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employ approximately 3,900 persons, of whom 64% are engaged in manufacturing our products. Wages and benefits are competitive with those of other manufacturers in the geographic areas in which our facilities are located. In general, we consider our relations with employees to be excellent.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February 26, 2016:</w:t>
      </w:r>
    </w:p>
    <w:p>
      <w:pPr>
        <w:spacing w:after="0" w:line="167"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Joseph G. Morone, 62, President and Chief Executive Officer, </w:t>
      </w:r>
      <w:r>
        <w:rPr>
          <w:rFonts w:ascii="Arial" w:cs="Arial" w:eastAsia="Arial" w:hAnsi="Arial"/>
          <w:sz w:val="18"/>
          <w:szCs w:val="18"/>
          <w:color w:val="auto"/>
        </w:rPr>
        <w:t>joined the Company in 2005.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January 1, 2006, and President since August 1, 2005. He has been a director of the Company since 1996. From 1997 to July 2005, he served as President of Bentley University in Waltham, Massachusetts. Prior to joining Bentley, he served as the Dean of the Lally School of Management and Technology at Rensselaer Polytechnic Institute, where he also held the Andersen Consulting Professorship of Management. He currently serves as the Presiding Director of Transworld Entertainment Corporation.</w:t>
      </w:r>
    </w:p>
    <w:p>
      <w:pPr>
        <w:spacing w:after="0" w:line="145" w:lineRule="exact"/>
        <w:rPr>
          <w:sz w:val="20"/>
          <w:szCs w:val="20"/>
          <w:color w:val="auto"/>
        </w:rPr>
      </w:pPr>
    </w:p>
    <w:p>
      <w:pPr>
        <w:ind w:right="320" w:firstLine="648"/>
        <w:spacing w:after="0" w:line="242" w:lineRule="auto"/>
        <w:rPr>
          <w:sz w:val="20"/>
          <w:szCs w:val="20"/>
          <w:color w:val="auto"/>
        </w:rPr>
      </w:pPr>
      <w:r>
        <w:rPr>
          <w:rFonts w:ascii="Arial" w:cs="Arial" w:eastAsia="Arial" w:hAnsi="Arial"/>
          <w:sz w:val="18"/>
          <w:szCs w:val="18"/>
          <w:i w:val="1"/>
          <w:iCs w:val="1"/>
          <w:color w:val="auto"/>
        </w:rPr>
        <w:t xml:space="preserve">John B. Cozzolino, 49, Chief Financial Officer and Treasurer, </w:t>
      </w:r>
      <w:r>
        <w:rPr>
          <w:rFonts w:ascii="Arial" w:cs="Arial" w:eastAsia="Arial" w:hAnsi="Arial"/>
          <w:sz w:val="18"/>
          <w:szCs w:val="18"/>
          <w:color w:val="auto"/>
        </w:rPr>
        <w:t>joined the Company in 1994. He has served the Company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since February 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he served as Vice President – Strategic Planning. From 2000 until 2007 he served as Director – Strategic Planning, and from 1994 to 2000 he served as Manager – Corporate Accounting.</w:t>
      </w:r>
    </w:p>
    <w:p>
      <w:pPr>
        <w:spacing w:after="0" w:line="14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Daniel A. Halftermeyer, 54,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57"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i w:val="1"/>
          <w:iCs w:val="1"/>
          <w:color w:val="auto"/>
        </w:rPr>
        <w:t xml:space="preserve">Diane M. Loudon, 58, President – Albany Engineered Composites, </w:t>
      </w:r>
      <w:r>
        <w:rPr>
          <w:rFonts w:ascii="Arial" w:cs="Arial" w:eastAsia="Arial" w:hAnsi="Arial"/>
          <w:sz w:val="18"/>
          <w:szCs w:val="18"/>
          <w:color w:val="auto"/>
        </w:rPr>
        <w:t>joined Albany Engineered Composites in November 2011 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for Operations, and assumed the role of President – Albany Engineered Composites effective January 2016. Prior to joining AEC, she served in a variety of executive roles in operations and program management in the medical devices industry, most recently at Accellent.</w:t>
      </w:r>
    </w:p>
    <w:p>
      <w:pPr>
        <w:spacing w:after="0" w:line="14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Robert A. Hansen, 58,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Vice President – Corporate Research and Development from April 2006 to January 2010, and Director of Technical and Marketing – Europe Press Fabrics from 2004 to April 2006. From 2000 to 2004, he served as Technical Director – Press Fabrics, Göppingen, Germany. Previously he had the position of Technical Director in Dieren, The Netherlands, and had also held technical management and research and development positions in the Company’s Järvenpää, Finland, and Albany, New York facilities.</w:t>
      </w:r>
    </w:p>
    <w:p>
      <w:pPr>
        <w:spacing w:after="0" w:line="14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 xml:space="preserve">David M. Pawlick, 54,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Controller, </w:t>
      </w:r>
      <w:r>
        <w:rPr>
          <w:rFonts w:ascii="Arial" w:cs="Arial" w:eastAsia="Arial" w:hAnsi="Arial"/>
          <w:sz w:val="18"/>
          <w:szCs w:val="18"/>
          <w:color w:val="auto"/>
        </w:rPr>
        <w:t>joined the Company in 2000. He has served the Company as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March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5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i w:val="1"/>
          <w:iCs w:val="1"/>
          <w:color w:val="auto"/>
        </w:rPr>
        <w:t xml:space="preserve">Charles J. Silva Jr., 56,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Counsel and Secretary, </w:t>
      </w:r>
      <w:r>
        <w:rPr>
          <w:rFonts w:ascii="Arial" w:cs="Arial" w:eastAsia="Arial" w:hAnsi="Arial"/>
          <w:sz w:val="18"/>
          <w:szCs w:val="18"/>
          <w:color w:val="auto"/>
        </w:rPr>
        <w:t>joined the Company in 1994.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General Counsel and Secretary since 2002. He served as Assistant General Counsel from 1994 until 2002. Prior to 1994, he was an associate with Cleary, Gottlieb, Steen and Hamilton, an international law firm with headquarters in New York City.</w:t>
      </w:r>
    </w:p>
    <w:p>
      <w:pPr>
        <w:spacing w:after="0" w:line="134" w:lineRule="exact"/>
        <w:rPr>
          <w:sz w:val="20"/>
          <w:szCs w:val="20"/>
          <w:color w:val="auto"/>
        </w:rPr>
      </w:pPr>
    </w:p>
    <w:p>
      <w:pPr>
        <w:ind w:right="120" w:firstLine="648"/>
        <w:spacing w:after="0" w:line="267" w:lineRule="auto"/>
        <w:rPr>
          <w:sz w:val="20"/>
          <w:szCs w:val="20"/>
          <w:color w:val="auto"/>
        </w:rPr>
      </w:pPr>
      <w:r>
        <w:rPr>
          <w:rFonts w:ascii="Arial" w:cs="Arial" w:eastAsia="Arial" w:hAnsi="Arial"/>
          <w:sz w:val="18"/>
          <w:szCs w:val="18"/>
          <w:i w:val="1"/>
          <w:iCs w:val="1"/>
          <w:color w:val="auto"/>
        </w:rPr>
        <w:t xml:space="preserve">Dawne H. Wimbrow, 58,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Global Information Services and Chief Information Officer, </w:t>
      </w:r>
      <w:r>
        <w:rPr>
          <w:rFonts w:ascii="Arial" w:cs="Arial" w:eastAsia="Arial" w:hAnsi="Arial"/>
          <w:sz w:val="18"/>
          <w:szCs w:val="18"/>
          <w:color w:val="auto"/>
        </w:rPr>
        <w:t>joined the Company in 1993.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as Vice President – Global Information Services and</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ind w:right="60"/>
        <w:spacing w:after="0"/>
        <w:rPr>
          <w:sz w:val="20"/>
          <w:szCs w:val="20"/>
          <w:color w:val="auto"/>
        </w:rPr>
      </w:pPr>
      <w:r>
        <w:rPr>
          <w:rFonts w:ascii="Arial" w:cs="Arial" w:eastAsia="Arial" w:hAnsi="Arial"/>
          <w:sz w:val="18"/>
          <w:szCs w:val="18"/>
          <w:color w:val="auto"/>
        </w:rPr>
        <w:t>Chief Information Officer since September 2005. She previously served the Company in various management positions in the Global Information Systems organization. From 1980 to 1993, she worked as a consultant supporting the design, development, and implementation of computer systems for various textile, real estate, insurance, and law firms.</w:t>
      </w:r>
    </w:p>
    <w:p>
      <w:pPr>
        <w:spacing w:after="0" w:line="144" w:lineRule="exact"/>
        <w:rPr>
          <w:sz w:val="20"/>
          <w:szCs w:val="20"/>
          <w:color w:val="auto"/>
        </w:rPr>
      </w:pPr>
    </w:p>
    <w:p>
      <w:pPr>
        <w:jc w:val="both"/>
        <w:ind w:right="200" w:firstLine="648"/>
        <w:spacing w:after="0" w:line="251" w:lineRule="auto"/>
        <w:rPr>
          <w:sz w:val="20"/>
          <w:szCs w:val="20"/>
          <w:color w:val="auto"/>
        </w:rPr>
      </w:pPr>
      <w:r>
        <w:rPr>
          <w:rFonts w:ascii="Arial" w:cs="Arial" w:eastAsia="Arial" w:hAnsi="Arial"/>
          <w:sz w:val="18"/>
          <w:szCs w:val="18"/>
          <w:i w:val="1"/>
          <w:iCs w:val="1"/>
          <w:color w:val="auto"/>
        </w:rPr>
        <w:t xml:space="preserve">Joseph M. Gaug, 52, Associate General Counsel and Assistant Secretary, </w:t>
      </w:r>
      <w:r>
        <w:rPr>
          <w:rFonts w:ascii="Arial" w:cs="Arial" w:eastAsia="Arial" w:hAnsi="Arial"/>
          <w:sz w:val="18"/>
          <w:szCs w:val="18"/>
          <w:color w:val="auto"/>
        </w:rPr>
        <w:t>joined the Company in 2004.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Associate General Counsel since 2004 and as Assistant Secretary since 2006. Prior to 2004, he was a principal with McNamee, Lochner, Titus &amp; Williams, P.C., a law firm located in Albany, New York.</w:t>
      </w:r>
    </w:p>
    <w:p>
      <w:pPr>
        <w:spacing w:after="0" w:line="16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60" w:firstLine="648"/>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 applicable to the Company, its industry or business, and it is intended only as a summary of certain material factors.</w:t>
      </w:r>
    </w:p>
    <w:p>
      <w:pPr>
        <w:spacing w:after="0" w:line="15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 number of industry factors have had, and in future periods could have, an adverse impact on sales, profitability and cash flow in the Company’s Machine Clothing and AEC segments</w:t>
      </w:r>
    </w:p>
    <w:p>
      <w:pPr>
        <w:spacing w:after="0" w:line="13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has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w:t>
      </w:r>
    </w:p>
    <w:p>
      <w:pPr>
        <w:spacing w:after="0" w:line="165" w:lineRule="exact"/>
        <w:rPr>
          <w:sz w:val="20"/>
          <w:szCs w:val="20"/>
          <w:color w:val="auto"/>
        </w:rPr>
      </w:pPr>
    </w:p>
    <w:p>
      <w:pPr>
        <w:jc w:val="both"/>
        <w:ind w:right="620" w:firstLine="648"/>
        <w:spacing w:after="0"/>
        <w:rPr>
          <w:sz w:val="20"/>
          <w:szCs w:val="20"/>
          <w:color w:val="auto"/>
        </w:rPr>
      </w:pPr>
      <w:r>
        <w:rPr>
          <w:rFonts w:ascii="Arial" w:cs="Arial" w:eastAsia="Arial" w:hAnsi="Arial"/>
          <w:sz w:val="18"/>
          <w:szCs w:val="18"/>
          <w:color w:val="auto"/>
        </w:rPr>
        <w:t>The market for paper machine clothing in recent years has been characterized by increased pressure to provide more favorable commercial terms, which has negatively affected our operating results. We expect such pressure to remain intense in all paper machine clothing markets, especially during periods of customer</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ind w:right="500"/>
        <w:spacing w:after="0" w:line="246" w:lineRule="auto"/>
        <w:rPr>
          <w:sz w:val="20"/>
          <w:szCs w:val="20"/>
          <w:color w:val="auto"/>
        </w:rPr>
      </w:pPr>
      <w:r>
        <w:rPr>
          <w:rFonts w:ascii="Arial" w:cs="Arial" w:eastAsia="Arial" w:hAnsi="Arial"/>
          <w:sz w:val="18"/>
          <w:szCs w:val="18"/>
          <w:color w:val="auto"/>
        </w:rPr>
        <w:t>consolidation, plant closures, or when major contracts are being renegotiated. The emergence of new market entrants in China is likely to exacerbate this risk.</w:t>
      </w:r>
    </w:p>
    <w:p>
      <w:pPr>
        <w:spacing w:after="0" w:line="156"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Similar pressures exists in the markets in which AEC competes. Many of AEC’s customers, as well as the companies supplied by our customers in turn, are under pressure to achieve acceptable returns on their substantial investments in recent years in new technology, new programs and new product platforms. This has contributed to a relentless focus on reducing costs, resulting in intense pressure for cost and price improvements throughout the supply chain. Such pressures are likely to continue.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LEAP program in the short and medium term</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program schedule and production-readiness milestones at its LEAP facilities in Rochester, New Hampshire and Commercy, France, as well as at the third LEAP facility in Queretaro, Mexico, which recently broke ground and is targeted to come on line in 2017. In the medium-term, AEC will be required to continue to ramp up all three LEAP plants to full production. AEC’s ability to realize the full growth potential of the LEAP program will depend on how effectively it accomplishes these goals. Failure to accomplish these goals could have a material adverse impact on the amount and timing of anticipated LEAP program revenues, income, and cash flows, which could in turn have a material adverse impact on our consolidated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growth prospects of AEC are subject to a number of risks</w:t>
      </w:r>
    </w:p>
    <w:p>
      <w:pPr>
        <w:spacing w:after="0" w:line="20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prospect of future growth and long-term success of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military aircraft programs, are subject to the same curtailment or cancellation risks as the programs they support.</w:t>
      </w:r>
    </w:p>
    <w:p>
      <w:pPr>
        <w:spacing w:after="0" w:line="161"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AEC is currently working on a broad portfolio of potential new product applications, in aerospace and other industries.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the LEAP program, and may or may not be successful in meeting its obligations under these contracts. Failure to manage these development, commercialization and execution risks could have a material adverse impact on AEC’s growth.</w:t>
      </w:r>
    </w:p>
    <w:p>
      <w:pPr>
        <w:spacing w:after="0" w:line="16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While AEC is starting to generate increasing amounts of cash, it is likely to be some time before AEC generates sufficient cash to fund this growth. Until that time, it will remain dependent on the Machine Clothing segment’s ability to generate cash, and a significant decline in Machine Clothing sales, operating income or cash flows could therefore have a material adverse impact on AEC’s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AEC has a number of long-term or life-of-program contracts, including a number with fixed pricing, and is likely to enter into similar contracts in the future. While long-term or life-of-program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 The occurrence of one or more of these events could have a material adverse effect on AEC revenues and earnings in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any period. Such events could also result in the write-off of deferred charges that have been accumulated in anticipation of future revenues.</w:t>
      </w:r>
    </w:p>
    <w:p>
      <w:pPr>
        <w:spacing w:after="0" w:line="19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While long-term fixed-price contracts also provide AEC with the opportunity to enjoy increased profits as the result of cost reductions and efficiencies, their profitability is dependent on estimates and assumptions regarding contract performance costs over the life of the contract, which in some cases can last for many years. Such estimates and assumptions are subject to many variables, and may prove over time to have been inaccurate when made, or to have become inaccurate over time. Additionally, many of the parts AEC agrees to develop and produce have highly complex designs, and technical, quality, or other specifications. Manufacturing or development challenges, disagreements over technical, quality or other contract requirements, and other variables may arise during development or production that result in higher costs, or an inability to achieve required technical specifications.</w:t>
      </w:r>
    </w:p>
    <w:p>
      <w:pPr>
        <w:spacing w:after="0" w:line="190"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If actual production and/or development costs should prove higher, or revenues prove lower, than AEC’s estimates, our expected profits may be reduced, or if such costs should exceed contract prices, we may be required to recognize losses for future periods, and potentially for the remaining life of the program. One or more of these events could have a material adverse effect on AEC’s revenues or operating results in any period. Such events could also result in provisions for any anticipated future losses, as well as the write-off of deferred charges that have been or could be accumulated in anticipation of future revenues.</w:t>
      </w:r>
    </w:p>
    <w:p>
      <w:pPr>
        <w:spacing w:after="0" w:line="167"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Deterioration of current global economic conditions could have an adverse impact on the Company’s business and results of operations</w:t>
      </w:r>
    </w:p>
    <w:p>
      <w:pPr>
        <w:spacing w:after="0" w:line="13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unfavorable global economic and paper industry conditions may lead to greater consolidation and rationalization within the paper industry, further reducing global consumption of paper machine clothing. Reduced consumption of paper machine clothing could in turn increase the risk of greater price competition within the paper machine clothing industry, and greater efforts by competitors to gain market share at the expense of the Company. Sales of the Company’s other Machine Clothing products may also be adversely affected by unfavorable economic conditions.</w:t>
      </w:r>
    </w:p>
    <w:p>
      <w:pPr>
        <w:spacing w:after="0" w:line="17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airlines’ overall operating costs,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These actions could reduce or postpone AEC’s anticipated revenues, and reduce profitability.</w:t>
      </w:r>
    </w:p>
    <w:p>
      <w:pPr>
        <w:spacing w:after="0" w:line="16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operating results, financial condition, and/or liquidity. Furthermore, both the Machine Clothing and AEC business segments manufacture products that are custom-designed for a specific customer application. In the event of a customer liquidity issue, the Company could also be required to write off amounts that are included in inventories. In the case of AEC, such write-offs could also include investments in equipment, tooling, and non-recurring engineering, some of which could be significant depending on the program.</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 w:name="page13"/>
    <w:bookmarkEnd w:id="12"/>
    <w:p>
      <w:pPr>
        <w:ind w:right="100"/>
        <w:spacing w:after="0" w:line="271" w:lineRule="auto"/>
        <w:rPr>
          <w:sz w:val="20"/>
          <w:szCs w:val="20"/>
          <w:color w:val="auto"/>
        </w:rPr>
      </w:pPr>
      <w:r>
        <w:rPr>
          <w:rFonts w:ascii="Arial" w:cs="Arial" w:eastAsia="Arial" w:hAnsi="Arial"/>
          <w:sz w:val="18"/>
          <w:szCs w:val="18"/>
          <w:b w:val="1"/>
          <w:bCs w:val="1"/>
          <w:i w:val="1"/>
          <w:iCs w:val="1"/>
          <w:color w:val="auto"/>
        </w:rPr>
        <w:t>The loss of one or more major customers or the closure of one or more customer mills could have a material adverse effect on sales and profitability in our Machine Clothing segment</w:t>
      </w:r>
    </w:p>
    <w:p>
      <w:pPr>
        <w:spacing w:after="0" w:line="13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Our top ten customers in the Machine Clothing segment accounted for 36% of our net sales in 2015.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Machine Clothing customers, they generally do not obligate the customer to purchase any products from us, and may be terminated by the customer at any time with appropriate notice.</w:t>
      </w:r>
    </w:p>
    <w:p>
      <w:pPr>
        <w:spacing w:after="0" w:line="15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The loss of one or more major customers could have a material adverse effect on sales and profitability in our Albany Engineered Composites segment</w:t>
      </w:r>
    </w:p>
    <w:p>
      <w:pPr>
        <w:spacing w:after="0" w:line="13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Our top customer in the AEC segment (Safran) accounted for approximately 57% of our net segment sales in 2015 and that percentage is expected to increase in the future. The loss of this customer, or a significant decrease in the amount of composite parts they purchase from us, could have a material adverse impact on segment sales and profitability. Approximately 50% of AEC’s 2015 sales were under an exclusive long-term supply agreement relating to parts for the LEAP engine. Although we are an exclusive supplier of such parts, our customer is not obligated to purchase any minimum quantity of parts, and cancellation of the LEAP program, or of existing orders for LEAP engines, would have a material adverse impact on segment sales and profitability.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20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Machine Clothing and AEC segments.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 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14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Machine Clothing segment have the capability to make and sell paper machines and papermaking equipment as well as other engineered fabrics</w:t>
      </w:r>
    </w:p>
    <w:p>
      <w:pPr>
        <w:spacing w:after="0" w:line="135"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bundle fabrics with new machines and after-market services could provide a competitive advantage.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75"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ind w:right="38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4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a number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consider these risks, we plan each step of the process carefully, and work to reassure customers who could be affected by any such matters that their requirements will continue to be met, we could lose customers and associated revenues if we fail to plan properly, or if the foregoing tactics are ineffective.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Significant consolidation of manufacturing operations in our Machine Clothing segment has reduced the number of facilities available to produce our products, and increased utilization significantly at remaining facilities. Not all product lines are produced at, or capable of being produced at, all facilities. A significant interruption in the operation of any one or more of our Machine Clothing plants, whether as a result of a natural disaster or other causes, could significantly impair our ability to meet our supply obligations to customers being supplied from an affected facility on a timely basis.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Moreover, AEC’s production of LEAP engine components is currently located in two facilities. An interruption at either of these locations could have a significant adverse effect on AEC’s ability to timely satisfy orders for LEAP components.</w:t>
      </w:r>
    </w:p>
    <w:p>
      <w:pPr>
        <w:spacing w:after="0" w:line="156"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4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As of December 31, 2015, Standish Family Holdings, LLC and related persons (including Christine L. Standish and John C. Standish, both directors of the Company) held in the aggregate shares entitling them to cast approximately 53%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 preventing a change in control or a merger, consolidation, or other business combination at a premium price, even if such transaction were favored by our other stockholders.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4" w:name="page15"/>
    <w:bookmarkEnd w:id="14"/>
    <w:p>
      <w:pPr>
        <w:jc w:val="both"/>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6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As a result of the greater than 50% voting power of the Standish family described above, we are a “controlled company” within the meaning of the rules of the NYSE. Therefore, we are not required to comply with certain corporate governance rules that would otherwise apply to us as a listed company on the NYSE, including the requirement that the Compensation and Governance Committees be composed entirely of “independent” directors (as defined by the NYSE rules). In addition, although we believe that a majority of our current directors may be deemed independent under the NYSE rules, as a controlled company our Board of Directors is not required to include a majority of “independent” directors. Should the interests of the Standish family differ from those of other stockholders, the other stockholders might not be afforded such protections as might exist if our Board of Directors, or these Committees, were required to have a majority, or be composed exclusively, of directors who were independent of the Standish family or our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193"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The Company is a significant user of petroleum-based products required for the manufacture of our products. The Company also relies on the labor market in many regions of the world to meet our operational requirements. Increases in the prices of such commodities or in labor costs, particularly in regions that are experiencing higher levels of inflation, could increase our costs, and we may not be able to fully offset the effects through price increases, productivity improvements, and cost-reduction programs.</w:t>
      </w:r>
    </w:p>
    <w:p>
      <w:pPr>
        <w:spacing w:after="0" w:line="15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Technical, General and Research expenses or Other expense/(income),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4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4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December 31, 2015, the Company had outstanding short-term debt of $0.6 million and long-term debt of $265.1 million.</w:t>
      </w:r>
    </w:p>
    <w:p>
      <w:pPr>
        <w:spacing w:after="0" w:line="193"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Existing borrowing agreements contain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agreements that would permit the lenders to declare all borrowings under such agreements to be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5" w:name="page16"/>
    <w:bookmarkEnd w:id="15"/>
    <w:p>
      <w:pPr>
        <w:jc w:val="both"/>
        <w:ind w:right="160"/>
        <w:spacing w:after="0"/>
        <w:rPr>
          <w:sz w:val="20"/>
          <w:szCs w:val="20"/>
          <w:color w:val="auto"/>
        </w:rPr>
      </w:pPr>
      <w:r>
        <w:rPr>
          <w:rFonts w:ascii="Arial" w:cs="Arial" w:eastAsia="Arial" w:hAnsi="Arial"/>
          <w:sz w:val="18"/>
          <w:szCs w:val="18"/>
          <w:color w:val="auto"/>
        </w:rPr>
        <w:t>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62"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may incur a substantial amount of additional indebtedness in the future. As of December 31, 2015, we had borrowed $215 million under our $ 400 million revolving credit facility. Incurrence of additional indebtedness could increase the risks associated with higher leverage. These risks include limiting our ability to make acquisitions or capital expenditures to grow our business, limiting our ability to withstand business and economic downturns, limiting our ability to invest operating cash flow in our business, and limiting our ability to pay dividends. In addition, any such indebtedness could contain terms that are more restrictive than our current facilities.</w:t>
      </w:r>
    </w:p>
    <w:p>
      <w:pPr>
        <w:spacing w:after="0" w:line="154"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156"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We are increasingly dependent on information technology and communication systems and infrastructure. As our dependence has increased, so have the risks associated with cyber-attacks from third parties attempting to gain access to our systems, data, or assets using varied means, from electronic “hacking” to traditional social engineering aimed at our employees. The Company has been, and will likely continue to be, the target of such attacks, none of which have, individually or in the aggregate, been material to the Company.</w:t>
      </w:r>
    </w:p>
    <w:p>
      <w:pPr>
        <w:spacing w:after="0" w:line="16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 risks, there can be no assurance that our efforts will prevent breakdowns, losses or breaches that could have a material adverse effect on our business, financial position and results of operations.</w:t>
      </w:r>
    </w:p>
    <w:p>
      <w:pPr>
        <w:spacing w:after="0" w:line="15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The Company is subject to legal proceedings and legal compliance risks, and has been </w:t>
      </w:r>
      <w:r>
        <w:rPr>
          <w:rFonts w:ascii="Arial" w:cs="Arial" w:eastAsia="Arial" w:hAnsi="Arial"/>
          <w:sz w:val="18"/>
          <w:szCs w:val="18"/>
          <w:b w:val="1"/>
          <w:bCs w:val="1"/>
          <w:i w:val="1"/>
          <w:iCs w:val="1"/>
          <w:color w:val="auto"/>
        </w:rPr>
        <w:t>named as defendant in a large number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suits relating to the actual or alleged exposure to asbestos-containing products</w:t>
      </w:r>
    </w:p>
    <w:p>
      <w:pPr>
        <w:spacing w:after="0" w:line="13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17, to the Consolidated Financial Statements in Item 8, which is incorporated herein by reference. Litigation is an inherently unpredictable process and unanticipated negative outcomes are always possible. An adverse outcome in any period could have an adverse impact on the Company’s operating results for that period.</w:t>
      </w:r>
    </w:p>
    <w:p>
      <w:pPr>
        <w:spacing w:after="0" w:line="161"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 w:name="page17"/>
    <w:bookmarkEnd w:id="16"/>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49" w:lineRule="exact"/>
        <w:rPr>
          <w:sz w:val="20"/>
          <w:szCs w:val="20"/>
          <w:color w:val="auto"/>
        </w:rPr>
      </w:pPr>
    </w:p>
    <w:p>
      <w:pPr>
        <w:jc w:val="both"/>
        <w:ind w:right="260" w:firstLine="648"/>
        <w:spacing w:after="0" w:line="248" w:lineRule="auto"/>
        <w:rPr>
          <w:sz w:val="20"/>
          <w:szCs w:val="20"/>
          <w:color w:val="auto"/>
        </w:rPr>
      </w:pPr>
      <w:r>
        <w:rPr>
          <w:rFonts w:ascii="Arial" w:cs="Arial" w:eastAsia="Arial" w:hAnsi="Arial"/>
          <w:sz w:val="17"/>
          <w:szCs w:val="17"/>
          <w:color w:val="auto"/>
        </w:rPr>
        <w:t>Although we have reduced pension liabilities by a significant amount during the past few years, as of December 31, 2015, remaining net liabilities under our defined benefit pension plans exceeded plan assets by $28.5 million ($10.8 million for the U.S. plan, $ 17.7 million for non-U.S. plans). Additionally, the liability for unfunded postretirement welfare benefits, principally in the United States, totaled $60.0 million.</w:t>
      </w:r>
    </w:p>
    <w:p>
      <w:pPr>
        <w:spacing w:after="0" w:line="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Annual expense associated with these plans, as well as annual cash contributions, are subject to a number of variables, including discount rates, return on plan assets, mortality, and differences between actuarial assumptions and actual experience. Those liabilities include $73.1 million of deferred costs which are included in Other comprehensive income. The deferred costs will be amortized into expense in future periods, or a significant charge could be recorded if we were to take an actions to settle pension or postretirement obligations. In 2014, we settled certain pension obligations as part of a de-risking strategy in the United States which led to charges totaling $8.2 million.</w:t>
      </w:r>
    </w:p>
    <w:p>
      <w:pPr>
        <w:spacing w:after="0" w:line="162" w:lineRule="exact"/>
        <w:rPr>
          <w:sz w:val="20"/>
          <w:szCs w:val="20"/>
          <w:color w:val="auto"/>
        </w:rPr>
      </w:pPr>
    </w:p>
    <w:p>
      <w:pPr>
        <w:ind w:right="440" w:firstLine="648"/>
        <w:spacing w:after="0"/>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207"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4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rates</w:t>
      </w:r>
    </w:p>
    <w:p>
      <w:pPr>
        <w:spacing w:after="0" w:line="135"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our tax rates, or tax policies of the countries in which we operate, could affect our future results of operations. Our future effective tax rates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and result in a charge to earnings</w:t>
      </w:r>
    </w:p>
    <w:p>
      <w:pPr>
        <w:spacing w:after="0" w:line="193"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Company has substantial deferred tax assets in several tax jurisdictions, including the U.S. Realization of deferred tax assets is dependent upon many factors, including generation of future taxable income in specific countries. (See Note 7 to the Consolidated Financial Statements in Item 8, which is incorporated herein by reference, for a discussion of this matter.) Lower than expected operating results, organizational changes, or changes in tax laws could result in those deferred tax assets becoming impaired, thus resulting in a charge to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tax matters</w:t>
      </w:r>
    </w:p>
    <w:p>
      <w:pPr>
        <w:spacing w:after="0" w:line="207"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Company is currently under audit in certain jurisdictions and could be audited in other jurisdictions in the future. In addition, tax authorities in Germany are challenging certain tax benefits related to a 1999 reorganization. (See Note 7 to the Consolidated Financial Statements in Item 8, which is incorporated herein by</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7" w:name="page18"/>
    <w:bookmarkEnd w:id="17"/>
    <w:p>
      <w:pPr>
        <w:ind w:right="480"/>
        <w:spacing w:after="0" w:line="246" w:lineRule="auto"/>
        <w:rPr>
          <w:sz w:val="20"/>
          <w:szCs w:val="20"/>
          <w:color w:val="auto"/>
        </w:rPr>
      </w:pPr>
      <w:r>
        <w:rPr>
          <w:rFonts w:ascii="Arial" w:cs="Arial" w:eastAsia="Arial" w:hAnsi="Arial"/>
          <w:sz w:val="18"/>
          <w:szCs w:val="18"/>
          <w:color w:val="auto"/>
        </w:rPr>
        <w:t>reference, for a discussion of this matter.) While the Company believes its tax filings to be correct, a final adverse outcome with respect to these matters could have a material adverse impact on the Company’s results in any period in which it occurs.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currently have manufacturing facilities outside the U.S. In 2015, 54%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8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35"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76" w:lineRule="exact"/>
        <w:rPr>
          <w:sz w:val="20"/>
          <w:szCs w:val="20"/>
          <w:color w:val="auto"/>
        </w:rPr>
      </w:pPr>
    </w:p>
    <w:p>
      <w:pPr>
        <w:ind w:right="520" w:firstLine="648"/>
        <w:spacing w:after="0" w:line="239" w:lineRule="auto"/>
        <w:rPr>
          <w:sz w:val="20"/>
          <w:szCs w:val="20"/>
          <w:color w:val="auto"/>
        </w:rPr>
      </w:pPr>
      <w:r>
        <w:rPr>
          <w:rFonts w:ascii="Arial" w:cs="Arial" w:eastAsia="Arial" w:hAnsi="Arial"/>
          <w:sz w:val="18"/>
          <w:szCs w:val="18"/>
          <w:color w:val="auto"/>
        </w:rPr>
        <w:t>We incur significant expenses to comply with laws and regulations. Changes or additions to laws and regulations, including those related to climate change,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6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Italy, Mexico, South Korea, Sweden, the United Kingdom, and the United States. The aggregate square footage of our operating facilities in the United States and Canada is approximately 2.2 million square feet, of which 1.7 million square feet are owned and 0.5 million square feet are leased. Our facilities located outside the United States and Canada comprise approximately 2.6 million square feet, of which 2.4 million square feet are owned and 0.2 million square feet are leased. We consider these facilities to be in good condition and suitable for our purpose. The capacity associated with these facilities is adequate to meet production levels required and anticipated through 2016.</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information set forth above under Note 17 to the Consolidated Financial Statements in Item 8, which is incorporated herein by reference.</w:t>
      </w:r>
    </w:p>
    <w:p>
      <w:pPr>
        <w:spacing w:after="0" w:line="1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140" w:right="20" w:hanging="1133"/>
        <w:spacing w:after="0" w:line="271"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35"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2015, we estimate that there were 7,500 beneficial owners of our Class A Common Stock, including employees owning shares through our 401(k) defined contribution plan. Our Class B Common Stock does not trade publicly. As of December 31, 2015, there were 7 holders of Class B Common Stock. Dividends are paid equally on shares of each class. Our cash dividends, and the high and low prices per share of our Class A Common Stock, were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195"/>
        </w:trPr>
        <w:tc>
          <w:tcPr>
            <w:tcW w:w="400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2015</w:t>
            </w:r>
          </w:p>
        </w:tc>
        <w:tc>
          <w:tcPr>
            <w:tcW w:w="2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$0.16</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$0.17</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$0.17</w:t>
            </w:r>
          </w:p>
        </w:tc>
      </w:tr>
      <w:tr>
        <w:trPr>
          <w:trHeight w:val="203"/>
        </w:trPr>
        <w:tc>
          <w:tcPr>
            <w:tcW w:w="4000" w:type="dxa"/>
            <w:vAlign w:val="bottom"/>
          </w:tcPr>
          <w:p>
            <w:pPr>
              <w:ind w:left="160"/>
              <w:spacing w:after="0" w:line="202" w:lineRule="exact"/>
              <w:rPr>
                <w:sz w:val="20"/>
                <w:szCs w:val="20"/>
                <w:color w:val="auto"/>
              </w:rPr>
            </w:pPr>
            <w:r>
              <w:rPr>
                <w:rFonts w:ascii="Arial" w:cs="Arial" w:eastAsia="Arial" w:hAnsi="Arial"/>
                <w:sz w:val="18"/>
                <w:szCs w:val="18"/>
                <w:color w:val="auto"/>
              </w:rPr>
              <w:t>Class A Common Stock prices:</w:t>
            </w: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000" w:type="dxa"/>
            <w:vAlign w:val="bottom"/>
          </w:tcPr>
          <w:p>
            <w:pPr>
              <w:ind w:left="300"/>
              <w:spacing w:after="0" w:line="202" w:lineRule="exact"/>
              <w:rPr>
                <w:sz w:val="20"/>
                <w:szCs w:val="20"/>
                <w:color w:val="auto"/>
              </w:rPr>
            </w:pPr>
            <w:r>
              <w:rPr>
                <w:rFonts w:ascii="Arial" w:cs="Arial" w:eastAsia="Arial" w:hAnsi="Arial"/>
                <w:sz w:val="18"/>
                <w:szCs w:val="18"/>
                <w:color w:val="auto"/>
              </w:rPr>
              <w:t>High</w:t>
            </w:r>
          </w:p>
        </w:tc>
        <w:tc>
          <w:tcPr>
            <w:tcW w:w="2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$40.31</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$41.15</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$40.21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$39.25</w:t>
            </w: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Low</w:t>
            </w:r>
          </w:p>
        </w:tc>
        <w:tc>
          <w:tcPr>
            <w:tcW w:w="2700" w:type="dxa"/>
            <w:vAlign w:val="bottom"/>
          </w:tcPr>
          <w:p>
            <w:pPr>
              <w:jc w:val="right"/>
              <w:ind w:right="410"/>
              <w:spacing w:after="0"/>
              <w:rPr>
                <w:sz w:val="20"/>
                <w:szCs w:val="20"/>
                <w:color w:val="auto"/>
              </w:rPr>
            </w:pPr>
            <w:r>
              <w:rPr>
                <w:rFonts w:ascii="Arial" w:cs="Arial" w:eastAsia="Arial" w:hAnsi="Arial"/>
                <w:sz w:val="18"/>
                <w:szCs w:val="18"/>
                <w:color w:val="auto"/>
              </w:rPr>
              <w:t>$34.13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$39.15</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$28.28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$28.19</w:t>
            </w:r>
          </w:p>
        </w:tc>
      </w:tr>
      <w:tr>
        <w:trPr>
          <w:trHeight w:val="189"/>
        </w:trPr>
        <w:tc>
          <w:tcPr>
            <w:tcW w:w="40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95"/>
        </w:trPr>
        <w:tc>
          <w:tcPr>
            <w:tcW w:w="400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2014</w:t>
            </w:r>
          </w:p>
        </w:tc>
        <w:tc>
          <w:tcPr>
            <w:tcW w:w="2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$0.15</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$0.16</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r>
      <w:tr>
        <w:trPr>
          <w:trHeight w:val="203"/>
        </w:trPr>
        <w:tc>
          <w:tcPr>
            <w:tcW w:w="4000" w:type="dxa"/>
            <w:vAlign w:val="bottom"/>
          </w:tcPr>
          <w:p>
            <w:pPr>
              <w:ind w:left="160"/>
              <w:spacing w:after="0" w:line="202" w:lineRule="exact"/>
              <w:rPr>
                <w:sz w:val="20"/>
                <w:szCs w:val="20"/>
                <w:color w:val="auto"/>
              </w:rPr>
            </w:pPr>
            <w:r>
              <w:rPr>
                <w:rFonts w:ascii="Arial" w:cs="Arial" w:eastAsia="Arial" w:hAnsi="Arial"/>
                <w:sz w:val="18"/>
                <w:szCs w:val="18"/>
                <w:color w:val="auto"/>
              </w:rPr>
              <w:t>Class A Common Stock prices:</w:t>
            </w: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000" w:type="dxa"/>
            <w:vAlign w:val="bottom"/>
          </w:tcPr>
          <w:p>
            <w:pPr>
              <w:ind w:left="300"/>
              <w:spacing w:after="0" w:line="202" w:lineRule="exact"/>
              <w:rPr>
                <w:sz w:val="20"/>
                <w:szCs w:val="20"/>
                <w:color w:val="auto"/>
              </w:rPr>
            </w:pPr>
            <w:r>
              <w:rPr>
                <w:rFonts w:ascii="Arial" w:cs="Arial" w:eastAsia="Arial" w:hAnsi="Arial"/>
                <w:sz w:val="18"/>
                <w:szCs w:val="18"/>
                <w:color w:val="auto"/>
              </w:rPr>
              <w:t>High</w:t>
            </w:r>
          </w:p>
        </w:tc>
        <w:tc>
          <w:tcPr>
            <w:tcW w:w="2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$37.59</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$38.01</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$38.53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$38.15</w:t>
            </w: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Low</w:t>
            </w:r>
          </w:p>
        </w:tc>
        <w:tc>
          <w:tcPr>
            <w:tcW w:w="2700" w:type="dxa"/>
            <w:vAlign w:val="bottom"/>
          </w:tcPr>
          <w:p>
            <w:pPr>
              <w:jc w:val="right"/>
              <w:ind w:right="410"/>
              <w:spacing w:after="0"/>
              <w:rPr>
                <w:sz w:val="20"/>
                <w:szCs w:val="20"/>
                <w:color w:val="auto"/>
              </w:rPr>
            </w:pPr>
            <w:r>
              <w:rPr>
                <w:rFonts w:ascii="Arial" w:cs="Arial" w:eastAsia="Arial" w:hAnsi="Arial"/>
                <w:sz w:val="18"/>
                <w:szCs w:val="18"/>
                <w:color w:val="auto"/>
              </w:rPr>
              <w:t>$32.85</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$33.67</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$34.04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$32.46</w:t>
            </w:r>
          </w:p>
        </w:tc>
      </w:tr>
    </w:tbl>
    <w:p>
      <w:pPr>
        <w:spacing w:after="0" w:line="188"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14 of the Consolidated Financial Statements in Item 8, which is incorporated herein by reference.</w:t>
      </w:r>
    </w:p>
    <w:p>
      <w:pPr>
        <w:spacing w:after="0" w:line="15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Disclosures of securities authorized for issuance under equity compensation plans and the performance graph are included under Item 12 of this Form 10-K.</w:t>
      </w:r>
    </w:p>
    <w:p>
      <w:pPr>
        <w:spacing w:after="0" w:line="15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this authorization.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3"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4880" w:type="dxa"/>
            <w:vAlign w:val="bottom"/>
          </w:tcPr>
          <w:p>
            <w:pPr>
              <w:ind w:left="120"/>
              <w:spacing w:after="0" w:line="195" w:lineRule="exact"/>
              <w:rPr>
                <w:sz w:val="20"/>
                <w:szCs w:val="20"/>
                <w:color w:val="auto"/>
              </w:rPr>
            </w:pPr>
            <w:r>
              <w:rPr>
                <w:rFonts w:ascii="Arial" w:cs="Arial" w:eastAsia="Arial" w:hAnsi="Arial"/>
                <w:sz w:val="18"/>
                <w:szCs w:val="18"/>
                <w:b w:val="1"/>
                <w:bCs w:val="1"/>
                <w:color w:val="auto"/>
              </w:rPr>
              <w:t>Summary of Operations</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$709,868</w:t>
            </w: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80" w:type="dxa"/>
            <w:vAlign w:val="bottom"/>
          </w:tcPr>
          <w:p>
            <w:pPr>
              <w:ind w:left="120"/>
              <w:spacing w:after="0" w:line="181" w:lineRule="exact"/>
              <w:rPr>
                <w:sz w:val="20"/>
                <w:szCs w:val="20"/>
                <w:color w:val="auto"/>
              </w:rPr>
            </w:pPr>
            <w:r>
              <w:rPr>
                <w:rFonts w:ascii="Arial" w:cs="Arial" w:eastAsia="Arial" w:hAnsi="Arial"/>
                <w:sz w:val="18"/>
                <w:szCs w:val="18"/>
                <w:color w:val="auto"/>
              </w:rPr>
              <w:t>Net sales (5)</w:t>
            </w:r>
          </w:p>
        </w:tc>
        <w:tc>
          <w:tcPr>
            <w:tcW w:w="1300" w:type="dxa"/>
            <w:vAlign w:val="bottom"/>
            <w:vMerge w:val="continue"/>
          </w:tcPr>
          <w:p>
            <w:pPr>
              <w:spacing w:after="0"/>
              <w:rPr>
                <w:sz w:val="15"/>
                <w:szCs w:val="15"/>
                <w:color w:val="auto"/>
              </w:rPr>
            </w:pPr>
          </w:p>
        </w:tc>
        <w:tc>
          <w:tcPr>
            <w:tcW w:w="136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$745,345</w:t>
            </w:r>
          </w:p>
        </w:tc>
        <w:tc>
          <w:tcPr>
            <w:tcW w:w="13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$757,414</w:t>
            </w:r>
          </w:p>
        </w:tc>
        <w:tc>
          <w:tcPr>
            <w:tcW w:w="134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$760,941</w:t>
            </w:r>
          </w:p>
        </w:tc>
        <w:tc>
          <w:tcPr>
            <w:tcW w:w="11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$787,287</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Cost of goods sold (5)</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431,182</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453,710</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466,860</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455,545</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473,121</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Restructuring and other (3)</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23,846</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5,759</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25,108</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7,061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Pension settlement expense (2)</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8,190</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119,735</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Operating income/(loss) (5)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63,895</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71,360</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52,091</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(44,136)</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74,608</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 net</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9,984</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10,713</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13,759</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16,601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18,121</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Income/(loss) from continuing operations (6)</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57,265</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41,749</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17,704</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(40,843)</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Income/(loss) from discontinued operations (5)</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(46)</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71,820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13,672</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Net income attributable to the Company</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57,279</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41,569</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17,517</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30,977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25"/>
        </w:trPr>
        <w:tc>
          <w:tcPr>
            <w:tcW w:w="4880" w:type="dxa"/>
            <w:vAlign w:val="bottom"/>
          </w:tcPr>
          <w:p>
            <w:pPr>
              <w:ind w:left="120"/>
              <w:spacing w:after="0"/>
              <w:rPr>
                <w:sz w:val="20"/>
                <w:szCs w:val="20"/>
                <w:color w:val="auto"/>
              </w:rPr>
            </w:pPr>
            <w:r>
              <w:rPr>
                <w:rFonts w:ascii="Arial" w:cs="Arial" w:eastAsia="Arial" w:hAnsi="Arial"/>
                <w:sz w:val="18"/>
                <w:szCs w:val="18"/>
                <w:color w:val="auto"/>
              </w:rPr>
              <w:t>Basic income/(loss) from continuing operations per share</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1.79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1.31</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0.55</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Diluted income/(loss) from continuing operations per</w:t>
            </w:r>
          </w:p>
        </w:tc>
        <w:tc>
          <w:tcPr>
            <w:tcW w:w="1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1.79</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80" w:type="dxa"/>
            <w:vAlign w:val="bottom"/>
          </w:tcPr>
          <w:p>
            <w:pPr>
              <w:ind w:left="120"/>
              <w:spacing w:after="0" w:line="181" w:lineRule="exact"/>
              <w:rPr>
                <w:sz w:val="20"/>
                <w:szCs w:val="20"/>
                <w:color w:val="auto"/>
              </w:rPr>
            </w:pPr>
            <w:r>
              <w:rPr>
                <w:rFonts w:ascii="Arial" w:cs="Arial" w:eastAsia="Arial" w:hAnsi="Arial"/>
                <w:sz w:val="18"/>
                <w:szCs w:val="18"/>
                <w:color w:val="auto"/>
              </w:rPr>
              <w:t>share</w:t>
            </w:r>
          </w:p>
        </w:tc>
        <w:tc>
          <w:tcPr>
            <w:tcW w:w="1300" w:type="dxa"/>
            <w:vAlign w:val="bottom"/>
            <w:vMerge w:val="continue"/>
          </w:tcPr>
          <w:p>
            <w:pPr>
              <w:spacing w:after="0"/>
              <w:rPr>
                <w:sz w:val="15"/>
                <w:szCs w:val="15"/>
                <w:color w:val="auto"/>
              </w:rPr>
            </w:pPr>
          </w:p>
        </w:tc>
        <w:tc>
          <w:tcPr>
            <w:tcW w:w="136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1.30</w:t>
            </w:r>
          </w:p>
        </w:tc>
        <w:tc>
          <w:tcPr>
            <w:tcW w:w="13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0.55</w:t>
            </w:r>
          </w:p>
        </w:tc>
        <w:tc>
          <w:tcPr>
            <w:tcW w:w="134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(1.30)</w:t>
            </w:r>
          </w:p>
        </w:tc>
        <w:tc>
          <w:tcPr>
            <w:tcW w:w="11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Dividends declared per share</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0.67</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0.63</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0.59</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0.55</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31,978</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31,832</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31,649</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31,356</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Capital expenditures, including software</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50,595</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58,873</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64,457</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37,207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r>
        <w:trPr>
          <w:trHeight w:val="225"/>
        </w:trPr>
        <w:tc>
          <w:tcPr>
            <w:tcW w:w="4880" w:type="dxa"/>
            <w:vAlign w:val="bottom"/>
          </w:tcPr>
          <w:p>
            <w:pPr>
              <w:ind w:left="120"/>
              <w:spacing w:after="0"/>
              <w:rPr>
                <w:sz w:val="20"/>
                <w:szCs w:val="20"/>
                <w:color w:val="auto"/>
              </w:rPr>
            </w:pPr>
            <w:r>
              <w:rPr>
                <w:rFonts w:ascii="Arial" w:cs="Arial" w:eastAsia="Arial" w:hAnsi="Arial"/>
                <w:sz w:val="18"/>
                <w:szCs w:val="18"/>
                <w:b w:val="1"/>
                <w:bCs w:val="1"/>
                <w:color w:val="auto"/>
              </w:rPr>
              <w:t>Financial position</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$185,113</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880" w:type="dxa"/>
            <w:vAlign w:val="bottom"/>
          </w:tcPr>
          <w:p>
            <w:pPr>
              <w:ind w:left="120"/>
              <w:spacing w:after="0" w:line="181" w:lineRule="exact"/>
              <w:rPr>
                <w:sz w:val="20"/>
                <w:szCs w:val="20"/>
                <w:color w:val="auto"/>
              </w:rPr>
            </w:pPr>
            <w:r>
              <w:rPr>
                <w:rFonts w:ascii="Arial" w:cs="Arial" w:eastAsia="Arial" w:hAnsi="Arial"/>
                <w:sz w:val="18"/>
                <w:szCs w:val="18"/>
                <w:color w:val="auto"/>
              </w:rPr>
              <w:t>Cash</w:t>
            </w:r>
          </w:p>
        </w:tc>
        <w:tc>
          <w:tcPr>
            <w:tcW w:w="1300" w:type="dxa"/>
            <w:vAlign w:val="bottom"/>
            <w:vMerge w:val="continue"/>
          </w:tcPr>
          <w:p>
            <w:pPr>
              <w:spacing w:after="0"/>
              <w:rPr>
                <w:sz w:val="15"/>
                <w:szCs w:val="15"/>
                <w:color w:val="auto"/>
              </w:rPr>
            </w:pPr>
          </w:p>
        </w:tc>
        <w:tc>
          <w:tcPr>
            <w:tcW w:w="136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$179,802</w:t>
            </w:r>
          </w:p>
        </w:tc>
        <w:tc>
          <w:tcPr>
            <w:tcW w:w="13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$222,666</w:t>
            </w:r>
          </w:p>
        </w:tc>
        <w:tc>
          <w:tcPr>
            <w:tcW w:w="134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$190,718</w:t>
            </w:r>
          </w:p>
        </w:tc>
        <w:tc>
          <w:tcPr>
            <w:tcW w:w="11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Asset held for sale (1)</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4,988</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Property, plant and equipment, net (1)</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357,470</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395,113</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418,830</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420,154</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438,953</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Total assets (5)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1,009,562</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1,029,304</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1,126,157</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1,117,691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1,189,570</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Current liabilities (7)</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126,231</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183,398</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157,546</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234,120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167,012</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Long-term debt</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265,080</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222,096</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300,111</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235,877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373,125</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Total noncurrent liabilities (7)</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380,778</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332,338</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420,832</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390,060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606,708</w:t>
            </w:r>
          </w:p>
        </w:tc>
        <w:tc>
          <w:tcPr>
            <w:tcW w:w="0" w:type="dxa"/>
            <w:vAlign w:val="bottom"/>
          </w:tcPr>
          <w:p>
            <w:pPr>
              <w:spacing w:after="0"/>
              <w:rPr>
                <w:sz w:val="1"/>
                <w:szCs w:val="1"/>
                <w:color w:val="auto"/>
              </w:rPr>
            </w:pPr>
          </w:p>
        </w:tc>
      </w:tr>
      <w:tr>
        <w:trPr>
          <w:trHeight w:val="203"/>
        </w:trPr>
        <w:tc>
          <w:tcPr>
            <w:tcW w:w="4880" w:type="dxa"/>
            <w:vAlign w:val="bottom"/>
          </w:tcPr>
          <w:p>
            <w:pPr>
              <w:ind w:left="120"/>
              <w:spacing w:after="0" w:line="202" w:lineRule="exact"/>
              <w:rPr>
                <w:sz w:val="20"/>
                <w:szCs w:val="20"/>
                <w:color w:val="auto"/>
              </w:rPr>
            </w:pPr>
            <w:r>
              <w:rPr>
                <w:rFonts w:ascii="Arial" w:cs="Arial" w:eastAsia="Arial" w:hAnsi="Arial"/>
                <w:sz w:val="18"/>
                <w:szCs w:val="18"/>
                <w:color w:val="auto"/>
              </w:rPr>
              <w:t>Total liabilities (5)</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507,009</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515,736</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578,378</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624,180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773,720</w:t>
            </w:r>
          </w:p>
        </w:tc>
        <w:tc>
          <w:tcPr>
            <w:tcW w:w="0" w:type="dxa"/>
            <w:vAlign w:val="bottom"/>
          </w:tcPr>
          <w:p>
            <w:pPr>
              <w:spacing w:after="0"/>
              <w:rPr>
                <w:sz w:val="1"/>
                <w:szCs w:val="1"/>
                <w:color w:val="auto"/>
              </w:rPr>
            </w:pPr>
          </w:p>
        </w:tc>
      </w:tr>
      <w:tr>
        <w:trPr>
          <w:trHeight w:val="239"/>
        </w:trPr>
        <w:tc>
          <w:tcPr>
            <w:tcW w:w="4880" w:type="dxa"/>
            <w:vAlign w:val="bottom"/>
          </w:tcPr>
          <w:p>
            <w:pPr>
              <w:ind w:left="120"/>
              <w:spacing w:after="0"/>
              <w:rPr>
                <w:sz w:val="20"/>
                <w:szCs w:val="20"/>
                <w:color w:val="auto"/>
              </w:rPr>
            </w:pPr>
            <w:r>
              <w:rPr>
                <w:rFonts w:ascii="Arial" w:cs="Arial" w:eastAsia="Arial" w:hAnsi="Arial"/>
                <w:sz w:val="18"/>
                <w:szCs w:val="18"/>
                <w:color w:val="auto"/>
              </w:rPr>
              <w:t>Shareholders’ equity (4)</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502,553</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513,568</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547,779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493,511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415,850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right="1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2015, the Company discontinued operations at its press fabric manufacturing facility in Germany, and recorded a charge of $3.3 million related to the write down of the land and building to the estimated fair market value. This asset was reclassified from Property, plant, and equipment to Asset held for sale.</w:t>
      </w:r>
    </w:p>
    <w:p>
      <w:pPr>
        <w:spacing w:after="0" w:line="94" w:lineRule="exact"/>
        <w:rPr>
          <w:rFonts w:ascii="Arial" w:cs="Arial" w:eastAsia="Arial" w:hAnsi="Arial"/>
          <w:sz w:val="18"/>
          <w:szCs w:val="18"/>
          <w:color w:val="auto"/>
        </w:rPr>
      </w:pPr>
    </w:p>
    <w:p>
      <w:pPr>
        <w:ind w:left="400" w:right="100" w:hanging="392"/>
        <w:spacing w:after="0" w:line="275" w:lineRule="auto"/>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2014, we took action to settle certain pension plan liabilities in the United States which led to charges totaling $8.2 million. In 2012, we took action to settle certain pension plan liabilities in the United States, Canada, and Sweden which led to charges totaling $119.7 million.</w:t>
      </w:r>
    </w:p>
    <w:p>
      <w:pPr>
        <w:spacing w:after="0" w:line="65" w:lineRule="exact"/>
        <w:rPr>
          <w:rFonts w:ascii="Arial" w:cs="Arial" w:eastAsia="Arial" w:hAnsi="Arial"/>
          <w:sz w:val="17"/>
          <w:szCs w:val="17"/>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period 2011 through 2015, we recorded restructuring charges related to organizational changes and cost reduction initiatives.</w:t>
      </w:r>
    </w:p>
    <w:p>
      <w:pPr>
        <w:spacing w:after="0" w:line="103" w:lineRule="exact"/>
        <w:rPr>
          <w:rFonts w:ascii="Arial" w:cs="Arial" w:eastAsia="Arial" w:hAnsi="Arial"/>
          <w:sz w:val="18"/>
          <w:szCs w:val="18"/>
          <w:color w:val="auto"/>
        </w:rPr>
      </w:pPr>
    </w:p>
    <w:p>
      <w:pPr>
        <w:ind w:left="400" w:right="180" w:hanging="392"/>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2013, Safran S.A. obtained a 10% noncontrolling equity interest in Albany Safran Composites, LLC (ASC) resulting in an $18.9 million increase in Shareholders’ equity.</w:t>
      </w:r>
    </w:p>
    <w:p>
      <w:pPr>
        <w:spacing w:after="0" w:line="88" w:lineRule="exact"/>
        <w:rPr>
          <w:rFonts w:ascii="Arial" w:cs="Arial" w:eastAsia="Arial" w:hAnsi="Arial"/>
          <w:sz w:val="18"/>
          <w:szCs w:val="18"/>
          <w:color w:val="auto"/>
        </w:rPr>
      </w:pPr>
    </w:p>
    <w:p>
      <w:pPr>
        <w:ind w:left="400" w:right="2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2012, we sold our Albany Door Systems and PrimaLoft Products businesses resulting in a pre-tax gain of $92.3 million. Previously reported data for net sales, cost of goods sold, operating income, assets and liabilities for years prior to 2012 have been adjusted to reflect only the activity from continuing operations.</w:t>
      </w:r>
    </w:p>
    <w:p>
      <w:pPr>
        <w:spacing w:after="0" w:line="94" w:lineRule="exact"/>
        <w:rPr>
          <w:rFonts w:ascii="Arial" w:cs="Arial" w:eastAsia="Arial" w:hAnsi="Arial"/>
          <w:sz w:val="18"/>
          <w:szCs w:val="18"/>
          <w:color w:val="auto"/>
        </w:rPr>
      </w:pPr>
    </w:p>
    <w:p>
      <w:pPr>
        <w:ind w:left="400" w:right="14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expense in 2011 includes a favorable adjustment of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94" w:lineRule="exact"/>
        <w:rPr>
          <w:rFonts w:ascii="Arial" w:cs="Arial" w:eastAsia="Arial" w:hAnsi="Arial"/>
          <w:sz w:val="18"/>
          <w:szCs w:val="18"/>
          <w:color w:val="auto"/>
        </w:rPr>
      </w:pPr>
    </w:p>
    <w:p>
      <w:pPr>
        <w:ind w:left="400" w:right="200" w:hanging="392"/>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2015, the Company adopted the provisions of ASU 2015-17 using the prospective transition method. As further described in Note 7 of Notes to Financial Statements, the amount of assets and liabilities is affected by the adoption of this standard.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3"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w:t>
      </w:r>
    </w:p>
    <w:p>
      <w:pPr>
        <w:spacing w:after="0" w:line="15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declines in publication grades, the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Because of pricing pressures and industry overcapacity, the machine clothing and paper industries will continue to face top line pressure. Nonetheless the business has potential for flat earnings in the future. It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66"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technology on high-value aerospace and defense applications that cannot be served effectively by conventional composites.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 Other growth programs of note are the fan case for the GE9X engine, and composite parts for the Joint Strike Fighter (JSF) LiftFan ® for Rolls Royce. AEC is actively engaged in research to develop new applications in the aircraft engine, airframes, and automotive markets.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Borders>
              <w:bottom w:val="single" w:sz="8" w:color="auto"/>
            </w:tcBorders>
          </w:tcPr>
          <w:p>
            <w:pPr>
              <w:spacing w:after="0"/>
              <w:rPr>
                <w:sz w:val="19"/>
                <w:szCs w:val="19"/>
                <w:color w:val="auto"/>
              </w:rPr>
            </w:pPr>
          </w:p>
        </w:tc>
        <w:tc>
          <w:tcPr>
            <w:tcW w:w="5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160" w:type="dxa"/>
            <w:vAlign w:val="bottom"/>
            <w:tcBorders>
              <w:bottom w:val="single" w:sz="8" w:color="auto"/>
            </w:tcBorders>
          </w:tcPr>
          <w:p>
            <w:pPr>
              <w:spacing w:after="0"/>
              <w:rPr>
                <w:sz w:val="19"/>
                <w:szCs w:val="19"/>
                <w:color w:val="auto"/>
              </w:rPr>
            </w:pPr>
          </w:p>
        </w:tc>
      </w:tr>
      <w:tr>
        <w:trPr>
          <w:trHeight w:val="399"/>
        </w:trPr>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3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2015</w:t>
            </w:r>
          </w:p>
        </w:tc>
        <w:tc>
          <w:tcPr>
            <w:tcW w:w="24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173"/>
        </w:trPr>
        <w:tc>
          <w:tcPr>
            <w:tcW w:w="444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8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$608,581</w:t>
            </w:r>
          </w:p>
        </w:tc>
        <w:tc>
          <w:tcPr>
            <w:tcW w:w="2440" w:type="dxa"/>
            <w:vAlign w:val="bottom"/>
          </w:tcPr>
          <w:p>
            <w:pPr>
              <w:jc w:val="right"/>
              <w:ind w:right="950"/>
              <w:spacing w:after="0" w:line="173" w:lineRule="exact"/>
              <w:rPr>
                <w:sz w:val="20"/>
                <w:szCs w:val="20"/>
                <w:color w:val="auto"/>
              </w:rPr>
            </w:pPr>
            <w:r>
              <w:rPr>
                <w:rFonts w:ascii="Arial" w:cs="Arial" w:eastAsia="Arial" w:hAnsi="Arial"/>
                <w:sz w:val="18"/>
                <w:szCs w:val="18"/>
                <w:color w:val="auto"/>
              </w:rPr>
              <w:t>$655,026</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$674,747</w:t>
            </w:r>
          </w:p>
        </w:tc>
      </w:tr>
      <w:tr>
        <w:trPr>
          <w:trHeight w:val="225"/>
        </w:trPr>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Albany Engineered Composites</w:t>
            </w:r>
          </w:p>
        </w:tc>
        <w:tc>
          <w:tcPr>
            <w:tcW w:w="3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101,287</w:t>
            </w:r>
          </w:p>
        </w:tc>
        <w:tc>
          <w:tcPr>
            <w:tcW w:w="24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90,319</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82,667</w:t>
            </w:r>
          </w:p>
        </w:tc>
      </w:tr>
      <w:tr>
        <w:trPr>
          <w:trHeight w:val="196"/>
        </w:trPr>
        <w:tc>
          <w:tcPr>
            <w:tcW w:w="44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$709,868</w:t>
            </w:r>
          </w:p>
        </w:tc>
        <w:tc>
          <w:tcPr>
            <w:tcW w:w="244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$745,345</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$757,414</w:t>
            </w:r>
          </w:p>
        </w:tc>
      </w:tr>
      <w:tr>
        <w:trPr>
          <w:trHeight w:val="196"/>
        </w:trPr>
        <w:tc>
          <w:tcPr>
            <w:tcW w:w="44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change</w:t>
            </w:r>
          </w:p>
        </w:tc>
        <w:tc>
          <w:tcPr>
            <w:tcW w:w="33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-4.8%</w:t>
            </w:r>
          </w:p>
        </w:tc>
        <w:tc>
          <w:tcPr>
            <w:tcW w:w="244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color w:val="auto"/>
              </w:rPr>
              <w:t>-1.6%</w:t>
            </w:r>
          </w:p>
        </w:tc>
        <w:tc>
          <w:tcPr>
            <w:tcW w:w="1160" w:type="dxa"/>
            <w:vAlign w:val="bottom"/>
            <w:tcBorders>
              <w:bottom w:val="single" w:sz="8" w:color="auto"/>
            </w:tcBorders>
          </w:tcPr>
          <w:p>
            <w:pPr>
              <w:spacing w:after="0"/>
              <w:rPr>
                <w:sz w:val="17"/>
                <w:szCs w:val="17"/>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800" w:right="20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$39.6 million during 2015, compared to 2014 due to the broad weakening of foreign currencies against the U.S. dollar.</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Consolidated Net sales increased 0.6%.</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sales in MC decreased 1.3%.</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sales in AEC increased 13.9%.</w:t>
      </w:r>
    </w:p>
    <w:p>
      <w:pPr>
        <w:spacing w:after="0" w:line="117" w:lineRule="exact"/>
        <w:rPr>
          <w:rFonts w:ascii="Arial" w:cs="Arial" w:eastAsia="Arial" w:hAnsi="Arial"/>
          <w:sz w:val="18"/>
          <w:szCs w:val="18"/>
          <w:color w:val="auto"/>
        </w:rPr>
      </w:pPr>
    </w:p>
    <w:p>
      <w:pPr>
        <w:ind w:left="800" w:right="84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the year-over-year decline in MC segment sales was primarily attributable to lower sales in the North American printing and writing markets.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AEC segment sales increase was due to higher sales related to the LEAP and GE9X programs.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800" w:hanging="400"/>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$3.6 million during 2014 compared to 2013.</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were down 1.1% compared to 2013.</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decreased 2.4%.</w:t>
      </w:r>
    </w:p>
    <w:p>
      <w:pPr>
        <w:spacing w:after="0" w:line="117" w:lineRule="exact"/>
        <w:rPr>
          <w:rFonts w:ascii="Arial" w:cs="Arial" w:eastAsia="Arial" w:hAnsi="Arial"/>
          <w:sz w:val="18"/>
          <w:szCs w:val="18"/>
          <w:color w:val="auto"/>
        </w:rPr>
      </w:pPr>
    </w:p>
    <w:p>
      <w:pPr>
        <w:ind w:left="1980" w:hanging="392"/>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AEC increased 9.3%.</w:t>
      </w:r>
    </w:p>
    <w:p>
      <w:pPr>
        <w:spacing w:after="0" w:line="117" w:lineRule="exact"/>
        <w:rPr>
          <w:rFonts w:ascii="Arial" w:cs="Arial" w:eastAsia="Arial" w:hAnsi="Arial"/>
          <w:sz w:val="18"/>
          <w:szCs w:val="18"/>
          <w:color w:val="auto"/>
        </w:rPr>
      </w:pPr>
    </w:p>
    <w:p>
      <w:pPr>
        <w:ind w:left="800" w:right="400" w:hanging="400"/>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year-over-year decline in MC segment sales was primarily attributable to lower sales in the Americas, which were negatively impacted by certain mill closures by key customers.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AEC segment sales increase was due to higher sales related to the LEAP and Joint Strike Fighter (JSF) LiftFan ® programs.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Backlog in the Machine Clothing segment was $171.0 million at December 31, 2015, compared to $195.5 million at December 31, 2014. The decrease reflects a trend toward shorter order-to-delivery times. Backlog in the Albany Engineered Composites segment was $34.0 million at December 31, 2015 compared to $22.8 million at December 31, 2014. The backlog in each segment is generally expected to be invoiced during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080" w:type="dxa"/>
            <w:vAlign w:val="bottom"/>
            <w:tcBorders>
              <w:bottom w:val="single" w:sz="8" w:color="auto"/>
            </w:tcBorders>
          </w:tcPr>
          <w:p>
            <w:pPr>
              <w:spacing w:after="0"/>
              <w:rPr>
                <w:sz w:val="19"/>
                <w:szCs w:val="19"/>
                <w:color w:val="auto"/>
              </w:rPr>
            </w:pPr>
          </w:p>
        </w:tc>
      </w:tr>
      <w:tr>
        <w:trPr>
          <w:trHeight w:val="399"/>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3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5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173"/>
        </w:trPr>
        <w:tc>
          <w:tcPr>
            <w:tcW w:w="44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650"/>
              <w:spacing w:after="0" w:line="173" w:lineRule="exact"/>
              <w:rPr>
                <w:sz w:val="20"/>
                <w:szCs w:val="20"/>
                <w:color w:val="auto"/>
              </w:rPr>
            </w:pPr>
            <w:r>
              <w:rPr>
                <w:rFonts w:ascii="Arial" w:cs="Arial" w:eastAsia="Arial" w:hAnsi="Arial"/>
                <w:sz w:val="18"/>
                <w:szCs w:val="18"/>
                <w:b w:val="1"/>
                <w:bCs w:val="1"/>
                <w:color w:val="auto"/>
              </w:rPr>
              <w:t>$286,847</w:t>
            </w:r>
          </w:p>
        </w:tc>
        <w:tc>
          <w:tcPr>
            <w:tcW w:w="2520" w:type="dxa"/>
            <w:vAlign w:val="bottom"/>
          </w:tcPr>
          <w:p>
            <w:pPr>
              <w:jc w:val="right"/>
              <w:ind w:right="1090"/>
              <w:spacing w:after="0" w:line="173" w:lineRule="exact"/>
              <w:rPr>
                <w:sz w:val="20"/>
                <w:szCs w:val="20"/>
                <w:color w:val="auto"/>
              </w:rPr>
            </w:pPr>
            <w:r>
              <w:rPr>
                <w:rFonts w:ascii="Arial" w:cs="Arial" w:eastAsia="Arial" w:hAnsi="Arial"/>
                <w:sz w:val="18"/>
                <w:szCs w:val="18"/>
                <w:color w:val="auto"/>
              </w:rPr>
              <w:t>$282,300</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$289,100</w:t>
            </w:r>
          </w:p>
        </w:tc>
      </w:tr>
      <w:tr>
        <w:trPr>
          <w:trHeight w:val="203"/>
        </w:trPr>
        <w:tc>
          <w:tcPr>
            <w:tcW w:w="448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33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(6,596)</w:t>
            </w:r>
          </w:p>
        </w:tc>
        <w:tc>
          <w:tcPr>
            <w:tcW w:w="252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10,750</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4,799</w:t>
            </w:r>
          </w:p>
        </w:tc>
      </w:tr>
      <w:tr>
        <w:trPr>
          <w:trHeight w:val="225"/>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3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(1,565)</w:t>
            </w:r>
          </w:p>
        </w:tc>
        <w:tc>
          <w:tcPr>
            <w:tcW w:w="25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(1,415)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(3,345)</w:t>
            </w:r>
          </w:p>
        </w:tc>
      </w:tr>
      <w:tr>
        <w:trPr>
          <w:trHeight w:val="196"/>
        </w:trPr>
        <w:tc>
          <w:tcPr>
            <w:tcW w:w="4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$278,686</w:t>
            </w:r>
          </w:p>
        </w:tc>
        <w:tc>
          <w:tcPr>
            <w:tcW w:w="252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color w:val="auto"/>
              </w:rPr>
              <w:t>$291,635</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$290,554</w:t>
            </w:r>
          </w:p>
        </w:tc>
      </w:tr>
      <w:tr>
        <w:trPr>
          <w:trHeight w:val="196"/>
        </w:trPr>
        <w:tc>
          <w:tcPr>
            <w:tcW w:w="4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3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39.3%</w:t>
            </w:r>
          </w:p>
        </w:tc>
        <w:tc>
          <w:tcPr>
            <w:tcW w:w="252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rPr>
              <w:t>39.1%</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during 2015 was principally due to the net effect of the following individually significant items:</w:t>
      </w:r>
    </w:p>
    <w:p>
      <w:pPr>
        <w:spacing w:after="0" w:line="185" w:lineRule="exact"/>
        <w:rPr>
          <w:sz w:val="20"/>
          <w:szCs w:val="20"/>
          <w:color w:val="auto"/>
        </w:rPr>
      </w:pPr>
    </w:p>
    <w:p>
      <w:pPr>
        <w:ind w:left="980" w:right="44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the effect on raw materials and freight that resulted from lower crude oil costs.</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ind w:left="980" w:right="100" w:hanging="324"/>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decrease in AEC gross profit was principally due to a charge of $14.0 million for a revision in the contract profitability of its BR 725 program which is a long-term manufacturing contract in the Boerne, Texas facility.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profit during 2014 was principally due to the net effect of the following individually significant items:</w:t>
      </w:r>
    </w:p>
    <w:p>
      <w:pPr>
        <w:spacing w:after="0" w:line="18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reduction in MC net sales described above resulted in a gross profit decrease of $8.5 million.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$7.5 million in Cost of goods sold resulting from restructuring activities.</w:t>
      </w:r>
    </w:p>
    <w:p>
      <w:pPr>
        <w:spacing w:after="0" w:line="63" w:lineRule="exact"/>
        <w:rPr>
          <w:rFonts w:ascii="Arial" w:cs="Arial" w:eastAsia="Arial" w:hAnsi="Arial"/>
          <w:sz w:val="18"/>
          <w:szCs w:val="18"/>
          <w:color w:val="auto"/>
        </w:rPr>
      </w:pPr>
    </w:p>
    <w:p>
      <w:pPr>
        <w:ind w:left="980" w:right="50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Cost of goods sold from inflation on direct labor and manufacturing overhead expenses, of approximately $2.6 million and $1.9 million, respectively.</w:t>
      </w:r>
    </w:p>
    <w:p>
      <w:pPr>
        <w:spacing w:after="0" w:line="34" w:lineRule="exact"/>
        <w:rPr>
          <w:rFonts w:ascii="Arial" w:cs="Arial" w:eastAsia="Arial" w:hAnsi="Arial"/>
          <w:sz w:val="18"/>
          <w:szCs w:val="18"/>
          <w:color w:val="auto"/>
        </w:rPr>
      </w:pPr>
    </w:p>
    <w:p>
      <w:pPr>
        <w:ind w:left="980" w:right="4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$1.6 million charge to Cost of goods sold in 2014 to correct an error in the value of Machine Clothing inventories reported in prior periods.</w:t>
      </w:r>
    </w:p>
    <w:p>
      <w:pPr>
        <w:spacing w:after="0" w:line="34" w:lineRule="exact"/>
        <w:rPr>
          <w:rFonts w:ascii="Arial" w:cs="Arial" w:eastAsia="Arial" w:hAnsi="Arial"/>
          <w:sz w:val="18"/>
          <w:szCs w:val="18"/>
          <w:color w:val="auto"/>
        </w:rPr>
      </w:pPr>
    </w:p>
    <w:p>
      <w:pPr>
        <w:ind w:left="980" w:right="16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AEC’s Boerne, Texas operation increased gross profit by $5.0 million, principally due to operational improvements that resulted in lower Cost of goods sold.</w:t>
      </w:r>
    </w:p>
    <w:p>
      <w:pPr>
        <w:spacing w:after="0" w:line="34" w:lineRule="exact"/>
        <w:rPr>
          <w:rFonts w:ascii="Arial" w:cs="Arial" w:eastAsia="Arial" w:hAnsi="Arial"/>
          <w:sz w:val="18"/>
          <w:szCs w:val="18"/>
          <w:color w:val="auto"/>
        </w:rPr>
      </w:pPr>
    </w:p>
    <w:p>
      <w:pPr>
        <w:ind w:left="980" w:right="12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$1.9 million reduction in cost associated with the Company’s U.S. postretirement plan, principally resulting from plan changes in 2013. These costs are reported as Corporate expenses in the table above.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080" w:type="dxa"/>
            <w:vAlign w:val="bottom"/>
            <w:tcBorders>
              <w:bottom w:val="single" w:sz="8" w:color="auto"/>
            </w:tcBorders>
          </w:tcPr>
          <w:p>
            <w:pPr>
              <w:spacing w:after="0"/>
              <w:rPr>
                <w:sz w:val="19"/>
                <w:szCs w:val="19"/>
                <w:color w:val="auto"/>
              </w:rPr>
            </w:pPr>
          </w:p>
        </w:tc>
      </w:tr>
      <w:tr>
        <w:trPr>
          <w:trHeight w:val="399"/>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3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5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173"/>
        </w:trPr>
        <w:tc>
          <w:tcPr>
            <w:tcW w:w="44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650"/>
              <w:spacing w:after="0" w:line="173" w:lineRule="exact"/>
              <w:rPr>
                <w:sz w:val="20"/>
                <w:szCs w:val="20"/>
                <w:color w:val="auto"/>
              </w:rPr>
            </w:pPr>
            <w:r>
              <w:rPr>
                <w:rFonts w:ascii="Arial" w:cs="Arial" w:eastAsia="Arial" w:hAnsi="Arial"/>
                <w:sz w:val="18"/>
                <w:szCs w:val="18"/>
                <w:b w:val="1"/>
                <w:bCs w:val="1"/>
                <w:color w:val="auto"/>
              </w:rPr>
              <w:t>$123,325</w:t>
            </w:r>
          </w:p>
        </w:tc>
        <w:tc>
          <w:tcPr>
            <w:tcW w:w="2520" w:type="dxa"/>
            <w:vAlign w:val="bottom"/>
          </w:tcPr>
          <w:p>
            <w:pPr>
              <w:jc w:val="right"/>
              <w:ind w:right="1090"/>
              <w:spacing w:after="0" w:line="173" w:lineRule="exact"/>
              <w:rPr>
                <w:sz w:val="20"/>
                <w:szCs w:val="20"/>
                <w:color w:val="auto"/>
              </w:rPr>
            </w:pPr>
            <w:r>
              <w:rPr>
                <w:rFonts w:ascii="Arial" w:cs="Arial" w:eastAsia="Arial" w:hAnsi="Arial"/>
                <w:sz w:val="18"/>
                <w:szCs w:val="18"/>
                <w:color w:val="auto"/>
              </w:rPr>
              <w:t>$141,023</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$150,164</w:t>
            </w:r>
          </w:p>
        </w:tc>
      </w:tr>
      <w:tr>
        <w:trPr>
          <w:trHeight w:val="203"/>
        </w:trPr>
        <w:tc>
          <w:tcPr>
            <w:tcW w:w="448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334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21,882</w:t>
            </w:r>
          </w:p>
        </w:tc>
        <w:tc>
          <w:tcPr>
            <w:tcW w:w="252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20,301</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18,663</w:t>
            </w:r>
          </w:p>
        </w:tc>
      </w:tr>
      <w:tr>
        <w:trPr>
          <w:trHeight w:val="225"/>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3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45,738</w:t>
            </w:r>
          </w:p>
        </w:tc>
        <w:tc>
          <w:tcPr>
            <w:tcW w:w="25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45,002</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44,528</w:t>
            </w:r>
          </w:p>
        </w:tc>
      </w:tr>
      <w:tr>
        <w:trPr>
          <w:trHeight w:val="196"/>
        </w:trPr>
        <w:tc>
          <w:tcPr>
            <w:tcW w:w="4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$190,945</w:t>
            </w:r>
          </w:p>
        </w:tc>
        <w:tc>
          <w:tcPr>
            <w:tcW w:w="252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color w:val="auto"/>
              </w:rPr>
              <w:t>$206,326</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$213,355</w:t>
            </w:r>
          </w:p>
        </w:tc>
      </w:tr>
      <w:tr>
        <w:trPr>
          <w:trHeight w:val="196"/>
        </w:trPr>
        <w:tc>
          <w:tcPr>
            <w:tcW w:w="4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3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26.9%</w:t>
            </w:r>
          </w:p>
        </w:tc>
        <w:tc>
          <w:tcPr>
            <w:tcW w:w="252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rPr>
              <w:t>27.7%</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w:t>
            </w:r>
          </w:p>
        </w:tc>
      </w:tr>
    </w:tbl>
    <w:p>
      <w:pPr>
        <w:spacing w:after="0" w:line="377"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decrease in STG&amp;R expenses in 2015 in comparison to 2014, was principally due to the net effect of the following individually significant items:</w:t>
      </w:r>
    </w:p>
    <w:p>
      <w:pPr>
        <w:spacing w:after="0" w:line="15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reduced MC STG&amp;R costs by $13.5 million.</w:t>
      </w:r>
    </w:p>
    <w:p>
      <w:pPr>
        <w:spacing w:after="0" w:line="63"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MC revaluation of nonfunctional currency assets and liabilities resulted in gains of $5.1 million during 2015 and gains of $3.9 million in 2014.</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activities and reduced travel in MC each resulted in a $2.7 million decline in STG&amp;R.</w:t>
      </w:r>
    </w:p>
    <w:p>
      <w:pPr>
        <w:spacing w:after="0" w:line="198"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decrease in STG&amp;R expenses in 2014 in comparison to 2013, was principally due to the net effect of the following individually significant items:</w:t>
      </w:r>
    </w:p>
    <w:p>
      <w:pPr>
        <w:spacing w:after="0" w:line="156" w:lineRule="exact"/>
        <w:rPr>
          <w:sz w:val="20"/>
          <w:szCs w:val="20"/>
          <w:color w:val="auto"/>
        </w:rPr>
      </w:pPr>
    </w:p>
    <w:p>
      <w:pPr>
        <w:ind w:left="980" w:right="36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primarily in the MC segment, which resulted in gains of $3.9 million during 2014 and losses of $0.3 million in 2013.</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effects, primarily in the MC segment, which decreased STG&amp;R by $2.8 million compared to 2013.</w:t>
      </w:r>
    </w:p>
    <w:p>
      <w:pPr>
        <w:spacing w:after="0" w:line="63" w:lineRule="exact"/>
        <w:rPr>
          <w:rFonts w:ascii="Arial" w:cs="Arial" w:eastAsia="Arial" w:hAnsi="Arial"/>
          <w:sz w:val="18"/>
          <w:szCs w:val="18"/>
          <w:color w:val="auto"/>
        </w:rPr>
      </w:pPr>
    </w:p>
    <w:p>
      <w:pPr>
        <w:ind w:left="980" w:right="66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$2.2 million due to research and development activities associated with new technology platforms in the MC segment.</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reduction of approximately $1.8 million in 2014 due to reduced travel and lower costs for pensions in the MC segment.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$1.6 million in the AEC segment, principally due to increased research activities.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left="980" w:right="26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gain on the sale of a former manufacturing facility in Australia, which reduced 2013 Corporate expenses by $3.8 million, which was mostly offset by reductions in Corporate expenses for research, professional fees, health care expenses and incentive compensation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bottom w:val="single" w:sz="8" w:color="auto"/>
            </w:tcBorders>
          </w:tcPr>
          <w:p>
            <w:pPr>
              <w:spacing w:after="0"/>
              <w:rPr>
                <w:sz w:val="19"/>
                <w:szCs w:val="19"/>
                <w:color w:val="auto"/>
              </w:rPr>
            </w:pPr>
          </w:p>
        </w:tc>
      </w:tr>
      <w:tr>
        <w:trPr>
          <w:trHeight w:val="399"/>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3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23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173"/>
        </w:trPr>
        <w:tc>
          <w:tcPr>
            <w:tcW w:w="454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314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$19,838</w:t>
            </w:r>
          </w:p>
        </w:tc>
        <w:tc>
          <w:tcPr>
            <w:tcW w:w="230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$20,575</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$18,335</w:t>
            </w:r>
          </w:p>
        </w:tc>
      </w:tr>
      <w:tr>
        <w:trPr>
          <w:trHeight w:val="203"/>
        </w:trPr>
        <w:tc>
          <w:tcPr>
            <w:tcW w:w="454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1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11,042</w:t>
            </w:r>
          </w:p>
        </w:tc>
        <w:tc>
          <w:tcPr>
            <w:tcW w:w="230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11,050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10,065</w:t>
            </w:r>
          </w:p>
        </w:tc>
      </w:tr>
      <w:tr>
        <w:trPr>
          <w:trHeight w:val="225"/>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868</w:t>
            </w:r>
          </w:p>
        </w:tc>
        <w:tc>
          <w:tcPr>
            <w:tcW w:w="2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745</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w:t>
            </w:r>
          </w:p>
        </w:tc>
      </w:tr>
      <w:tr>
        <w:trPr>
          <w:trHeight w:val="196"/>
        </w:trPr>
        <w:tc>
          <w:tcPr>
            <w:tcW w:w="45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$31,748</w:t>
            </w:r>
          </w:p>
        </w:tc>
        <w:tc>
          <w:tcPr>
            <w:tcW w:w="23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$32,370</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$30,220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Settlement Charges</w:t>
      </w:r>
    </w:p>
    <w:p>
      <w:pPr>
        <w:spacing w:after="0" w:line="19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2014, certain participants of the U.S. pension plan were notified of a limited-time opportunity whereby they could elect to receive the value of their pension benefit in a lump-sum payment. All lump-sum payments were funded from pension plan assets and were paid during 2014. The initiative was part of the Company’s pension plan de-risking strategy, and resulted in a non-cash settlement charge of $8.2 million in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07"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 was affected by restructuring costs of $23.8 million in 2015, $5.8 million in 2014, and $25.1 million in 2013.</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Borders>
              <w:bottom w:val="single" w:sz="8" w:color="auto"/>
            </w:tcBorders>
          </w:tcPr>
          <w:p>
            <w:pPr>
              <w:spacing w:after="0"/>
              <w:rPr>
                <w:sz w:val="19"/>
                <w:szCs w:val="19"/>
                <w:color w:val="auto"/>
              </w:rPr>
            </w:pPr>
          </w:p>
        </w:tc>
      </w:tr>
      <w:tr>
        <w:trPr>
          <w:trHeight w:val="399"/>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31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22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2014</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173"/>
        </w:trPr>
        <w:tc>
          <w:tcPr>
            <w:tcW w:w="444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31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$22,211</w:t>
            </w:r>
          </w:p>
        </w:tc>
        <w:tc>
          <w:tcPr>
            <w:tcW w:w="2240" w:type="dxa"/>
            <w:vAlign w:val="bottom"/>
          </w:tcPr>
          <w:p>
            <w:pPr>
              <w:jc w:val="right"/>
              <w:ind w:right="490"/>
              <w:spacing w:after="0" w:line="173" w:lineRule="exact"/>
              <w:rPr>
                <w:sz w:val="20"/>
                <w:szCs w:val="20"/>
                <w:color w:val="auto"/>
              </w:rPr>
            </w:pPr>
            <w:r>
              <w:rPr>
                <w:rFonts w:ascii="Arial" w:cs="Arial" w:eastAsia="Arial" w:hAnsi="Arial"/>
                <w:sz w:val="18"/>
                <w:szCs w:val="18"/>
                <w:color w:val="auto"/>
              </w:rPr>
              <w:t>$4,828</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$24,568</w:t>
            </w:r>
          </w:p>
        </w:tc>
      </w:tr>
      <w:tr>
        <w:trPr>
          <w:trHeight w:val="203"/>
        </w:trPr>
        <w:tc>
          <w:tcPr>
            <w:tcW w:w="444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22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931</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r>
      <w:tr>
        <w:trPr>
          <w:trHeight w:val="225"/>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1,635</w:t>
            </w:r>
          </w:p>
        </w:tc>
        <w:tc>
          <w:tcPr>
            <w:tcW w:w="2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4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1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$23,846</w:t>
            </w:r>
          </w:p>
        </w:tc>
        <w:tc>
          <w:tcPr>
            <w:tcW w:w="22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$5,759</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$25,108</w:t>
            </w:r>
          </w:p>
        </w:tc>
      </w:tr>
    </w:tbl>
    <w:p>
      <w:pPr>
        <w:spacing w:after="0" w:line="391"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2015, the Company announced a plan to discontinue manufacturing operations at its press fabric manufacturing facility in Göppingen, Germany and manufacturing operations were discontinued during the second quarter. The restructuring program was driven by the Company’s need to balance manufacturing capacity with demand. Approximately 50 employees were terminated under this plan, and the estimated severance payments were recorded in the first quarter of 2015. We recorded charges of $11.4 million related to this restructuring, including $ 3.3 million related to the write down of the land and former manufacturing facility to estimated fair market value. Cost savings associated with this action will reduce Cost of goods sold in future periods.</w:t>
      </w:r>
    </w:p>
    <w:p>
      <w:pPr>
        <w:spacing w:after="0" w:line="165" w:lineRule="exact"/>
        <w:rPr>
          <w:sz w:val="20"/>
          <w:szCs w:val="20"/>
          <w:color w:val="auto"/>
        </w:rPr>
      </w:pPr>
    </w:p>
    <w:p>
      <w:pPr>
        <w:jc w:val="both"/>
        <w:ind w:right="500" w:firstLine="648"/>
        <w:spacing w:after="0"/>
        <w:rPr>
          <w:sz w:val="20"/>
          <w:szCs w:val="20"/>
          <w:color w:val="auto"/>
        </w:rPr>
      </w:pPr>
      <w:r>
        <w:rPr>
          <w:rFonts w:ascii="Arial" w:cs="Arial" w:eastAsia="Arial" w:hAnsi="Arial"/>
          <w:sz w:val="18"/>
          <w:szCs w:val="18"/>
          <w:color w:val="auto"/>
        </w:rPr>
        <w:t>In the fourth quarter of 2015, the Company implemented an early retirement program for certain employees in the United States. Restructuring charges associated with this restructuring program were $8.1 million. Cost savings from this initiative are expected to be $5 million to $6 million and will reduce STG&amp;R expenses, most of which will be recognized in 2016.</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5" w:name="page26"/>
    <w:bookmarkEnd w:id="25"/>
    <w:p>
      <w:pPr>
        <w:ind w:right="540" w:firstLine="648"/>
        <w:spacing w:after="0"/>
        <w:rPr>
          <w:sz w:val="20"/>
          <w:szCs w:val="20"/>
          <w:color w:val="auto"/>
        </w:rPr>
      </w:pPr>
      <w:r>
        <w:rPr>
          <w:rFonts w:ascii="Arial" w:cs="Arial" w:eastAsia="Arial" w:hAnsi="Arial"/>
          <w:sz w:val="18"/>
          <w:szCs w:val="18"/>
          <w:color w:val="auto"/>
        </w:rPr>
        <w:t>2015 restructuring charges also includes $ 4.3 million related to the reduction in STG&amp;R employment in Machine Clothing and Corporate. Machine Clothing restructuring costs in 2014 and 2013 were principally related to restructuring of manufacturing operations in France, where employment was reduced by approximately 200 positions.</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2014 and 2013 were principally related to organizational changes and exiting certain aerospace programs.</w:t>
      </w:r>
    </w:p>
    <w:p>
      <w:pPr>
        <w:spacing w:after="0" w:line="156"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8,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(in thousands)</w:t>
            </w:r>
          </w:p>
        </w:tc>
        <w:tc>
          <w:tcPr>
            <w:tcW w:w="1440" w:type="dxa"/>
            <w:vAlign w:val="bottom"/>
            <w:tcBorders>
              <w:bottom w:val="single" w:sz="8" w:color="auto"/>
            </w:tcBorders>
          </w:tcPr>
          <w:p>
            <w:pPr>
              <w:spacing w:after="0"/>
              <w:rPr>
                <w:sz w:val="19"/>
                <w:szCs w:val="19"/>
                <w:color w:val="auto"/>
              </w:rPr>
            </w:pPr>
          </w:p>
        </w:tc>
      </w:tr>
      <w:tr>
        <w:trPr>
          <w:trHeight w:val="399"/>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173"/>
        </w:trPr>
        <w:tc>
          <w:tcPr>
            <w:tcW w:w="562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210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$141,311</w:t>
            </w:r>
          </w:p>
        </w:tc>
        <w:tc>
          <w:tcPr>
            <w:tcW w:w="22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$136,450</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$114,370</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1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(28,478)</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(10,483)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(14,404)</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Corporate expenses-pension settlement</w:t>
            </w:r>
          </w:p>
        </w:tc>
        <w:tc>
          <w:tcPr>
            <w:tcW w:w="21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(8,190)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expenses-other</w:t>
            </w:r>
          </w:p>
        </w:tc>
        <w:tc>
          <w:tcPr>
            <w:tcW w:w="2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(48,938)</w:t>
            </w:r>
          </w:p>
        </w:tc>
        <w:tc>
          <w:tcPr>
            <w:tcW w:w="2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(46,417)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w:t>
            </w:r>
          </w:p>
        </w:tc>
      </w:tr>
      <w:tr>
        <w:trPr>
          <w:trHeight w:val="196"/>
        </w:trPr>
        <w:tc>
          <w:tcPr>
            <w:tcW w:w="5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$63,895</w:t>
            </w:r>
          </w:p>
        </w:tc>
        <w:tc>
          <w:tcPr>
            <w:tcW w:w="2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$71,360</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$52,091</w:t>
            </w:r>
          </w:p>
        </w:tc>
      </w:tr>
      <w:tr>
        <w:trPr>
          <w:trHeight w:val="588"/>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5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(in thousands)</w:t>
            </w:r>
          </w:p>
        </w:tc>
        <w:tc>
          <w:tcPr>
            <w:tcW w:w="1440" w:type="dxa"/>
            <w:vAlign w:val="bottom"/>
            <w:tcBorders>
              <w:bottom w:val="single" w:sz="8" w:color="auto"/>
            </w:tcBorders>
          </w:tcPr>
          <w:p>
            <w:pPr>
              <w:spacing w:after="0"/>
              <w:rPr>
                <w:sz w:val="24"/>
                <w:szCs w:val="24"/>
                <w:color w:val="auto"/>
              </w:rPr>
            </w:pPr>
          </w:p>
        </w:tc>
      </w:tr>
      <w:tr>
        <w:trPr>
          <w:trHeight w:val="399"/>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173"/>
        </w:trPr>
        <w:tc>
          <w:tcPr>
            <w:tcW w:w="5620" w:type="dxa"/>
            <w:vAlign w:val="bottom"/>
          </w:tcPr>
          <w:p>
            <w:pPr>
              <w:ind w:left="100"/>
              <w:spacing w:after="0" w:line="173" w:lineRule="exact"/>
              <w:rPr>
                <w:sz w:val="20"/>
                <w:szCs w:val="20"/>
                <w:color w:val="auto"/>
              </w:rPr>
            </w:pPr>
            <w:r>
              <w:rPr>
                <w:rFonts w:ascii="Arial" w:cs="Arial" w:eastAsia="Arial" w:hAnsi="Arial"/>
                <w:sz w:val="18"/>
                <w:szCs w:val="18"/>
                <w:color w:val="auto"/>
              </w:rPr>
              <w:t>Interest expense, net</w:t>
            </w:r>
          </w:p>
        </w:tc>
        <w:tc>
          <w:tcPr>
            <w:tcW w:w="210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$9,984</w:t>
            </w:r>
          </w:p>
        </w:tc>
        <w:tc>
          <w:tcPr>
            <w:tcW w:w="22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$10,713</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$13,759</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Other expense/(income), net</w:t>
            </w:r>
          </w:p>
        </w:tc>
        <w:tc>
          <w:tcPr>
            <w:tcW w:w="21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2,433</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(6,853)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7,256</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21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(5,787)</w:t>
            </w:r>
          </w:p>
        </w:tc>
        <w:tc>
          <w:tcPr>
            <w:tcW w:w="22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25,751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13,372</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21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22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25"/>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(loss)/income attributable to the noncontrolling interest</w:t>
            </w:r>
          </w:p>
        </w:tc>
        <w:tc>
          <w:tcPr>
            <w:tcW w:w="2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w:t>
            </w:r>
          </w:p>
        </w:tc>
        <w:tc>
          <w:tcPr>
            <w:tcW w:w="2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180</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9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Interest expense, net, decreased $0.7 million in 2015 and $3.0 million in 2014 principally due to lower average interest rates. See the Capital Resources section for further discussion of borrowings and interest rates.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Other expense/(income), net included the following individually significant items:</w:t>
      </w:r>
    </w:p>
    <w:p>
      <w:pPr>
        <w:spacing w:after="0" w:line="185" w:lineRule="exact"/>
        <w:rPr>
          <w:sz w:val="20"/>
          <w:szCs w:val="20"/>
          <w:color w:val="auto"/>
        </w:rPr>
      </w:pPr>
    </w:p>
    <w:p>
      <w:pPr>
        <w:ind w:left="980" w:right="6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revaluations of cash and intercompany balances resulted in losses of $1.5 million in 2015, gains of $6.4 million in 2014, and losses of $5.2 million in 2013.</w:t>
      </w:r>
    </w:p>
    <w:p>
      <w:pPr>
        <w:spacing w:after="0" w:line="34" w:lineRule="exact"/>
        <w:rPr>
          <w:rFonts w:ascii="Arial" w:cs="Arial" w:eastAsia="Arial" w:hAnsi="Arial"/>
          <w:sz w:val="18"/>
          <w:szCs w:val="18"/>
          <w:color w:val="auto"/>
        </w:rPr>
      </w:pPr>
    </w:p>
    <w:p>
      <w:pPr>
        <w:ind w:left="980" w:right="6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2013, the Company’s MC manufacturing facility in Germany was damaged by severe weather. The insurance recovery gain resulted in income of $1.1 million in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these countries except one had income tax rates that were lower than the United States federal tax</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6" w:name="page27"/>
    <w:bookmarkEnd w:id="26"/>
    <w:p>
      <w:pPr>
        <w:ind w:right="20"/>
        <w:spacing w:after="0" w:line="246" w:lineRule="auto"/>
        <w:rPr>
          <w:sz w:val="20"/>
          <w:szCs w:val="20"/>
          <w:color w:val="auto"/>
        </w:rPr>
      </w:pPr>
      <w:r>
        <w:rPr>
          <w:rFonts w:ascii="Arial" w:cs="Arial" w:eastAsia="Arial" w:hAnsi="Arial"/>
          <w:sz w:val="18"/>
          <w:szCs w:val="18"/>
          <w:color w:val="auto"/>
        </w:rPr>
        <w:t>rate of 35% during the periods reported. The jurisdictional location of earnings is a significant component of our effective tax rate each year and therefore on our overall income tax expense.</w:t>
      </w:r>
    </w:p>
    <w:p>
      <w:pPr>
        <w:spacing w:after="0" w:line="17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Company’s effective tax rate for fiscal years 2015, 2014 and 2013 was (11.2%), 38.1% and 43.0%,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161"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before income taxes):</w:t>
      </w:r>
    </w:p>
    <w:p>
      <w:pPr>
        <w:spacing w:after="0" w:line="156" w:lineRule="exact"/>
        <w:rPr>
          <w:sz w:val="20"/>
          <w:szCs w:val="20"/>
          <w:color w:val="auto"/>
        </w:rPr>
      </w:pPr>
    </w:p>
    <w:p>
      <w:pPr>
        <w:ind w:left="660" w:right="160" w:hanging="328"/>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 benefit of $28.6 million (-55.5%) for a worthless stock deduction related to the Company’s investment in its Germany subsidiary, where manufacturing operations have ceased.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 charge of $6.4 million (12.5%) related to the estimated settlement of the German step-up appeal.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 charge of $0.4 million (0.8%) related to uncertain tax positions.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$0.5 million (-0.9%) net tax benefit related to other discrete items.</w:t>
      </w:r>
    </w:p>
    <w:p>
      <w:pPr>
        <w:spacing w:after="0" w:line="49" w:lineRule="exact"/>
        <w:rPr>
          <w:rFonts w:ascii="Arial" w:cs="Arial" w:eastAsia="Arial" w:hAnsi="Arial"/>
          <w:sz w:val="18"/>
          <w:szCs w:val="18"/>
          <w:color w:val="auto"/>
        </w:rPr>
      </w:pPr>
    </w:p>
    <w:p>
      <w:pPr>
        <w:ind w:left="660" w:right="20" w:hanging="328"/>
        <w:spacing w:after="0" w:line="23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effective tax rate reduction of 6.2% was recognized from income tax rate differences between non-U.S. jurisdictions and the U.S. rate. Earnings in Brazil, Switzerland, Mexico and China, where tax rates are lower than the U.S. rate of 35%, contributed to the majority of the reduction noted. Additionally, the net effect of a U.S. tax benefit on foreign earnings that have been or will be repatriated, and foreign withholdings resulted in a reduction of 1.8% to the effective tax rate.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32%.</w:t>
      </w:r>
    </w:p>
    <w:p>
      <w:pPr>
        <w:spacing w:after="0" w:line="185"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2014 tax rate included the following (percentages reflect the effect of each item as a percentage of income before income taxes):</w:t>
      </w:r>
    </w:p>
    <w:p>
      <w:pPr>
        <w:spacing w:after="0" w:line="156" w:lineRule="exact"/>
        <w:rPr>
          <w:sz w:val="20"/>
          <w:szCs w:val="20"/>
          <w:color w:val="auto"/>
        </w:rPr>
      </w:pPr>
    </w:p>
    <w:p>
      <w:pPr>
        <w:ind w:left="660" w:right="440" w:hanging="328"/>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charge of $7.5 million (11.1%), primarily related to an unfavorable outcome in the tax court pertaining to another taxpayer with similar facts to the Company.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benefit was recognized in the amount of $6.8 million (-10.0%) primarily due to the lapse in a tax statute.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$0.3 million (0.3%) net tax expense related to other discrete items.</w:t>
      </w:r>
    </w:p>
    <w:p>
      <w:pPr>
        <w:spacing w:after="0" w:line="49" w:lineRule="exact"/>
        <w:rPr>
          <w:rFonts w:ascii="Arial" w:cs="Arial" w:eastAsia="Arial" w:hAnsi="Arial"/>
          <w:sz w:val="18"/>
          <w:szCs w:val="18"/>
          <w:color w:val="auto"/>
        </w:rPr>
      </w:pPr>
    </w:p>
    <w:p>
      <w:pPr>
        <w:ind w:left="660" w:right="20" w:hanging="328"/>
        <w:spacing w:after="0" w:line="23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rate reduction of 10.2% was recognized from rate differences between non-U.S. and U.S. jurisdictions. Earnings in Brazil, Switzerland, and China, where tax rates are lower than the U.S. notional rate of 35%, contributed to the majority of the reduction noted. U.S. tax costs on foreign earnings and foreign withholdings offset the tax rate benefits gained from operating in low tax jurisdictions by 8%. Included in the U.S. tax costs on foreign earnings is a $2.2 million (3.3%) expense recognized for the future repatriation of prior year earning</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2013 tax rate included the following:</w:t>
      </w:r>
    </w:p>
    <w:p>
      <w:pPr>
        <w:spacing w:after="0" w:line="18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discrete charge of $1.8 million (5.7%) related to the settlement of a competent authority claim with U.S. and France.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discrete tax benefit of $3.7 million (-12.0%) related to the release of a valuation allowance on deferred tax assets.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$0.1 million (0.6%) net tax benefit related to other discrete items.</w:t>
      </w:r>
    </w:p>
    <w:p>
      <w:pPr>
        <w:spacing w:after="0" w:line="49" w:lineRule="exact"/>
        <w:rPr>
          <w:rFonts w:ascii="Arial" w:cs="Arial" w:eastAsia="Arial" w:hAnsi="Arial"/>
          <w:sz w:val="18"/>
          <w:szCs w:val="18"/>
          <w:color w:val="auto"/>
        </w:rPr>
      </w:pPr>
    </w:p>
    <w:p>
      <w:pPr>
        <w:ind w:left="660" w:right="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tax rate increase of 0.2% was recognized in 2013 from rate differences between non-U.S. and U.S. jurisdictions. Lesser earnings in jurisdictions where tax rates differ substantially from the U.S. tax rate coupled with lower tax benefits on non-U.S. restructuring charges contributed to net tax rate increase.</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49%.</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86% of our consolidated revenues during 2015. Machine Clothing products are purchased primarily by manufacturers of paper and paperboard.</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75"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and administrative positions in the United States, Canada, Germany, France, and Sweden.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080" w:type="dxa"/>
            <w:vAlign w:val="bottom"/>
            <w:tcBorders>
              <w:bottom w:val="single" w:sz="8" w:color="auto"/>
            </w:tcBorders>
          </w:tcPr>
          <w:p>
            <w:pPr>
              <w:spacing w:after="0"/>
              <w:rPr>
                <w:sz w:val="19"/>
                <w:szCs w:val="19"/>
                <w:color w:val="auto"/>
              </w:rPr>
            </w:pPr>
          </w:p>
        </w:tc>
      </w:tr>
      <w:tr>
        <w:trPr>
          <w:trHeight w:val="399"/>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4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5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173"/>
        </w:trPr>
        <w:tc>
          <w:tcPr>
            <w:tcW w:w="436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460" w:type="dxa"/>
            <w:vAlign w:val="bottom"/>
          </w:tcPr>
          <w:p>
            <w:pPr>
              <w:jc w:val="right"/>
              <w:ind w:right="650"/>
              <w:spacing w:after="0" w:line="173" w:lineRule="exact"/>
              <w:rPr>
                <w:sz w:val="20"/>
                <w:szCs w:val="20"/>
                <w:color w:val="auto"/>
              </w:rPr>
            </w:pPr>
            <w:r>
              <w:rPr>
                <w:rFonts w:ascii="Arial" w:cs="Arial" w:eastAsia="Arial" w:hAnsi="Arial"/>
                <w:sz w:val="18"/>
                <w:szCs w:val="18"/>
                <w:b w:val="1"/>
                <w:bCs w:val="1"/>
                <w:color w:val="auto"/>
              </w:rPr>
              <w:t>$608,581</w:t>
            </w:r>
          </w:p>
        </w:tc>
        <w:tc>
          <w:tcPr>
            <w:tcW w:w="2520" w:type="dxa"/>
            <w:vAlign w:val="bottom"/>
          </w:tcPr>
          <w:p>
            <w:pPr>
              <w:jc w:val="right"/>
              <w:ind w:right="1090"/>
              <w:spacing w:after="0" w:line="173" w:lineRule="exact"/>
              <w:rPr>
                <w:sz w:val="20"/>
                <w:szCs w:val="20"/>
                <w:color w:val="auto"/>
              </w:rPr>
            </w:pPr>
            <w:r>
              <w:rPr>
                <w:rFonts w:ascii="Arial" w:cs="Arial" w:eastAsia="Arial" w:hAnsi="Arial"/>
                <w:sz w:val="18"/>
                <w:szCs w:val="18"/>
                <w:color w:val="auto"/>
              </w:rPr>
              <w:t>$655,026</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$674,747</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 change from prior year</w:t>
            </w:r>
          </w:p>
        </w:tc>
        <w:tc>
          <w:tcPr>
            <w:tcW w:w="3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-7.1%</w:t>
            </w:r>
          </w:p>
        </w:tc>
        <w:tc>
          <w:tcPr>
            <w:tcW w:w="252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-2.9%</w:t>
            </w:r>
          </w:p>
        </w:tc>
        <w:tc>
          <w:tcPr>
            <w:tcW w:w="1080" w:type="dxa"/>
            <w:vAlign w:val="bottom"/>
          </w:tcPr>
          <w:p>
            <w:pPr>
              <w:spacing w:after="0"/>
              <w:rPr>
                <w:sz w:val="17"/>
                <w:szCs w:val="17"/>
                <w:color w:val="auto"/>
              </w:rPr>
            </w:pP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4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286,847</w:t>
            </w:r>
          </w:p>
        </w:tc>
        <w:tc>
          <w:tcPr>
            <w:tcW w:w="252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282,300</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289,100</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47.1%</w:t>
            </w:r>
          </w:p>
        </w:tc>
        <w:tc>
          <w:tcPr>
            <w:tcW w:w="252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43.1%</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STG&amp;R expenses</w:t>
            </w:r>
          </w:p>
        </w:tc>
        <w:tc>
          <w:tcPr>
            <w:tcW w:w="34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123,325</w:t>
            </w:r>
          </w:p>
        </w:tc>
        <w:tc>
          <w:tcPr>
            <w:tcW w:w="252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141,023</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150,164</w:t>
            </w:r>
          </w:p>
        </w:tc>
      </w:tr>
      <w:tr>
        <w:trPr>
          <w:trHeight w:val="225"/>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3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141,311</w:t>
            </w:r>
          </w:p>
        </w:tc>
        <w:tc>
          <w:tcPr>
            <w:tcW w:w="25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136,450</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114,370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900" w:right="18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2015 sales by $38.0 million compared to 2014 due to the broad weakening of foreign currencies against the U.S. dollar. Excluding the effect of changes in currency translation rates, sales decreased 1.3%.</w:t>
      </w:r>
    </w:p>
    <w:p>
      <w:pPr>
        <w:spacing w:after="0" w:line="40" w:lineRule="exact"/>
        <w:rPr>
          <w:rFonts w:ascii="Arial" w:cs="Arial" w:eastAsia="Arial" w:hAnsi="Arial"/>
          <w:sz w:val="18"/>
          <w:szCs w:val="18"/>
          <w:color w:val="auto"/>
        </w:rPr>
      </w:pPr>
    </w:p>
    <w:p>
      <w:pPr>
        <w:ind w:left="900" w:right="340" w:hanging="244"/>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the year-over-year decline in MC sales was primarily attributable to lower sales in the North American printing and writing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900" w:right="460" w:hanging="244"/>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2014 sales by $3.6 million compared to 2013. Excluding the effect of changes in currency translation rates, sales decreased 2.4%.</w:t>
      </w:r>
    </w:p>
    <w:p>
      <w:pPr>
        <w:spacing w:after="0" w:line="34" w:lineRule="exact"/>
        <w:rPr>
          <w:rFonts w:ascii="Arial" w:cs="Arial" w:eastAsia="Arial" w:hAnsi="Arial"/>
          <w:sz w:val="18"/>
          <w:szCs w:val="18"/>
          <w:color w:val="auto"/>
        </w:rPr>
      </w:pPr>
    </w:p>
    <w:p>
      <w:pPr>
        <w:ind w:left="900" w:right="200" w:hanging="244"/>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year-over-year decline in MC sales was primarily attributable to lower sales in the Americas, reflecting certain mill closures by key customers. Sales in other regions were relatively flat compared to 2013.</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2015 gross profit was principally due to the effect on raw materials and freight that resulted from lower crude oil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2014 gross profit was principally due to the net effect of the following individually significant items:</w:t>
      </w:r>
    </w:p>
    <w:p>
      <w:pPr>
        <w:spacing w:after="0" w:line="185"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gross profit decrease of $8.5 million.</w:t>
      </w: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$7.5 million in Cost of goods sold resulting from restructuring activities.</w:t>
      </w:r>
    </w:p>
    <w:p>
      <w:pPr>
        <w:spacing w:after="0" w:line="63" w:lineRule="exact"/>
        <w:rPr>
          <w:rFonts w:ascii="Arial" w:cs="Arial" w:eastAsia="Arial" w:hAnsi="Arial"/>
          <w:sz w:val="18"/>
          <w:szCs w:val="18"/>
          <w:color w:val="auto"/>
        </w:rPr>
      </w:pPr>
    </w:p>
    <w:p>
      <w:pPr>
        <w:ind w:left="900" w:right="20" w:hanging="244"/>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Cost of goods sold from inflation on direct labor and manufacturing overhead expenses, of approximately $2.6 million and $1.9 million, respectively.</w:t>
      </w:r>
    </w:p>
    <w:p>
      <w:pPr>
        <w:spacing w:after="0" w:line="34"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$1.6 million charge to Cost of goods sold in 2014 to correct the value of inventories reported in prior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2015 operating income was principally due to the net effect of the following individually significant items:</w:t>
      </w:r>
    </w:p>
    <w:p>
      <w:pPr>
        <w:spacing w:after="0" w:line="185"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gross profit, as described above.</w:t>
      </w:r>
    </w:p>
    <w:p>
      <w:pPr>
        <w:spacing w:after="0" w:line="63" w:lineRule="exact"/>
        <w:rPr>
          <w:rFonts w:ascii="Arial" w:cs="Arial" w:eastAsia="Arial" w:hAnsi="Arial"/>
          <w:sz w:val="18"/>
          <w:szCs w:val="18"/>
          <w:color w:val="auto"/>
        </w:rPr>
      </w:pPr>
    </w:p>
    <w:p>
      <w:pPr>
        <w:ind w:left="900" w:right="640" w:hanging="244"/>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described above, STG&amp;R expenses declined $17.7 million, including $13.5 million that resulted from changes in currency translation rates.</w:t>
      </w:r>
    </w:p>
    <w:p>
      <w:pPr>
        <w:spacing w:after="0" w:line="34"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charges of $22.2 million in 2015, compared to $4.8 million in 2014.</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2014 operating income was principally due to the net effect of the following individually significant items:</w:t>
      </w:r>
    </w:p>
    <w:p>
      <w:pPr>
        <w:spacing w:after="0" w:line="185"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charges of $4.8 million in 2014, compared to $24.6 million in 2013.</w:t>
      </w:r>
    </w:p>
    <w:p>
      <w:pPr>
        <w:spacing w:after="0" w:line="63" w:lineRule="exact"/>
        <w:rPr>
          <w:rFonts w:ascii="Arial" w:cs="Arial" w:eastAsia="Arial" w:hAnsi="Arial"/>
          <w:sz w:val="18"/>
          <w:szCs w:val="18"/>
          <w:color w:val="auto"/>
        </w:rPr>
      </w:pPr>
    </w:p>
    <w:p>
      <w:pPr>
        <w:ind w:left="900" w:right="320" w:hanging="244"/>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which resulted in gains of $3.9 million in 2014 compared to losses of $0.3 million in 2013.</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of advanced composite fan blades and cases for this</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9" w:name="page30"/>
    <w:bookmarkEnd w:id="29"/>
    <w:p>
      <w:pPr>
        <w:ind w:right="180"/>
        <w:spacing w:after="0" w:line="246" w:lineRule="auto"/>
        <w:rPr>
          <w:sz w:val="20"/>
          <w:szCs w:val="20"/>
          <w:color w:val="auto"/>
        </w:rPr>
      </w:pPr>
      <w:r>
        <w:rPr>
          <w:rFonts w:ascii="Arial" w:cs="Arial" w:eastAsia="Arial" w:hAnsi="Arial"/>
          <w:sz w:val="18"/>
          <w:szCs w:val="18"/>
          <w:color w:val="auto"/>
        </w:rPr>
        <w:t>program under a long-term supply contract. In 2015, approximately 15% of this segment’s sales were related to U.S. government contracts or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(in thousands, except percentages)</w:t>
            </w:r>
          </w:p>
        </w:tc>
        <w:tc>
          <w:tcPr>
            <w:tcW w:w="1040" w:type="dxa"/>
            <w:vAlign w:val="bottom"/>
            <w:tcBorders>
              <w:bottom w:val="single" w:sz="8" w:color="auto"/>
            </w:tcBorders>
          </w:tcPr>
          <w:p>
            <w:pPr>
              <w:spacing w:after="0"/>
              <w:rPr>
                <w:sz w:val="19"/>
                <w:szCs w:val="19"/>
                <w:color w:val="auto"/>
              </w:rPr>
            </w:pPr>
          </w:p>
        </w:tc>
      </w:tr>
      <w:tr>
        <w:trPr>
          <w:trHeight w:val="399"/>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5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2015</w:t>
            </w:r>
          </w:p>
        </w:tc>
        <w:tc>
          <w:tcPr>
            <w:tcW w:w="25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173"/>
        </w:trPr>
        <w:tc>
          <w:tcPr>
            <w:tcW w:w="436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50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$101,287</w:t>
            </w:r>
          </w:p>
        </w:tc>
        <w:tc>
          <w:tcPr>
            <w:tcW w:w="2520" w:type="dxa"/>
            <w:vAlign w:val="bottom"/>
          </w:tcPr>
          <w:p>
            <w:pPr>
              <w:jc w:val="right"/>
              <w:ind w:right="1130"/>
              <w:spacing w:after="0" w:line="173" w:lineRule="exact"/>
              <w:rPr>
                <w:sz w:val="20"/>
                <w:szCs w:val="20"/>
                <w:color w:val="auto"/>
              </w:rPr>
            </w:pPr>
            <w:r>
              <w:rPr>
                <w:rFonts w:ascii="Arial" w:cs="Arial" w:eastAsia="Arial" w:hAnsi="Arial"/>
                <w:sz w:val="18"/>
                <w:szCs w:val="18"/>
                <w:color w:val="auto"/>
              </w:rPr>
              <w:t>$90,319</w:t>
            </w:r>
          </w:p>
        </w:tc>
        <w:tc>
          <w:tcPr>
            <w:tcW w:w="10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$82,667</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 change from prior year</w:t>
            </w:r>
          </w:p>
        </w:tc>
        <w:tc>
          <w:tcPr>
            <w:tcW w:w="35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12.1%</w:t>
            </w:r>
          </w:p>
        </w:tc>
        <w:tc>
          <w:tcPr>
            <w:tcW w:w="252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9.3%</w:t>
            </w:r>
          </w:p>
        </w:tc>
        <w:tc>
          <w:tcPr>
            <w:tcW w:w="1040" w:type="dxa"/>
            <w:vAlign w:val="bottom"/>
          </w:tcPr>
          <w:p>
            <w:pPr>
              <w:spacing w:after="0"/>
              <w:rPr>
                <w:sz w:val="17"/>
                <w:szCs w:val="17"/>
                <w:color w:val="auto"/>
              </w:rPr>
            </w:pP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50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(6,596)</w:t>
            </w:r>
          </w:p>
        </w:tc>
        <w:tc>
          <w:tcPr>
            <w:tcW w:w="2520" w:type="dxa"/>
            <w:vAlign w:val="bottom"/>
          </w:tcPr>
          <w:p>
            <w:pPr>
              <w:jc w:val="right"/>
              <w:ind w:right="1130"/>
              <w:spacing w:after="0" w:line="202" w:lineRule="exact"/>
              <w:rPr>
                <w:sz w:val="20"/>
                <w:szCs w:val="20"/>
                <w:color w:val="auto"/>
              </w:rPr>
            </w:pPr>
            <w:r>
              <w:rPr>
                <w:rFonts w:ascii="Arial" w:cs="Arial" w:eastAsia="Arial" w:hAnsi="Arial"/>
                <w:sz w:val="18"/>
                <w:szCs w:val="18"/>
                <w:color w:val="auto"/>
              </w:rPr>
              <w:t>10,750</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4,799</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5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-6.5%</w:t>
            </w:r>
          </w:p>
        </w:tc>
        <w:tc>
          <w:tcPr>
            <w:tcW w:w="252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11.9%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STG&amp;R expenses</w:t>
            </w:r>
          </w:p>
        </w:tc>
        <w:tc>
          <w:tcPr>
            <w:tcW w:w="35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21,882</w:t>
            </w:r>
          </w:p>
        </w:tc>
        <w:tc>
          <w:tcPr>
            <w:tcW w:w="2520" w:type="dxa"/>
            <w:vAlign w:val="bottom"/>
          </w:tcPr>
          <w:p>
            <w:pPr>
              <w:jc w:val="right"/>
              <w:ind w:right="1130"/>
              <w:spacing w:after="0" w:line="202" w:lineRule="exact"/>
              <w:rPr>
                <w:sz w:val="20"/>
                <w:szCs w:val="20"/>
                <w:color w:val="auto"/>
              </w:rPr>
            </w:pPr>
            <w:r>
              <w:rPr>
                <w:rFonts w:ascii="Arial" w:cs="Arial" w:eastAsia="Arial" w:hAnsi="Arial"/>
                <w:sz w:val="18"/>
                <w:szCs w:val="18"/>
                <w:color w:val="auto"/>
              </w:rPr>
              <w:t>20,301</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18,663</w:t>
            </w:r>
          </w:p>
        </w:tc>
      </w:tr>
      <w:tr>
        <w:trPr>
          <w:trHeight w:val="225"/>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loss</w:t>
            </w:r>
          </w:p>
        </w:tc>
        <w:tc>
          <w:tcPr>
            <w:tcW w:w="3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(28,478)</w:t>
            </w:r>
          </w:p>
        </w:tc>
        <w:tc>
          <w:tcPr>
            <w:tcW w:w="25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(10,483)</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(14,404)</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20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2015 sales was principally due to higher sales in the GE9X and LEAP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2014 sales was principally due to higher sales in the LEAP and Joint Strike Fighter (JSF) LiftFan ® programs.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was principally due to the net effect of the following individually significant items:</w:t>
      </w:r>
    </w:p>
    <w:p>
      <w:pPr>
        <w:spacing w:after="0" w:line="185" w:lineRule="exact"/>
        <w:rPr>
          <w:sz w:val="20"/>
          <w:szCs w:val="20"/>
          <w:color w:val="auto"/>
        </w:rPr>
      </w:pPr>
    </w:p>
    <w:p>
      <w:pPr>
        <w:ind w:left="980" w:right="720" w:hanging="324"/>
        <w:spacing w:after="0" w:line="24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second quarter of 2015, we recorded a $14.0 million charge for a revision in the estimated profitability of the BR 725 program.</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sales at the Company’s Boerne, Texas operation increased $2.3 million, manufacturing costs increased $4.4 million.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sales in the LEAP program increased gross profit by approximately $1.1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profit was principally due to the net effect of the following individually significant items:</w:t>
      </w:r>
    </w:p>
    <w:p>
      <w:pPr>
        <w:spacing w:after="0" w:line="185" w:lineRule="exact"/>
        <w:rPr>
          <w:sz w:val="20"/>
          <w:szCs w:val="20"/>
          <w:color w:val="auto"/>
        </w:rPr>
      </w:pPr>
    </w:p>
    <w:p>
      <w:pPr>
        <w:ind w:left="980" w:right="220" w:hanging="324"/>
        <w:spacing w:after="0" w:line="24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AEC’s Boerne, Texas operation increased gross profit by $5.0 million principally due to operational improvements that resulted in lower Cost of goods sold.</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50 percent, 54 percent, and 48 percent of segment revenue for 2015, 2014, and 2013 respectively.</w:t>
      </w:r>
    </w:p>
    <w:p>
      <w:pPr>
        <w:spacing w:after="0" w:line="18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In addition to the $14.0 million BR 725 charge described below, changes in estimates increased gross profit by $0.4 million in 2015, and reduced gross profit by $0.6 million in 2014 and $2.3 million in 2013.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top w:val="single" w:sz="8" w:color="auto"/>
              <w:bottom w:val="single" w:sz="8" w:color="auto"/>
            </w:tcBorders>
          </w:tcPr>
          <w:p>
            <w:pPr>
              <w:spacing w:after="0"/>
              <w:rPr>
                <w:sz w:val="18"/>
                <w:szCs w:val="18"/>
                <w:color w:val="auto"/>
              </w:rPr>
            </w:pPr>
          </w:p>
        </w:tc>
      </w:tr>
      <w:tr>
        <w:trPr>
          <w:trHeight w:val="399"/>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of December 31,</w:t>
            </w:r>
          </w:p>
        </w:tc>
        <w:tc>
          <w:tcPr>
            <w:tcW w:w="2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23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32"/>
        </w:trPr>
        <w:tc>
          <w:tcPr>
            <w:tcW w:w="5040" w:type="dxa"/>
            <w:vAlign w:val="bottom"/>
          </w:tcPr>
          <w:p>
            <w:pPr>
              <w:ind w:left="100"/>
              <w:spacing w:after="0"/>
              <w:rPr>
                <w:sz w:val="20"/>
                <w:szCs w:val="20"/>
                <w:color w:val="auto"/>
              </w:rPr>
            </w:pPr>
            <w:r>
              <w:rPr>
                <w:rFonts w:ascii="Arial" w:cs="Arial" w:eastAsia="Arial" w:hAnsi="Arial"/>
                <w:sz w:val="18"/>
                <w:szCs w:val="18"/>
                <w:color w:val="auto"/>
              </w:rPr>
              <w:t>Revenue earned during year</w:t>
            </w: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$16,891</w:t>
            </w:r>
          </w:p>
        </w:tc>
        <w:tc>
          <w:tcPr>
            <w:tcW w:w="2300" w:type="dxa"/>
            <w:vAlign w:val="bottom"/>
          </w:tcPr>
          <w:p>
            <w:pPr>
              <w:jc w:val="right"/>
              <w:ind w:right="610"/>
              <w:spacing w:after="0"/>
              <w:rPr>
                <w:sz w:val="20"/>
                <w:szCs w:val="20"/>
                <w:color w:val="auto"/>
              </w:rPr>
            </w:pPr>
            <w:r>
              <w:rPr>
                <w:rFonts w:ascii="Arial" w:cs="Arial" w:eastAsia="Arial" w:hAnsi="Arial"/>
                <w:sz w:val="18"/>
                <w:szCs w:val="18"/>
                <w:color w:val="auto"/>
              </w:rPr>
              <w:t>$15,439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$10,366</w:t>
            </w:r>
          </w:p>
        </w:tc>
      </w:tr>
      <w:tr>
        <w:trPr>
          <w:trHeight w:val="346"/>
        </w:trPr>
        <w:tc>
          <w:tcPr>
            <w:tcW w:w="5040" w:type="dxa"/>
            <w:vAlign w:val="bottom"/>
          </w:tcPr>
          <w:p>
            <w:pPr>
              <w:ind w:left="100"/>
              <w:spacing w:after="0"/>
              <w:rPr>
                <w:sz w:val="20"/>
                <w:szCs w:val="20"/>
                <w:color w:val="auto"/>
              </w:rPr>
            </w:pPr>
            <w:r>
              <w:rPr>
                <w:rFonts w:ascii="Arial" w:cs="Arial" w:eastAsia="Arial" w:hAnsi="Arial"/>
                <w:sz w:val="18"/>
                <w:szCs w:val="18"/>
                <w:color w:val="auto"/>
              </w:rPr>
              <w:t>Total value of contracts in process</w:t>
            </w: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17,670</w:t>
            </w:r>
          </w:p>
        </w:tc>
        <w:tc>
          <w:tcPr>
            <w:tcW w:w="2300" w:type="dxa"/>
            <w:vAlign w:val="bottom"/>
          </w:tcPr>
          <w:p>
            <w:pPr>
              <w:jc w:val="right"/>
              <w:ind w:right="610"/>
              <w:spacing w:after="0"/>
              <w:rPr>
                <w:sz w:val="20"/>
                <w:szCs w:val="20"/>
                <w:color w:val="auto"/>
              </w:rPr>
            </w:pPr>
            <w:r>
              <w:rPr>
                <w:rFonts w:ascii="Arial" w:cs="Arial" w:eastAsia="Arial" w:hAnsi="Arial"/>
                <w:sz w:val="18"/>
                <w:szCs w:val="18"/>
                <w:color w:val="auto"/>
              </w:rPr>
              <w:t>27,541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9,690</w:t>
            </w:r>
          </w:p>
        </w:tc>
      </w:tr>
      <w:tr>
        <w:trPr>
          <w:trHeight w:val="203"/>
        </w:trPr>
        <w:tc>
          <w:tcPr>
            <w:tcW w:w="5040" w:type="dxa"/>
            <w:vAlign w:val="bottom"/>
          </w:tcPr>
          <w:p>
            <w:pPr>
              <w:ind w:left="100"/>
              <w:spacing w:after="0" w:line="202" w:lineRule="exact"/>
              <w:rPr>
                <w:sz w:val="20"/>
                <w:szCs w:val="20"/>
                <w:color w:val="auto"/>
              </w:rPr>
            </w:pPr>
            <w:r>
              <w:rPr>
                <w:rFonts w:ascii="Arial" w:cs="Arial" w:eastAsia="Arial" w:hAnsi="Arial"/>
                <w:sz w:val="18"/>
                <w:szCs w:val="18"/>
                <w:color w:val="auto"/>
              </w:rPr>
              <w:t>Revenue recognized to date</w:t>
            </w:r>
          </w:p>
        </w:tc>
        <w:tc>
          <w:tcPr>
            <w:tcW w:w="26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6,471</w:t>
            </w:r>
          </w:p>
        </w:tc>
        <w:tc>
          <w:tcPr>
            <w:tcW w:w="230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20,360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7,776</w:t>
            </w:r>
          </w:p>
        </w:tc>
      </w:tr>
      <w:tr>
        <w:trPr>
          <w:trHeight w:val="239"/>
        </w:trPr>
        <w:tc>
          <w:tcPr>
            <w:tcW w:w="5040" w:type="dxa"/>
            <w:vAlign w:val="bottom"/>
          </w:tcPr>
          <w:p>
            <w:pPr>
              <w:ind w:left="100"/>
              <w:spacing w:after="0"/>
              <w:rPr>
                <w:sz w:val="20"/>
                <w:szCs w:val="20"/>
                <w:color w:val="auto"/>
              </w:rPr>
            </w:pPr>
            <w:r>
              <w:rPr>
                <w:rFonts w:ascii="Arial" w:cs="Arial" w:eastAsia="Arial" w:hAnsi="Arial"/>
                <w:sz w:val="18"/>
                <w:szCs w:val="18"/>
                <w:color w:val="auto"/>
              </w:rPr>
              <w:t>Revenue to be recognized in future periods</w:t>
            </w: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11,199</w:t>
            </w:r>
          </w:p>
        </w:tc>
        <w:tc>
          <w:tcPr>
            <w:tcW w:w="2300" w:type="dxa"/>
            <w:vAlign w:val="bottom"/>
          </w:tcPr>
          <w:p>
            <w:pPr>
              <w:jc w:val="right"/>
              <w:ind w:right="610"/>
              <w:spacing w:after="0"/>
              <w:rPr>
                <w:sz w:val="20"/>
                <w:szCs w:val="20"/>
                <w:color w:val="auto"/>
              </w:rPr>
            </w:pPr>
            <w:r>
              <w:rPr>
                <w:rFonts w:ascii="Arial" w:cs="Arial" w:eastAsia="Arial" w:hAnsi="Arial"/>
                <w:sz w:val="18"/>
                <w:szCs w:val="18"/>
                <w:color w:val="auto"/>
              </w:rPr>
              <w:t>7,181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the second quarter of 2015, the Company recorded a charge of $14.0 million associated with a revision in the profitability of a contract in the AEC segment. AEC has a long-term contract for the manufacture of composite components for the Rolls-Royce BR 725 engine (BR 725), which powers the Gulfstream G-650 business jet. These components are manufactured in AEC’s Boerne, Texas, facility. The contract for this program was signed in 2007 and contains a very aggressive approach to pricing compared to AEC’s other contracts. AEC was required to fund certain development costs for nonrecurring engineering and tooling and expected to recover those costs over the duration of the contract, which is anticipated to be more than 20 years. During the second quarter of 2015, the Company revised its estimate of the profitability of this contract and determined that the deferred costs totaling $10.9 million should be written off. The Company recorded an additional charge of approximately $3.1 million as a provision for anticipated contract losses. The total charge of $14.0 million is included in Cost of goods sold. In the Consolidated Statements of Cash Flows, the write-off of previously deferred costs is included in Other, net.</w:t>
      </w:r>
    </w:p>
    <w:p>
      <w:pPr>
        <w:spacing w:after="0" w:line="167" w:lineRule="exact"/>
        <w:rPr>
          <w:sz w:val="20"/>
          <w:szCs w:val="20"/>
          <w:color w:val="auto"/>
        </w:rPr>
      </w:pPr>
    </w:p>
    <w:p>
      <w:pPr>
        <w:jc w:val="both"/>
        <w:ind w:right="80" w:firstLine="648"/>
        <w:spacing w:after="0" w:line="239" w:lineRule="auto"/>
        <w:rPr>
          <w:sz w:val="20"/>
          <w:szCs w:val="20"/>
          <w:color w:val="auto"/>
        </w:rPr>
      </w:pPr>
      <w:r>
        <w:rPr>
          <w:rFonts w:ascii="Arial" w:cs="Arial" w:eastAsia="Arial" w:hAnsi="Arial"/>
          <w:sz w:val="18"/>
          <w:szCs w:val="18"/>
          <w:color w:val="auto"/>
        </w:rPr>
        <w:t>In February 2016, our customer on the BR 725 contract notified us that they disagreed with our calculation of pricing for the parts to be sold in 2016, which could, potentially, have an adverse effect on the profitability of this contract in the future. While the Company believes that its position is supported by the contract, as well as by the prior course of dealing between the parties, if the customer’s position were to prevail it could have a material effect on operating results in future periods.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9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2015 operating loss increased principally due to the changes in gross profit noted above.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1" w:name="page32"/>
    <w:bookmarkEnd w:id="31"/>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2014 operating income improved due to higher sales and improved gross profit margin, as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(in thousands)</w:t>
            </w:r>
          </w:p>
        </w:tc>
        <w:tc>
          <w:tcPr>
            <w:tcW w:w="1440" w:type="dxa"/>
            <w:vAlign w:val="bottom"/>
            <w:tcBorders>
              <w:top w:val="single" w:sz="8" w:color="auto"/>
            </w:tcBorders>
          </w:tcPr>
          <w:p>
            <w:pPr>
              <w:spacing w:after="0"/>
              <w:rPr>
                <w:sz w:val="16"/>
                <w:szCs w:val="16"/>
                <w:color w:val="auto"/>
              </w:rPr>
            </w:pPr>
          </w:p>
        </w:tc>
      </w:tr>
      <w:tr>
        <w:trPr>
          <w:trHeight w:val="225"/>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 December 31,</w:t>
            </w: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2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173"/>
        </w:trPr>
        <w:tc>
          <w:tcPr>
            <w:tcW w:w="592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$57,265</w:t>
            </w:r>
          </w:p>
        </w:tc>
        <w:tc>
          <w:tcPr>
            <w:tcW w:w="22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$41,749</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$17,658</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60,114</w:t>
            </w:r>
          </w:p>
        </w:tc>
        <w:tc>
          <w:tcPr>
            <w:tcW w:w="22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64,292</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63,789</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Changes in working capital</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1,707</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(21,423)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(1,511)</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Fair value adjustment on asset held for sale</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3,212</w:t>
            </w:r>
          </w:p>
        </w:tc>
        <w:tc>
          <w:tcPr>
            <w:tcW w:w="22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Gain on disposition of assets</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(1,056)</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(1,126)</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(27,358)</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(10,725)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(12,261)</w:t>
            </w:r>
          </w:p>
        </w:tc>
      </w:tr>
      <w:tr>
        <w:trPr>
          <w:trHeight w:val="203"/>
        </w:trPr>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Write-off of pension liability adjustment</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103</w:t>
            </w:r>
          </w:p>
        </w:tc>
        <w:tc>
          <w:tcPr>
            <w:tcW w:w="22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8,331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operating items</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1,950</w:t>
            </w:r>
          </w:p>
        </w:tc>
        <w:tc>
          <w:tcPr>
            <w:tcW w:w="2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3,098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r>
      <w:tr>
        <w:trPr>
          <w:trHeight w:val="173"/>
        </w:trPr>
        <w:tc>
          <w:tcPr>
            <w:tcW w:w="5920" w:type="dxa"/>
            <w:vAlign w:val="bottom"/>
          </w:tcPr>
          <w:p>
            <w:pPr>
              <w:ind w:left="100"/>
              <w:spacing w:after="0" w:line="173" w:lineRule="exact"/>
              <w:rPr>
                <w:sz w:val="20"/>
                <w:szCs w:val="20"/>
                <w:color w:val="auto"/>
              </w:rPr>
            </w:pPr>
            <w:r>
              <w:rPr>
                <w:rFonts w:ascii="Arial" w:cs="Arial" w:eastAsia="Arial" w:hAnsi="Arial"/>
                <w:sz w:val="18"/>
                <w:szCs w:val="18"/>
                <w:color w:val="auto"/>
              </w:rPr>
              <w:t>Net cash provided by operating activities</w:t>
            </w:r>
          </w:p>
        </w:tc>
        <w:tc>
          <w:tcPr>
            <w:tcW w:w="180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95,937</w:t>
            </w:r>
          </w:p>
        </w:tc>
        <w:tc>
          <w:tcPr>
            <w:tcW w:w="22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84,196</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62,631</w:t>
            </w:r>
          </w:p>
        </w:tc>
      </w:tr>
      <w:tr>
        <w:trPr>
          <w:trHeight w:val="203"/>
        </w:trPr>
        <w:tc>
          <w:tcPr>
            <w:tcW w:w="592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investing activities</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(47,798)</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(57,747)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(41,392)</w:t>
            </w:r>
          </w:p>
        </w:tc>
      </w:tr>
      <w:tr>
        <w:trPr>
          <w:trHeight w:val="203"/>
        </w:trPr>
        <w:tc>
          <w:tcPr>
            <w:tcW w:w="592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(27,329)</w:t>
            </w:r>
          </w:p>
        </w:tc>
        <w:tc>
          <w:tcPr>
            <w:tcW w:w="2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(50,483)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3,865</w:t>
            </w:r>
          </w:p>
        </w:tc>
      </w:tr>
      <w:tr>
        <w:trPr>
          <w:trHeight w:val="225"/>
        </w:trPr>
        <w:tc>
          <w:tcPr>
            <w:tcW w:w="5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(15,499)</w:t>
            </w:r>
          </w:p>
        </w:tc>
        <w:tc>
          <w:tcPr>
            <w:tcW w:w="2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(18,830)</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6,844</w:t>
            </w:r>
          </w:p>
        </w:tc>
      </w:tr>
      <w:tr>
        <w:trPr>
          <w:trHeight w:val="173"/>
        </w:trPr>
        <w:tc>
          <w:tcPr>
            <w:tcW w:w="5920" w:type="dxa"/>
            <w:vAlign w:val="bottom"/>
          </w:tcPr>
          <w:p>
            <w:pPr>
              <w:ind w:left="100"/>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180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5,311</w:t>
            </w:r>
          </w:p>
        </w:tc>
        <w:tc>
          <w:tcPr>
            <w:tcW w:w="2260" w:type="dxa"/>
            <w:vAlign w:val="bottom"/>
          </w:tcPr>
          <w:p>
            <w:pPr>
              <w:jc w:val="right"/>
              <w:ind w:right="550"/>
              <w:spacing w:after="0" w:line="173" w:lineRule="exact"/>
              <w:rPr>
                <w:sz w:val="20"/>
                <w:szCs w:val="20"/>
                <w:color w:val="auto"/>
              </w:rPr>
            </w:pPr>
            <w:r>
              <w:rPr>
                <w:rFonts w:ascii="Arial" w:cs="Arial" w:eastAsia="Arial" w:hAnsi="Arial"/>
                <w:sz w:val="18"/>
                <w:szCs w:val="18"/>
                <w:color w:val="auto"/>
              </w:rPr>
              <w:t>(42,864)</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31,948</w:t>
            </w:r>
          </w:p>
        </w:tc>
      </w:tr>
      <w:tr>
        <w:trPr>
          <w:trHeight w:val="225"/>
        </w:trPr>
        <w:tc>
          <w:tcPr>
            <w:tcW w:w="5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179,802</w:t>
            </w:r>
          </w:p>
        </w:tc>
        <w:tc>
          <w:tcPr>
            <w:tcW w:w="2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222,666</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r>
      <w:tr>
        <w:trPr>
          <w:trHeight w:val="196"/>
        </w:trPr>
        <w:tc>
          <w:tcPr>
            <w:tcW w:w="59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1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$185,113</w:t>
            </w:r>
          </w:p>
        </w:tc>
        <w:tc>
          <w:tcPr>
            <w:tcW w:w="2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$179,802</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$222,666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Cash provided by operating activities was $95.9 million in 2015 compared to $84.2 million in 2014, and $62.6 million in 2013. Changes in working capital for 2015 includes the $14.0 million write-off related to the BR 725 program, while changes in accounts receivable, inventories and accounts payable resulted in an offsetting use of cash. Changes in working capital for 2014 were a use of cash totaling $21.4 million principally due to costs for the BR 725 program and restructuring payments. Changes in long-term liabilities, deferred taxes and other liabilities resulted in a use of cash of $27.4 million, $10.7 million and $12.3 million for 2015, 2014 and 2013, respectively. The increase in 2015 was principally due to the $28.6 million deferred tax benefit related to the elimination of the value of the Company’s investment in its Germany subsidiary, partially offset by lower contributions to pension plans in 2015. Cash paid for income taxes was $18.4 million, $17.6 million, and $29.4 million in 2015, 2014, and 2013, respectively.</w:t>
      </w:r>
    </w:p>
    <w:p>
      <w:pPr>
        <w:spacing w:after="0" w:line="19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At December 31, 2015, the Company had $185.1 million of cash and cash equivalents, of which $141.8 million was held by subsidiaries outside of the United States. As disclosed in Note 7 of the Notes to Consolidated Financial Statements in Item 8, which is incorporated herein by reference, we determined that all but $59.0 million of this amount (which represents the amount of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Total capital expenditures for continuing operations, including purchased software, were $50.6 million in 2015, compared to $58.9 million in 2014, and $64.4 million in 2013. In the AEC segment, capital expenditures were $30.4 million in 2015, compared to $32.1 million in 2014, and $36.9 million in 2013. We currently estimate</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2" w:name="page33"/>
    <w:bookmarkEnd w:id="32"/>
    <w:p>
      <w:pPr>
        <w:ind w:right="600"/>
        <w:spacing w:after="0" w:line="246" w:lineRule="auto"/>
        <w:rPr>
          <w:sz w:val="20"/>
          <w:szCs w:val="20"/>
          <w:color w:val="auto"/>
        </w:rPr>
      </w:pPr>
      <w:r>
        <w:rPr>
          <w:rFonts w:ascii="Arial" w:cs="Arial" w:eastAsia="Arial" w:hAnsi="Arial"/>
          <w:sz w:val="18"/>
          <w:szCs w:val="18"/>
          <w:color w:val="auto"/>
        </w:rPr>
        <w:t>full-year spending in 2016 to be $75 million to $85 million, and an average of $70 million for the balance of the decade. During 2013, the Company completed the sale of its production facility in Gosford, Australia, resulting in net proceeds of $6.3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our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remains free to develop and supply parts other than advanced 3D-woven composite parts for all aerospace applications, as well as advanced 3D-woven composite parts for any aerospace applications that are not Safran Applications (such as airframe applications) and any non-aerospace applications. AEC contributed to ASC its existing assets and operations currently dedicated to the development and production of LEAP components, and Safran contributed $28 million in cash.</w:t>
      </w:r>
    </w:p>
    <w:p>
      <w:pPr>
        <w:spacing w:after="0" w:line="16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five dividend payments during 2012 and three dividend payments in 2013. Cash dividends paid were $21.1 million, $19.7 million, and $13.9 million, in 2015, 2014, and 2013, respectively.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7"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December 31, 2015 was held by non-U.S. subsidiaries. Based on cash on hand and credit facilities, we anticipate that the Company has sufficient capital resources to operate for the foreseeable future. We were in compliance with all debt covenants as of December 31, 2015.</w:t>
      </w:r>
    </w:p>
    <w:p>
      <w:pPr>
        <w:spacing w:after="0" w:line="16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$215 million of borrowings were outstanding as of December 31, 2015. The Credit Agreement replaces the previous $330 million five-year Credit Agreement made in 2013. The applicable interest rate for borrowings under the Credit Agreement, as well as under the former agreement, is LIBOR plus a spread, based on our leverage ratio at the time of borrowing. At the time of the last borrowing on December 16, 2015, the spread was 1.375%. The spread is based on a pricing grid, which ranges from 1.250% to 1.750%, based on our leverage ratio.</w:t>
      </w:r>
    </w:p>
    <w:p>
      <w:pPr>
        <w:spacing w:after="0" w:line="1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7"/>
          <w:szCs w:val="17"/>
          <w:color w:val="auto"/>
        </w:rPr>
        <w:t>On May 20, 2013 and July 16, 2015 we entered into hedging transactions that had the effect of fixing the LIBOR portion of the interest rate before addition of the spread on $110 million to $120 million of borrowings drawn under the Credit Agreement at the rate of 1.414% through March 16, 2018, and 2.43% from that date through June 16, 2020. These interest rate swaps are accounted for as a hedge of future cash flows, as further described in Note 15 to the Consolidated Financial Statements in Item 8, which is incorporated herein by reference.</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2015, our leverage ratio was 1.27 to 1.00 and our interest coverage ratio was 13.39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As of December 31, 2015, we have no off-balance sheet arrangements required to be disclosed pursuant to Item 303(a)(4) of Regulation S-K.</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we have the following cash flow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Payments Due by Period</w:t>
            </w:r>
          </w:p>
        </w:tc>
        <w:tc>
          <w:tcPr>
            <w:tcW w:w="1300" w:type="dxa"/>
            <w:vAlign w:val="bottom"/>
            <w:tcBorders>
              <w:top w:val="single" w:sz="8" w:color="auto"/>
              <w:bottom w:val="single" w:sz="8" w:color="auto"/>
            </w:tcBorders>
          </w:tcPr>
          <w:p>
            <w:pPr>
              <w:spacing w:after="0"/>
              <w:rPr>
                <w:sz w:val="18"/>
                <w:szCs w:val="18"/>
                <w:color w:val="auto"/>
              </w:rPr>
            </w:pPr>
          </w:p>
        </w:tc>
      </w:tr>
      <w:tr>
        <w:trPr>
          <w:trHeight w:val="173"/>
        </w:trPr>
        <w:tc>
          <w:tcPr>
            <w:tcW w:w="3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One to three</w:t>
            </w:r>
          </w:p>
        </w:tc>
        <w:tc>
          <w:tcPr>
            <w:tcW w:w="14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Three to</w:t>
            </w:r>
          </w:p>
        </w:tc>
        <w:tc>
          <w:tcPr>
            <w:tcW w:w="130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After</w:t>
            </w:r>
          </w:p>
        </w:tc>
      </w:tr>
      <w:tr>
        <w:trPr>
          <w:trHeight w:val="225"/>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millions)</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one year</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years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five years</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five years</w:t>
            </w:r>
          </w:p>
        </w:tc>
      </w:tr>
      <w:tr>
        <w:trPr>
          <w:trHeight w:val="195"/>
        </w:trPr>
        <w:tc>
          <w:tcPr>
            <w:tcW w:w="3660" w:type="dxa"/>
            <w:vAlign w:val="bottom"/>
          </w:tcPr>
          <w:p>
            <w:pPr>
              <w:ind w:left="60"/>
              <w:spacing w:after="0" w:line="195" w:lineRule="exact"/>
              <w:rPr>
                <w:sz w:val="20"/>
                <w:szCs w:val="20"/>
                <w:color w:val="auto"/>
              </w:rPr>
            </w:pPr>
            <w:r>
              <w:rPr>
                <w:rFonts w:ascii="Arial" w:cs="Arial" w:eastAsia="Arial" w:hAnsi="Arial"/>
                <w:sz w:val="18"/>
                <w:szCs w:val="18"/>
                <w:color w:val="auto"/>
              </w:rPr>
              <w:t>Total debt</w:t>
            </w:r>
          </w:p>
        </w:tc>
        <w:tc>
          <w:tcPr>
            <w:tcW w:w="20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$265.7</w:t>
            </w:r>
          </w:p>
        </w:tc>
        <w:tc>
          <w:tcPr>
            <w:tcW w:w="13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$0.6</w:t>
            </w:r>
          </w:p>
        </w:tc>
        <w:tc>
          <w:tcPr>
            <w:tcW w:w="15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$50.1</w:t>
            </w:r>
          </w:p>
        </w:tc>
        <w:tc>
          <w:tcPr>
            <w:tcW w:w="14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$215.0</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ind w:left="60"/>
              <w:spacing w:after="0" w:line="202" w:lineRule="exact"/>
              <w:rPr>
                <w:sz w:val="20"/>
                <w:szCs w:val="20"/>
                <w:color w:val="auto"/>
              </w:rPr>
            </w:pPr>
            <w:r>
              <w:rPr>
                <w:rFonts w:ascii="Arial" w:cs="Arial" w:eastAsia="Arial" w:hAnsi="Arial"/>
                <w:sz w:val="18"/>
                <w:szCs w:val="18"/>
                <w:color w:val="auto"/>
              </w:rPr>
              <w:t>Interest payments (a)</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31.1</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8.4</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13.5</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9.2</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ind w:left="60"/>
              <w:spacing w:after="0" w:line="202" w:lineRule="exact"/>
              <w:rPr>
                <w:sz w:val="20"/>
                <w:szCs w:val="20"/>
                <w:color w:val="auto"/>
              </w:rPr>
            </w:pPr>
            <w:r>
              <w:rPr>
                <w:rFonts w:ascii="Arial" w:cs="Arial" w:eastAsia="Arial" w:hAnsi="Arial"/>
                <w:sz w:val="18"/>
                <w:szCs w:val="18"/>
                <w:color w:val="auto"/>
              </w:rPr>
              <w:t>Pension plan contributions (b)</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5.0</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5.0</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60" w:type="dxa"/>
            <w:vAlign w:val="bottom"/>
          </w:tcPr>
          <w:p>
            <w:pPr>
              <w:ind w:left="60"/>
              <w:spacing w:after="0" w:line="202" w:lineRule="exact"/>
              <w:rPr>
                <w:sz w:val="20"/>
                <w:szCs w:val="20"/>
                <w:color w:val="auto"/>
              </w:rPr>
            </w:pPr>
            <w:r>
              <w:rPr>
                <w:rFonts w:ascii="Arial" w:cs="Arial" w:eastAsia="Arial" w:hAnsi="Arial"/>
                <w:sz w:val="18"/>
                <w:szCs w:val="18"/>
                <w:color w:val="auto"/>
              </w:rPr>
              <w:t>Other postretirement benefits (c)</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104.1</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4.7</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8.8</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8.1</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82.5</w:t>
            </w:r>
          </w:p>
        </w:tc>
      </w:tr>
      <w:tr>
        <w:trPr>
          <w:trHeight w:val="203"/>
        </w:trPr>
        <w:tc>
          <w:tcPr>
            <w:tcW w:w="3660" w:type="dxa"/>
            <w:vAlign w:val="bottom"/>
          </w:tcPr>
          <w:p>
            <w:pPr>
              <w:ind w:left="60"/>
              <w:spacing w:after="0" w:line="202" w:lineRule="exact"/>
              <w:rPr>
                <w:sz w:val="20"/>
                <w:szCs w:val="20"/>
                <w:color w:val="auto"/>
              </w:rPr>
            </w:pPr>
            <w:r>
              <w:rPr>
                <w:rFonts w:ascii="Arial" w:cs="Arial" w:eastAsia="Arial" w:hAnsi="Arial"/>
                <w:sz w:val="18"/>
                <w:szCs w:val="18"/>
                <w:color w:val="auto"/>
              </w:rPr>
              <w:t>Restructuring accruals</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10.2</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6.9</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3.3</w:t>
            </w: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60" w:type="dxa"/>
            <w:vAlign w:val="bottom"/>
          </w:tcPr>
          <w:p>
            <w:pPr>
              <w:ind w:left="60"/>
              <w:spacing w:after="0" w:line="202" w:lineRule="exact"/>
              <w:rPr>
                <w:sz w:val="20"/>
                <w:szCs w:val="20"/>
                <w:color w:val="auto"/>
              </w:rPr>
            </w:pPr>
            <w:r>
              <w:rPr>
                <w:rFonts w:ascii="Arial" w:cs="Arial" w:eastAsia="Arial" w:hAnsi="Arial"/>
                <w:sz w:val="18"/>
                <w:szCs w:val="18"/>
                <w:color w:val="auto"/>
              </w:rPr>
              <w:t>Other noncurrent liabilities (d)</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Operating leases</w:t>
            </w:r>
          </w:p>
        </w:tc>
        <w:tc>
          <w:tcPr>
            <w:tcW w:w="20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8.1</w:t>
            </w:r>
          </w:p>
        </w:tc>
        <w:tc>
          <w:tcPr>
            <w:tcW w:w="13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3.4</w:t>
            </w:r>
          </w:p>
        </w:tc>
        <w:tc>
          <w:tcPr>
            <w:tcW w:w="15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3.2</w:t>
            </w:r>
          </w:p>
        </w:tc>
        <w:tc>
          <w:tcPr>
            <w:tcW w:w="14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1.3</w:t>
            </w:r>
          </w:p>
        </w:tc>
        <w:tc>
          <w:tcPr>
            <w:tcW w:w="13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0.2</w:t>
            </w:r>
          </w:p>
        </w:tc>
      </w:tr>
      <w:tr>
        <w:trPr>
          <w:trHeight w:val="196"/>
        </w:trPr>
        <w:tc>
          <w:tcPr>
            <w:tcW w:w="36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Totals</w:t>
            </w:r>
          </w:p>
        </w:tc>
        <w:tc>
          <w:tcPr>
            <w:tcW w:w="2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$424.2</w:t>
            </w:r>
          </w:p>
        </w:tc>
        <w:tc>
          <w:tcPr>
            <w:tcW w:w="1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$29.0</w:t>
            </w:r>
          </w:p>
        </w:tc>
        <w:tc>
          <w:tcPr>
            <w:tcW w:w="15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$78.9</w:t>
            </w:r>
          </w:p>
        </w:tc>
        <w:tc>
          <w:tcPr>
            <w:tcW w:w="1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$233.6</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$82.7</w:t>
            </w:r>
          </w:p>
        </w:tc>
      </w:tr>
    </w:tbl>
    <w:p>
      <w:pPr>
        <w:spacing w:after="0" w:line="202" w:lineRule="exact"/>
        <w:rPr>
          <w:sz w:val="20"/>
          <w:szCs w:val="20"/>
          <w:color w:val="auto"/>
        </w:rPr>
      </w:pPr>
    </w:p>
    <w:p>
      <w:pPr>
        <w:ind w:left="1060" w:right="600" w:hanging="404"/>
        <w:spacing w:after="0" w:line="23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14 of Notes to Consolidated Financial Statements. The interest payments are based on the assumption that we maintain $215.0 million of variable rate debt until the June 2015 Credit Agreement matures on June 16, 2020, and the rate as of December 31, 2015</w:t>
      </w:r>
    </w:p>
    <w:p>
      <w:pPr>
        <w:spacing w:after="0" w:line="2" w:lineRule="exact"/>
        <w:rPr>
          <w:rFonts w:ascii="Arial" w:cs="Arial" w:eastAsia="Arial" w:hAnsi="Arial"/>
          <w:sz w:val="18"/>
          <w:szCs w:val="18"/>
          <w:color w:val="auto"/>
        </w:rPr>
      </w:pPr>
    </w:p>
    <w:p>
      <w:pPr>
        <w:ind w:left="1060"/>
        <w:spacing w:after="0" w:line="234" w:lineRule="auto"/>
        <w:rPr>
          <w:rFonts w:ascii="Arial" w:cs="Arial" w:eastAsia="Arial" w:hAnsi="Arial"/>
          <w:sz w:val="18"/>
          <w:szCs w:val="18"/>
          <w:color w:val="auto"/>
        </w:rPr>
      </w:pPr>
      <w:r>
        <w:rPr>
          <w:rFonts w:ascii="Arial" w:cs="Arial" w:eastAsia="Arial" w:hAnsi="Arial"/>
          <w:sz w:val="18"/>
          <w:szCs w:val="18"/>
          <w:color w:val="auto"/>
        </w:rPr>
        <w:t>(2.27%) continues until July 16, 2018, then continues at 2.89% until maturity. Both rates include the effects of interest rate hedging transactions.</w:t>
      </w:r>
    </w:p>
    <w:p>
      <w:pPr>
        <w:spacing w:after="0" w:line="1" w:lineRule="exact"/>
        <w:rPr>
          <w:rFonts w:ascii="Arial" w:cs="Arial" w:eastAsia="Arial" w:hAnsi="Arial"/>
          <w:sz w:val="18"/>
          <w:szCs w:val="18"/>
          <w:color w:val="auto"/>
        </w:rPr>
      </w:pPr>
    </w:p>
    <w:p>
      <w:pPr>
        <w:ind w:left="1060" w:hanging="404"/>
        <w:spacing w:after="0" w:line="23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estimate that pension benefits to be paid directly by the Company in 2016 to be $5.0 million, however, that estimate is subject to revision based on many factors. The Company may also make contributions to a pension trust that exists in certain countries. The amount of contributions after 2016 is subject to many variables, including return of pension plan assets, interest rates, and tax and employee benefit laws. Therefore, contributions beyond 2016 are not included in this schedule.</w:t>
      </w:r>
    </w:p>
    <w:p>
      <w:pPr>
        <w:spacing w:after="0" w:line="3" w:lineRule="exact"/>
        <w:rPr>
          <w:rFonts w:ascii="Arial" w:cs="Arial" w:eastAsia="Arial" w:hAnsi="Arial"/>
          <w:sz w:val="18"/>
          <w:szCs w:val="18"/>
          <w:color w:val="auto"/>
        </w:rPr>
      </w:pPr>
    </w:p>
    <w:p>
      <w:pPr>
        <w:jc w:val="both"/>
        <w:ind w:left="1060" w:right="140" w:hanging="404"/>
        <w:spacing w:after="0" w:line="23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4 of Notes to Consolidated Financial Statements in Item 8. The amounts presented above represent undiscounted estimated cash flows and are subject to many variables.</w:t>
      </w:r>
    </w:p>
    <w:p>
      <w:pPr>
        <w:spacing w:after="0" w:line="2" w:lineRule="exact"/>
        <w:rPr>
          <w:rFonts w:ascii="Arial" w:cs="Arial" w:eastAsia="Arial" w:hAnsi="Arial"/>
          <w:sz w:val="18"/>
          <w:szCs w:val="18"/>
          <w:color w:val="auto"/>
        </w:rPr>
      </w:pPr>
    </w:p>
    <w:p>
      <w:pPr>
        <w:ind w:left="1060" w:right="40" w:hanging="404"/>
        <w:spacing w:after="0" w:line="23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Estimated payments for deferred compensation, interest rate swap agreements, and other noncurrent liabilities are not included in this table due to the uncertain timing of the ultimate cash settlement. Also, this table does not reflect unrecognized tax benefits, the timing of which is uncertain. Refer to Note 7 of the Consolidated Financial Statements in Item 8, which is incorporated herein by reference, for additional discussion on unrecognized tax benefits.</w:t>
      </w:r>
    </w:p>
    <w:p>
      <w:pPr>
        <w:spacing w:after="0" w:line="1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17 of Notes to Consolidated Financial Statements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information set forth above may be found under Item 8. Financial Statements and Supplementary Data, Note 1, which is incorporated herein by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0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the discussion on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can affect our results of operations. In addition to the accounting policies stated in Item 8. Financial Statements and Supplementary Data, Note 1, financial statement amounts and disclosures are significantly influenced by market factors, judgments and estimates as described below.</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For contracts with anticipated losses at completion,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that are treated as period expenses.</w:t>
      </w:r>
    </w:p>
    <w:p>
      <w:pPr>
        <w:spacing w:after="0" w:line="181"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The Albany Engineered Composites segment also has some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(units of delivery) method. Accumulated capitalized costs are written-off when those costs are determined to be unrecoverable.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of this Form 10-K, which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Liabilities</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is self-insured for some employee and business risks, including health care and workers’ compensation programs in the United States. Expenses under all of these programs are accrued based 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If actual results significantly differ from estimates used to calculate the liability, the Company’s financial condition, results of operations and cash flows could be materially impacted by expenses for these programs, as well as higher stop-loss premiums in future periods.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2015, total liabilities under our defined benefit pension plans (including unfunded plans) exceeded plan assets by $28.5 million, of which $17.7 million was for plans outside of the U.S. Additionally, at December 31, 2015, other postretirement liabilities totaled $60.0 million, substantially all of which related to our U.S plan. The liabilities for our U.S. plans were increased in 2014 as a result of adopting new mortality tables. As of December 31, 2015, we have unrecognized pretax net losses of $70.5 million for pension plans and $2.6 million for other postretirement benefit plans that may be amortized into earnings in future periods.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2016, we anticipate pension contributions and direct payments to retirees to total $5.0 million, and payments for other postretirement benefit plans to be $4.7 million. Changes in the related pension 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plan liabilities and expenses are evaluated and updated at least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have contingent liabilities for litigation, claims, and assessments that result from the ordinary course of business. These matters are more fully described in Note 17 of the Consolidated Financial Statements in Item 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have certain financial assets and liabilities that are measured at fair value on a recurring basis, in accordance with the applicable accounting guidance. Fair values are based on assumptions that market participants would use in pricing an asset or liability, which include review of observable inputs, market quotes, and assumptions of expected cash flows. In certain cases this determination of value may require some level of valuation analysis, interpretation of information, and judgment. As these key observable inputs and assumptions change in future periods, the Company will update its valuation to reflect market conditions.</w:t>
      </w:r>
    </w:p>
    <w:p>
      <w:pPr>
        <w:spacing w:after="0" w:line="16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We may enter into hedging transactions from time to time in order to mitigate volatility in cash flows, which can be caused by changes in interest rates or currency exchange rates. To qualify for hedge accounting under the applicable accounting guidance, the hedging relationship between the hedging instrument and the hedged item must be effective in achieving the offset of changes that are attributable to the hedged risk, both at the inception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jc w:val="both"/>
        <w:ind w:right="240"/>
        <w:spacing w:after="0"/>
        <w:rPr>
          <w:sz w:val="20"/>
          <w:szCs w:val="20"/>
          <w:color w:val="auto"/>
        </w:rPr>
      </w:pPr>
      <w:r>
        <w:rPr>
          <w:rFonts w:ascii="Arial" w:cs="Arial" w:eastAsia="Arial" w:hAnsi="Arial"/>
          <w:sz w:val="18"/>
          <w:szCs w:val="18"/>
          <w:color w:val="auto"/>
        </w:rPr>
        <w:t>of the hedge and on a continuing basis until maturity or settlement of the hedging instrument. Hedge effectiveness, which would be tested by the Company periodically, is dependent upon market factors and changes in currency exchange rates, which are unpredictable. Any gains or losses related to the ineffective portion of the hedge will be recognized in the current period in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Form 10-K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document relate to the Company’s continuing operations.</w:t>
      </w:r>
    </w:p>
    <w:p>
      <w:pPr>
        <w:spacing w:after="0" w:line="167"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Depreciation and amortization, and Income or loss from Discontinued Operations. Adjusted EBITDA is calculated by adding to EBITDA, costs associated with restructuring and pension settlement charges, adding or subtracting revaluation losses or gains, subtracting gain from the sale of buildings or investments and insurance-recovery gains, and subtracting Income attributable to the noncontrolling interest in Albany Safran Composites, LLC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gains from the sale of buildings or investments and insurance-recovery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Consolidated results</w:t>
            </w:r>
          </w:p>
        </w:tc>
        <w:tc>
          <w:tcPr>
            <w:tcW w:w="14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bottom w:val="single" w:sz="8" w:color="auto"/>
            </w:tcBorders>
          </w:tcPr>
          <w:p>
            <w:pPr>
              <w:spacing w:after="0"/>
              <w:rPr>
                <w:sz w:val="19"/>
                <w:szCs w:val="19"/>
                <w:color w:val="auto"/>
              </w:rPr>
            </w:pPr>
          </w:p>
        </w:tc>
      </w:tr>
      <w:tr>
        <w:trPr>
          <w:trHeight w:val="39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2015</w:t>
            </w:r>
          </w:p>
        </w:tc>
        <w:tc>
          <w:tcPr>
            <w:tcW w:w="17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5"/>
                <w:szCs w:val="15"/>
                <w:color w:val="auto"/>
              </w:rPr>
            </w:pPr>
          </w:p>
        </w:tc>
        <w:tc>
          <w:tcPr>
            <w:tcW w:w="198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$57,265</w:t>
            </w:r>
          </w:p>
        </w:tc>
        <w:tc>
          <w:tcPr>
            <w:tcW w:w="17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$41,749</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$17,658</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9,984</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10,713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13,759</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Income tax (benefit)/expense</w:t>
            </w:r>
          </w:p>
        </w:tc>
        <w:tc>
          <w:tcPr>
            <w:tcW w:w="1460" w:type="dxa"/>
            <w:vAlign w:val="bottom"/>
          </w:tcPr>
          <w:p>
            <w:pPr>
              <w:spacing w:after="0"/>
              <w:rPr>
                <w:sz w:val="17"/>
                <w:szCs w:val="17"/>
                <w:color w:val="auto"/>
              </w:rPr>
            </w:pPr>
          </w:p>
        </w:tc>
        <w:tc>
          <w:tcPr>
            <w:tcW w:w="198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(5,787)</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25,751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13,372</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60,114</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64,292</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63,789</w:t>
            </w: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1460" w:type="dxa"/>
            <w:vAlign w:val="bottom"/>
          </w:tcPr>
          <w:p>
            <w:pPr>
              <w:spacing w:after="0"/>
              <w:rPr>
                <w:sz w:val="15"/>
                <w:szCs w:val="15"/>
                <w:color w:val="auto"/>
              </w:rPr>
            </w:pPr>
          </w:p>
        </w:tc>
        <w:tc>
          <w:tcPr>
            <w:tcW w:w="198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121,576</w:t>
            </w:r>
          </w:p>
        </w:tc>
        <w:tc>
          <w:tcPr>
            <w:tcW w:w="1760" w:type="dxa"/>
            <w:vAlign w:val="bottom"/>
          </w:tcPr>
          <w:p>
            <w:pPr>
              <w:jc w:val="right"/>
              <w:ind w:right="610"/>
              <w:spacing w:after="0" w:line="173" w:lineRule="exact"/>
              <w:rPr>
                <w:sz w:val="20"/>
                <w:szCs w:val="20"/>
                <w:color w:val="auto"/>
              </w:rPr>
            </w:pPr>
            <w:r>
              <w:rPr>
                <w:rFonts w:ascii="Arial" w:cs="Arial" w:eastAsia="Arial" w:hAnsi="Arial"/>
                <w:sz w:val="18"/>
                <w:szCs w:val="18"/>
                <w:color w:val="auto"/>
              </w:rPr>
              <w:t>142,505</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108,624</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23,846</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5,759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25,108</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460" w:type="dxa"/>
            <w:vAlign w:val="bottom"/>
          </w:tcPr>
          <w:p>
            <w:pPr>
              <w:spacing w:after="0"/>
              <w:rPr>
                <w:sz w:val="17"/>
                <w:szCs w:val="17"/>
                <w:color w:val="auto"/>
              </w:rPr>
            </w:pPr>
          </w:p>
        </w:tc>
        <w:tc>
          <w:tcPr>
            <w:tcW w:w="198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(3,594)</w:t>
            </w:r>
          </w:p>
        </w:tc>
        <w:tc>
          <w:tcPr>
            <w:tcW w:w="17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(10,310)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5,567</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(1,126)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460" w:type="dxa"/>
            <w:vAlign w:val="bottom"/>
          </w:tcPr>
          <w:p>
            <w:pPr>
              <w:spacing w:after="0"/>
              <w:rPr>
                <w:sz w:val="17"/>
                <w:szCs w:val="17"/>
                <w:color w:val="auto"/>
              </w:rPr>
            </w:pPr>
          </w:p>
        </w:tc>
        <w:tc>
          <w:tcPr>
            <w:tcW w:w="198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(872)</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460" w:type="dxa"/>
            <w:vAlign w:val="bottom"/>
          </w:tcPr>
          <w:p>
            <w:pPr>
              <w:spacing w:after="0"/>
              <w:rPr>
                <w:sz w:val="17"/>
                <w:szCs w:val="17"/>
                <w:color w:val="auto"/>
              </w:rPr>
            </w:pPr>
          </w:p>
        </w:tc>
        <w:tc>
          <w:tcPr>
            <w:tcW w:w="198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8,190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(income)/loss attibutable to noncontrolling interest in ASC</w:t>
            </w:r>
          </w:p>
        </w:tc>
        <w:tc>
          <w:tcPr>
            <w:tcW w:w="19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w:t>
            </w: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4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$140,976</w:t>
            </w:r>
          </w:p>
        </w:tc>
        <w:tc>
          <w:tcPr>
            <w:tcW w:w="17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$144,807</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$135,395</w:t>
            </w:r>
          </w:p>
        </w:tc>
      </w:tr>
      <w:tr>
        <w:trPr>
          <w:trHeight w:val="588"/>
        </w:trPr>
        <w:tc>
          <w:tcPr>
            <w:tcW w:w="4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bottom w:val="single" w:sz="8" w:color="auto"/>
            </w:tcBorders>
          </w:tcPr>
          <w:p>
            <w:pPr>
              <w:spacing w:after="0"/>
              <w:rPr>
                <w:sz w:val="24"/>
                <w:szCs w:val="24"/>
                <w:color w:val="auto"/>
              </w:rPr>
            </w:pPr>
          </w:p>
        </w:tc>
      </w:tr>
      <w:tr>
        <w:trPr>
          <w:trHeight w:val="376"/>
        </w:trPr>
        <w:tc>
          <w:tcPr>
            <w:tcW w:w="4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Albany</w:t>
            </w: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Corporate</w:t>
            </w:r>
          </w:p>
        </w:tc>
        <w:tc>
          <w:tcPr>
            <w:tcW w:w="1440" w:type="dxa"/>
            <w:vAlign w:val="bottom"/>
          </w:tcPr>
          <w:p>
            <w:pPr>
              <w:spacing w:after="0"/>
              <w:rPr>
                <w:sz w:val="24"/>
                <w:szCs w:val="24"/>
                <w:color w:val="auto"/>
              </w:rPr>
            </w:pPr>
          </w:p>
        </w:tc>
      </w:tr>
      <w:tr>
        <w:trPr>
          <w:trHeight w:val="203"/>
        </w:trPr>
        <w:tc>
          <w:tcPr>
            <w:tcW w:w="4780" w:type="dxa"/>
            <w:vAlign w:val="bottom"/>
          </w:tcPr>
          <w:p>
            <w:pPr>
              <w:spacing w:after="0"/>
              <w:rPr>
                <w:sz w:val="17"/>
                <w:szCs w:val="17"/>
                <w:color w:val="auto"/>
              </w:rPr>
            </w:pP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Machine</w:t>
            </w:r>
          </w:p>
        </w:tc>
        <w:tc>
          <w:tcPr>
            <w:tcW w:w="19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7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expenses and</w:t>
            </w:r>
          </w:p>
        </w:tc>
        <w:tc>
          <w:tcPr>
            <w:tcW w:w="14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Total</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2015</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Clothing</w:t>
            </w: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Composites</w:t>
            </w: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other</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r>
      <w:tr>
        <w:trPr>
          <w:trHeight w:val="195"/>
        </w:trPr>
        <w:tc>
          <w:tcPr>
            <w:tcW w:w="47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4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$141,311</w:t>
            </w:r>
          </w:p>
        </w:tc>
        <w:tc>
          <w:tcPr>
            <w:tcW w:w="19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($28,478)(a)</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($55,568)</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$57,265</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9,984</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9,984</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(5,787)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(5,787)</w:t>
            </w:r>
          </w:p>
        </w:tc>
      </w:tr>
      <w:tr>
        <w:trPr>
          <w:trHeight w:val="203"/>
        </w:trPr>
        <w:tc>
          <w:tcPr>
            <w:tcW w:w="4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39,503</w:t>
            </w:r>
          </w:p>
        </w:tc>
        <w:tc>
          <w:tcPr>
            <w:tcW w:w="19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12,140</w:t>
            </w:r>
          </w:p>
        </w:tc>
        <w:tc>
          <w:tcPr>
            <w:tcW w:w="17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8,471</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60,114</w:t>
            </w:r>
          </w:p>
        </w:tc>
      </w:tr>
      <w:tr>
        <w:trPr>
          <w:trHeight w:val="195"/>
        </w:trPr>
        <w:tc>
          <w:tcPr>
            <w:tcW w:w="478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14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180,814</w:t>
            </w:r>
          </w:p>
        </w:tc>
        <w:tc>
          <w:tcPr>
            <w:tcW w:w="19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(16,338)</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(42,900)</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121,576</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22,211</w:t>
            </w:r>
          </w:p>
        </w:tc>
        <w:tc>
          <w:tcPr>
            <w:tcW w:w="19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1,635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23,846</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(5,075)</w:t>
            </w:r>
          </w:p>
        </w:tc>
        <w:tc>
          <w:tcPr>
            <w:tcW w:w="19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(17)</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1,498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(3,594)</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(872)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03"/>
        </w:trPr>
        <w:tc>
          <w:tcPr>
            <w:tcW w:w="4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loss attributable to noncontrolling interest in ASC</w:t>
            </w:r>
          </w:p>
        </w:tc>
        <w:tc>
          <w:tcPr>
            <w:tcW w:w="14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w:t>
            </w:r>
          </w:p>
        </w:tc>
        <w:tc>
          <w:tcPr>
            <w:tcW w:w="17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4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$197,950</w:t>
            </w:r>
          </w:p>
        </w:tc>
        <w:tc>
          <w:tcPr>
            <w:tcW w:w="1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($16,335)</w:t>
            </w:r>
          </w:p>
        </w:tc>
        <w:tc>
          <w:tcPr>
            <w:tcW w:w="17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($40,639)</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$140,976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charge of $14.0 million related to BR 725 program</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5"/>
        </w:trPr>
        <w:tc>
          <w:tcPr>
            <w:tcW w:w="4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bottom w:val="single" w:sz="8" w:color="auto"/>
            </w:tcBorders>
          </w:tcPr>
          <w:p>
            <w:pPr>
              <w:spacing w:after="0"/>
              <w:rPr>
                <w:sz w:val="19"/>
                <w:szCs w:val="19"/>
                <w:color w:val="auto"/>
              </w:rPr>
            </w:pPr>
          </w:p>
        </w:tc>
      </w:tr>
      <w:tr>
        <w:trPr>
          <w:trHeight w:val="376"/>
        </w:trPr>
        <w:tc>
          <w:tcPr>
            <w:tcW w:w="4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Albany</w:t>
            </w: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Corporate</w:t>
            </w:r>
          </w:p>
        </w:tc>
        <w:tc>
          <w:tcPr>
            <w:tcW w:w="1440" w:type="dxa"/>
            <w:vAlign w:val="bottom"/>
          </w:tcPr>
          <w:p>
            <w:pPr>
              <w:spacing w:after="0"/>
              <w:rPr>
                <w:sz w:val="24"/>
                <w:szCs w:val="24"/>
                <w:color w:val="auto"/>
              </w:rPr>
            </w:pPr>
          </w:p>
        </w:tc>
      </w:tr>
      <w:tr>
        <w:trPr>
          <w:trHeight w:val="203"/>
        </w:trPr>
        <w:tc>
          <w:tcPr>
            <w:tcW w:w="4760" w:type="dxa"/>
            <w:vAlign w:val="bottom"/>
          </w:tcPr>
          <w:p>
            <w:pPr>
              <w:spacing w:after="0"/>
              <w:rPr>
                <w:sz w:val="17"/>
                <w:szCs w:val="17"/>
                <w:color w:val="auto"/>
              </w:rPr>
            </w:pPr>
          </w:p>
        </w:tc>
        <w:tc>
          <w:tcPr>
            <w:tcW w:w="17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Machine</w:t>
            </w:r>
          </w:p>
        </w:tc>
        <w:tc>
          <w:tcPr>
            <w:tcW w:w="16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7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expenses and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2014</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Clothing</w:t>
            </w: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Composites</w:t>
            </w: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other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476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7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$136,450</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($10,483)</w:t>
            </w:r>
          </w:p>
        </w:tc>
        <w:tc>
          <w:tcPr>
            <w:tcW w:w="1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($84,218)</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$41,749</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10,713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10,713</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25,751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25,751</w:t>
            </w:r>
          </w:p>
        </w:tc>
      </w:tr>
      <w:tr>
        <w:trPr>
          <w:trHeight w:val="203"/>
        </w:trPr>
        <w:tc>
          <w:tcPr>
            <w:tcW w:w="47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7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45,066</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10,880</w:t>
            </w:r>
          </w:p>
        </w:tc>
        <w:tc>
          <w:tcPr>
            <w:tcW w:w="17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8,346</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64,292</w:t>
            </w:r>
          </w:p>
        </w:tc>
      </w:tr>
      <w:tr>
        <w:trPr>
          <w:trHeight w:val="195"/>
        </w:trPr>
        <w:tc>
          <w:tcPr>
            <w:tcW w:w="476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17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181,516</w:t>
            </w:r>
          </w:p>
        </w:tc>
        <w:tc>
          <w:tcPr>
            <w:tcW w:w="16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397</w:t>
            </w:r>
          </w:p>
        </w:tc>
        <w:tc>
          <w:tcPr>
            <w:tcW w:w="1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(39,408)</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142,505</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4,828</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931</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5,759</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7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(3,921)</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(6,374)</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(10,310)</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(1,126)</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8,190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8,190</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ASC</w:t>
            </w:r>
          </w:p>
        </w:tc>
        <w:tc>
          <w:tcPr>
            <w:tcW w:w="17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(211)</w:t>
            </w:r>
          </w:p>
        </w:tc>
        <w:tc>
          <w:tcPr>
            <w:tcW w:w="17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r>
      <w:tr>
        <w:trPr>
          <w:trHeight w:val="196"/>
        </w:trPr>
        <w:tc>
          <w:tcPr>
            <w:tcW w:w="4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$182,423</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$1,102</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($38,718)</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$144,807</w:t>
            </w:r>
          </w:p>
        </w:tc>
      </w:tr>
      <w:tr>
        <w:trPr>
          <w:trHeight w:val="588"/>
        </w:trPr>
        <w:tc>
          <w:tcPr>
            <w:tcW w:w="4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Borders>
              <w:bottom w:val="single" w:sz="8" w:color="auto"/>
            </w:tcBorders>
          </w:tcPr>
          <w:p>
            <w:pPr>
              <w:spacing w:after="0"/>
              <w:rPr>
                <w:sz w:val="24"/>
                <w:szCs w:val="24"/>
                <w:color w:val="auto"/>
              </w:rPr>
            </w:pPr>
          </w:p>
        </w:tc>
      </w:tr>
      <w:tr>
        <w:trPr>
          <w:trHeight w:val="376"/>
        </w:trPr>
        <w:tc>
          <w:tcPr>
            <w:tcW w:w="4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Albany</w:t>
            </w: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Corporate</w:t>
            </w:r>
          </w:p>
        </w:tc>
        <w:tc>
          <w:tcPr>
            <w:tcW w:w="1440" w:type="dxa"/>
            <w:vAlign w:val="bottom"/>
          </w:tcPr>
          <w:p>
            <w:pPr>
              <w:spacing w:after="0"/>
              <w:rPr>
                <w:sz w:val="24"/>
                <w:szCs w:val="24"/>
                <w:color w:val="auto"/>
              </w:rPr>
            </w:pPr>
          </w:p>
        </w:tc>
      </w:tr>
      <w:tr>
        <w:trPr>
          <w:trHeight w:val="203"/>
        </w:trPr>
        <w:tc>
          <w:tcPr>
            <w:tcW w:w="4760" w:type="dxa"/>
            <w:vAlign w:val="bottom"/>
          </w:tcPr>
          <w:p>
            <w:pPr>
              <w:spacing w:after="0"/>
              <w:rPr>
                <w:sz w:val="17"/>
                <w:szCs w:val="17"/>
                <w:color w:val="auto"/>
              </w:rPr>
            </w:pPr>
          </w:p>
        </w:tc>
        <w:tc>
          <w:tcPr>
            <w:tcW w:w="17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Machine</w:t>
            </w:r>
          </w:p>
        </w:tc>
        <w:tc>
          <w:tcPr>
            <w:tcW w:w="16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7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expenses and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Clothing</w:t>
            </w: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Composites</w:t>
            </w: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other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Net income</w:t>
            </w:r>
          </w:p>
        </w:tc>
        <w:tc>
          <w:tcPr>
            <w:tcW w:w="17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$114,370</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($14,404)</w:t>
            </w:r>
          </w:p>
        </w:tc>
        <w:tc>
          <w:tcPr>
            <w:tcW w:w="1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($82,308)</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$17,658</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Loss from discontinued operations</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net</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13,759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13,759</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Income tax expense</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13,372</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13,372</w:t>
            </w:r>
          </w:p>
        </w:tc>
      </w:tr>
      <w:tr>
        <w:trPr>
          <w:trHeight w:val="203"/>
        </w:trPr>
        <w:tc>
          <w:tcPr>
            <w:tcW w:w="47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Depreciation and amortization</w:t>
            </w:r>
          </w:p>
        </w:tc>
        <w:tc>
          <w:tcPr>
            <w:tcW w:w="17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46,521</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8,460</w:t>
            </w:r>
          </w:p>
        </w:tc>
        <w:tc>
          <w:tcPr>
            <w:tcW w:w="17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8,808</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63,789</w:t>
            </w: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EBITDA</w:t>
            </w:r>
          </w:p>
        </w:tc>
        <w:tc>
          <w:tcPr>
            <w:tcW w:w="17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160,891</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(5,944)</w:t>
            </w:r>
          </w:p>
        </w:tc>
        <w:tc>
          <w:tcPr>
            <w:tcW w:w="1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(46,323)</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108,624</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Restructuring and other, net</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24,568</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540</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25,108</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losses</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296</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41</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5,230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5,567</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1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(3,763)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r>
      <w:tr>
        <w:trPr>
          <w:trHeight w:val="203"/>
        </w:trPr>
        <w:tc>
          <w:tcPr>
            <w:tcW w:w="4760" w:type="dxa"/>
            <w:vAlign w:val="bottom"/>
          </w:tcPr>
          <w:p>
            <w:pPr>
              <w:ind w:left="40"/>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ASC</w:t>
            </w:r>
          </w:p>
        </w:tc>
        <w:tc>
          <w:tcPr>
            <w:tcW w:w="17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(141)</w:t>
            </w:r>
          </w:p>
        </w:tc>
        <w:tc>
          <w:tcPr>
            <w:tcW w:w="17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Adjusted EBITDA</w:t>
            </w:r>
          </w:p>
        </w:tc>
        <w:tc>
          <w:tcPr>
            <w:tcW w:w="1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$185,755</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($5,504)</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($44,856)</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$135,395</w:t>
            </w: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effective tax rate utilized in that reporting period and the weighted average number of shares outstanding for each period. The full year earnings per-share effects were determined by adding the amounts calculated at each quarterly reporting period.</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(in thousands, except per share amounts)</w:t>
            </w:r>
          </w:p>
        </w:tc>
        <w:tc>
          <w:tcPr>
            <w:tcW w:w="1280" w:type="dxa"/>
            <w:vAlign w:val="bottom"/>
            <w:tcBorders>
              <w:bottom w:val="single" w:sz="8" w:color="auto"/>
            </w:tcBorders>
          </w:tcPr>
          <w:p>
            <w:pPr>
              <w:spacing w:after="0"/>
              <w:rPr>
                <w:sz w:val="19"/>
                <w:szCs w:val="19"/>
                <w:color w:val="auto"/>
              </w:rPr>
            </w:pPr>
          </w:p>
        </w:tc>
      </w:tr>
      <w:tr>
        <w:trPr>
          <w:trHeight w:val="173"/>
        </w:trPr>
        <w:tc>
          <w:tcPr>
            <w:tcW w:w="4700" w:type="dxa"/>
            <w:vAlign w:val="bottom"/>
          </w:tcPr>
          <w:p>
            <w:pPr>
              <w:spacing w:after="0"/>
              <w:rPr>
                <w:sz w:val="15"/>
                <w:szCs w:val="15"/>
                <w:color w:val="auto"/>
              </w:rPr>
            </w:pPr>
          </w:p>
        </w:tc>
        <w:tc>
          <w:tcPr>
            <w:tcW w:w="1600" w:type="dxa"/>
            <w:vAlign w:val="bottom"/>
          </w:tcPr>
          <w:p>
            <w:pPr>
              <w:jc w:val="center"/>
              <w:ind w:left="150"/>
              <w:spacing w:after="0" w:line="173" w:lineRule="exact"/>
              <w:rPr>
                <w:sz w:val="20"/>
                <w:szCs w:val="20"/>
                <w:color w:val="auto"/>
              </w:rPr>
            </w:pPr>
            <w:r>
              <w:rPr>
                <w:rFonts w:ascii="Arial" w:cs="Arial" w:eastAsia="Arial" w:hAnsi="Arial"/>
                <w:sz w:val="18"/>
                <w:szCs w:val="18"/>
                <w:b w:val="1"/>
                <w:bCs w:val="1"/>
                <w:color w:val="auto"/>
                <w:w w:val="99"/>
              </w:rPr>
              <w:t>Pre tax</w:t>
            </w:r>
          </w:p>
        </w:tc>
        <w:tc>
          <w:tcPr>
            <w:tcW w:w="200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6"/>
              </w:rPr>
              <w:t>Tax</w:t>
            </w:r>
          </w:p>
        </w:tc>
        <w:tc>
          <w:tcPr>
            <w:tcW w:w="1840" w:type="dxa"/>
            <w:vAlign w:val="bottom"/>
          </w:tcPr>
          <w:p>
            <w:pPr>
              <w:jc w:val="center"/>
              <w:ind w:right="230"/>
              <w:spacing w:after="0" w:line="173" w:lineRule="exact"/>
              <w:rPr>
                <w:sz w:val="20"/>
                <w:szCs w:val="20"/>
                <w:color w:val="auto"/>
              </w:rPr>
            </w:pPr>
            <w:r>
              <w:rPr>
                <w:rFonts w:ascii="Arial" w:cs="Arial" w:eastAsia="Arial" w:hAnsi="Arial"/>
                <w:sz w:val="18"/>
                <w:szCs w:val="18"/>
                <w:b w:val="1"/>
                <w:bCs w:val="1"/>
                <w:color w:val="auto"/>
                <w:w w:val="98"/>
              </w:rPr>
              <w:t>After tax</w:t>
            </w:r>
          </w:p>
        </w:tc>
        <w:tc>
          <w:tcPr>
            <w:tcW w:w="12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 Share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2015</w:t>
            </w:r>
          </w:p>
        </w:tc>
        <w:tc>
          <w:tcPr>
            <w:tcW w:w="16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Amounts</w:t>
            </w:r>
          </w:p>
        </w:tc>
        <w:tc>
          <w:tcPr>
            <w:tcW w:w="20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Effect</w:t>
            </w:r>
          </w:p>
        </w:tc>
        <w:tc>
          <w:tcPr>
            <w:tcW w:w="18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Effect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8"/>
                <w:szCs w:val="18"/>
                <w:color w:val="auto"/>
              </w:rPr>
              <w:t>Restructuring and other, net</w:t>
            </w:r>
          </w:p>
        </w:tc>
        <w:tc>
          <w:tcPr>
            <w:tcW w:w="16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$23,846</w:t>
            </w:r>
          </w:p>
        </w:tc>
        <w:tc>
          <w:tcPr>
            <w:tcW w:w="200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$8,434</w:t>
            </w:r>
          </w:p>
        </w:tc>
        <w:tc>
          <w:tcPr>
            <w:tcW w:w="1840" w:type="dxa"/>
            <w:vAlign w:val="bottom"/>
          </w:tcPr>
          <w:p>
            <w:pPr>
              <w:jc w:val="right"/>
              <w:ind w:right="430"/>
              <w:spacing w:after="0" w:line="173" w:lineRule="exact"/>
              <w:rPr>
                <w:sz w:val="20"/>
                <w:szCs w:val="20"/>
                <w:color w:val="auto"/>
              </w:rPr>
            </w:pPr>
            <w:r>
              <w:rPr>
                <w:rFonts w:ascii="Arial" w:cs="Arial" w:eastAsia="Arial" w:hAnsi="Arial"/>
                <w:sz w:val="18"/>
                <w:szCs w:val="18"/>
                <w:b w:val="1"/>
                <w:bCs w:val="1"/>
                <w:color w:val="auto"/>
              </w:rPr>
              <w:t>$15,412</w:t>
            </w:r>
          </w:p>
        </w:tc>
        <w:tc>
          <w:tcPr>
            <w:tcW w:w="128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$0.48</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3,594</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1,422</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2,172</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0.07</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872</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331</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541</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0.02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Net discrete income tax benefit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22,174</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22,174</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0.69</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revision in estimated contract profitability</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14,000</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5,180</w:t>
            </w:r>
          </w:p>
        </w:tc>
        <w:tc>
          <w:tcPr>
            <w:tcW w:w="1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8,820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0.28</w:t>
            </w:r>
          </w:p>
        </w:tc>
      </w:tr>
      <w:tr>
        <w:trPr>
          <w:trHeight w:val="480"/>
        </w:trPr>
        <w:tc>
          <w:tcPr>
            <w:tcW w:w="4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(in thousands, except per share amounts)</w:t>
            </w:r>
          </w:p>
        </w:tc>
        <w:tc>
          <w:tcPr>
            <w:tcW w:w="1280" w:type="dxa"/>
            <w:vAlign w:val="bottom"/>
            <w:tcBorders>
              <w:bottom w:val="single" w:sz="8" w:color="auto"/>
            </w:tcBorders>
          </w:tcPr>
          <w:p>
            <w:pPr>
              <w:spacing w:after="0"/>
              <w:rPr>
                <w:sz w:val="24"/>
                <w:szCs w:val="24"/>
                <w:color w:val="auto"/>
              </w:rPr>
            </w:pPr>
          </w:p>
        </w:tc>
      </w:tr>
      <w:tr>
        <w:trPr>
          <w:trHeight w:val="173"/>
        </w:trPr>
        <w:tc>
          <w:tcPr>
            <w:tcW w:w="4700" w:type="dxa"/>
            <w:vAlign w:val="bottom"/>
          </w:tcPr>
          <w:p>
            <w:pPr>
              <w:spacing w:after="0"/>
              <w:rPr>
                <w:sz w:val="15"/>
                <w:szCs w:val="15"/>
                <w:color w:val="auto"/>
              </w:rPr>
            </w:pPr>
          </w:p>
        </w:tc>
        <w:tc>
          <w:tcPr>
            <w:tcW w:w="1600" w:type="dxa"/>
            <w:vAlign w:val="bottom"/>
          </w:tcPr>
          <w:p>
            <w:pPr>
              <w:jc w:val="center"/>
              <w:ind w:left="150"/>
              <w:spacing w:after="0" w:line="173" w:lineRule="exact"/>
              <w:rPr>
                <w:sz w:val="20"/>
                <w:szCs w:val="20"/>
                <w:color w:val="auto"/>
              </w:rPr>
            </w:pPr>
            <w:r>
              <w:rPr>
                <w:rFonts w:ascii="Arial" w:cs="Arial" w:eastAsia="Arial" w:hAnsi="Arial"/>
                <w:sz w:val="18"/>
                <w:szCs w:val="18"/>
                <w:b w:val="1"/>
                <w:bCs w:val="1"/>
                <w:color w:val="auto"/>
                <w:w w:val="99"/>
              </w:rPr>
              <w:t>Pre tax</w:t>
            </w:r>
          </w:p>
        </w:tc>
        <w:tc>
          <w:tcPr>
            <w:tcW w:w="200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6"/>
              </w:rPr>
              <w:t>Tax</w:t>
            </w:r>
          </w:p>
        </w:tc>
        <w:tc>
          <w:tcPr>
            <w:tcW w:w="1840" w:type="dxa"/>
            <w:vAlign w:val="bottom"/>
          </w:tcPr>
          <w:p>
            <w:pPr>
              <w:jc w:val="center"/>
              <w:ind w:right="230"/>
              <w:spacing w:after="0" w:line="173" w:lineRule="exact"/>
              <w:rPr>
                <w:sz w:val="20"/>
                <w:szCs w:val="20"/>
                <w:color w:val="auto"/>
              </w:rPr>
            </w:pPr>
            <w:r>
              <w:rPr>
                <w:rFonts w:ascii="Arial" w:cs="Arial" w:eastAsia="Arial" w:hAnsi="Arial"/>
                <w:sz w:val="18"/>
                <w:szCs w:val="18"/>
                <w:b w:val="1"/>
                <w:bCs w:val="1"/>
                <w:color w:val="auto"/>
                <w:w w:val="98"/>
              </w:rPr>
              <w:t>After tax</w:t>
            </w:r>
          </w:p>
        </w:tc>
        <w:tc>
          <w:tcPr>
            <w:tcW w:w="12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 Share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2014</w:t>
            </w:r>
          </w:p>
        </w:tc>
        <w:tc>
          <w:tcPr>
            <w:tcW w:w="16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Amounts</w:t>
            </w:r>
          </w:p>
        </w:tc>
        <w:tc>
          <w:tcPr>
            <w:tcW w:w="20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Effect</w:t>
            </w:r>
          </w:p>
        </w:tc>
        <w:tc>
          <w:tcPr>
            <w:tcW w:w="18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Effect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Effect</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$5,759</w:t>
            </w:r>
          </w:p>
        </w:tc>
        <w:tc>
          <w:tcPr>
            <w:tcW w:w="20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$2,015</w:t>
            </w:r>
          </w:p>
        </w:tc>
        <w:tc>
          <w:tcPr>
            <w:tcW w:w="18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$3,744</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10,310</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3,535</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6,775</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1,126</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1,126</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8,190</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3,194</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4,996</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r>
      <w:tr>
        <w:trPr>
          <w:trHeight w:val="203"/>
        </w:trPr>
        <w:tc>
          <w:tcPr>
            <w:tcW w:w="4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3,242</w:t>
            </w:r>
          </w:p>
        </w:tc>
        <w:tc>
          <w:tcPr>
            <w:tcW w:w="18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3,242</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0.10</w:t>
            </w:r>
          </w:p>
        </w:tc>
      </w:tr>
      <w:tr>
        <w:trPr>
          <w:trHeight w:val="480"/>
        </w:trPr>
        <w:tc>
          <w:tcPr>
            <w:tcW w:w="4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(in thousands, except per share amounts)</w:t>
            </w:r>
          </w:p>
        </w:tc>
        <w:tc>
          <w:tcPr>
            <w:tcW w:w="1280" w:type="dxa"/>
            <w:vAlign w:val="bottom"/>
            <w:tcBorders>
              <w:bottom w:val="single" w:sz="8" w:color="auto"/>
            </w:tcBorders>
          </w:tcPr>
          <w:p>
            <w:pPr>
              <w:spacing w:after="0"/>
              <w:rPr>
                <w:sz w:val="24"/>
                <w:szCs w:val="24"/>
                <w:color w:val="auto"/>
              </w:rPr>
            </w:pPr>
          </w:p>
        </w:tc>
      </w:tr>
      <w:tr>
        <w:trPr>
          <w:trHeight w:val="173"/>
        </w:trPr>
        <w:tc>
          <w:tcPr>
            <w:tcW w:w="4700" w:type="dxa"/>
            <w:vAlign w:val="bottom"/>
          </w:tcPr>
          <w:p>
            <w:pPr>
              <w:spacing w:after="0"/>
              <w:rPr>
                <w:sz w:val="15"/>
                <w:szCs w:val="15"/>
                <w:color w:val="auto"/>
              </w:rPr>
            </w:pPr>
          </w:p>
        </w:tc>
        <w:tc>
          <w:tcPr>
            <w:tcW w:w="1600" w:type="dxa"/>
            <w:vAlign w:val="bottom"/>
          </w:tcPr>
          <w:p>
            <w:pPr>
              <w:jc w:val="center"/>
              <w:ind w:left="150"/>
              <w:spacing w:after="0" w:line="173" w:lineRule="exact"/>
              <w:rPr>
                <w:sz w:val="20"/>
                <w:szCs w:val="20"/>
                <w:color w:val="auto"/>
              </w:rPr>
            </w:pPr>
            <w:r>
              <w:rPr>
                <w:rFonts w:ascii="Arial" w:cs="Arial" w:eastAsia="Arial" w:hAnsi="Arial"/>
                <w:sz w:val="18"/>
                <w:szCs w:val="18"/>
                <w:b w:val="1"/>
                <w:bCs w:val="1"/>
                <w:color w:val="auto"/>
                <w:w w:val="99"/>
              </w:rPr>
              <w:t>Pre tax</w:t>
            </w:r>
          </w:p>
        </w:tc>
        <w:tc>
          <w:tcPr>
            <w:tcW w:w="200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6"/>
              </w:rPr>
              <w:t>Tax</w:t>
            </w:r>
          </w:p>
        </w:tc>
        <w:tc>
          <w:tcPr>
            <w:tcW w:w="1840" w:type="dxa"/>
            <w:vAlign w:val="bottom"/>
          </w:tcPr>
          <w:p>
            <w:pPr>
              <w:jc w:val="center"/>
              <w:ind w:right="230"/>
              <w:spacing w:after="0" w:line="173" w:lineRule="exact"/>
              <w:rPr>
                <w:sz w:val="20"/>
                <w:szCs w:val="20"/>
                <w:color w:val="auto"/>
              </w:rPr>
            </w:pPr>
            <w:r>
              <w:rPr>
                <w:rFonts w:ascii="Arial" w:cs="Arial" w:eastAsia="Arial" w:hAnsi="Arial"/>
                <w:sz w:val="18"/>
                <w:szCs w:val="18"/>
                <w:b w:val="1"/>
                <w:bCs w:val="1"/>
                <w:color w:val="auto"/>
                <w:w w:val="98"/>
              </w:rPr>
              <w:t>After tax</w:t>
            </w:r>
          </w:p>
        </w:tc>
        <w:tc>
          <w:tcPr>
            <w:tcW w:w="12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 Share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2013</w:t>
            </w:r>
          </w:p>
        </w:tc>
        <w:tc>
          <w:tcPr>
            <w:tcW w:w="16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Amounts</w:t>
            </w:r>
          </w:p>
        </w:tc>
        <w:tc>
          <w:tcPr>
            <w:tcW w:w="20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Effect</w:t>
            </w:r>
          </w:p>
        </w:tc>
        <w:tc>
          <w:tcPr>
            <w:tcW w:w="18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Effect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Effect</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$25,108</w:t>
            </w:r>
          </w:p>
        </w:tc>
        <w:tc>
          <w:tcPr>
            <w:tcW w:w="20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$9,599</w:t>
            </w:r>
          </w:p>
        </w:tc>
        <w:tc>
          <w:tcPr>
            <w:tcW w:w="18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$15,509</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$0.49</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5,567</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2,425</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3,142</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3,763</w:t>
            </w:r>
          </w:p>
        </w:tc>
        <w:tc>
          <w:tcPr>
            <w:tcW w:w="20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1,279</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2,484</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4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1,800</w:t>
            </w:r>
          </w:p>
        </w:tc>
        <w:tc>
          <w:tcPr>
            <w:tcW w:w="18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1,800</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0.05</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Years ended December 31,</w:t>
            </w:r>
          </w:p>
        </w:tc>
        <w:tc>
          <w:tcPr>
            <w:tcW w:w="170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7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 share amounts (Basic)</w:t>
            </w: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700" w:type="dxa"/>
            <w:vAlign w:val="bottom"/>
            <w:tcBorders>
              <w:bottom w:val="single" w:sz="8" w:color="auto"/>
            </w:tcBorders>
          </w:tcPr>
          <w:p>
            <w:pPr>
              <w:jc w:val="right"/>
              <w:ind w:right="1170"/>
              <w:spacing w:after="0" w:line="203" w:lineRule="exact"/>
              <w:rPr>
                <w:sz w:val="20"/>
                <w:szCs w:val="20"/>
                <w:color w:val="auto"/>
              </w:rPr>
            </w:pPr>
            <w:r>
              <w:rPr>
                <w:rFonts w:ascii="Arial" w:cs="Arial" w:eastAsia="Arial" w:hAnsi="Arial"/>
                <w:sz w:val="18"/>
                <w:szCs w:val="18"/>
                <w:color w:val="auto"/>
              </w:rPr>
              <w:t>2014</w:t>
            </w:r>
          </w:p>
        </w:tc>
        <w:tc>
          <w:tcPr>
            <w:tcW w:w="132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570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17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$1.79</w:t>
            </w:r>
            <w:r>
              <w:rPr>
                <w:rFonts w:ascii="Arial" w:cs="Arial" w:eastAsia="Arial" w:hAnsi="Arial"/>
                <w:sz w:val="18"/>
                <w:szCs w:val="18"/>
                <w:color w:val="auto"/>
              </w:rPr>
              <w:t>(a)</w:t>
            </w:r>
          </w:p>
        </w:tc>
        <w:tc>
          <w:tcPr>
            <w:tcW w:w="2700" w:type="dxa"/>
            <w:vAlign w:val="bottom"/>
          </w:tcPr>
          <w:p>
            <w:pPr>
              <w:jc w:val="right"/>
              <w:ind w:right="730"/>
              <w:spacing w:after="0" w:line="195" w:lineRule="exact"/>
              <w:rPr>
                <w:sz w:val="20"/>
                <w:szCs w:val="20"/>
                <w:color w:val="auto"/>
              </w:rPr>
            </w:pPr>
            <w:r>
              <w:rPr>
                <w:rFonts w:ascii="Arial" w:cs="Arial" w:eastAsia="Arial" w:hAnsi="Arial"/>
                <w:sz w:val="18"/>
                <w:szCs w:val="18"/>
                <w:color w:val="auto"/>
              </w:rPr>
              <w:t>$1.31</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7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0.48</w:t>
            </w:r>
          </w:p>
        </w:tc>
        <w:tc>
          <w:tcPr>
            <w:tcW w:w="2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00" w:type="dxa"/>
            <w:vAlign w:val="bottom"/>
          </w:tcPr>
          <w:p>
            <w:pPr>
              <w:spacing w:after="0" w:line="181" w:lineRule="exact"/>
              <w:rPr>
                <w:sz w:val="20"/>
                <w:szCs w:val="20"/>
                <w:color w:val="auto"/>
              </w:rPr>
            </w:pPr>
            <w:r>
              <w:rPr>
                <w:rFonts w:ascii="Arial" w:cs="Arial" w:eastAsia="Arial" w:hAnsi="Arial"/>
                <w:sz w:val="18"/>
                <w:szCs w:val="18"/>
                <w:color w:val="auto"/>
              </w:rPr>
              <w:t>Restructuring and other, net</w:t>
            </w:r>
          </w:p>
        </w:tc>
        <w:tc>
          <w:tcPr>
            <w:tcW w:w="1700" w:type="dxa"/>
            <w:vAlign w:val="bottom"/>
            <w:vMerge w:val="continue"/>
          </w:tcPr>
          <w:p>
            <w:pPr>
              <w:spacing w:after="0"/>
              <w:rPr>
                <w:sz w:val="15"/>
                <w:szCs w:val="15"/>
                <w:color w:val="auto"/>
              </w:rPr>
            </w:pPr>
          </w:p>
        </w:tc>
        <w:tc>
          <w:tcPr>
            <w:tcW w:w="2700" w:type="dxa"/>
            <w:vAlign w:val="bottom"/>
          </w:tcPr>
          <w:p>
            <w:pPr>
              <w:jc w:val="right"/>
              <w:ind w:right="730"/>
              <w:spacing w:after="0" w:line="181" w:lineRule="exact"/>
              <w:rPr>
                <w:sz w:val="20"/>
                <w:szCs w:val="20"/>
                <w:color w:val="auto"/>
              </w:rPr>
            </w:pPr>
            <w:r>
              <w:rPr>
                <w:rFonts w:ascii="Arial" w:cs="Arial" w:eastAsia="Arial" w:hAnsi="Arial"/>
                <w:sz w:val="18"/>
                <w:szCs w:val="18"/>
                <w:color w:val="auto"/>
              </w:rPr>
              <w:t>0.12</w:t>
            </w:r>
          </w:p>
        </w:tc>
        <w:tc>
          <w:tcPr>
            <w:tcW w:w="13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Discrete tax charges/(benefits)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(0.69)</w:t>
            </w:r>
          </w:p>
        </w:tc>
        <w:tc>
          <w:tcPr>
            <w:tcW w:w="2700" w:type="dxa"/>
            <w:vAlign w:val="bottom"/>
          </w:tcPr>
          <w:p>
            <w:pPr>
              <w:jc w:val="right"/>
              <w:ind w:right="730"/>
              <w:spacing w:after="0" w:line="202" w:lineRule="exact"/>
              <w:rPr>
                <w:sz w:val="20"/>
                <w:szCs w:val="20"/>
                <w:color w:val="auto"/>
              </w:rPr>
            </w:pPr>
            <w:r>
              <w:rPr>
                <w:rFonts w:ascii="Arial" w:cs="Arial" w:eastAsia="Arial" w:hAnsi="Arial"/>
                <w:sz w:val="18"/>
                <w:szCs w:val="18"/>
                <w:color w:val="auto"/>
              </w:rPr>
              <w:t>0.10</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(0.07)</w:t>
            </w:r>
          </w:p>
        </w:tc>
        <w:tc>
          <w:tcPr>
            <w:tcW w:w="270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(0.21)</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(0.04)</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(0.02)</w:t>
            </w:r>
          </w:p>
        </w:tc>
        <w:tc>
          <w:tcPr>
            <w:tcW w:w="2700" w:type="dxa"/>
            <w:vAlign w:val="bottom"/>
          </w:tcPr>
          <w:p>
            <w:pPr>
              <w:jc w:val="right"/>
              <w:ind w:right="7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ind w:right="730"/>
              <w:spacing w:after="0" w:line="202" w:lineRule="exact"/>
              <w:rPr>
                <w:sz w:val="20"/>
                <w:szCs w:val="20"/>
                <w:color w:val="auto"/>
              </w:rPr>
            </w:pPr>
            <w:r>
              <w:rPr>
                <w:rFonts w:ascii="Arial" w:cs="Arial" w:eastAsia="Arial" w:hAnsi="Arial"/>
                <w:sz w:val="18"/>
                <w:szCs w:val="18"/>
                <w:color w:val="auto"/>
              </w:rPr>
              <w:t>0.16</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former manufacturing facility</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7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1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$1.49</w:t>
            </w:r>
          </w:p>
        </w:tc>
        <w:tc>
          <w:tcPr>
            <w:tcW w:w="27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color w:val="auto"/>
              </w:rPr>
              <w:t>$1.44</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charge of $0.28 related to BR 725 program</w:t>
      </w:r>
    </w:p>
    <w:p>
      <w:pPr>
        <w:spacing w:after="0" w:line="200" w:lineRule="exact"/>
        <w:rPr>
          <w:sz w:val="20"/>
          <w:szCs w:val="20"/>
          <w:color w:val="auto"/>
        </w:rPr>
      </w:pPr>
    </w:p>
    <w:p>
      <w:pPr>
        <w:spacing w:after="0" w:line="29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tcBorders>
              <w:bottom w:val="single" w:sz="8" w:color="auto"/>
            </w:tcBorders>
          </w:tcPr>
          <w:p>
            <w:pPr>
              <w:spacing w:after="0"/>
              <w:rPr>
                <w:sz w:val="19"/>
                <w:szCs w:val="19"/>
                <w:color w:val="auto"/>
              </w:rPr>
            </w:pPr>
          </w:p>
        </w:tc>
      </w:tr>
      <w:tr>
        <w:trPr>
          <w:trHeight w:val="196"/>
        </w:trPr>
        <w:tc>
          <w:tcPr>
            <w:tcW w:w="6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w:t>
            </w:r>
          </w:p>
        </w:tc>
        <w:tc>
          <w:tcPr>
            <w:tcW w:w="1640" w:type="dxa"/>
            <w:vAlign w:val="bottom"/>
            <w:tcBorders>
              <w:bottom w:val="single" w:sz="8" w:color="auto"/>
              <w:right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2015</w:t>
            </w:r>
          </w:p>
        </w:tc>
        <w:tc>
          <w:tcPr>
            <w:tcW w:w="1660" w:type="dxa"/>
            <w:vAlign w:val="bottom"/>
            <w:tcBorders>
              <w:bottom w:val="single" w:sz="8" w:color="auto"/>
              <w:right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2014</w:t>
            </w:r>
          </w:p>
        </w:tc>
        <w:tc>
          <w:tcPr>
            <w:tcW w:w="1640" w:type="dxa"/>
            <w:vAlign w:val="bottom"/>
            <w:tcBorders>
              <w:bottom w:val="single" w:sz="8" w:color="auto"/>
              <w:right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2013</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Notes and loans payable</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$587</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$661</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$625</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Current maturities of long-term debt</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50,015</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3,764</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Long-term debt</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265,080</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222,096</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300,111</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Total debt</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265,683</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272,772</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304,500</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Cash</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185,113</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179,802</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222,666</w:t>
            </w:r>
          </w:p>
        </w:tc>
      </w:tr>
      <w:tr>
        <w:trPr>
          <w:trHeight w:val="196"/>
        </w:trPr>
        <w:tc>
          <w:tcPr>
            <w:tcW w:w="65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Net debt</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$80,570</w:t>
            </w:r>
          </w:p>
        </w:tc>
        <w:tc>
          <w:tcPr>
            <w:tcW w:w="16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$92,970</w:t>
            </w:r>
          </w:p>
        </w:tc>
        <w:tc>
          <w:tcPr>
            <w:tcW w:w="164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$81,834</w:t>
            </w:r>
          </w:p>
        </w:tc>
      </w:tr>
    </w:tbl>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$484.5 million. The potential loss in fair value resulting from a hypothetical 10% adverse change in quoted foreign currency exchange rates amounts to $ 48.5 million. Furthermore, related to foreign currency transactions, we have exposure to various nonfunctional currency balances totaling $78.6 million. This amount includes, on an absolute basis, exposures to assets and liabilities held in currencies other than our local entity’s functional currency. On a net basis, we had $53.4 million of foreign currency assets as of December 31, 2015. As currency rates change, these nonfunctional currency balances are revalued, and the corresponding adjustment is recorded in the income statement. A hypothetical change of 10% in currency rates could result in an adjustment to the income statement of approximately $5.3 million. Actual results may differ.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2015,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b w:val="1"/>
                <w:bCs w:val="1"/>
                <w:color w:val="auto"/>
              </w:rPr>
              <w:t>Short-term debt</w:t>
            </w:r>
          </w:p>
        </w:tc>
        <w:tc>
          <w:tcPr>
            <w:tcW w:w="980" w:type="dxa"/>
            <w:vAlign w:val="bottom"/>
            <w:tcBorders>
              <w:top w:val="single" w:sz="8" w:color="auto"/>
            </w:tcBorders>
          </w:tcPr>
          <w:p>
            <w:pPr>
              <w:spacing w:after="0"/>
              <w:rPr>
                <w:sz w:val="16"/>
                <w:szCs w:val="16"/>
                <w:color w:val="auto"/>
              </w:rPr>
            </w:pPr>
          </w:p>
        </w:tc>
      </w:tr>
      <w:tr>
        <w:trPr>
          <w:trHeight w:val="181"/>
        </w:trPr>
        <w:tc>
          <w:tcPr>
            <w:tcW w:w="10440" w:type="dxa"/>
            <w:vAlign w:val="bottom"/>
          </w:tcPr>
          <w:p>
            <w:pPr>
              <w:ind w:left="40"/>
              <w:spacing w:after="0" w:line="181" w:lineRule="exact"/>
              <w:rPr>
                <w:sz w:val="20"/>
                <w:szCs w:val="20"/>
                <w:color w:val="auto"/>
              </w:rPr>
            </w:pPr>
            <w:r>
              <w:rPr>
                <w:rFonts w:ascii="Arial" w:cs="Arial" w:eastAsia="Arial" w:hAnsi="Arial"/>
                <w:sz w:val="18"/>
                <w:szCs w:val="18"/>
                <w:color w:val="auto"/>
              </w:rPr>
              <w:t>Notes payable, end of period interest rate of 1.60%</w:t>
            </w: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$587</w:t>
            </w:r>
          </w:p>
        </w:tc>
      </w:tr>
      <w:tr>
        <w:trPr>
          <w:trHeight w:val="225"/>
        </w:trPr>
        <w:tc>
          <w:tcPr>
            <w:tcW w:w="10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980" w:type="dxa"/>
            <w:vAlign w:val="bottom"/>
          </w:tcPr>
          <w:p>
            <w:pPr>
              <w:spacing w:after="0"/>
              <w:rPr>
                <w:sz w:val="19"/>
                <w:szCs w:val="19"/>
                <w:color w:val="auto"/>
              </w:rPr>
            </w:pPr>
          </w:p>
        </w:tc>
      </w:tr>
      <w:tr>
        <w:trPr>
          <w:trHeight w:val="203"/>
        </w:trPr>
        <w:tc>
          <w:tcPr>
            <w:tcW w:w="10440" w:type="dxa"/>
            <w:vAlign w:val="bottom"/>
          </w:tcPr>
          <w:p>
            <w:pPr>
              <w:ind w:left="40"/>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1.73% in 2015, due in</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105,000</w:t>
            </w:r>
          </w:p>
        </w:tc>
      </w:tr>
      <w:tr>
        <w:trPr>
          <w:trHeight w:val="203"/>
        </w:trPr>
        <w:tc>
          <w:tcPr>
            <w:tcW w:w="104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17"/>
                <w:szCs w:val="17"/>
                <w:color w:val="auto"/>
              </w:rPr>
            </w:pPr>
          </w:p>
        </w:tc>
      </w:tr>
      <w:tr>
        <w:trPr>
          <w:trHeight w:val="399"/>
        </w:trPr>
        <w:tc>
          <w:tcPr>
            <w:tcW w:w="10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$105,587</w:t>
            </w:r>
          </w:p>
        </w:tc>
      </w:tr>
      <w:tr>
        <w:trPr>
          <w:trHeight w:val="696"/>
        </w:trPr>
        <w:tc>
          <w:tcPr>
            <w:tcW w:w="10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29"/>
        </w:trPr>
        <w:tc>
          <w:tcPr>
            <w:tcW w:w="10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ectPr>
          <w:pgSz w:w="11900" w:h="16838" w:orient="portrait"/>
          <w:cols w:equalWidth="0" w:num="1">
            <w:col w:w="11440"/>
          </w:cols>
          <w:pgMar w:left="240" w:top="976" w:right="219" w:bottom="1440" w:gutter="0" w:footer="0" w:header="0"/>
        </w:sectPr>
      </w:pPr>
    </w:p>
    <w:bookmarkStart w:id="41" w:name="page42"/>
    <w:bookmarkEnd w:id="41"/>
    <w:p>
      <w:pPr>
        <w:ind w:right="2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increase/decrease interest expense by $1.1 million. To manage interest rate risk, we may periodically enter into interest rate swap agreements to effectively fix the interest rates on variable debt to a specific rate for a period of time. (See Note 15 to the Consolidated Financial Statements in Item 8, which is incorporated herein by reference).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9"/>
        </w:trPr>
        <w:tc>
          <w:tcPr>
            <w:tcW w:w="878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80" w:type="dxa"/>
            <w:vAlign w:val="bottom"/>
          </w:tcPr>
          <w:p>
            <w:pPr>
              <w:ind w:left="260"/>
              <w:spacing w:after="0"/>
              <w:rPr>
                <w:sz w:val="20"/>
                <w:szCs w:val="20"/>
                <w:color w:val="auto"/>
              </w:rPr>
            </w:pPr>
            <w:r>
              <w:rPr>
                <w:rFonts w:ascii="Arial" w:cs="Arial" w:eastAsia="Arial" w:hAnsi="Arial"/>
                <w:sz w:val="18"/>
                <w:szCs w:val="18"/>
                <w:color w:val="auto"/>
              </w:rPr>
              <w:t>Report of KPMG LLP</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65"/>
        </w:trPr>
        <w:tc>
          <w:tcPr>
            <w:tcW w:w="8780" w:type="dxa"/>
            <w:vAlign w:val="bottom"/>
          </w:tcPr>
          <w:p>
            <w:pPr>
              <w:ind w:left="260"/>
              <w:spacing w:after="0"/>
              <w:rPr>
                <w:sz w:val="20"/>
                <w:szCs w:val="20"/>
                <w:color w:val="auto"/>
              </w:rPr>
            </w:pPr>
            <w:r>
              <w:rPr>
                <w:rFonts w:ascii="Arial" w:cs="Arial" w:eastAsia="Arial" w:hAnsi="Arial"/>
                <w:sz w:val="18"/>
                <w:szCs w:val="18"/>
                <w:color w:val="auto"/>
              </w:rPr>
              <w:t>Report of PricewaterhouseCoopers LLP</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80" w:type="dxa"/>
            <w:vAlign w:val="bottom"/>
          </w:tcPr>
          <w:p>
            <w:pPr>
              <w:ind w:left="260"/>
              <w:spacing w:after="0"/>
              <w:rPr>
                <w:sz w:val="20"/>
                <w:szCs w:val="20"/>
                <w:color w:val="auto"/>
              </w:rPr>
            </w:pPr>
            <w:r>
              <w:rPr>
                <w:rFonts w:ascii="Arial" w:cs="Arial" w:eastAsia="Arial" w:hAnsi="Arial"/>
                <w:sz w:val="18"/>
                <w:szCs w:val="18"/>
                <w:color w:val="auto"/>
              </w:rPr>
              <w:t>December 31, 2015, 2014, and 2013</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color w:val="auto"/>
              </w:rPr>
              <w:t>Consolidated Statements of Comprehensive Income/(Loss) for the years ended</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80" w:type="dxa"/>
            <w:vAlign w:val="bottom"/>
          </w:tcPr>
          <w:p>
            <w:pPr>
              <w:ind w:left="260"/>
              <w:spacing w:after="0"/>
              <w:rPr>
                <w:sz w:val="20"/>
                <w:szCs w:val="20"/>
                <w:color w:val="auto"/>
              </w:rPr>
            </w:pPr>
            <w:r>
              <w:rPr>
                <w:rFonts w:ascii="Arial" w:cs="Arial" w:eastAsia="Arial" w:hAnsi="Arial"/>
                <w:sz w:val="18"/>
                <w:szCs w:val="18"/>
                <w:color w:val="auto"/>
              </w:rPr>
              <w:t>December 31, 2015, 2014, and 2013</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color w:val="auto"/>
              </w:rPr>
              <w:t>Consolidated Balance Sheets as of December 31, 2015 and 2014</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65"/>
        </w:trPr>
        <w:tc>
          <w:tcPr>
            <w:tcW w:w="87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80" w:type="dxa"/>
            <w:vAlign w:val="bottom"/>
          </w:tcPr>
          <w:p>
            <w:pPr>
              <w:ind w:left="260"/>
              <w:spacing w:after="0"/>
              <w:rPr>
                <w:sz w:val="20"/>
                <w:szCs w:val="20"/>
                <w:color w:val="auto"/>
              </w:rPr>
            </w:pPr>
            <w:r>
              <w:rPr>
                <w:rFonts w:ascii="Arial" w:cs="Arial" w:eastAsia="Arial" w:hAnsi="Arial"/>
                <w:sz w:val="18"/>
                <w:szCs w:val="18"/>
                <w:color w:val="auto"/>
              </w:rPr>
              <w:t>December 31, 2015, 2014, and 2013</w:t>
            </w:r>
          </w:p>
        </w:tc>
        <w:tc>
          <w:tcPr>
            <w:tcW w:w="26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48"/>
        </w:trPr>
        <w:tc>
          <w:tcPr>
            <w:tcW w:w="878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7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02"/>
        </w:trPr>
        <w:tc>
          <w:tcPr>
            <w:tcW w:w="87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9"/>
        </w:trPr>
        <w:tc>
          <w:tcPr>
            <w:tcW w:w="87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4" w:right="239" w:bottom="1440" w:gutter="0" w:footer="0" w:header="0"/>
        </w:sectPr>
      </w:pPr>
    </w:p>
    <w:bookmarkStart w:id="43" w:name="page44"/>
    <w:bookmarkEnd w:id="43"/>
    <w:p>
      <w:pPr>
        <w:ind w:right="3220" w:firstLine="3224"/>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jc w:val="both"/>
        <w:ind w:firstLine="648"/>
        <w:spacing w:after="0" w:line="236" w:lineRule="auto"/>
        <w:rPr>
          <w:sz w:val="20"/>
          <w:szCs w:val="20"/>
          <w:color w:val="auto"/>
        </w:rPr>
      </w:pPr>
      <w:r>
        <w:rPr>
          <w:rFonts w:ascii="Arial" w:cs="Arial" w:eastAsia="Arial" w:hAnsi="Arial"/>
          <w:sz w:val="18"/>
          <w:szCs w:val="18"/>
          <w:color w:val="auto"/>
        </w:rPr>
        <w:t>We have audited the accompanying consolidated balance sheets of Albany International Corp. and subsidiaries as of December 31, 2015 and 2014, and the related consolidated statements of income, comprehensive income/(loss), and cash flows for the years then ended. In connection with our audits of the consolidated financial statements, we also have audited the financial statement schedule of valuation and qualifying accounts for the years ended December 31, 2015 and 2014. We also have audited Albany International Corp.’s internal control over financial reporting as of December 31, 2015, based on criteria established in Internal Control – Integrated Framework (2013) issued by the Committee of Sponsoring Organizations of the Treadway Commission. Albany International Corp.’s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these consolidated financial statements and an opinion on the Albany International Corp.’s internal control over financial reporting based on our audits.</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Albany International Corp. and subsidiaries as of December 31, 2015 and 2014, and the results of their operations and their cash flows for the years then ended, in conformity with U.S. generally accepted accounting principles. In our opinion, the related financial statement schedule for the years ended December 31, 2015 and 2014, when considered in relation to the basic consolidated financial statements taken as a whole, presents fairly, in all material respects, the information set forth therein. Also in our opinion, Albany International Corp. maintained, in all material respects, effective internal control over financial reporting as of December 31, 2015, based on criteria established in Internal Control – Integrated Framework (2013) issued by the Committee of Sponsoring Organizations of the Treadway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4" w:name="page45"/>
    <w:bookmarkEnd w:id="44"/>
    <w:p>
      <w:pPr>
        <w:ind w:right="3220" w:firstLine="3224"/>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jc w:val="both"/>
        <w:ind w:firstLine="648"/>
        <w:spacing w:after="0" w:line="236" w:lineRule="auto"/>
        <w:rPr>
          <w:sz w:val="20"/>
          <w:szCs w:val="20"/>
          <w:color w:val="auto"/>
        </w:rPr>
      </w:pPr>
      <w:r>
        <w:rPr>
          <w:rFonts w:ascii="Arial" w:cs="Arial" w:eastAsia="Arial" w:hAnsi="Arial"/>
          <w:sz w:val="18"/>
          <w:szCs w:val="18"/>
          <w:color w:val="auto"/>
        </w:rPr>
        <w:t>In our opinion, the consolidated statement of income, comprehensive income and cash flows for the year ended December 31, 2013 presents fairly, in all material respects, the results of operations and cash flows of Albany International Corp. and its subsidiaries for the year ended December 31, 2013, in conformity with accounting principles generally accepted in the United States of America. In addition, in our opinion, the financial statement schedule for the year ended December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 financial statements and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February 26, 2014, except for the effects of the revisions discussed in Note 8, Note 11 and Note 5 (not presented herein) to the consolidated financial statements appearing under Item 8 of the Company's 2014 annual report on Form 10-K, as to which the date is February 27,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900" w:type="dxa"/>
            <w:vAlign w:val="bottom"/>
          </w:tcPr>
          <w:p>
            <w:pPr>
              <w:jc w:val="center"/>
              <w:ind w:left="4430"/>
              <w:spacing w:after="0"/>
              <w:rPr>
                <w:sz w:val="20"/>
                <w:szCs w:val="20"/>
                <w:color w:val="auto"/>
              </w:rPr>
            </w:pPr>
            <w:r>
              <w:rPr>
                <w:rFonts w:ascii="Arial" w:cs="Arial" w:eastAsia="Arial" w:hAnsi="Arial"/>
                <w:sz w:val="18"/>
                <w:szCs w:val="18"/>
                <w:b w:val="1"/>
                <w:bCs w:val="1"/>
                <w:color w:val="0000FF"/>
              </w:rPr>
              <w:t>Albany International Corp.</w:t>
            </w: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tcPr>
          <w:p>
            <w:pPr>
              <w:jc w:val="center"/>
              <w:ind w:left="3070"/>
              <w:spacing w:after="0" w:line="202" w:lineRule="exact"/>
              <w:rPr>
                <w:sz w:val="20"/>
                <w:szCs w:val="20"/>
                <w:color w:val="auto"/>
              </w:rPr>
            </w:pPr>
            <w:r>
              <w:rPr>
                <w:rFonts w:ascii="Arial" w:cs="Arial" w:eastAsia="Arial" w:hAnsi="Arial"/>
                <w:sz w:val="18"/>
                <w:szCs w:val="18"/>
                <w:b w:val="1"/>
                <w:bCs w:val="1"/>
                <w:color w:val="auto"/>
                <w:w w:val="99"/>
              </w:rPr>
              <w:t>Consolidated Statements of Income</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tcPr>
          <w:p>
            <w:pPr>
              <w:jc w:val="center"/>
              <w:ind w:left="3070"/>
              <w:spacing w:after="0" w:line="202" w:lineRule="exact"/>
              <w:rPr>
                <w:sz w:val="20"/>
                <w:szCs w:val="20"/>
                <w:color w:val="auto"/>
              </w:rPr>
            </w:pPr>
            <w:r>
              <w:rPr>
                <w:rFonts w:ascii="Arial" w:cs="Arial" w:eastAsia="Arial" w:hAnsi="Arial"/>
                <w:sz w:val="18"/>
                <w:szCs w:val="18"/>
                <w:b w:val="1"/>
                <w:bCs w:val="1"/>
                <w:color w:val="auto"/>
              </w:rPr>
              <w:t>For the years ended December 31,</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tcPr>
          <w:p>
            <w:pPr>
              <w:jc w:val="center"/>
              <w:ind w:left="3070"/>
              <w:spacing w:after="0" w:line="202" w:lineRule="exact"/>
              <w:rPr>
                <w:sz w:val="20"/>
                <w:szCs w:val="20"/>
                <w:color w:val="auto"/>
              </w:rPr>
            </w:pPr>
            <w:r>
              <w:rPr>
                <w:rFonts w:ascii="Arial" w:cs="Arial" w:eastAsia="Arial" w:hAnsi="Arial"/>
                <w:sz w:val="18"/>
                <w:szCs w:val="18"/>
                <w:b w:val="1"/>
                <w:bCs w:val="1"/>
                <w:color w:val="auto"/>
              </w:rPr>
              <w:t>(in thousands, except per share amounts)</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76"/>
        </w:trPr>
        <w:tc>
          <w:tcPr>
            <w:tcW w:w="690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$709,868</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$745,345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$757,414</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Cost of goods sold</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431,182</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453,710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466,860</w:t>
            </w:r>
          </w:p>
        </w:tc>
        <w:tc>
          <w:tcPr>
            <w:tcW w:w="0" w:type="dxa"/>
            <w:vAlign w:val="bottom"/>
          </w:tcPr>
          <w:p>
            <w:pPr>
              <w:spacing w:after="0"/>
              <w:rPr>
                <w:sz w:val="1"/>
                <w:szCs w:val="1"/>
                <w:color w:val="auto"/>
              </w:rPr>
            </w:pPr>
          </w:p>
        </w:tc>
      </w:tr>
      <w:tr>
        <w:trPr>
          <w:trHeight w:val="232"/>
        </w:trPr>
        <w:tc>
          <w:tcPr>
            <w:tcW w:w="69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278,686</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291,635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290,554</w:t>
            </w:r>
          </w:p>
        </w:tc>
        <w:tc>
          <w:tcPr>
            <w:tcW w:w="0" w:type="dxa"/>
            <w:vAlign w:val="bottom"/>
          </w:tcPr>
          <w:p>
            <w:pPr>
              <w:spacing w:after="0"/>
              <w:rPr>
                <w:sz w:val="1"/>
                <w:szCs w:val="1"/>
                <w:color w:val="auto"/>
              </w:rPr>
            </w:pPr>
          </w:p>
        </w:tc>
      </w:tr>
      <w:tr>
        <w:trPr>
          <w:trHeight w:val="346"/>
        </w:trPr>
        <w:tc>
          <w:tcPr>
            <w:tcW w:w="690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146,192</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147,198</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157,688</w:t>
            </w:r>
          </w:p>
        </w:tc>
        <w:tc>
          <w:tcPr>
            <w:tcW w:w="0" w:type="dxa"/>
            <w:vAlign w:val="bottom"/>
          </w:tcPr>
          <w:p>
            <w:pPr>
              <w:spacing w:after="0"/>
              <w:rPr>
                <w:sz w:val="1"/>
                <w:szCs w:val="1"/>
                <w:color w:val="auto"/>
              </w:rPr>
            </w:pPr>
          </w:p>
        </w:tc>
      </w:tr>
      <w:tr>
        <w:trPr>
          <w:trHeight w:val="203"/>
        </w:trPr>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3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44,753</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59,128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55,667</w:t>
            </w:r>
          </w:p>
        </w:tc>
        <w:tc>
          <w:tcPr>
            <w:tcW w:w="0" w:type="dxa"/>
            <w:vAlign w:val="bottom"/>
          </w:tcPr>
          <w:p>
            <w:pPr>
              <w:spacing w:after="0"/>
              <w:rPr>
                <w:sz w:val="1"/>
                <w:szCs w:val="1"/>
                <w:color w:val="auto"/>
              </w:rPr>
            </w:pPr>
          </w:p>
        </w:tc>
      </w:tr>
      <w:tr>
        <w:trPr>
          <w:trHeight w:val="203"/>
        </w:trPr>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13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23,846</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5,759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25,108</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Pension settlement expense</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8,190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90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63,895</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71,360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52,091</w:t>
            </w:r>
          </w:p>
        </w:tc>
        <w:tc>
          <w:tcPr>
            <w:tcW w:w="0" w:type="dxa"/>
            <w:vAlign w:val="bottom"/>
          </w:tcPr>
          <w:p>
            <w:pPr>
              <w:spacing w:after="0"/>
              <w:rPr>
                <w:sz w:val="1"/>
                <w:szCs w:val="1"/>
                <w:color w:val="auto"/>
              </w:rPr>
            </w:pPr>
          </w:p>
        </w:tc>
      </w:tr>
      <w:tr>
        <w:trPr>
          <w:trHeight w:val="346"/>
        </w:trPr>
        <w:tc>
          <w:tcPr>
            <w:tcW w:w="69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(1,857)</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(1,541)</w:t>
            </w:r>
          </w:p>
        </w:tc>
        <w:tc>
          <w:tcPr>
            <w:tcW w:w="136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3"/>
        </w:trPr>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11,841</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12,254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expense/(income), net</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2,433</w:t>
            </w:r>
          </w:p>
        </w:tc>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(6,853)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32"/>
        </w:trPr>
        <w:tc>
          <w:tcPr>
            <w:tcW w:w="690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51,478</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67,500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369"/>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(benefit)/expense</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(5,787)</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25,751</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Income from continuing operations</w:t>
            </w:r>
          </w:p>
        </w:tc>
        <w:tc>
          <w:tcPr>
            <w:tcW w:w="13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57,265</w:t>
            </w:r>
          </w:p>
        </w:tc>
        <w:tc>
          <w:tcPr>
            <w:tcW w:w="18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41,749</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578"/>
        </w:trPr>
        <w:tc>
          <w:tcPr>
            <w:tcW w:w="6900" w:type="dxa"/>
            <w:vAlign w:val="bottom"/>
          </w:tcPr>
          <w:p>
            <w:pPr>
              <w:ind w:left="100"/>
              <w:spacing w:after="0"/>
              <w:rPr>
                <w:sz w:val="20"/>
                <w:szCs w:val="20"/>
                <w:color w:val="auto"/>
              </w:rPr>
            </w:pPr>
            <w:r>
              <w:rPr>
                <w:rFonts w:ascii="Arial" w:cs="Arial" w:eastAsia="Arial" w:hAnsi="Arial"/>
                <w:sz w:val="18"/>
                <w:szCs w:val="18"/>
                <w:color w:val="auto"/>
              </w:rPr>
              <w:t>Loss from operations of discontinued businesses</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benefit on discontinued operations</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Loss from discontinued operations</w:t>
            </w:r>
          </w:p>
        </w:tc>
        <w:tc>
          <w:tcPr>
            <w:tcW w:w="13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6"/>
        </w:trPr>
        <w:tc>
          <w:tcPr>
            <w:tcW w:w="69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57,265</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41,749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(loss)/income attributable to the noncontrolling interest</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(14)</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$57,279</w:t>
            </w:r>
          </w:p>
        </w:tc>
        <w:tc>
          <w:tcPr>
            <w:tcW w:w="18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$41,569</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$17,517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6900" w:type="dxa"/>
            <w:vAlign w:val="bottom"/>
          </w:tcPr>
          <w:p>
            <w:pPr>
              <w:ind w:left="100"/>
              <w:spacing w:after="0"/>
              <w:rPr>
                <w:sz w:val="20"/>
                <w:szCs w:val="20"/>
                <w:color w:val="auto"/>
              </w:rPr>
            </w:pPr>
            <w:r>
              <w:rPr>
                <w:rFonts w:ascii="Arial" w:cs="Arial" w:eastAsia="Arial" w:hAnsi="Arial"/>
                <w:sz w:val="18"/>
                <w:szCs w:val="18"/>
                <w:color w:val="auto"/>
              </w:rPr>
              <w:t>Earnings per share attributable to Company shareholders - Basic</w:t>
            </w:r>
          </w:p>
        </w:tc>
        <w:tc>
          <w:tcPr>
            <w:tcW w:w="13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$1.79</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900" w:type="dxa"/>
            <w:vAlign w:val="bottom"/>
          </w:tcPr>
          <w:p>
            <w:pPr>
              <w:ind w:left="460"/>
              <w:spacing w:after="0" w:line="181" w:lineRule="exact"/>
              <w:rPr>
                <w:sz w:val="20"/>
                <w:szCs w:val="20"/>
                <w:color w:val="auto"/>
              </w:rPr>
            </w:pPr>
            <w:r>
              <w:rPr>
                <w:rFonts w:ascii="Arial" w:cs="Arial" w:eastAsia="Arial" w:hAnsi="Arial"/>
                <w:sz w:val="18"/>
                <w:szCs w:val="18"/>
                <w:color w:val="auto"/>
              </w:rPr>
              <w:t>Income from continuing operations</w:t>
            </w:r>
          </w:p>
        </w:tc>
        <w:tc>
          <w:tcPr>
            <w:tcW w:w="1360" w:type="dxa"/>
            <w:vAlign w:val="bottom"/>
            <w:vMerge w:val="continue"/>
          </w:tcPr>
          <w:p>
            <w:pPr>
              <w:spacing w:after="0"/>
              <w:rPr>
                <w:sz w:val="15"/>
                <w:szCs w:val="15"/>
                <w:color w:val="auto"/>
              </w:rPr>
            </w:pPr>
          </w:p>
        </w:tc>
        <w:tc>
          <w:tcPr>
            <w:tcW w:w="180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$1.31</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0.00</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0.00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$1.79</w:t>
            </w:r>
          </w:p>
        </w:tc>
        <w:tc>
          <w:tcPr>
            <w:tcW w:w="18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$1.31</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00" w:type="dxa"/>
            <w:vAlign w:val="bottom"/>
          </w:tcPr>
          <w:p>
            <w:pPr>
              <w:ind w:left="100"/>
              <w:spacing w:after="0"/>
              <w:rPr>
                <w:sz w:val="20"/>
                <w:szCs w:val="20"/>
                <w:color w:val="auto"/>
              </w:rPr>
            </w:pPr>
            <w:r>
              <w:rPr>
                <w:rFonts w:ascii="Arial" w:cs="Arial" w:eastAsia="Arial" w:hAnsi="Arial"/>
                <w:sz w:val="18"/>
                <w:szCs w:val="18"/>
                <w:color w:val="auto"/>
              </w:rPr>
              <w:t>Earnings per share attributable to Company shareholders - Diluted</w:t>
            </w:r>
          </w:p>
        </w:tc>
        <w:tc>
          <w:tcPr>
            <w:tcW w:w="13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$1.79</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900" w:type="dxa"/>
            <w:vAlign w:val="bottom"/>
          </w:tcPr>
          <w:p>
            <w:pPr>
              <w:ind w:left="460"/>
              <w:spacing w:after="0" w:line="181" w:lineRule="exact"/>
              <w:rPr>
                <w:sz w:val="20"/>
                <w:szCs w:val="20"/>
                <w:color w:val="auto"/>
              </w:rPr>
            </w:pPr>
            <w:r>
              <w:rPr>
                <w:rFonts w:ascii="Arial" w:cs="Arial" w:eastAsia="Arial" w:hAnsi="Arial"/>
                <w:sz w:val="18"/>
                <w:szCs w:val="18"/>
                <w:color w:val="auto"/>
              </w:rPr>
              <w:t>Income from continuing operations</w:t>
            </w:r>
          </w:p>
        </w:tc>
        <w:tc>
          <w:tcPr>
            <w:tcW w:w="1360" w:type="dxa"/>
            <w:vAlign w:val="bottom"/>
            <w:vMerge w:val="continue"/>
          </w:tcPr>
          <w:p>
            <w:pPr>
              <w:spacing w:after="0"/>
              <w:rPr>
                <w:sz w:val="15"/>
                <w:szCs w:val="15"/>
                <w:color w:val="auto"/>
              </w:rPr>
            </w:pPr>
          </w:p>
        </w:tc>
        <w:tc>
          <w:tcPr>
            <w:tcW w:w="180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$1.30</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0.00</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0.00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$1.79</w:t>
            </w:r>
          </w:p>
        </w:tc>
        <w:tc>
          <w:tcPr>
            <w:tcW w:w="18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$1.30</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00" w:type="dxa"/>
            <w:vAlign w:val="bottom"/>
          </w:tcPr>
          <w:p>
            <w:pPr>
              <w:ind w:left="100"/>
              <w:spacing w:after="0"/>
              <w:rPr>
                <w:sz w:val="20"/>
                <w:szCs w:val="20"/>
                <w:color w:val="auto"/>
              </w:rPr>
            </w:pPr>
            <w:r>
              <w:rPr>
                <w:rFonts w:ascii="Arial" w:cs="Arial" w:eastAsia="Arial" w:hAnsi="Arial"/>
                <w:sz w:val="18"/>
                <w:szCs w:val="18"/>
                <w:color w:val="auto"/>
              </w:rPr>
              <w:t>Dividends declared per share, Class A and Class B</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$0.67</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$0.63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880" w:type="dxa"/>
            <w:vAlign w:val="bottom"/>
          </w:tcPr>
          <w:p>
            <w:pPr>
              <w:jc w:val="center"/>
              <w:ind w:left="4450"/>
              <w:spacing w:after="0"/>
              <w:rPr>
                <w:sz w:val="20"/>
                <w:szCs w:val="20"/>
                <w:color w:val="auto"/>
              </w:rPr>
            </w:pPr>
            <w:r>
              <w:rPr>
                <w:rFonts w:ascii="Arial" w:cs="Arial" w:eastAsia="Arial" w:hAnsi="Arial"/>
                <w:sz w:val="18"/>
                <w:szCs w:val="18"/>
                <w:b w:val="1"/>
                <w:bCs w:val="1"/>
                <w:color w:val="0000FF"/>
              </w:rPr>
              <w:t>Albany International Corp.</w:t>
            </w: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gridSpan w:val="2"/>
          </w:tcPr>
          <w:p>
            <w:pPr>
              <w:jc w:val="center"/>
              <w:ind w:left="2790"/>
              <w:spacing w:after="0" w:line="202" w:lineRule="exact"/>
              <w:rPr>
                <w:sz w:val="20"/>
                <w:szCs w:val="20"/>
                <w:color w:val="auto"/>
              </w:rPr>
            </w:pPr>
            <w:r>
              <w:rPr>
                <w:rFonts w:ascii="Arial" w:cs="Arial" w:eastAsia="Arial" w:hAnsi="Arial"/>
                <w:sz w:val="18"/>
                <w:szCs w:val="18"/>
                <w:b w:val="1"/>
                <w:bCs w:val="1"/>
                <w:color w:val="auto"/>
              </w:rPr>
              <w:t>Consolidated Statements of Comprehensive Income/(Loss)</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gridSpan w:val="2"/>
          </w:tcPr>
          <w:p>
            <w:pPr>
              <w:jc w:val="center"/>
              <w:ind w:left="2830"/>
              <w:spacing w:after="0" w:line="202" w:lineRule="exact"/>
              <w:rPr>
                <w:sz w:val="20"/>
                <w:szCs w:val="20"/>
                <w:color w:val="auto"/>
              </w:rPr>
            </w:pPr>
            <w:r>
              <w:rPr>
                <w:rFonts w:ascii="Arial" w:cs="Arial" w:eastAsia="Arial" w:hAnsi="Arial"/>
                <w:sz w:val="18"/>
                <w:szCs w:val="18"/>
                <w:b w:val="1"/>
                <w:bCs w:val="1"/>
                <w:color w:val="auto"/>
              </w:rPr>
              <w:t>For the years ended December 31,</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880" w:type="dxa"/>
            <w:vAlign w:val="bottom"/>
          </w:tcPr>
          <w:p>
            <w:pPr>
              <w:ind w:left="4920"/>
              <w:spacing w:after="0"/>
              <w:rPr>
                <w:sz w:val="20"/>
                <w:szCs w:val="20"/>
                <w:color w:val="auto"/>
              </w:rPr>
            </w:pPr>
            <w:r>
              <w:rPr>
                <w:rFonts w:ascii="Arial" w:cs="Arial" w:eastAsia="Arial" w:hAnsi="Arial"/>
                <w:sz w:val="18"/>
                <w:szCs w:val="18"/>
                <w:b w:val="1"/>
                <w:bCs w:val="1"/>
                <w:color w:val="auto"/>
              </w:rPr>
              <w:t>(in thousands)</w:t>
            </w:r>
          </w:p>
        </w:tc>
        <w:tc>
          <w:tcPr>
            <w:tcW w:w="162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64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2014</w:t>
            </w:r>
          </w:p>
        </w:tc>
        <w:tc>
          <w:tcPr>
            <w:tcW w:w="12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89"/>
        </w:trPr>
        <w:tc>
          <w:tcPr>
            <w:tcW w:w="68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40"/>
              <w:spacing w:after="0" w:line="195" w:lineRule="exact"/>
              <w:rPr>
                <w:sz w:val="20"/>
                <w:szCs w:val="20"/>
                <w:color w:val="auto"/>
              </w:rPr>
            </w:pPr>
            <w:r>
              <w:rPr>
                <w:rFonts w:ascii="Arial" w:cs="Arial" w:eastAsia="Arial" w:hAnsi="Arial"/>
                <w:sz w:val="18"/>
                <w:szCs w:val="18"/>
                <w:color w:val="auto"/>
              </w:rPr>
              <w:t>Net income</w:t>
            </w:r>
          </w:p>
        </w:tc>
        <w:tc>
          <w:tcPr>
            <w:tcW w:w="1620" w:type="dxa"/>
            <w:vAlign w:val="bottom"/>
          </w:tcPr>
          <w:p>
            <w:pPr>
              <w:jc w:val="right"/>
              <w:ind w:right="810"/>
              <w:spacing w:after="0" w:line="195" w:lineRule="exact"/>
              <w:rPr>
                <w:sz w:val="20"/>
                <w:szCs w:val="20"/>
                <w:color w:val="auto"/>
              </w:rPr>
            </w:pPr>
            <w:r>
              <w:rPr>
                <w:rFonts w:ascii="Arial" w:cs="Arial" w:eastAsia="Arial" w:hAnsi="Arial"/>
                <w:sz w:val="18"/>
                <w:szCs w:val="18"/>
                <w:b w:val="1"/>
                <w:bCs w:val="1"/>
                <w:color w:val="auto"/>
              </w:rPr>
              <w:t>$57,265</w:t>
            </w:r>
          </w:p>
        </w:tc>
        <w:tc>
          <w:tcPr>
            <w:tcW w:w="16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$41,749</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3"/>
        </w:trPr>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Other comprehensive income, before tax:</w:t>
            </w:r>
          </w:p>
        </w:tc>
        <w:tc>
          <w:tcPr>
            <w:tcW w:w="162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(51,177)</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440"/>
              <w:spacing w:after="0" w:line="181" w:lineRule="exact"/>
              <w:rPr>
                <w:sz w:val="20"/>
                <w:szCs w:val="20"/>
                <w:color w:val="auto"/>
              </w:rPr>
            </w:pPr>
            <w:r>
              <w:rPr>
                <w:rFonts w:ascii="Arial" w:cs="Arial" w:eastAsia="Arial" w:hAnsi="Arial"/>
                <w:sz w:val="18"/>
                <w:szCs w:val="18"/>
                <w:color w:val="auto"/>
              </w:rPr>
              <w:t>Foreign currency translation adjustments</w:t>
            </w:r>
          </w:p>
        </w:tc>
        <w:tc>
          <w:tcPr>
            <w:tcW w:w="1620" w:type="dxa"/>
            <w:vAlign w:val="bottom"/>
            <w:vMerge w:val="continue"/>
          </w:tcPr>
          <w:p>
            <w:pPr>
              <w:spacing w:after="0"/>
              <w:rPr>
                <w:sz w:val="15"/>
                <w:szCs w:val="15"/>
                <w:color w:val="auto"/>
              </w:rPr>
            </w:pPr>
          </w:p>
        </w:tc>
        <w:tc>
          <w:tcPr>
            <w:tcW w:w="164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(54,850)</w:t>
            </w:r>
          </w:p>
        </w:tc>
        <w:tc>
          <w:tcPr>
            <w:tcW w:w="12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103</w:t>
            </w:r>
          </w:p>
        </w:tc>
        <w:tc>
          <w:tcPr>
            <w:tcW w:w="16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8,377</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(700)</w:t>
            </w:r>
          </w:p>
        </w:tc>
        <w:tc>
          <w:tcPr>
            <w:tcW w:w="16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(14,707)</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25"/>
        </w:trPr>
        <w:tc>
          <w:tcPr>
            <w:tcW w:w="6880" w:type="dxa"/>
            <w:vAlign w:val="bottom"/>
          </w:tcPr>
          <w:p>
            <w:pPr>
              <w:ind w:left="440"/>
              <w:spacing w:after="0"/>
              <w:rPr>
                <w:sz w:val="20"/>
                <w:szCs w:val="20"/>
                <w:color w:val="auto"/>
              </w:rPr>
            </w:pPr>
            <w:r>
              <w:rPr>
                <w:rFonts w:ascii="Arial" w:cs="Arial" w:eastAsia="Arial" w:hAnsi="Arial"/>
                <w:sz w:val="18"/>
                <w:szCs w:val="18"/>
                <w:color w:val="auto"/>
              </w:rPr>
              <w:t>Pension/postretirement plan amendments</w:t>
            </w:r>
          </w:p>
        </w:tc>
        <w:tc>
          <w:tcPr>
            <w:tcW w:w="162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03"/>
        </w:trPr>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62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580"/>
              <w:spacing w:after="0" w:line="181" w:lineRule="exact"/>
              <w:rPr>
                <w:sz w:val="20"/>
                <w:szCs w:val="20"/>
                <w:color w:val="auto"/>
              </w:rPr>
            </w:pPr>
            <w:r>
              <w:rPr>
                <w:rFonts w:ascii="Arial" w:cs="Arial" w:eastAsia="Arial" w:hAnsi="Arial"/>
                <w:sz w:val="18"/>
                <w:szCs w:val="18"/>
                <w:color w:val="auto"/>
              </w:rPr>
              <w:t>Transition obligation</w:t>
            </w:r>
          </w:p>
        </w:tc>
        <w:tc>
          <w:tcPr>
            <w:tcW w:w="1620" w:type="dxa"/>
            <w:vAlign w:val="bottom"/>
            <w:vMerge w:val="continue"/>
          </w:tcPr>
          <w:p>
            <w:pPr>
              <w:spacing w:after="0"/>
              <w:rPr>
                <w:sz w:val="15"/>
                <w:szCs w:val="15"/>
                <w:color w:val="auto"/>
              </w:rPr>
            </w:pPr>
          </w:p>
        </w:tc>
        <w:tc>
          <w:tcPr>
            <w:tcW w:w="164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6880" w:type="dxa"/>
            <w:vAlign w:val="bottom"/>
          </w:tcPr>
          <w:p>
            <w:pPr>
              <w:ind w:left="580"/>
              <w:spacing w:after="0" w:line="202" w:lineRule="exact"/>
              <w:rPr>
                <w:sz w:val="20"/>
                <w:szCs w:val="20"/>
                <w:color w:val="auto"/>
              </w:rPr>
            </w:pPr>
            <w:r>
              <w:rPr>
                <w:rFonts w:ascii="Arial" w:cs="Arial" w:eastAsia="Arial" w:hAnsi="Arial"/>
                <w:sz w:val="18"/>
                <w:szCs w:val="18"/>
                <w:color w:val="auto"/>
              </w:rPr>
              <w:t>Prior service credit</w:t>
            </w:r>
          </w:p>
        </w:tc>
        <w:tc>
          <w:tcPr>
            <w:tcW w:w="16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(4,440)</w:t>
            </w:r>
          </w:p>
        </w:tc>
        <w:tc>
          <w:tcPr>
            <w:tcW w:w="16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(4,436)</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3"/>
        </w:trPr>
        <w:tc>
          <w:tcPr>
            <w:tcW w:w="6880" w:type="dxa"/>
            <w:vAlign w:val="bottom"/>
          </w:tcPr>
          <w:p>
            <w:pPr>
              <w:ind w:left="580"/>
              <w:spacing w:after="0" w:line="202" w:lineRule="exact"/>
              <w:rPr>
                <w:sz w:val="20"/>
                <w:szCs w:val="20"/>
                <w:color w:val="auto"/>
              </w:rPr>
            </w:pPr>
            <w:r>
              <w:rPr>
                <w:rFonts w:ascii="Arial" w:cs="Arial" w:eastAsia="Arial" w:hAnsi="Arial"/>
                <w:sz w:val="18"/>
                <w:szCs w:val="18"/>
                <w:color w:val="auto"/>
              </w:rPr>
              <w:t>Net actuarial loss</w:t>
            </w:r>
          </w:p>
        </w:tc>
        <w:tc>
          <w:tcPr>
            <w:tcW w:w="16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5,932</w:t>
            </w:r>
          </w:p>
        </w:tc>
        <w:tc>
          <w:tcPr>
            <w:tcW w:w="16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5,329</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6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1,988</w:t>
            </w:r>
          </w:p>
        </w:tc>
        <w:tc>
          <w:tcPr>
            <w:tcW w:w="16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1,914</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9"/>
        </w:trPr>
        <w:tc>
          <w:tcPr>
            <w:tcW w:w="6880" w:type="dxa"/>
            <w:vAlign w:val="bottom"/>
          </w:tcPr>
          <w:p>
            <w:pPr>
              <w:ind w:left="440"/>
              <w:spacing w:after="0"/>
              <w:rPr>
                <w:sz w:val="20"/>
                <w:szCs w:val="20"/>
                <w:color w:val="auto"/>
              </w:rPr>
            </w:pPr>
            <w:r>
              <w:rPr>
                <w:rFonts w:ascii="Arial" w:cs="Arial" w:eastAsia="Arial" w:hAnsi="Arial"/>
                <w:sz w:val="18"/>
                <w:szCs w:val="18"/>
                <w:color w:val="auto"/>
              </w:rPr>
              <w:t>Derivative valuation adjustment</w:t>
            </w:r>
          </w:p>
        </w:tc>
        <w:tc>
          <w:tcPr>
            <w:tcW w:w="1620" w:type="dxa"/>
            <w:vAlign w:val="bottom"/>
          </w:tcPr>
          <w:p>
            <w:pPr>
              <w:jc w:val="right"/>
              <w:ind w:right="750"/>
              <w:spacing w:after="0"/>
              <w:rPr>
                <w:sz w:val="20"/>
                <w:szCs w:val="20"/>
                <w:color w:val="auto"/>
              </w:rPr>
            </w:pPr>
            <w:r>
              <w:rPr>
                <w:rFonts w:ascii="Arial" w:cs="Arial" w:eastAsia="Arial" w:hAnsi="Arial"/>
                <w:sz w:val="18"/>
                <w:szCs w:val="18"/>
                <w:b w:val="1"/>
                <w:bCs w:val="1"/>
                <w:color w:val="auto"/>
              </w:rPr>
              <w:t>(2,961)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(1,724)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391"/>
        </w:trPr>
        <w:tc>
          <w:tcPr>
            <w:tcW w:w="6880" w:type="dxa"/>
            <w:vAlign w:val="bottom"/>
          </w:tcPr>
          <w:p>
            <w:pPr>
              <w:ind w:left="80"/>
              <w:spacing w:after="0"/>
              <w:rPr>
                <w:sz w:val="20"/>
                <w:szCs w:val="20"/>
                <w:color w:val="auto"/>
              </w:rPr>
            </w:pPr>
            <w:r>
              <w:rPr>
                <w:rFonts w:ascii="Arial" w:cs="Arial" w:eastAsia="Arial" w:hAnsi="Arial"/>
                <w:sz w:val="18"/>
                <w:szCs w:val="18"/>
                <w:color w:val="auto"/>
              </w:rPr>
              <w:t>Income taxes related to items of other comprehensive income:</w:t>
            </w:r>
          </w:p>
        </w:tc>
        <w:tc>
          <w:tcPr>
            <w:tcW w:w="162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44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1620" w:type="dxa"/>
            <w:vAlign w:val="bottom"/>
            <w:vMerge w:val="continue"/>
          </w:tcPr>
          <w:p>
            <w:pPr>
              <w:spacing w:after="0"/>
              <w:rPr>
                <w:sz w:val="15"/>
                <w:szCs w:val="15"/>
                <w:color w:val="auto"/>
              </w:rPr>
            </w:pPr>
          </w:p>
        </w:tc>
        <w:tc>
          <w:tcPr>
            <w:tcW w:w="164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(3,210)</w:t>
            </w:r>
          </w:p>
        </w:tc>
        <w:tc>
          <w:tcPr>
            <w:tcW w:w="128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78</w:t>
            </w:r>
          </w:p>
        </w:tc>
        <w:tc>
          <w:tcPr>
            <w:tcW w:w="16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5,442</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plan amendments</w:t>
            </w:r>
          </w:p>
        </w:tc>
        <w:tc>
          <w:tcPr>
            <w:tcW w:w="16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03"/>
        </w:trPr>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6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(270)</w:t>
            </w:r>
          </w:p>
        </w:tc>
        <w:tc>
          <w:tcPr>
            <w:tcW w:w="16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(330)</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6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(755)</w:t>
            </w:r>
          </w:p>
        </w:tc>
        <w:tc>
          <w:tcPr>
            <w:tcW w:w="16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(746)</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Derivative valuation adjustment</w:t>
            </w:r>
          </w:p>
        </w:tc>
        <w:tc>
          <w:tcPr>
            <w:tcW w:w="16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1,125</w:t>
            </w: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672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73"/>
        </w:trPr>
        <w:tc>
          <w:tcPr>
            <w:tcW w:w="6880" w:type="dxa"/>
            <w:vAlign w:val="bottom"/>
          </w:tcPr>
          <w:p>
            <w:pPr>
              <w:ind w:left="40"/>
              <w:spacing w:after="0" w:line="173" w:lineRule="exact"/>
              <w:rPr>
                <w:sz w:val="20"/>
                <w:szCs w:val="20"/>
                <w:color w:val="auto"/>
              </w:rPr>
            </w:pPr>
            <w:r>
              <w:rPr>
                <w:rFonts w:ascii="Arial" w:cs="Arial" w:eastAsia="Arial" w:hAnsi="Arial"/>
                <w:sz w:val="18"/>
                <w:szCs w:val="18"/>
                <w:color w:val="auto"/>
              </w:rPr>
              <w:t>Comprehensive income/(loss)</w:t>
            </w:r>
          </w:p>
        </w:tc>
        <w:tc>
          <w:tcPr>
            <w:tcW w:w="1620" w:type="dxa"/>
            <w:vAlign w:val="bottom"/>
          </w:tcPr>
          <w:p>
            <w:pPr>
              <w:jc w:val="right"/>
              <w:ind w:right="810"/>
              <w:spacing w:after="0" w:line="173" w:lineRule="exact"/>
              <w:rPr>
                <w:sz w:val="20"/>
                <w:szCs w:val="20"/>
                <w:color w:val="auto"/>
              </w:rPr>
            </w:pPr>
            <w:r>
              <w:rPr>
                <w:rFonts w:ascii="Arial" w:cs="Arial" w:eastAsia="Arial" w:hAnsi="Arial"/>
                <w:sz w:val="18"/>
                <w:szCs w:val="18"/>
                <w:b w:val="1"/>
                <w:bCs w:val="1"/>
                <w:color w:val="auto"/>
              </w:rPr>
              <w:t>6,188</w:t>
            </w:r>
          </w:p>
        </w:tc>
        <w:tc>
          <w:tcPr>
            <w:tcW w:w="164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(16,520)</w:t>
            </w:r>
          </w:p>
        </w:tc>
        <w:tc>
          <w:tcPr>
            <w:tcW w:w="12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48,181</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Comprehensive (loss)/income attributable to the noncontrolling interest</w:t>
            </w:r>
          </w:p>
        </w:tc>
        <w:tc>
          <w:tcPr>
            <w:tcW w:w="16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(9)</w:t>
            </w: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178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Comprehensive income/(loss) attributable to the Company</w:t>
            </w:r>
          </w:p>
        </w:tc>
        <w:tc>
          <w:tcPr>
            <w:tcW w:w="16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$6,197</w:t>
            </w:r>
          </w:p>
        </w:tc>
        <w:tc>
          <w:tcPr>
            <w:tcW w:w="16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($16,698)</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$48,181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Balance Sheets</w:t>
      </w:r>
    </w:p>
    <w:p>
      <w:pPr>
        <w:ind w:left="5000"/>
        <w:spacing w:after="0" w:line="234" w:lineRule="auto"/>
        <w:rPr>
          <w:sz w:val="20"/>
          <w:szCs w:val="20"/>
          <w:color w:val="auto"/>
        </w:rPr>
      </w:pPr>
      <w:r>
        <w:rPr>
          <w:rFonts w:ascii="Arial" w:cs="Arial" w:eastAsia="Arial" w:hAnsi="Arial"/>
          <w:sz w:val="18"/>
          <w:szCs w:val="18"/>
          <w:b w:val="1"/>
          <w:bCs w:val="1"/>
          <w:color w:val="auto"/>
        </w:rPr>
        <w:t>At December 31,</w:t>
      </w:r>
    </w:p>
    <w:p>
      <w:pPr>
        <w:ind w:left="3560"/>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87"/>
        </w:trPr>
        <w:tc>
          <w:tcPr>
            <w:tcW w:w="8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374"/>
        </w:trPr>
        <w:tc>
          <w:tcPr>
            <w:tcW w:w="8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Current assets:</w:t>
            </w: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$185,113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180"/>
              <w:spacing w:after="0" w:line="169" w:lineRule="exact"/>
              <w:rPr>
                <w:sz w:val="20"/>
                <w:szCs w:val="20"/>
                <w:color w:val="auto"/>
              </w:rPr>
            </w:pPr>
            <w:r>
              <w:rPr>
                <w:rFonts w:ascii="Arial" w:cs="Arial" w:eastAsia="Arial" w:hAnsi="Arial"/>
                <w:sz w:val="16"/>
                <w:szCs w:val="16"/>
                <w:color w:val="auto"/>
              </w:rPr>
              <w:t>Cash and cash equivalents</w:t>
            </w:r>
          </w:p>
        </w:tc>
        <w:tc>
          <w:tcPr>
            <w:tcW w:w="1540" w:type="dxa"/>
            <w:vAlign w:val="bottom"/>
            <w:vMerge w:val="continue"/>
          </w:tcPr>
          <w:p>
            <w:pPr>
              <w:spacing w:after="0"/>
              <w:rPr>
                <w:sz w:val="14"/>
                <w:szCs w:val="14"/>
                <w:color w:val="auto"/>
              </w:rPr>
            </w:pPr>
          </w:p>
        </w:tc>
        <w:tc>
          <w:tcPr>
            <w:tcW w:w="13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$179,802</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146,383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158,237</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106,406</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107,274</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Income taxes prepaid and deferred</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2,927</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6,743</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Asset held for sale</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4,988</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6,243</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8,074</w:t>
            </w:r>
          </w:p>
        </w:tc>
        <w:tc>
          <w:tcPr>
            <w:tcW w:w="0" w:type="dxa"/>
            <w:vAlign w:val="bottom"/>
          </w:tcPr>
          <w:p>
            <w:pPr>
              <w:spacing w:after="0"/>
              <w:rPr>
                <w:sz w:val="1"/>
                <w:szCs w:val="1"/>
                <w:color w:val="auto"/>
              </w:rPr>
            </w:pPr>
          </w:p>
        </w:tc>
      </w:tr>
      <w:tr>
        <w:trPr>
          <w:trHeight w:val="208"/>
        </w:trPr>
        <w:tc>
          <w:tcPr>
            <w:tcW w:w="8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452,060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460,130</w:t>
            </w:r>
          </w:p>
        </w:tc>
        <w:tc>
          <w:tcPr>
            <w:tcW w:w="0" w:type="dxa"/>
            <w:vAlign w:val="bottom"/>
          </w:tcPr>
          <w:p>
            <w:pPr>
              <w:spacing w:after="0"/>
              <w:rPr>
                <w:sz w:val="1"/>
                <w:szCs w:val="1"/>
                <w:color w:val="auto"/>
              </w:rPr>
            </w:pPr>
          </w:p>
        </w:tc>
      </w:tr>
      <w:tr>
        <w:trPr>
          <w:trHeight w:val="334"/>
        </w:trPr>
        <w:tc>
          <w:tcPr>
            <w:tcW w:w="85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357,470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395,113</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Intangibles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154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Goodwill</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66,373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71,680</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Income taxes receivable and deferred</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108,945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69,540</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24,560</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32,456</w:t>
            </w: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ind w:left="280"/>
              <w:spacing w:after="0" w:line="183" w:lineRule="exact"/>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$1,009,562</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$1,029,304</w:t>
            </w:r>
          </w:p>
        </w:tc>
        <w:tc>
          <w:tcPr>
            <w:tcW w:w="0" w:type="dxa"/>
            <w:vAlign w:val="bottom"/>
          </w:tcPr>
          <w:p>
            <w:pPr>
              <w:spacing w:after="0"/>
              <w:rPr>
                <w:sz w:val="1"/>
                <w:szCs w:val="1"/>
                <w:color w:val="auto"/>
              </w:rPr>
            </w:pPr>
          </w:p>
        </w:tc>
      </w:tr>
      <w:tr>
        <w:trPr>
          <w:trHeight w:val="374"/>
        </w:trPr>
        <w:tc>
          <w:tcPr>
            <w:tcW w:w="85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Current liabilities:</w:t>
            </w: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$587</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180"/>
              <w:spacing w:after="0" w:line="169" w:lineRule="exact"/>
              <w:rPr>
                <w:sz w:val="20"/>
                <w:szCs w:val="20"/>
                <w:color w:val="auto"/>
              </w:rPr>
            </w:pPr>
            <w:r>
              <w:rPr>
                <w:rFonts w:ascii="Arial" w:cs="Arial" w:eastAsia="Arial" w:hAnsi="Arial"/>
                <w:sz w:val="16"/>
                <w:szCs w:val="16"/>
                <w:color w:val="auto"/>
              </w:rPr>
              <w:t>Notes and loans payable</w:t>
            </w:r>
          </w:p>
        </w:tc>
        <w:tc>
          <w:tcPr>
            <w:tcW w:w="1540" w:type="dxa"/>
            <w:vAlign w:val="bottom"/>
            <w:vMerge w:val="continue"/>
          </w:tcPr>
          <w:p>
            <w:pPr>
              <w:spacing w:after="0"/>
              <w:rPr>
                <w:sz w:val="14"/>
                <w:szCs w:val="14"/>
                <w:color w:val="auto"/>
              </w:rPr>
            </w:pPr>
          </w:p>
        </w:tc>
        <w:tc>
          <w:tcPr>
            <w:tcW w:w="13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26,753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34,787</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91,785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95,149</w:t>
            </w:r>
          </w:p>
        </w:tc>
        <w:tc>
          <w:tcPr>
            <w:tcW w:w="0" w:type="dxa"/>
            <w:vAlign w:val="bottom"/>
          </w:tcPr>
          <w:p>
            <w:pPr>
              <w:spacing w:after="0"/>
              <w:rPr>
                <w:sz w:val="1"/>
                <w:szCs w:val="1"/>
                <w:color w:val="auto"/>
              </w:rPr>
            </w:pPr>
          </w:p>
        </w:tc>
      </w:tr>
      <w:tr>
        <w:trPr>
          <w:trHeight w:val="189"/>
        </w:trPr>
        <w:tc>
          <w:tcPr>
            <w:tcW w:w="8540" w:type="dxa"/>
            <w:vAlign w:val="bottom"/>
          </w:tcPr>
          <w:p>
            <w:pPr>
              <w:ind w:left="180"/>
              <w:spacing w:after="0"/>
              <w:rPr>
                <w:sz w:val="20"/>
                <w:szCs w:val="20"/>
                <w:color w:val="auto"/>
              </w:rPr>
            </w:pPr>
            <w:r>
              <w:rPr>
                <w:rFonts w:ascii="Arial" w:cs="Arial" w:eastAsia="Arial" w:hAnsi="Arial"/>
                <w:sz w:val="16"/>
                <w:szCs w:val="16"/>
                <w:color w:val="auto"/>
              </w:rPr>
              <w:t>Current maturities of long-term debt</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16</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50,015</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payable and deferred</w:t>
            </w: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7,090</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08"/>
        </w:trPr>
        <w:tc>
          <w:tcPr>
            <w:tcW w:w="85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126,231</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183,398</w:t>
            </w:r>
          </w:p>
        </w:tc>
        <w:tc>
          <w:tcPr>
            <w:tcW w:w="0" w:type="dxa"/>
            <w:vAlign w:val="bottom"/>
          </w:tcPr>
          <w:p>
            <w:pPr>
              <w:spacing w:after="0"/>
              <w:rPr>
                <w:sz w:val="1"/>
                <w:szCs w:val="1"/>
                <w:color w:val="auto"/>
              </w:rPr>
            </w:pPr>
          </w:p>
        </w:tc>
      </w:tr>
      <w:tr>
        <w:trPr>
          <w:trHeight w:val="334"/>
        </w:trPr>
        <w:tc>
          <w:tcPr>
            <w:tcW w:w="8540" w:type="dxa"/>
            <w:vAlign w:val="bottom"/>
          </w:tcPr>
          <w:p>
            <w:pPr>
              <w:spacing w:after="0"/>
              <w:rPr>
                <w:sz w:val="20"/>
                <w:szCs w:val="20"/>
                <w:color w:val="auto"/>
              </w:rPr>
            </w:pPr>
            <w:r>
              <w:rPr>
                <w:rFonts w:ascii="Arial" w:cs="Arial" w:eastAsia="Arial" w:hAnsi="Arial"/>
                <w:sz w:val="16"/>
                <w:szCs w:val="16"/>
                <w:color w:val="auto"/>
              </w:rPr>
              <w:t>Long-term debt</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265,080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222,096</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101,544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103,079</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taxes and other liabilities</w:t>
            </w: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14,154</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7,163</w:t>
            </w: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ind w:left="280"/>
              <w:spacing w:after="0" w:line="183" w:lineRule="exact"/>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507,009</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515,736</w:t>
            </w:r>
          </w:p>
        </w:tc>
        <w:tc>
          <w:tcPr>
            <w:tcW w:w="0" w:type="dxa"/>
            <w:vAlign w:val="bottom"/>
          </w:tcPr>
          <w:p>
            <w:pPr>
              <w:spacing w:after="0"/>
              <w:rPr>
                <w:sz w:val="1"/>
                <w:szCs w:val="1"/>
                <w:color w:val="auto"/>
              </w:rPr>
            </w:pPr>
          </w:p>
        </w:tc>
      </w:tr>
      <w:tr>
        <w:trPr>
          <w:trHeight w:val="379"/>
        </w:trPr>
        <w:tc>
          <w:tcPr>
            <w:tcW w:w="85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5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1540" w:type="dxa"/>
            <w:vAlign w:val="bottom"/>
            <w:vMerge w:val="continue"/>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Class A Common Stock, par value $.001 per share; authorized 100,000,000 shares; issued 37,238,913 in 2015 and</w:t>
            </w: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37</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40" w:type="dxa"/>
            <w:vAlign w:val="bottom"/>
          </w:tcPr>
          <w:p>
            <w:pPr>
              <w:ind w:left="220"/>
              <w:spacing w:after="0"/>
              <w:rPr>
                <w:sz w:val="20"/>
                <w:szCs w:val="20"/>
                <w:color w:val="auto"/>
              </w:rPr>
            </w:pPr>
            <w:r>
              <w:rPr>
                <w:rFonts w:ascii="Arial" w:cs="Arial" w:eastAsia="Arial" w:hAnsi="Arial"/>
                <w:sz w:val="16"/>
                <w:szCs w:val="16"/>
                <w:color w:val="auto"/>
              </w:rPr>
              <w:t>37,085,489 in 2014</w:t>
            </w:r>
          </w:p>
        </w:tc>
        <w:tc>
          <w:tcPr>
            <w:tcW w:w="1540" w:type="dxa"/>
            <w:vAlign w:val="bottom"/>
            <w:vMerge w:val="continue"/>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Class B Common Stock, par value $.001 per share; authorized 25,000,000 shares; issued and outstanding</w:t>
            </w: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220"/>
              <w:spacing w:after="0" w:line="169" w:lineRule="exact"/>
              <w:rPr>
                <w:sz w:val="20"/>
                <w:szCs w:val="20"/>
                <w:color w:val="auto"/>
              </w:rPr>
            </w:pPr>
            <w:r>
              <w:rPr>
                <w:rFonts w:ascii="Arial" w:cs="Arial" w:eastAsia="Arial" w:hAnsi="Arial"/>
                <w:sz w:val="16"/>
                <w:szCs w:val="16"/>
                <w:color w:val="auto"/>
              </w:rPr>
              <w:t>3,235,048 in 2015 and 2014</w:t>
            </w:r>
          </w:p>
        </w:tc>
        <w:tc>
          <w:tcPr>
            <w:tcW w:w="1540" w:type="dxa"/>
            <w:vAlign w:val="bottom"/>
            <w:vMerge w:val="continue"/>
          </w:tcPr>
          <w:p>
            <w:pPr>
              <w:spacing w:after="0"/>
              <w:rPr>
                <w:sz w:val="14"/>
                <w:szCs w:val="14"/>
                <w:color w:val="auto"/>
              </w:rPr>
            </w:pPr>
          </w:p>
        </w:tc>
        <w:tc>
          <w:tcPr>
            <w:tcW w:w="13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423,108</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418,972</w:t>
            </w: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6"/>
                <w:szCs w:val="16"/>
                <w:color w:val="auto"/>
              </w:rPr>
              <w:t>Retained earnings</w:t>
            </w: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491,950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456,105</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Accumulated items of other comprehensive income:</w:t>
            </w:r>
          </w:p>
        </w:tc>
        <w:tc>
          <w:tcPr>
            <w:tcW w:w="15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(108,655)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240"/>
              <w:spacing w:after="0" w:line="169" w:lineRule="exact"/>
              <w:rPr>
                <w:sz w:val="20"/>
                <w:szCs w:val="20"/>
                <w:color w:val="auto"/>
              </w:rPr>
            </w:pPr>
            <w:r>
              <w:rPr>
                <w:rFonts w:ascii="Arial" w:cs="Arial" w:eastAsia="Arial" w:hAnsi="Arial"/>
                <w:sz w:val="16"/>
                <w:szCs w:val="16"/>
                <w:color w:val="auto"/>
              </w:rPr>
              <w:t>Translation adjustments</w:t>
            </w:r>
          </w:p>
        </w:tc>
        <w:tc>
          <w:tcPr>
            <w:tcW w:w="1540" w:type="dxa"/>
            <w:vAlign w:val="bottom"/>
            <w:vMerge w:val="continue"/>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6"/>
                <w:szCs w:val="16"/>
                <w:color w:val="auto"/>
              </w:rPr>
              <w:t>(55,240)</w:t>
            </w:r>
          </w:p>
        </w:tc>
        <w:tc>
          <w:tcPr>
            <w:tcW w:w="0" w:type="dxa"/>
            <w:vAlign w:val="bottom"/>
          </w:tcPr>
          <w:p>
            <w:pPr>
              <w:spacing w:after="0"/>
              <w:rPr>
                <w:sz w:val="1"/>
                <w:szCs w:val="1"/>
                <w:color w:val="auto"/>
              </w:rPr>
            </w:pPr>
          </w:p>
        </w:tc>
      </w:tr>
      <w:tr>
        <w:trPr>
          <w:trHeight w:val="189"/>
        </w:trPr>
        <w:tc>
          <w:tcPr>
            <w:tcW w:w="8540" w:type="dxa"/>
            <w:vAlign w:val="bottom"/>
          </w:tcPr>
          <w:p>
            <w:pPr>
              <w:ind w:left="240"/>
              <w:spacing w:after="0"/>
              <w:rPr>
                <w:sz w:val="20"/>
                <w:szCs w:val="20"/>
                <w:color w:val="auto"/>
              </w:rPr>
            </w:pPr>
            <w:r>
              <w:rPr>
                <w:rFonts w:ascii="Arial" w:cs="Arial" w:eastAsia="Arial" w:hAnsi="Arial"/>
                <w:sz w:val="16"/>
                <w:szCs w:val="16"/>
                <w:color w:val="auto"/>
              </w:rPr>
              <w:t>Pension and postretirement liability adjustments</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(48,725)</w:t>
            </w:r>
          </w:p>
        </w:tc>
        <w:tc>
          <w:tcPr>
            <w:tcW w:w="1340" w:type="dxa"/>
            <w:vAlign w:val="bottom"/>
          </w:tcPr>
          <w:p>
            <w:pPr>
              <w:jc w:val="right"/>
              <w:spacing w:after="0"/>
              <w:rPr>
                <w:sz w:val="20"/>
                <w:szCs w:val="20"/>
                <w:color w:val="auto"/>
              </w:rPr>
            </w:pPr>
            <w:r>
              <w:rPr>
                <w:rFonts w:ascii="Arial" w:cs="Arial" w:eastAsia="Arial" w:hAnsi="Arial"/>
                <w:sz w:val="16"/>
                <w:szCs w:val="16"/>
                <w:color w:val="auto"/>
              </w:rPr>
              <w:t>(51,666)</w:t>
            </w:r>
          </w:p>
        </w:tc>
        <w:tc>
          <w:tcPr>
            <w:tcW w:w="0" w:type="dxa"/>
            <w:vAlign w:val="bottom"/>
          </w:tcPr>
          <w:p>
            <w:pPr>
              <w:spacing w:after="0"/>
              <w:rPr>
                <w:sz w:val="1"/>
                <w:szCs w:val="1"/>
                <w:color w:val="auto"/>
              </w:rPr>
            </w:pPr>
          </w:p>
        </w:tc>
      </w:tr>
      <w:tr>
        <w:trPr>
          <w:trHeight w:val="189"/>
        </w:trPr>
        <w:tc>
          <w:tcPr>
            <w:tcW w:w="8540" w:type="dxa"/>
            <w:vAlign w:val="bottom"/>
          </w:tcPr>
          <w:p>
            <w:pPr>
              <w:ind w:left="240"/>
              <w:spacing w:after="0"/>
              <w:rPr>
                <w:sz w:val="20"/>
                <w:szCs w:val="20"/>
                <w:color w:val="auto"/>
              </w:rPr>
            </w:pPr>
            <w:r>
              <w:rPr>
                <w:rFonts w:ascii="Arial" w:cs="Arial" w:eastAsia="Arial" w:hAnsi="Arial"/>
                <w:sz w:val="16"/>
                <w:szCs w:val="16"/>
                <w:color w:val="auto"/>
              </w:rPr>
              <w:t>Derivative valuation adjustment</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(1,464)</w:t>
            </w:r>
          </w:p>
        </w:tc>
        <w:tc>
          <w:tcPr>
            <w:tcW w:w="1340" w:type="dxa"/>
            <w:vAlign w:val="bottom"/>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Treasury stock (Class A), at cost; 8,455,293 shares in 2015 and 8,459,498 shares in 2014</w:t>
            </w: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(257,391)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(257,481)</w:t>
            </w:r>
          </w:p>
        </w:tc>
        <w:tc>
          <w:tcPr>
            <w:tcW w:w="0" w:type="dxa"/>
            <w:vAlign w:val="bottom"/>
          </w:tcPr>
          <w:p>
            <w:pPr>
              <w:spacing w:after="0"/>
              <w:rPr>
                <w:sz w:val="1"/>
                <w:szCs w:val="1"/>
                <w:color w:val="auto"/>
              </w:rPr>
            </w:pPr>
          </w:p>
        </w:tc>
      </w:tr>
      <w:tr>
        <w:trPr>
          <w:trHeight w:val="164"/>
        </w:trPr>
        <w:tc>
          <w:tcPr>
            <w:tcW w:w="8540" w:type="dxa"/>
            <w:vAlign w:val="bottom"/>
          </w:tcPr>
          <w:p>
            <w:pPr>
              <w:ind w:left="460"/>
              <w:spacing w:after="0" w:line="165" w:lineRule="exact"/>
              <w:rPr>
                <w:sz w:val="20"/>
                <w:szCs w:val="20"/>
                <w:color w:val="auto"/>
              </w:rPr>
            </w:pPr>
            <w:r>
              <w:rPr>
                <w:rFonts w:ascii="Arial" w:cs="Arial" w:eastAsia="Arial" w:hAnsi="Arial"/>
                <w:sz w:val="16"/>
                <w:szCs w:val="16"/>
                <w:color w:val="auto"/>
              </w:rPr>
              <w:t>Total Company shareholders' equity</w:t>
            </w:r>
          </w:p>
        </w:tc>
        <w:tc>
          <w:tcPr>
            <w:tcW w:w="154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auto"/>
              </w:rPr>
              <w:t>498,863</w:t>
            </w:r>
          </w:p>
        </w:tc>
        <w:tc>
          <w:tcPr>
            <w:tcW w:w="1340" w:type="dxa"/>
            <w:vAlign w:val="bottom"/>
          </w:tcPr>
          <w:p>
            <w:pPr>
              <w:jc w:val="right"/>
              <w:ind w:right="19"/>
              <w:spacing w:after="0" w:line="165" w:lineRule="exact"/>
              <w:rPr>
                <w:sz w:val="20"/>
                <w:szCs w:val="20"/>
                <w:color w:val="auto"/>
              </w:rPr>
            </w:pPr>
            <w:r>
              <w:rPr>
                <w:rFonts w:ascii="Arial" w:cs="Arial" w:eastAsia="Arial" w:hAnsi="Arial"/>
                <w:sz w:val="16"/>
                <w:szCs w:val="16"/>
                <w:color w:val="auto"/>
              </w:rPr>
              <w:t>509,869</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w:t>
            </w: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3,690</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Equity</w:t>
            </w:r>
          </w:p>
        </w:tc>
        <w:tc>
          <w:tcPr>
            <w:tcW w:w="15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502,553</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513,568</w:t>
            </w:r>
          </w:p>
        </w:tc>
        <w:tc>
          <w:tcPr>
            <w:tcW w:w="0" w:type="dxa"/>
            <w:vAlign w:val="bottom"/>
          </w:tcPr>
          <w:p>
            <w:pPr>
              <w:spacing w:after="0"/>
              <w:rPr>
                <w:sz w:val="1"/>
                <w:szCs w:val="1"/>
                <w:color w:val="auto"/>
              </w:rPr>
            </w:pPr>
          </w:p>
        </w:tc>
      </w:tr>
      <w:tr>
        <w:trPr>
          <w:trHeight w:val="190"/>
        </w:trPr>
        <w:tc>
          <w:tcPr>
            <w:tcW w:w="854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5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$1,009,562</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$1,029,304</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300" w:type="dxa"/>
            <w:vAlign w:val="bottom"/>
          </w:tcPr>
          <w:p>
            <w:pPr>
              <w:jc w:val="center"/>
              <w:ind w:left="4030"/>
              <w:spacing w:after="0"/>
              <w:rPr>
                <w:sz w:val="20"/>
                <w:szCs w:val="20"/>
                <w:color w:val="auto"/>
              </w:rPr>
            </w:pPr>
            <w:r>
              <w:rPr>
                <w:rFonts w:ascii="Arial" w:cs="Arial" w:eastAsia="Arial" w:hAnsi="Arial"/>
                <w:sz w:val="18"/>
                <w:szCs w:val="18"/>
                <w:b w:val="1"/>
                <w:bCs w:val="1"/>
                <w:color w:val="0000FF"/>
              </w:rPr>
              <w:t>Albany International Corp.</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gridSpan w:val="2"/>
          </w:tcPr>
          <w:p>
            <w:pPr>
              <w:jc w:val="center"/>
              <w:ind w:left="2730"/>
              <w:spacing w:after="0" w:line="202" w:lineRule="exact"/>
              <w:rPr>
                <w:sz w:val="20"/>
                <w:szCs w:val="20"/>
                <w:color w:val="auto"/>
              </w:rPr>
            </w:pPr>
            <w:r>
              <w:rPr>
                <w:rFonts w:ascii="Arial" w:cs="Arial" w:eastAsia="Arial" w:hAnsi="Arial"/>
                <w:sz w:val="18"/>
                <w:szCs w:val="18"/>
                <w:b w:val="1"/>
                <w:bCs w:val="1"/>
                <w:color w:val="auto"/>
                <w:w w:val="99"/>
              </w:rPr>
              <w:t>Consolidated Statements of Cash Flows</w:t>
            </w: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jc w:val="center"/>
              <w:ind w:left="4030"/>
              <w:spacing w:after="0" w:line="202" w:lineRule="exact"/>
              <w:rPr>
                <w:sz w:val="20"/>
                <w:szCs w:val="20"/>
                <w:color w:val="auto"/>
              </w:rPr>
            </w:pPr>
            <w:r>
              <w:rPr>
                <w:rFonts w:ascii="Arial" w:cs="Arial" w:eastAsia="Arial" w:hAnsi="Arial"/>
                <w:sz w:val="18"/>
                <w:szCs w:val="18"/>
                <w:b w:val="1"/>
                <w:bCs w:val="1"/>
                <w:color w:val="auto"/>
              </w:rPr>
              <w:t>For the years ended December 31,</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4940"/>
              <w:spacing w:after="0"/>
              <w:rPr>
                <w:sz w:val="20"/>
                <w:szCs w:val="20"/>
                <w:color w:val="auto"/>
              </w:rPr>
            </w:pPr>
            <w:r>
              <w:rPr>
                <w:rFonts w:ascii="Arial" w:cs="Arial" w:eastAsia="Arial" w:hAnsi="Arial"/>
                <w:sz w:val="18"/>
                <w:szCs w:val="18"/>
                <w:b w:val="1"/>
                <w:bCs w:val="1"/>
                <w:color w:val="auto"/>
              </w:rPr>
              <w:t>(in thousands)</w:t>
            </w:r>
          </w:p>
        </w:tc>
        <w:tc>
          <w:tcPr>
            <w:tcW w:w="130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5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$57,265</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$41,749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3"/>
        </w:trPr>
        <w:tc>
          <w:tcPr>
            <w:tcW w:w="7300" w:type="dxa"/>
            <w:vAlign w:val="bottom"/>
          </w:tcPr>
          <w:p>
            <w:pPr>
              <w:ind w:left="40"/>
              <w:spacing w:after="0" w:line="202"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activities:</w:t>
            </w:r>
          </w:p>
        </w:tc>
        <w:tc>
          <w:tcPr>
            <w:tcW w:w="13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52,974</w:t>
            </w: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180"/>
              <w:spacing w:after="0" w:line="181" w:lineRule="exact"/>
              <w:rPr>
                <w:sz w:val="20"/>
                <w:szCs w:val="20"/>
                <w:color w:val="auto"/>
              </w:rPr>
            </w:pPr>
            <w:r>
              <w:rPr>
                <w:rFonts w:ascii="Arial" w:cs="Arial" w:eastAsia="Arial" w:hAnsi="Arial"/>
                <w:sz w:val="18"/>
                <w:szCs w:val="18"/>
                <w:color w:val="auto"/>
              </w:rPr>
              <w:t>Depreciation</w:t>
            </w:r>
          </w:p>
        </w:tc>
        <w:tc>
          <w:tcPr>
            <w:tcW w:w="1300" w:type="dxa"/>
            <w:vAlign w:val="bottom"/>
            <w:vMerge w:val="continue"/>
          </w:tcPr>
          <w:p>
            <w:pPr>
              <w:spacing w:after="0"/>
              <w:rPr>
                <w:sz w:val="15"/>
                <w:szCs w:val="15"/>
                <w:color w:val="auto"/>
              </w:rPr>
            </w:pPr>
          </w:p>
        </w:tc>
        <w:tc>
          <w:tcPr>
            <w:tcW w:w="158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56,575</w:t>
            </w:r>
          </w:p>
        </w:tc>
        <w:tc>
          <w:tcPr>
            <w:tcW w:w="1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57,182</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7,140</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7,717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Change in long-term liabilities and deferred taxes</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(27,358)</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(10,725)</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867</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1,915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Fair value adjustment on asset held for sale</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3,212</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Write-off of pension liability adjustment due to settlement</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103</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8,331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Gain on disposition or involuntary conversion of assets</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(1,056)</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(1,126)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(624)</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(201)</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1,707</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1,384</w:t>
            </w:r>
          </w:p>
        </w:tc>
        <w:tc>
          <w:tcPr>
            <w:tcW w:w="124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3"/>
        </w:trPr>
        <w:tc>
          <w:tcPr>
            <w:tcW w:w="7300" w:type="dxa"/>
            <w:vAlign w:val="bottom"/>
          </w:tcPr>
          <w:p>
            <w:pPr>
              <w:ind w:left="40"/>
              <w:spacing w:after="0" w:line="202" w:lineRule="exact"/>
              <w:rPr>
                <w:sz w:val="20"/>
                <w:szCs w:val="20"/>
                <w:color w:val="auto"/>
              </w:rPr>
            </w:pPr>
            <w:r>
              <w:rPr>
                <w:rFonts w:ascii="Arial" w:cs="Arial" w:eastAsia="Arial" w:hAnsi="Arial"/>
                <w:sz w:val="18"/>
                <w:szCs w:val="18"/>
                <w:color w:val="auto"/>
              </w:rPr>
              <w:t>Changes in operating assets and liabilities that provide/(use) cash, net of</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business divestitures:</w:t>
            </w:r>
          </w:p>
        </w:tc>
        <w:tc>
          <w:tcPr>
            <w:tcW w:w="13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(404)</w:t>
            </w: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180"/>
              <w:spacing w:after="0" w:line="181" w:lineRule="exact"/>
              <w:rPr>
                <w:sz w:val="20"/>
                <w:szCs w:val="20"/>
                <w:color w:val="auto"/>
              </w:rPr>
            </w:pPr>
            <w:r>
              <w:rPr>
                <w:rFonts w:ascii="Arial" w:cs="Arial" w:eastAsia="Arial" w:hAnsi="Arial"/>
                <w:sz w:val="18"/>
                <w:szCs w:val="18"/>
                <w:color w:val="auto"/>
              </w:rPr>
              <w:t>Accounts receivable</w:t>
            </w:r>
          </w:p>
        </w:tc>
        <w:tc>
          <w:tcPr>
            <w:tcW w:w="1300" w:type="dxa"/>
            <w:vAlign w:val="bottom"/>
            <w:vMerge w:val="continue"/>
          </w:tcPr>
          <w:p>
            <w:pPr>
              <w:spacing w:after="0"/>
              <w:rPr>
                <w:sz w:val="15"/>
                <w:szCs w:val="15"/>
                <w:color w:val="auto"/>
              </w:rPr>
            </w:pPr>
          </w:p>
        </w:tc>
        <w:tc>
          <w:tcPr>
            <w:tcW w:w="158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(6,564)</w:t>
            </w:r>
          </w:p>
        </w:tc>
        <w:tc>
          <w:tcPr>
            <w:tcW w:w="1240" w:type="dxa"/>
            <w:vAlign w:val="bottom"/>
          </w:tcPr>
          <w:p>
            <w:pPr>
              <w:jc w:val="right"/>
              <w:spacing w:after="0" w:line="181" w:lineRule="exact"/>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(8,277)</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(744)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1,253</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1,318</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(3,156)</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2,566</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(6,001)</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640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2,081</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(11,042)</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9,072</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1,535</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39"/>
        </w:trPr>
        <w:tc>
          <w:tcPr>
            <w:tcW w:w="73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7,139</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(9,132)</w:t>
            </w:r>
          </w:p>
        </w:tc>
        <w:tc>
          <w:tcPr>
            <w:tcW w:w="1240" w:type="dxa"/>
            <w:vAlign w:val="bottom"/>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95,937</w:t>
            </w:r>
          </w:p>
        </w:tc>
        <w:tc>
          <w:tcPr>
            <w:tcW w:w="15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84,196</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62,631</w:t>
            </w:r>
          </w:p>
        </w:tc>
        <w:tc>
          <w:tcPr>
            <w:tcW w:w="0" w:type="dxa"/>
            <w:vAlign w:val="bottom"/>
          </w:tcPr>
          <w:p>
            <w:pPr>
              <w:spacing w:after="0"/>
              <w:rPr>
                <w:sz w:val="1"/>
                <w:szCs w:val="1"/>
                <w:color w:val="auto"/>
              </w:rPr>
            </w:pPr>
          </w:p>
        </w:tc>
      </w:tr>
      <w:tr>
        <w:trPr>
          <w:trHeight w:val="412"/>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(48,622)</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(58,224)</w:t>
            </w:r>
          </w:p>
        </w:tc>
        <w:tc>
          <w:tcPr>
            <w:tcW w:w="1240" w:type="dxa"/>
            <w:vAlign w:val="bottom"/>
          </w:tcPr>
          <w:p>
            <w:pPr>
              <w:jc w:val="right"/>
              <w:spacing w:after="0"/>
              <w:rPr>
                <w:sz w:val="20"/>
                <w:szCs w:val="20"/>
                <w:color w:val="auto"/>
              </w:rPr>
            </w:pPr>
            <w:r>
              <w:rPr>
                <w:rFonts w:ascii="Arial" w:cs="Arial" w:eastAsia="Arial" w:hAnsi="Arial"/>
                <w:sz w:val="18"/>
                <w:szCs w:val="18"/>
                <w:color w:val="auto"/>
              </w:rPr>
              <w:t>(61,844)</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Purchased software</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(1,973)</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(649)</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 or involuntary conversion of assets</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2,797</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1,126</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Proceeds from sale of discontinued operations, net of expenses</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used in by investing activities</w:t>
            </w:r>
          </w:p>
        </w:tc>
        <w:tc>
          <w:tcPr>
            <w:tcW w:w="13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(47,798)</w:t>
            </w:r>
          </w:p>
        </w:tc>
        <w:tc>
          <w:tcPr>
            <w:tcW w:w="15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(57,747)</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(41,392)</w:t>
            </w:r>
          </w:p>
        </w:tc>
        <w:tc>
          <w:tcPr>
            <w:tcW w:w="0" w:type="dxa"/>
            <w:vAlign w:val="bottom"/>
          </w:tcPr>
          <w:p>
            <w:pPr>
              <w:spacing w:after="0"/>
              <w:rPr>
                <w:sz w:val="1"/>
                <w:szCs w:val="1"/>
                <w:color w:val="auto"/>
              </w:rPr>
            </w:pPr>
          </w:p>
        </w:tc>
      </w:tr>
      <w:tr>
        <w:trPr>
          <w:trHeight w:val="412"/>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95,126</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13,396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debt</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(102,215)</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(45,124)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(132,691)</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Cash received for noncontrolling interest in Albany Safran Composites</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options exercised</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1,897</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773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624</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201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Debt acquisition costs</w:t>
            </w: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(1,673)</w:t>
            </w: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Dividends paid</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(21,088)</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(19,729)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3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(27,329)</w:t>
            </w:r>
          </w:p>
        </w:tc>
        <w:tc>
          <w:tcPr>
            <w:tcW w:w="15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(50,483)</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(15,499)</w:t>
            </w:r>
          </w:p>
        </w:tc>
        <w:tc>
          <w:tcPr>
            <w:tcW w:w="15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(18,830)</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173"/>
        </w:trPr>
        <w:tc>
          <w:tcPr>
            <w:tcW w:w="7300" w:type="dxa"/>
            <w:vAlign w:val="bottom"/>
          </w:tcPr>
          <w:p>
            <w:pPr>
              <w:ind w:left="40"/>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130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5,311</w:t>
            </w:r>
          </w:p>
        </w:tc>
        <w:tc>
          <w:tcPr>
            <w:tcW w:w="15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(42,864)</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31,948</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179,802</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222,666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399"/>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$185,113</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$179,802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9" w:name="page50"/>
    <w:bookmarkEnd w:id="49"/>
    <w:p>
      <w:pPr>
        <w:jc w:val="both"/>
        <w:ind w:right="9460" w:firstLine="8"/>
        <w:spacing w:after="0" w:line="459" w:lineRule="auto"/>
        <w:tabs>
          <w:tab w:leader="none" w:pos="2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ind w:right="300" w:firstLine="648"/>
        <w:spacing w:after="0" w:line="261"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interest in an entity in Russia. The consolidated financial statements include our original investment in the entity, plus our share of undistributed earnings or losses, in the account “Other Assets.”</w:t>
      </w:r>
    </w:p>
    <w:p>
      <w:pPr>
        <w:spacing w:after="0" w:line="146"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The Company owns 90 percent of the common equity of Albany Safran Composites (ASC) which is reported within the Albany Engineered Composites (AEC) segment. Additional information regarding that entity is included in Note 10, which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193"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contract profitability,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estimates increased gross profit by $0.4 million in 2015, and reduced gross profit by $0.6 million in 2014 and $2.3 million in 2013. For contracts with anticipated losses at completion,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that are treated as period expenses.</w:t>
      </w:r>
    </w:p>
    <w:p>
      <w:pPr>
        <w:spacing w:after="0" w:line="167" w:lineRule="exact"/>
        <w:rPr>
          <w:sz w:val="20"/>
          <w:szCs w:val="20"/>
          <w:color w:val="auto"/>
        </w:rPr>
      </w:pPr>
    </w:p>
    <w:p>
      <w:pPr>
        <w:jc w:val="both"/>
        <w:ind w:right="200" w:firstLine="648"/>
        <w:spacing w:after="0" w:line="239" w:lineRule="auto"/>
        <w:rPr>
          <w:sz w:val="20"/>
          <w:szCs w:val="20"/>
          <w:color w:val="auto"/>
        </w:rPr>
      </w:pPr>
      <w:r>
        <w:rPr>
          <w:rFonts w:ascii="Arial" w:cs="Arial" w:eastAsia="Arial" w:hAnsi="Arial"/>
          <w:sz w:val="18"/>
          <w:szCs w:val="18"/>
          <w:color w:val="auto"/>
        </w:rPr>
        <w:t>The AEC segment also has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(units of delivery) method.</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50" w:name="page51"/>
    <w:bookmarkEnd w:id="50"/>
    <w:p>
      <w:pPr>
        <w:ind w:right="20"/>
        <w:spacing w:after="0" w:line="239" w:lineRule="auto"/>
        <w:rPr>
          <w:sz w:val="20"/>
          <w:szCs w:val="20"/>
          <w:color w:val="auto"/>
        </w:rPr>
      </w:pPr>
      <w:r>
        <w:rPr>
          <w:rFonts w:ascii="Arial" w:cs="Arial" w:eastAsia="Arial" w:hAnsi="Arial"/>
          <w:sz w:val="18"/>
          <w:szCs w:val="18"/>
          <w:color w:val="auto"/>
        </w:rPr>
        <w:t>Accumulated capitalized costs are written off when those costs are determined to be unrecoverable. Included in Other assets is capitalized cost of $ 1.4 million as of December 31, 2015 and $9.2 million as of December 31, 2014, principally for engineering services, that will be amortized into expense as deliveries are made in the future. Capitalized costs as of December 31, 2015 included $0.1 million for a contract that is in the production phase and $1.3 million for a contract that is still in the development phase.</w:t>
      </w:r>
    </w:p>
    <w:p>
      <w:pPr>
        <w:spacing w:after="0" w:line="161"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9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Product Engineering, and Research Expenses</w:t>
      </w:r>
    </w:p>
    <w:p>
      <w:pPr>
        <w:spacing w:after="0" w:line="207"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Selling, general, administrative, technical, and product engineering expenses are primarily comprised of wages, benefits, travel, professional fees, revaluation of trade foreign currency balances, and other costs, and are expensed as incurred. Selling expense includes provisions for bad debts and costs related to contract acquisition. Research expenses are charged to operations as incurred and consist primarily of compensation, supplies, and professional fees incurred in connection with intellectual property. Total Company research expense was $31.7 million in 2015, $32.4 million in 2014, and $30.2 million in 2013.</w:t>
      </w:r>
    </w:p>
    <w:p>
      <w:pPr>
        <w:spacing w:after="0" w:line="162"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$0.0 million in 2015, $0.4 million in 2014, and $1.4 million in 2013 as a result of such arrangements. For customer-funded research and development in which we anticipate funding to exceed expenses, we include amounts charged to the customer in Net sales, while expenses are included in Cost of goods sold.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Restructuring expenses may also include impairment of Property, plant and equipment, as described below.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by applying enacted statutory tax rates applicable for future years to differences between financial statement and tax bases of existing assets and liabilities. The effect of tax rate changes on deferred taxes is recognized in the income tax provision in the period that includes the enactment date.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1" w:name="page52"/>
    <w:bookmarkEnd w:id="51"/>
    <w:p>
      <w:pPr>
        <w:ind w:right="60" w:firstLine="648"/>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0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income/(loss) from discontinued operations includes operating income and expenses previously attributed to businesses that were sold in 2012 and, additionally, amounts previously reported as Corporate expenses, and Other (income)/expense that were directly related to the divested businesses. Corporate expenses attributed to the discontinued business include expenses related to global information systems. Interest expense is attributed to the discontinued business only when such expense results from direct third-party borrowings.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statements are translated at the average exchange rates. Gains or losses resulting from translating non-U.S. currency financial statements are recorded in other comprehensive income and accumulated in Shareholders’ equity in the caption “Translation adjustments”.</w:t>
      </w:r>
    </w:p>
    <w:p>
      <w:pPr>
        <w:spacing w:after="0" w:line="162"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local currency. Gains or losses resulting from cash and short-term intercompany loans and balances denominated in a currency other than the entity’s local currency, and foreign currency options are generally included in Other expense/(income), net. Gains and losses on long-term intercompany loans not intended to be repaid in the foreseeable future are recorded in other comprehensive income.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1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5"/>
        </w:trPr>
        <w:tc>
          <w:tcPr>
            <w:tcW w:w="5240" w:type="dxa"/>
            <w:vAlign w:val="bottom"/>
          </w:tcPr>
          <w:p>
            <w:pPr>
              <w:ind w:left="80"/>
              <w:spacing w:after="0" w:line="195" w:lineRule="exact"/>
              <w:rPr>
                <w:sz w:val="20"/>
                <w:szCs w:val="20"/>
                <w:color w:val="auto"/>
              </w:rPr>
            </w:pPr>
            <w:r>
              <w:rPr>
                <w:rFonts w:ascii="Arial" w:cs="Arial" w:eastAsia="Arial" w:hAnsi="Arial"/>
                <w:sz w:val="18"/>
                <w:szCs w:val="18"/>
                <w:color w:val="auto"/>
              </w:rPr>
              <w:t>(Gains)/losses included in:</w:t>
            </w:r>
          </w:p>
        </w:tc>
        <w:tc>
          <w:tcPr>
            <w:tcW w:w="27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($5,090)</w:t>
            </w: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tcPr>
          <w:p>
            <w:pPr>
              <w:ind w:left="24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2720" w:type="dxa"/>
            <w:vAlign w:val="bottom"/>
            <w:vMerge w:val="continue"/>
          </w:tcPr>
          <w:p>
            <w:pPr>
              <w:spacing w:after="0"/>
              <w:rPr>
                <w:sz w:val="15"/>
                <w:szCs w:val="15"/>
                <w:color w:val="auto"/>
              </w:rPr>
            </w:pPr>
          </w:p>
        </w:tc>
        <w:tc>
          <w:tcPr>
            <w:tcW w:w="2120" w:type="dxa"/>
            <w:vAlign w:val="bottom"/>
          </w:tcPr>
          <w:p>
            <w:pPr>
              <w:jc w:val="right"/>
              <w:ind w:right="650"/>
              <w:spacing w:after="0" w:line="181" w:lineRule="exact"/>
              <w:rPr>
                <w:sz w:val="20"/>
                <w:szCs w:val="20"/>
                <w:color w:val="auto"/>
              </w:rPr>
            </w:pPr>
            <w:r>
              <w:rPr>
                <w:rFonts w:ascii="Arial" w:cs="Arial" w:eastAsia="Arial" w:hAnsi="Arial"/>
                <w:sz w:val="18"/>
                <w:szCs w:val="18"/>
                <w:color w:val="auto"/>
              </w:rPr>
              <w:t>(3,931)</w:t>
            </w:r>
          </w:p>
        </w:tc>
        <w:tc>
          <w:tcPr>
            <w:tcW w:w="13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expense/(income), net</w:t>
            </w:r>
          </w:p>
        </w:tc>
        <w:tc>
          <w:tcPr>
            <w:tcW w:w="27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1,496</w:t>
            </w:r>
          </w:p>
        </w:tc>
        <w:tc>
          <w:tcPr>
            <w:tcW w:w="2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(6,379)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transaction (gains)/losses</w:t>
            </w:r>
          </w:p>
        </w:tc>
        <w:tc>
          <w:tcPr>
            <w:tcW w:w="27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($3,594)</w:t>
            </w:r>
          </w:p>
        </w:tc>
        <w:tc>
          <w:tcPr>
            <w:tcW w:w="212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($10,310)</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426"/>
        </w:trPr>
        <w:tc>
          <w:tcPr>
            <w:tcW w:w="5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52" w:name="page53"/>
    <w:bookmarkEnd w:id="52"/>
    <w:p>
      <w:pPr>
        <w:ind w:right="700" w:firstLine="648"/>
        <w:spacing w:after="0" w:line="246" w:lineRule="auto"/>
        <w:rPr>
          <w:sz w:val="20"/>
          <w:szCs w:val="20"/>
          <w:color w:val="auto"/>
        </w:rPr>
      </w:pPr>
      <w:r>
        <w:rPr>
          <w:rFonts w:ascii="Arial" w:cs="Arial" w:eastAsia="Arial" w:hAnsi="Arial"/>
          <w:sz w:val="18"/>
          <w:szCs w:val="18"/>
          <w:color w:val="auto"/>
        </w:rPr>
        <w:t>The following table presents foreign currency gains and losses on long-term intercompany loans that were recognized in Other comprehensive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399"/>
        </w:trPr>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Gain/(loss) on long-term intercompany loans</w:t>
            </w:r>
          </w:p>
        </w:tc>
        <w:tc>
          <w:tcPr>
            <w:tcW w:w="3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($5,225)</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$5,317</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($18,052)</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ind w:left="660"/>
              <w:spacing w:after="0"/>
              <w:rPr>
                <w:sz w:val="20"/>
                <w:szCs w:val="20"/>
                <w:color w:val="auto"/>
              </w:rPr>
            </w:pPr>
            <w:r>
              <w:rPr>
                <w:rFonts w:ascii="Arial" w:cs="Arial" w:eastAsia="Arial" w:hAnsi="Arial"/>
                <w:sz w:val="18"/>
                <w:szCs w:val="18"/>
                <w:color w:val="auto"/>
              </w:rPr>
              <w:t>As of December 31, 2015 and 2014, Accounts receivable consisted of the following:</w:t>
            </w:r>
          </w:p>
        </w:tc>
        <w:tc>
          <w:tcPr>
            <w:tcW w:w="2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65"/>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2015</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r>
      <w:tr>
        <w:trPr>
          <w:trHeight w:val="173"/>
        </w:trPr>
        <w:tc>
          <w:tcPr>
            <w:tcW w:w="762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204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$123,179</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$136,479</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204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15,845</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17,426</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204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15,889</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13,045</w:t>
            </w:r>
          </w:p>
        </w:tc>
      </w:tr>
      <w:tr>
        <w:trPr>
          <w:trHeight w:val="225"/>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2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(8,530)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r>
      <w:tr>
        <w:trPr>
          <w:trHeight w:val="196"/>
        </w:trPr>
        <w:tc>
          <w:tcPr>
            <w:tcW w:w="7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20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$146,383</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$158,237</w:t>
            </w:r>
          </w:p>
        </w:tc>
      </w:tr>
    </w:tbl>
    <w:p>
      <w:pPr>
        <w:spacing w:after="0" w:line="39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Inventories are stated at the lower of cost or market, with cost determined using the first-in-first-out method. The Company writes down the inventory for estimated obsolescence and to lower of cost of market value based upon assumptions about future demand and market conditions. If actual market conditions are less favorable than those projected by the Company, additional inventory write-downs may be required. Once established, the original cost of the inventory less the related inventory allowance represents the new cost basis of such inventories.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Pr>
          <w:p>
            <w:pPr>
              <w:ind w:left="660"/>
              <w:spacing w:after="0"/>
              <w:rPr>
                <w:sz w:val="20"/>
                <w:szCs w:val="20"/>
                <w:color w:val="auto"/>
              </w:rPr>
            </w:pPr>
            <w:r>
              <w:rPr>
                <w:rFonts w:ascii="Arial" w:cs="Arial" w:eastAsia="Arial" w:hAnsi="Arial"/>
                <w:sz w:val="18"/>
                <w:szCs w:val="18"/>
                <w:color w:val="auto"/>
              </w:rPr>
              <w:t>As of December 31, 2015 and 2014, inventories consisted of the following:</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65"/>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3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2015</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r>
      <w:tr>
        <w:trPr>
          <w:trHeight w:val="173"/>
        </w:trPr>
        <w:tc>
          <w:tcPr>
            <w:tcW w:w="726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236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$27,636</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$27,006</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36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41,823</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43,512</w:t>
            </w:r>
          </w:p>
        </w:tc>
      </w:tr>
      <w:tr>
        <w:trPr>
          <w:trHeight w:val="225"/>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2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36,947</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36,756</w:t>
            </w:r>
          </w:p>
        </w:tc>
      </w:tr>
      <w:tr>
        <w:trPr>
          <w:trHeight w:val="196"/>
        </w:trPr>
        <w:tc>
          <w:tcPr>
            <w:tcW w:w="7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236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$106,406</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$107,274</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Property, plant and equipment are recorded at cost.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6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amounted to $1.3 million in 2015 and $0.6 million in 2014.</w:t>
      </w:r>
    </w:p>
    <w:p>
      <w:pPr>
        <w:spacing w:after="0" w:line="161"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34"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 See additional information set forth under Note 12.</w:t>
      </w:r>
    </w:p>
    <w:p>
      <w:pPr>
        <w:spacing w:after="0" w:line="20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amounting to $0.4 million in 2015 and $0.3 million in 2014.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202"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Other assets also includes $10.4 million in 2015 and $10.1 million in 2014 for defined benefit pension plans where plan assets exceed the projected benefit obligations.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93"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under Note 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93"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54" w:name="page55"/>
    <w:bookmarkEnd w:id="54"/>
    <w:p>
      <w:pPr>
        <w:ind w:right="160"/>
        <w:spacing w:after="0" w:line="246" w:lineRule="auto"/>
        <w:rPr>
          <w:sz w:val="20"/>
          <w:szCs w:val="20"/>
          <w:color w:val="auto"/>
        </w:rPr>
      </w:pPr>
      <w:r>
        <w:rPr>
          <w:rFonts w:ascii="Arial" w:cs="Arial" w:eastAsia="Arial" w:hAnsi="Arial"/>
          <w:sz w:val="18"/>
          <w:szCs w:val="18"/>
          <w:color w:val="auto"/>
        </w:rPr>
        <w:t>whether the derivative instrument is expected to reduce the risks associated with the hedged item. To the extent these criteria are not met, we do not use hedge accounting for the derivative.</w:t>
      </w:r>
    </w:p>
    <w:p>
      <w:pPr>
        <w:spacing w:after="0" w:line="170"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All derivative contracts are recorded in the balance sheet at fair value.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 portion of a hedge, if any, and changes in the fair value of a derivative not deemed to be a hedge, are recorded in Other expense/(income), net.</w:t>
      </w:r>
    </w:p>
    <w:p>
      <w:pPr>
        <w:spacing w:after="0" w:line="16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 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6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at the beginning of each fiscal year. We consider current market conditions, including changes in interest rates, in making these assumptions. Discount rate assumptions are based on the population of plan participants and a mixture of high-quality fixed-income investments for which the average maturity approximates the average remaining service period of plan participants. The assumption for expected return on plan assets is based on historical and expected returns on various categories of plan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07"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 The reportable segments, which are described in more detail in Note 3, are Machine Clothing (MC) and Albany Engineered Composites (AEC). In the determination of segment operating income, we exclude expenses for certain Corporate expenses, which consist primarily of corporate headquarters and global information systems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In July 2015, the FASB agreed to defer by one year, the mandatory effective date of the revenue recognition standard and, as a result, this accounting update is effective for reporting periods beginning after December 31, 2017. This accounting update permits the use of either the retrospective or modified retrospective (cumulative effect) transition method. We are evaluating the effect his accounting update will have on our consolidated financial statements and related disclosures. We have not yet selected a transition method, nor have we determined the effect of the standard on our ongoing financial reporting.</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55" w:name="page56"/>
    <w:bookmarkEnd w:id="55"/>
    <w:p>
      <w:pPr>
        <w:ind w:right="60" w:firstLine="648"/>
        <w:spacing w:after="0" w:line="239" w:lineRule="auto"/>
        <w:rPr>
          <w:sz w:val="20"/>
          <w:szCs w:val="20"/>
          <w:color w:val="auto"/>
        </w:rPr>
      </w:pPr>
      <w:r>
        <w:rPr>
          <w:rFonts w:ascii="Arial" w:cs="Arial" w:eastAsia="Arial" w:hAnsi="Arial"/>
          <w:sz w:val="18"/>
          <w:szCs w:val="18"/>
          <w:color w:val="auto"/>
        </w:rPr>
        <w:t>In January 2015, an accounting update was issued which eliminates the concept of extraordinary items from U.S. GAAP. This accounting update is effective for reporting periods beginning after December 15, 2015. We do not expect the adoption of this update to have a significant effect on our financial statements, absent any future transactions that would have qualified for extraordinary item presentation under the prior guidance.</w:t>
      </w:r>
    </w:p>
    <w:p>
      <w:pPr>
        <w:spacing w:after="0" w:line="161"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 entities, or whether fees are paid to a decision maker or service provider, or whether they are held by related parties. This accounting update is effective for reporting periods beginning after December 15, 2015. We do not expect the adoption of this update to have a significant effect on our financial statements.</w:t>
      </w:r>
    </w:p>
    <w:p>
      <w:pPr>
        <w:spacing w:after="0" w:line="175"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In April 2015 and August 2015, accounting updates were issued which requires that debt issuance costs related to certain types of recognized debt liability be presented in the balance sheet as a direct deduction of that debt, which may result in a minor netting down of our assets and liabilities. This accounting update is effective for reporting periods beginning after December 15, 2015. We do not expect the adoption of this update to have a material effect on our financial statements.</w:t>
      </w:r>
    </w:p>
    <w:p>
      <w:pPr>
        <w:spacing w:after="0" w:line="161"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pension plan investments in the fair value hierarchy if their fair value is measured at net asset value (NAV) per share. This accounting update is effective for reporting periods beginning after December 15, 2015. We do not expect the adoption of this update to have a significant effect on our financial statements.</w:t>
      </w:r>
    </w:p>
    <w:p>
      <w:pPr>
        <w:spacing w:after="0" w:line="16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or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17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is effective for reporting periods beginning after December 15, 2015. We have not determined the impact of this update due to the absence of transactions that would be impacted.</w:t>
      </w:r>
    </w:p>
    <w:p>
      <w:pPr>
        <w:spacing w:after="0" w:line="16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 November 2015, an accounting update was issued which requires entities with a classified balance sheet to present all deferred tax assets and liabilities as noncurrent. This accounting update is effective for reporting periods beginning after December 15, 2016. Early adoption is permitted and we have adopted this accounting update on a prospective basis. The effect of adopting this update is described in Note 7.</w:t>
      </w:r>
    </w:p>
    <w:p>
      <w:pPr>
        <w:spacing w:after="0" w:line="162"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In January 2016, an accounting update was issued which requires entities to present separately in Other comprehensive income the portion of the total change in the fair value of a liability resulting from a change in the instrument-specific credit risk if the entity has elected to measure the liability at fair value in accordance with the fair value option for financial instruments. This accounting update is effective for reporting periods beginning after December 15, 2017. We have not determined the impact of this update on our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9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May 2012, we announced an agreement to sell our PrimaLoft Products business and that transaction closed on June 29, 2012. Under the terms of the agreement, the purchaser acquired all of the assets of that business, which were located in the United States, Italy and Germany. The purchase price of $38.0 million included $3.8 million held in escrow accounts, which was received in 2013. The Company recorded a pre-tax gain of $34.9 million as result of that sale.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6" w:name="page57"/>
    <w:bookmarkEnd w:id="56"/>
    <w:p>
      <w:pPr>
        <w:ind w:right="180" w:firstLine="648"/>
        <w:spacing w:after="0" w:line="238" w:lineRule="auto"/>
        <w:rPr>
          <w:sz w:val="20"/>
          <w:szCs w:val="20"/>
          <w:color w:val="auto"/>
        </w:rPr>
      </w:pPr>
      <w:r>
        <w:rPr>
          <w:rFonts w:ascii="Arial" w:cs="Arial" w:eastAsia="Arial" w:hAnsi="Arial"/>
          <w:sz w:val="18"/>
          <w:szCs w:val="18"/>
          <w:color w:val="auto"/>
        </w:rPr>
        <w:t>We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62" w:lineRule="exact"/>
        <w:rPr>
          <w:sz w:val="20"/>
          <w:szCs w:val="20"/>
          <w:color w:val="auto"/>
        </w:rPr>
      </w:pPr>
    </w:p>
    <w:p>
      <w:pPr>
        <w:ind w:right="960" w:firstLine="648"/>
        <w:spacing w:after="0" w:line="246" w:lineRule="auto"/>
        <w:rPr>
          <w:sz w:val="20"/>
          <w:szCs w:val="20"/>
          <w:color w:val="auto"/>
        </w:rPr>
      </w:pPr>
      <w:r>
        <w:rPr>
          <w:rFonts w:ascii="Arial" w:cs="Arial" w:eastAsia="Arial" w:hAnsi="Arial"/>
          <w:sz w:val="18"/>
          <w:szCs w:val="18"/>
          <w:color w:val="auto"/>
        </w:rPr>
        <w:t>There was no effect from the discontinued operations in 2015 or 2014. The table below summarizes operating results of the discontinued operations for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245745</wp:posOffset>
            </wp:positionV>
            <wp:extent cx="52482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80" w:type="dxa"/>
        <w:tblCellMar>
          <w:top w:w="0" w:type="dxa"/>
          <w:left w:w="0" w:type="dxa"/>
          <w:bottom w:w="0" w:type="dxa"/>
          <w:right w:w="0" w:type="dxa"/>
        </w:tblCellMar>
      </w:tblPr>
      <w:tr>
        <w:trPr>
          <w:trHeight w:val="17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412"/>
        </w:trPr>
        <w:tc>
          <w:tcPr>
            <w:tcW w:w="5880" w:type="dxa"/>
            <w:vAlign w:val="bottom"/>
          </w:tcPr>
          <w:p>
            <w:pPr>
              <w:spacing w:after="0"/>
              <w:rPr>
                <w:sz w:val="20"/>
                <w:szCs w:val="20"/>
                <w:color w:val="auto"/>
              </w:rPr>
            </w:pPr>
            <w:r>
              <w:rPr>
                <w:rFonts w:ascii="Arial" w:cs="Arial" w:eastAsia="Arial" w:hAnsi="Arial"/>
                <w:sz w:val="18"/>
                <w:szCs w:val="18"/>
                <w:color w:val="auto"/>
              </w:rPr>
              <w:t>Net sales</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5880" w:type="dxa"/>
            <w:vAlign w:val="bottom"/>
          </w:tcPr>
          <w:p>
            <w:pPr>
              <w:spacing w:after="0"/>
              <w:rPr>
                <w:sz w:val="20"/>
                <w:szCs w:val="20"/>
                <w:color w:val="auto"/>
              </w:rPr>
            </w:pPr>
            <w:r>
              <w:rPr>
                <w:rFonts w:ascii="Arial" w:cs="Arial" w:eastAsia="Arial" w:hAnsi="Arial"/>
                <w:sz w:val="18"/>
                <w:szCs w:val="18"/>
                <w:color w:val="auto"/>
              </w:rPr>
              <w:t>Income from operations of discontinued business</w:t>
            </w:r>
          </w:p>
        </w:tc>
        <w:tc>
          <w:tcPr>
            <w:tcW w:w="2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05"/>
        </w:trPr>
        <w:tc>
          <w:tcPr>
            <w:tcW w:w="5880" w:type="dxa"/>
            <w:vAlign w:val="bottom"/>
          </w:tcPr>
          <w:p>
            <w:pPr>
              <w:spacing w:after="0"/>
              <w:rPr>
                <w:sz w:val="20"/>
                <w:szCs w:val="20"/>
                <w:color w:val="auto"/>
              </w:rPr>
            </w:pPr>
            <w:r>
              <w:rPr>
                <w:rFonts w:ascii="Arial" w:cs="Arial" w:eastAsia="Arial" w:hAnsi="Arial"/>
                <w:sz w:val="18"/>
                <w:szCs w:val="18"/>
                <w:color w:val="auto"/>
              </w:rPr>
              <w:t>Gain on disposition of discontinued operations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5880" w:type="dxa"/>
            <w:vAlign w:val="bottom"/>
          </w:tcPr>
          <w:p>
            <w:pPr>
              <w:spacing w:after="0"/>
              <w:rPr>
                <w:sz w:val="20"/>
                <w:szCs w:val="20"/>
                <w:color w:val="auto"/>
              </w:rPr>
            </w:pPr>
            <w:r>
              <w:rPr>
                <w:rFonts w:ascii="Arial" w:cs="Arial" w:eastAsia="Arial" w:hAnsi="Arial"/>
                <w:sz w:val="18"/>
                <w:szCs w:val="18"/>
                <w:color w:val="auto"/>
              </w:rPr>
              <w:t>Income tax benefit</w:t>
            </w: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3"/>
        </w:trPr>
        <w:tc>
          <w:tcPr>
            <w:tcW w:w="58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7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nonwovens, fiber cement and several other industrial applications. The Machine Clothing segment also supplies customized, consumable fabrics used in the manufacturing process in the pulp, corrugator, nonwovens, fiber cement, building products, and tannery and textile industries. We sell our Machine Clothing products directly to customer end-users. Our products, manufacturing processes, and distribution channels for Machine Clothing are substantially the same in each region of the world in which we operate.</w:t>
      </w:r>
    </w:p>
    <w:p>
      <w:pPr>
        <w:spacing w:after="0" w:line="189"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Paper machine clothing products are customized, consumable products of technologically sophisticated design that utilize polymeric materials in a complex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20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Under this program, AEC through ASC, is the exclusive supplier of advanced composite fan</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7" w:name="page58"/>
    <w:bookmarkEnd w:id="57"/>
    <w:p>
      <w:pPr>
        <w:ind w:right="720"/>
        <w:spacing w:after="0" w:line="246" w:lineRule="auto"/>
        <w:rPr>
          <w:sz w:val="20"/>
          <w:szCs w:val="20"/>
          <w:color w:val="auto"/>
        </w:rPr>
      </w:pPr>
      <w:r>
        <w:rPr>
          <w:rFonts w:ascii="Arial" w:cs="Arial" w:eastAsia="Arial" w:hAnsi="Arial"/>
          <w:sz w:val="18"/>
          <w:szCs w:val="18"/>
          <w:color w:val="auto"/>
        </w:rPr>
        <w:t>blades and cases under a long-term supply contract. In 2015, approximately 15 percent of AEC sales were related to U.S. government contracts or programs.</w:t>
      </w:r>
    </w:p>
    <w:p>
      <w:pPr>
        <w:spacing w:after="0" w:line="170" w:lineRule="exact"/>
        <w:rPr>
          <w:sz w:val="20"/>
          <w:szCs w:val="20"/>
          <w:color w:val="auto"/>
        </w:rPr>
      </w:pPr>
    </w:p>
    <w:p>
      <w:pPr>
        <w:jc w:val="both"/>
        <w:ind w:right="80" w:firstLine="648"/>
        <w:spacing w:after="0" w:line="239" w:lineRule="auto"/>
        <w:rPr>
          <w:sz w:val="20"/>
          <w:szCs w:val="20"/>
          <w:color w:val="auto"/>
        </w:rPr>
      </w:pPr>
      <w:r>
        <w:rPr>
          <w:rFonts w:ascii="Arial" w:cs="Arial" w:eastAsia="Arial" w:hAnsi="Arial"/>
          <w:sz w:val="18"/>
          <w:szCs w:val="18"/>
          <w:color w:val="auto"/>
        </w:rPr>
        <w:t>In February 2016, our customer on the BR 725 contract notified us that they disagreed with our calculation of pricing for the parts to be sold in 2016, which could, potentially, have an adverse effect on the profitability of this contract in the future. While the Company believes that its position is supported by the contract, as well as by the prior course of dealing between the parties, if the customer’s position were to prevail it could have a material effect on operating results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2014</w:t>
            </w: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5"/>
        </w:trPr>
        <w:tc>
          <w:tcPr>
            <w:tcW w:w="450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Net Sales</w:t>
            </w:r>
          </w:p>
        </w:tc>
        <w:tc>
          <w:tcPr>
            <w:tcW w:w="33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$608,581</w:t>
            </w:r>
          </w:p>
        </w:tc>
        <w:tc>
          <w:tcPr>
            <w:tcW w:w="2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$655,026</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$674,747</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3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101,287</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90,319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82,667</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33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$709,868</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$745,345</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$757,414</w:t>
            </w:r>
          </w:p>
        </w:tc>
        <w:tc>
          <w:tcPr>
            <w:tcW w:w="0" w:type="dxa"/>
            <w:vAlign w:val="bottom"/>
          </w:tcPr>
          <w:p>
            <w:pPr>
              <w:spacing w:after="0"/>
              <w:rPr>
                <w:sz w:val="1"/>
                <w:szCs w:val="1"/>
                <w:color w:val="auto"/>
              </w:rPr>
            </w:pPr>
          </w:p>
        </w:tc>
      </w:tr>
      <w:tr>
        <w:trPr>
          <w:trHeight w:val="195"/>
        </w:trPr>
        <w:tc>
          <w:tcPr>
            <w:tcW w:w="450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33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39,503</w:t>
            </w:r>
          </w:p>
        </w:tc>
        <w:tc>
          <w:tcPr>
            <w:tcW w:w="2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45,066</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46,521</w:t>
            </w:r>
          </w:p>
        </w:tc>
        <w:tc>
          <w:tcPr>
            <w:tcW w:w="0" w:type="dxa"/>
            <w:vAlign w:val="bottom"/>
          </w:tcPr>
          <w:p>
            <w:pPr>
              <w:spacing w:after="0"/>
              <w:rPr>
                <w:sz w:val="1"/>
                <w:szCs w:val="1"/>
                <w:color w:val="auto"/>
              </w:rPr>
            </w:pPr>
          </w:p>
        </w:tc>
      </w:tr>
      <w:tr>
        <w:trPr>
          <w:trHeight w:val="203"/>
        </w:trPr>
        <w:tc>
          <w:tcPr>
            <w:tcW w:w="450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12,140</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10,880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8,471</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8,346</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33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$60,114</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$64,292</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$63,789</w:t>
            </w:r>
          </w:p>
        </w:tc>
        <w:tc>
          <w:tcPr>
            <w:tcW w:w="0" w:type="dxa"/>
            <w:vAlign w:val="bottom"/>
          </w:tcPr>
          <w:p>
            <w:pPr>
              <w:spacing w:after="0"/>
              <w:rPr>
                <w:sz w:val="1"/>
                <w:szCs w:val="1"/>
                <w:color w:val="auto"/>
              </w:rPr>
            </w:pPr>
          </w:p>
        </w:tc>
      </w:tr>
      <w:tr>
        <w:trPr>
          <w:trHeight w:val="195"/>
        </w:trPr>
        <w:tc>
          <w:tcPr>
            <w:tcW w:w="450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Operating income/(loss)</w:t>
            </w:r>
          </w:p>
        </w:tc>
        <w:tc>
          <w:tcPr>
            <w:tcW w:w="33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141,311</w:t>
            </w:r>
          </w:p>
        </w:tc>
        <w:tc>
          <w:tcPr>
            <w:tcW w:w="2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136,450</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114,370</w:t>
            </w:r>
          </w:p>
        </w:tc>
        <w:tc>
          <w:tcPr>
            <w:tcW w:w="0" w:type="dxa"/>
            <w:vAlign w:val="bottom"/>
          </w:tcPr>
          <w:p>
            <w:pPr>
              <w:spacing w:after="0"/>
              <w:rPr>
                <w:sz w:val="1"/>
                <w:szCs w:val="1"/>
                <w:color w:val="auto"/>
              </w:rPr>
            </w:pPr>
          </w:p>
        </w:tc>
      </w:tr>
      <w:tr>
        <w:trPr>
          <w:trHeight w:val="203"/>
        </w:trPr>
        <w:tc>
          <w:tcPr>
            <w:tcW w:w="450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(28,478)</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(10,483)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(14,404)</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(48,938)</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(54,607)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w:t>
            </w:r>
          </w:p>
        </w:tc>
        <w:tc>
          <w:tcPr>
            <w:tcW w:w="0" w:type="dxa"/>
            <w:vAlign w:val="bottom"/>
          </w:tcPr>
          <w:p>
            <w:pPr>
              <w:spacing w:after="0"/>
              <w:rPr>
                <w:sz w:val="1"/>
                <w:szCs w:val="1"/>
                <w:color w:val="auto"/>
              </w:rPr>
            </w:pPr>
          </w:p>
        </w:tc>
      </w:tr>
      <w:tr>
        <w:trPr>
          <w:trHeight w:val="173"/>
        </w:trPr>
        <w:tc>
          <w:tcPr>
            <w:tcW w:w="4500" w:type="dxa"/>
            <w:vAlign w:val="bottom"/>
          </w:tcPr>
          <w:p>
            <w:pPr>
              <w:ind w:left="40"/>
              <w:spacing w:after="0" w:line="173" w:lineRule="exact"/>
              <w:rPr>
                <w:sz w:val="20"/>
                <w:szCs w:val="20"/>
                <w:color w:val="auto"/>
              </w:rPr>
            </w:pPr>
            <w:r>
              <w:rPr>
                <w:rFonts w:ascii="Arial" w:cs="Arial" w:eastAsia="Arial" w:hAnsi="Arial"/>
                <w:sz w:val="18"/>
                <w:szCs w:val="18"/>
                <w:color w:val="auto"/>
              </w:rPr>
              <w:t>Operating income</w:t>
            </w:r>
          </w:p>
        </w:tc>
        <w:tc>
          <w:tcPr>
            <w:tcW w:w="336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$63,895</w:t>
            </w:r>
          </w:p>
        </w:tc>
        <w:tc>
          <w:tcPr>
            <w:tcW w:w="204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$71,360</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$52,091</w:t>
            </w:r>
          </w:p>
        </w:tc>
        <w:tc>
          <w:tcPr>
            <w:tcW w:w="0" w:type="dxa"/>
            <w:vAlign w:val="bottom"/>
          </w:tcPr>
          <w:p>
            <w:pPr>
              <w:spacing w:after="0"/>
              <w:rPr>
                <w:sz w:val="1"/>
                <w:szCs w:val="1"/>
                <w:color w:val="auto"/>
              </w:rPr>
            </w:pPr>
          </w:p>
        </w:tc>
      </w:tr>
      <w:tr>
        <w:trPr>
          <w:trHeight w:val="225"/>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Reconciling items:</w:t>
            </w:r>
          </w:p>
        </w:tc>
        <w:tc>
          <w:tcPr>
            <w:tcW w:w="33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(1,857)</w:t>
            </w:r>
          </w:p>
        </w:tc>
        <w:tc>
          <w:tcPr>
            <w:tcW w:w="2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40"/>
              <w:spacing w:after="0" w:line="181" w:lineRule="exact"/>
              <w:rPr>
                <w:sz w:val="20"/>
                <w:szCs w:val="20"/>
                <w:color w:val="auto"/>
              </w:rPr>
            </w:pPr>
            <w:r>
              <w:rPr>
                <w:rFonts w:ascii="Arial" w:cs="Arial" w:eastAsia="Arial" w:hAnsi="Arial"/>
                <w:sz w:val="18"/>
                <w:szCs w:val="18"/>
                <w:color w:val="auto"/>
              </w:rPr>
              <w:t>Interest income</w:t>
            </w:r>
          </w:p>
        </w:tc>
        <w:tc>
          <w:tcPr>
            <w:tcW w:w="336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(1,541)</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3"/>
        </w:trPr>
        <w:tc>
          <w:tcPr>
            <w:tcW w:w="450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w:t>
            </w:r>
          </w:p>
        </w:tc>
        <w:tc>
          <w:tcPr>
            <w:tcW w:w="336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11,841</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12,254</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expense/(income),net</w:t>
            </w:r>
          </w:p>
        </w:tc>
        <w:tc>
          <w:tcPr>
            <w:tcW w:w="3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2,433</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(6,853)</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Income before income taxes</w:t>
            </w:r>
          </w:p>
        </w:tc>
        <w:tc>
          <w:tcPr>
            <w:tcW w:w="33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$51,478</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$67,500</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8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b w:val="1"/>
                <w:bCs w:val="1"/>
                <w:color w:val="auto"/>
              </w:rPr>
              <w:t>Pension settlement expense</w:t>
            </w:r>
          </w:p>
        </w:tc>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338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$8,190</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4460" w:type="dxa"/>
            <w:vAlign w:val="bottom"/>
          </w:tcPr>
          <w:p>
            <w:pPr>
              <w:spacing w:after="0"/>
              <w:rPr>
                <w:sz w:val="20"/>
                <w:szCs w:val="20"/>
                <w:color w:val="auto"/>
              </w:rPr>
            </w:pPr>
            <w:r>
              <w:rPr>
                <w:rFonts w:ascii="Arial" w:cs="Arial" w:eastAsia="Arial" w:hAnsi="Arial"/>
                <w:sz w:val="18"/>
                <w:szCs w:val="18"/>
                <w:b w:val="1"/>
                <w:bCs w:val="1"/>
                <w:color w:val="auto"/>
              </w:rPr>
              <w:t>Restructuring expenses, net</w:t>
            </w:r>
          </w:p>
        </w:tc>
        <w:tc>
          <w:tcPr>
            <w:tcW w:w="33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$22,211</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3380" w:type="dxa"/>
            <w:vAlign w:val="bottom"/>
            <w:vMerge w:val="continue"/>
          </w:tcPr>
          <w:p>
            <w:pPr>
              <w:spacing w:after="0"/>
              <w:rPr>
                <w:sz w:val="15"/>
                <w:szCs w:val="15"/>
                <w:color w:val="auto"/>
              </w:rPr>
            </w:pPr>
          </w:p>
        </w:tc>
        <w:tc>
          <w:tcPr>
            <w:tcW w:w="204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$4,828</w:t>
            </w: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3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931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1,635</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3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$23,846</w:t>
            </w:r>
          </w:p>
        </w:tc>
        <w:tc>
          <w:tcPr>
            <w:tcW w:w="2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$5,759</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$25,108</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the measurement of assets utilized by each reportable segment, we include accounts receivable, inventories, net property, plant and equipment, intangibles and goodwill. Excluded from segment assets are cash,</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58" w:name="page59"/>
    <w:bookmarkEnd w:id="58"/>
    <w:p>
      <w:pPr>
        <w:ind w:right="300"/>
        <w:spacing w:after="0" w:line="246" w:lineRule="auto"/>
        <w:rPr>
          <w:sz w:val="20"/>
          <w:szCs w:val="20"/>
          <w:color w:val="auto"/>
        </w:rPr>
      </w:pPr>
      <w:r>
        <w:rPr>
          <w:rFonts w:ascii="Arial" w:cs="Arial" w:eastAsia="Arial" w:hAnsi="Arial"/>
          <w:sz w:val="18"/>
          <w:szCs w:val="18"/>
          <w:color w:val="auto"/>
        </w:rPr>
        <w:t>tax related assets, prepaid and other current assets, and certain other assets not directly associated with segment operations. The following table presents assets and capital expenditures by reportable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264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rPr>
              <w:t>2014</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Segment assets</w:t>
            </w:r>
          </w:p>
        </w:tc>
        <w:tc>
          <w:tcPr>
            <w:tcW w:w="2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$494,347</w:t>
            </w: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6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w:t>
            </w:r>
          </w:p>
        </w:tc>
        <w:tc>
          <w:tcPr>
            <w:tcW w:w="264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$565,853</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$624,388</w:t>
            </w:r>
          </w:p>
        </w:tc>
        <w:tc>
          <w:tcPr>
            <w:tcW w:w="0" w:type="dxa"/>
            <w:vAlign w:val="bottom"/>
          </w:tcPr>
          <w:p>
            <w:pPr>
              <w:spacing w:after="0"/>
              <w:rPr>
                <w:sz w:val="1"/>
                <w:szCs w:val="1"/>
                <w:color w:val="auto"/>
              </w:rPr>
            </w:pPr>
          </w:p>
        </w:tc>
      </w:tr>
      <w:tr>
        <w:trPr>
          <w:trHeight w:val="225"/>
        </w:trPr>
        <w:tc>
          <w:tcPr>
            <w:tcW w:w="5160" w:type="dxa"/>
            <w:vAlign w:val="bottom"/>
          </w:tcPr>
          <w:p>
            <w:pPr>
              <w:ind w:left="100"/>
              <w:spacing w:after="0"/>
              <w:rPr>
                <w:sz w:val="20"/>
                <w:szCs w:val="20"/>
                <w:color w:val="auto"/>
              </w:rPr>
            </w:pPr>
            <w:r>
              <w:rPr>
                <w:rFonts w:ascii="Arial" w:cs="Arial" w:eastAsia="Arial" w:hAnsi="Arial"/>
                <w:sz w:val="18"/>
                <w:szCs w:val="18"/>
                <w:color w:val="auto"/>
              </w:rPr>
              <w:t>Albany Engineered Composites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181,825</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175,338</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147,104</w:t>
            </w:r>
          </w:p>
        </w:tc>
        <w:tc>
          <w:tcPr>
            <w:tcW w:w="0" w:type="dxa"/>
            <w:vAlign w:val="bottom"/>
          </w:tcPr>
          <w:p>
            <w:pPr>
              <w:spacing w:after="0"/>
              <w:rPr>
                <w:sz w:val="1"/>
                <w:szCs w:val="1"/>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Reconciling items:</w:t>
            </w:r>
          </w:p>
        </w:tc>
        <w:tc>
          <w:tcPr>
            <w:tcW w:w="2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185,113</w:t>
            </w:r>
          </w:p>
        </w:tc>
        <w:tc>
          <w:tcPr>
            <w:tcW w:w="2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60" w:type="dxa"/>
            <w:vAlign w:val="bottom"/>
          </w:tcPr>
          <w:p>
            <w:pPr>
              <w:ind w:left="260"/>
              <w:spacing w:after="0" w:line="181" w:lineRule="exact"/>
              <w:rPr>
                <w:sz w:val="20"/>
                <w:szCs w:val="20"/>
                <w:color w:val="auto"/>
              </w:rPr>
            </w:pPr>
            <w:r>
              <w:rPr>
                <w:rFonts w:ascii="Arial" w:cs="Arial" w:eastAsia="Arial" w:hAnsi="Arial"/>
                <w:sz w:val="18"/>
                <w:szCs w:val="18"/>
                <w:color w:val="auto"/>
              </w:rPr>
              <w:t>Cash</w:t>
            </w:r>
          </w:p>
        </w:tc>
        <w:tc>
          <w:tcPr>
            <w:tcW w:w="264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179,802</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03"/>
        </w:trPr>
        <w:tc>
          <w:tcPr>
            <w:tcW w:w="5160" w:type="dxa"/>
            <w:vAlign w:val="bottom"/>
          </w:tcPr>
          <w:p>
            <w:pPr>
              <w:ind w:left="240"/>
              <w:spacing w:after="0" w:line="202" w:lineRule="exact"/>
              <w:rPr>
                <w:sz w:val="20"/>
                <w:szCs w:val="20"/>
                <w:color w:val="auto"/>
              </w:rPr>
            </w:pPr>
            <w:r>
              <w:rPr>
                <w:rFonts w:ascii="Arial" w:cs="Arial" w:eastAsia="Arial" w:hAnsi="Arial"/>
                <w:sz w:val="18"/>
                <w:szCs w:val="18"/>
                <w:color w:val="auto"/>
              </w:rPr>
              <w:t>Asset held for sale</w:t>
            </w:r>
          </w:p>
        </w:tc>
        <w:tc>
          <w:tcPr>
            <w:tcW w:w="26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4,988</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260"/>
              <w:spacing w:after="0" w:line="202" w:lineRule="exact"/>
              <w:rPr>
                <w:sz w:val="20"/>
                <w:szCs w:val="20"/>
                <w:color w:val="auto"/>
              </w:rPr>
            </w:pPr>
            <w:r>
              <w:rPr>
                <w:rFonts w:ascii="Arial" w:cs="Arial" w:eastAsia="Arial" w:hAnsi="Arial"/>
                <w:sz w:val="18"/>
                <w:szCs w:val="18"/>
                <w:color w:val="auto"/>
              </w:rPr>
              <w:t>Income taxes prepaid, receivable and deferred</w:t>
            </w:r>
          </w:p>
        </w:tc>
        <w:tc>
          <w:tcPr>
            <w:tcW w:w="26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111,872</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76,283</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92,754</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assets</w:t>
            </w:r>
          </w:p>
        </w:tc>
        <w:tc>
          <w:tcPr>
            <w:tcW w:w="2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31,417</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32,028</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39,245</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Consolidated total assets</w:t>
            </w:r>
          </w:p>
        </w:tc>
        <w:tc>
          <w:tcPr>
            <w:tcW w:w="26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$1,009,562</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$1,029,304</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$1,126,157</w:t>
            </w: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2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$16,010</w:t>
            </w: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6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w:t>
            </w:r>
          </w:p>
        </w:tc>
        <w:tc>
          <w:tcPr>
            <w:tcW w:w="264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$23,202</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$22,892</w:t>
            </w: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26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30,378</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32,141</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2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4,207</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3,530</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6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$50,595</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$58,873</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$64,457</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5"/>
        </w:trPr>
        <w:tc>
          <w:tcPr>
            <w:tcW w:w="504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 sales</w:t>
            </w:r>
          </w:p>
        </w:tc>
        <w:tc>
          <w:tcPr>
            <w:tcW w:w="28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$323,399</w:t>
            </w:r>
          </w:p>
        </w:tc>
        <w:tc>
          <w:tcPr>
            <w:tcW w:w="2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2800" w:type="dxa"/>
            <w:vAlign w:val="bottom"/>
            <w:vMerge w:val="continue"/>
          </w:tcPr>
          <w:p>
            <w:pPr>
              <w:spacing w:after="0"/>
              <w:rPr>
                <w:sz w:val="15"/>
                <w:szCs w:val="15"/>
                <w:color w:val="auto"/>
              </w:rPr>
            </w:pPr>
          </w:p>
        </w:tc>
        <w:tc>
          <w:tcPr>
            <w:tcW w:w="204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$324,750</w:t>
            </w: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$338,729</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Switzerland</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159,804</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184,022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190,035</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Brazil</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58,846</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59,332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62,076</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48,490</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52,822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43,265</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Mexico</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30,581</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27,431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26,081</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26,654</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21,557</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2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62,667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70,334</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76,814</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28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$709,868</w:t>
            </w:r>
          </w:p>
        </w:tc>
        <w:tc>
          <w:tcPr>
            <w:tcW w:w="2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$745,345</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$757,414</w:t>
            </w:r>
          </w:p>
        </w:tc>
        <w:tc>
          <w:tcPr>
            <w:tcW w:w="0" w:type="dxa"/>
            <w:vAlign w:val="bottom"/>
          </w:tcPr>
          <w:p>
            <w:pPr>
              <w:spacing w:after="0"/>
              <w:rPr>
                <w:sz w:val="1"/>
                <w:szCs w:val="1"/>
                <w:color w:val="auto"/>
              </w:rPr>
            </w:pPr>
          </w:p>
        </w:tc>
      </w:tr>
      <w:tr>
        <w:trPr>
          <w:trHeight w:val="209"/>
        </w:trPr>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Property, plant and equipment, at cost, net</w:t>
            </w:r>
          </w:p>
        </w:tc>
        <w:tc>
          <w:tcPr>
            <w:tcW w:w="28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$172,372</w:t>
            </w:r>
          </w:p>
        </w:tc>
        <w:tc>
          <w:tcPr>
            <w:tcW w:w="2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2800" w:type="dxa"/>
            <w:vAlign w:val="bottom"/>
            <w:vMerge w:val="continue"/>
          </w:tcPr>
          <w:p>
            <w:pPr>
              <w:spacing w:after="0"/>
              <w:rPr>
                <w:sz w:val="15"/>
                <w:szCs w:val="15"/>
                <w:color w:val="auto"/>
              </w:rPr>
            </w:pPr>
          </w:p>
        </w:tc>
        <w:tc>
          <w:tcPr>
            <w:tcW w:w="204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$168,848</w:t>
            </w: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$162,380</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80,786</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93,182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103,109</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28,539</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25,091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15,893</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Korea</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19,095</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23,473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35,542</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United Kingdom</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19,029</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22,222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25,246</w:t>
            </w:r>
          </w:p>
        </w:tc>
        <w:tc>
          <w:tcPr>
            <w:tcW w:w="0" w:type="dxa"/>
            <w:vAlign w:val="bottom"/>
          </w:tcPr>
          <w:p>
            <w:pPr>
              <w:spacing w:after="0"/>
              <w:rPr>
                <w:sz w:val="1"/>
                <w:szCs w:val="1"/>
                <w:color w:val="auto"/>
              </w:rPr>
            </w:pPr>
          </w:p>
        </w:tc>
      </w:tr>
      <w:tr>
        <w:trPr>
          <w:trHeight w:val="203"/>
        </w:trPr>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Canada</w:t>
            </w:r>
          </w:p>
        </w:tc>
        <w:tc>
          <w:tcPr>
            <w:tcW w:w="28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12,861</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18,236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2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24,788</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44,061</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54,226</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28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$357,470</w:t>
            </w:r>
          </w:p>
        </w:tc>
        <w:tc>
          <w:tcPr>
            <w:tcW w:w="2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$395,113</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$418,830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59" w:name="page60"/>
    <w:bookmarkEnd w:id="59"/>
    <w:p>
      <w:pPr>
        <w:ind w:right="7000" w:firstLine="8"/>
        <w:spacing w:after="0" w:line="459" w:lineRule="auto"/>
        <w:tabs>
          <w:tab w:leader="none" w:pos="2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ind w:right="12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U.S. pension plan accounts for 45 percent of consolidated pension plan assets, and 44 percent of consolidated pension plan obligations. The eligibility, benefit formulas, and contribution requirements for plans outside of the U.S. vary by location.</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December 31, 2015 and 2014 benefit obligations for the U.S. pension and postretirement plans were calculated using the RP-2014 with generational projection with scale BB-2D from 2006 mortality basis. For U.S. pension funding purposes, the Company uses the plan’s IRS-basis current liability as its funding target, which is determined based on mandated assumptions. Weak investment returns and low interest rates could result in higher than expected contributions to pension plans in future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165"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2015, the accrued postretirement liability was $ 59.1 million in the U.S. and $0.9 million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2015 and 2014, except where indicated below.</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63"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0" w:name="page61"/>
    <w:bookmarkEnd w:id="60"/>
    <w:p>
      <w:pPr>
        <w:ind w:right="420"/>
        <w:spacing w:after="0" w:line="246" w:lineRule="auto"/>
        <w:rPr>
          <w:sz w:val="20"/>
          <w:szCs w:val="20"/>
          <w:color w:val="auto"/>
        </w:rPr>
      </w:pPr>
      <w:r>
        <w:rPr>
          <w:rFonts w:ascii="Arial" w:cs="Arial" w:eastAsia="Arial" w:hAnsi="Arial"/>
          <w:sz w:val="18"/>
          <w:szCs w:val="18"/>
          <w:color w:val="auto"/>
        </w:rPr>
        <w:t>plan assets. The absolute difference in excess of 5 percent of the expected return is added to the market-related value over two years; the remainder is added to the market-related value immediately.</w:t>
      </w:r>
    </w:p>
    <w:p>
      <w:pPr>
        <w:spacing w:after="0" w:line="17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2"/>
          </w:tcPr>
          <w:p>
            <w:pPr>
              <w:jc w:val="right"/>
              <w:ind w:right="590"/>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332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780" w:type="dxa"/>
            <w:vAlign w:val="bottom"/>
          </w:tcPr>
          <w:p>
            <w:pPr>
              <w:spacing w:after="0"/>
              <w:rPr>
                <w:sz w:val="17"/>
                <w:szCs w:val="17"/>
                <w:color w:val="auto"/>
              </w:rPr>
            </w:pPr>
          </w:p>
        </w:tc>
        <w:tc>
          <w:tcPr>
            <w:tcW w:w="154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780" w:type="dxa"/>
            <w:vAlign w:val="bottom"/>
          </w:tcPr>
          <w:p>
            <w:pPr>
              <w:spacing w:after="0"/>
              <w:rPr>
                <w:sz w:val="17"/>
                <w:szCs w:val="17"/>
                <w:color w:val="auto"/>
              </w:rPr>
            </w:pPr>
          </w:p>
        </w:tc>
        <w:tc>
          <w:tcPr>
            <w:tcW w:w="154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Pension plans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benefits</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Pension plans</w:t>
            </w:r>
          </w:p>
        </w:tc>
        <w:tc>
          <w:tcPr>
            <w:tcW w:w="1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99"/>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Benefit obligation, beginning of year</w:t>
            </w:r>
          </w:p>
        </w:tc>
        <w:tc>
          <w:tcPr>
            <w:tcW w:w="2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$213,110</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$64,987</w:t>
            </w:r>
          </w:p>
        </w:tc>
        <w:tc>
          <w:tcPr>
            <w:tcW w:w="1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$204,334</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$61,108</w:t>
            </w:r>
          </w:p>
        </w:tc>
        <w:tc>
          <w:tcPr>
            <w:tcW w:w="0" w:type="dxa"/>
            <w:vAlign w:val="bottom"/>
          </w:tcPr>
          <w:p>
            <w:pPr>
              <w:spacing w:after="0"/>
              <w:rPr>
                <w:sz w:val="1"/>
                <w:szCs w:val="1"/>
                <w:color w:val="auto"/>
              </w:rPr>
            </w:pPr>
          </w:p>
        </w:tc>
      </w:tr>
      <w:tr>
        <w:trPr>
          <w:trHeight w:val="173"/>
        </w:trPr>
        <w:tc>
          <w:tcPr>
            <w:tcW w:w="4120" w:type="dxa"/>
            <w:vAlign w:val="bottom"/>
          </w:tcPr>
          <w:p>
            <w:pPr>
              <w:ind w:left="180"/>
              <w:spacing w:after="0" w:line="173" w:lineRule="exact"/>
              <w:rPr>
                <w:sz w:val="20"/>
                <w:szCs w:val="20"/>
                <w:color w:val="auto"/>
              </w:rPr>
            </w:pPr>
            <w:r>
              <w:rPr>
                <w:rFonts w:ascii="Arial" w:cs="Arial" w:eastAsia="Arial" w:hAnsi="Arial"/>
                <w:sz w:val="18"/>
                <w:szCs w:val="18"/>
                <w:color w:val="auto"/>
              </w:rPr>
              <w:t>Service cost</w:t>
            </w:r>
          </w:p>
        </w:tc>
        <w:tc>
          <w:tcPr>
            <w:tcW w:w="228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2,959</w:t>
            </w:r>
          </w:p>
        </w:tc>
        <w:tc>
          <w:tcPr>
            <w:tcW w:w="170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330</w:t>
            </w:r>
          </w:p>
        </w:tc>
        <w:tc>
          <w:tcPr>
            <w:tcW w:w="178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3,269</w:t>
            </w:r>
          </w:p>
        </w:tc>
        <w:tc>
          <w:tcPr>
            <w:tcW w:w="15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7,787</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2,437</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9,505</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304</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323</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Actuarial (gain)/loss</w:t>
            </w:r>
          </w:p>
        </w:tc>
        <w:tc>
          <w:tcPr>
            <w:tcW w:w="22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(4,209)</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(2,855)</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30,943</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2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(6,530)</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(4,758)</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(6,205)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Settlements and curtailments</w:t>
            </w:r>
          </w:p>
        </w:tc>
        <w:tc>
          <w:tcPr>
            <w:tcW w:w="22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(321)</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(17,936)</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Plan amendments and other</w:t>
            </w:r>
          </w:p>
        </w:tc>
        <w:tc>
          <w:tcPr>
            <w:tcW w:w="22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(37)</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changes</w:t>
            </w:r>
          </w:p>
        </w:tc>
        <w:tc>
          <w:tcPr>
            <w:tcW w:w="2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(13,207)</w:t>
            </w: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(171)</w:t>
            </w: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(11,123)</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Benefit obligation, end of year</w:t>
            </w:r>
          </w:p>
        </w:tc>
        <w:tc>
          <w:tcPr>
            <w:tcW w:w="22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$199,856</w:t>
            </w: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$59,970</w:t>
            </w:r>
          </w:p>
        </w:tc>
        <w:tc>
          <w:tcPr>
            <w:tcW w:w="17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$213,110</w:t>
            </w:r>
          </w:p>
        </w:tc>
        <w:tc>
          <w:tcPr>
            <w:tcW w:w="1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399"/>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benefit obligation</w:t>
            </w:r>
          </w:p>
        </w:tc>
        <w:tc>
          <w:tcPr>
            <w:tcW w:w="2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$188,909</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$199,622</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assumptions used to</w:t>
            </w: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0"/>
              <w:spacing w:after="0" w:line="202" w:lineRule="exact"/>
              <w:rPr>
                <w:sz w:val="20"/>
                <w:szCs w:val="20"/>
                <w:color w:val="auto"/>
              </w:rPr>
            </w:pPr>
            <w:r>
              <w:rPr>
                <w:rFonts w:ascii="Arial" w:cs="Arial" w:eastAsia="Arial" w:hAnsi="Arial"/>
                <w:sz w:val="18"/>
                <w:szCs w:val="18"/>
                <w:color w:val="auto"/>
              </w:rPr>
              <w:t>determine benefit obligations, end of year:</w:t>
            </w:r>
          </w:p>
        </w:tc>
        <w:tc>
          <w:tcPr>
            <w:tcW w:w="2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4.54%</w:t>
            </w:r>
          </w:p>
        </w:tc>
        <w:tc>
          <w:tcPr>
            <w:tcW w:w="17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4.24%</w:t>
            </w: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180"/>
              <w:spacing w:after="0" w:line="181" w:lineRule="exact"/>
              <w:rPr>
                <w:sz w:val="20"/>
                <w:szCs w:val="20"/>
                <w:color w:val="auto"/>
              </w:rPr>
            </w:pPr>
            <w:r>
              <w:rPr>
                <w:rFonts w:ascii="Arial" w:cs="Arial" w:eastAsia="Arial" w:hAnsi="Arial"/>
                <w:sz w:val="18"/>
                <w:szCs w:val="18"/>
                <w:color w:val="auto"/>
              </w:rPr>
              <w:t>Discount rate - U.S. plan</w:t>
            </w:r>
          </w:p>
        </w:tc>
        <w:tc>
          <w:tcPr>
            <w:tcW w:w="22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8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4.18%</w:t>
            </w: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Discount rate - non-U.S. plans</w:t>
            </w:r>
          </w:p>
        </w:tc>
        <w:tc>
          <w:tcPr>
            <w:tcW w:w="2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3.67%</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4.00%</w:t>
            </w:r>
          </w:p>
        </w:tc>
        <w:tc>
          <w:tcPr>
            <w:tcW w:w="1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3.58%</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Compensation increase - U.S. plan</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Compensation increase - non-U.S. plans</w:t>
            </w:r>
          </w:p>
        </w:tc>
        <w:tc>
          <w:tcPr>
            <w:tcW w:w="2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3.24%</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about plan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38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As of December 31, 2015</w:t>
            </w:r>
          </w:p>
        </w:tc>
        <w:tc>
          <w:tcPr>
            <w:tcW w:w="3240" w:type="dxa"/>
            <w:vAlign w:val="bottom"/>
            <w:gridSpan w:val="2"/>
          </w:tcPr>
          <w:p>
            <w:pPr>
              <w:jc w:val="right"/>
              <w:ind w:right="412"/>
              <w:spacing w:after="0"/>
              <w:rPr>
                <w:sz w:val="20"/>
                <w:szCs w:val="20"/>
                <w:color w:val="auto"/>
              </w:rPr>
            </w:pPr>
            <w:r>
              <w:rPr>
                <w:rFonts w:ascii="Arial" w:cs="Arial" w:eastAsia="Arial" w:hAnsi="Arial"/>
                <w:sz w:val="18"/>
                <w:szCs w:val="18"/>
                <w:color w:val="auto"/>
              </w:rPr>
              <w:t>As of December 31, 2014</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1780" w:type="dxa"/>
            <w:vAlign w:val="bottom"/>
          </w:tcPr>
          <w:p>
            <w:pPr>
              <w:spacing w:after="0"/>
              <w:rPr>
                <w:sz w:val="16"/>
                <w:szCs w:val="16"/>
                <w:color w:val="auto"/>
              </w:rPr>
            </w:pPr>
          </w:p>
        </w:tc>
        <w:tc>
          <w:tcPr>
            <w:tcW w:w="1460" w:type="dxa"/>
            <w:vAlign w:val="bottom"/>
          </w:tcPr>
          <w:p>
            <w:pPr>
              <w:jc w:val="center"/>
              <w:ind w:left="12"/>
              <w:spacing w:after="0"/>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89"/>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postretirement</w:t>
            </w:r>
          </w:p>
        </w:tc>
        <w:tc>
          <w:tcPr>
            <w:tcW w:w="1780" w:type="dxa"/>
            <w:vAlign w:val="bottom"/>
          </w:tcPr>
          <w:p>
            <w:pPr>
              <w:spacing w:after="0"/>
              <w:rPr>
                <w:sz w:val="16"/>
                <w:szCs w:val="16"/>
                <w:color w:val="auto"/>
              </w:rPr>
            </w:pPr>
          </w:p>
        </w:tc>
        <w:tc>
          <w:tcPr>
            <w:tcW w:w="1460" w:type="dxa"/>
            <w:vAlign w:val="bottom"/>
          </w:tcPr>
          <w:p>
            <w:pPr>
              <w:jc w:val="center"/>
              <w:ind w:left="12"/>
              <w:spacing w:after="0"/>
              <w:rPr>
                <w:sz w:val="20"/>
                <w:szCs w:val="20"/>
                <w:color w:val="auto"/>
              </w:rPr>
            </w:pPr>
            <w:r>
              <w:rPr>
                <w:rFonts w:ascii="Arial" w:cs="Arial" w:eastAsia="Arial" w:hAnsi="Arial"/>
                <w:sz w:val="16"/>
                <w:szCs w:val="16"/>
                <w:color w:val="auto"/>
              </w:rPr>
              <w:t>postretirement</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Pension plans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benefits</w:t>
            </w:r>
          </w:p>
        </w:tc>
        <w:tc>
          <w:tcPr>
            <w:tcW w:w="17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Pension plans</w:t>
            </w:r>
          </w:p>
        </w:tc>
        <w:tc>
          <w:tcPr>
            <w:tcW w:w="146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color w:val="auto"/>
                <w:w w:val="99"/>
              </w:rPr>
              <w:t>benefits</w:t>
            </w:r>
          </w:p>
        </w:tc>
        <w:tc>
          <w:tcPr>
            <w:tcW w:w="0" w:type="dxa"/>
            <w:vAlign w:val="bottom"/>
          </w:tcPr>
          <w:p>
            <w:pPr>
              <w:spacing w:after="0"/>
              <w:rPr>
                <w:sz w:val="1"/>
                <w:szCs w:val="1"/>
                <w:color w:val="auto"/>
              </w:rPr>
            </w:pPr>
          </w:p>
        </w:tc>
      </w:tr>
      <w:tr>
        <w:trPr>
          <w:trHeight w:val="399"/>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1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$183,199</w:t>
            </w: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$168,390</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8"/>
                <w:szCs w:val="18"/>
                <w:color w:val="auto"/>
              </w:rPr>
              <w:t>Actual return on plan assets, net of expenses</w:t>
            </w:r>
          </w:p>
        </w:tc>
        <w:tc>
          <w:tcPr>
            <w:tcW w:w="2160" w:type="dxa"/>
            <w:vAlign w:val="bottom"/>
          </w:tcPr>
          <w:p>
            <w:pPr>
              <w:jc w:val="right"/>
              <w:ind w:right="231"/>
              <w:spacing w:after="0" w:line="173" w:lineRule="exact"/>
              <w:rPr>
                <w:sz w:val="20"/>
                <w:szCs w:val="20"/>
                <w:color w:val="auto"/>
              </w:rPr>
            </w:pPr>
            <w:r>
              <w:rPr>
                <w:rFonts w:ascii="Arial" w:cs="Arial" w:eastAsia="Arial" w:hAnsi="Arial"/>
                <w:sz w:val="18"/>
                <w:szCs w:val="18"/>
                <w:b w:val="1"/>
                <w:bCs w:val="1"/>
                <w:color w:val="auto"/>
              </w:rPr>
              <w:t>730</w:t>
            </w:r>
          </w:p>
        </w:tc>
        <w:tc>
          <w:tcPr>
            <w:tcW w:w="1660" w:type="dxa"/>
            <w:vAlign w:val="bottom"/>
          </w:tcPr>
          <w:p>
            <w:pPr>
              <w:jc w:val="right"/>
              <w:ind w:right="172"/>
              <w:spacing w:after="0" w:line="173"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251"/>
              <w:spacing w:after="0" w:line="173" w:lineRule="exact"/>
              <w:rPr>
                <w:sz w:val="20"/>
                <w:szCs w:val="20"/>
                <w:color w:val="auto"/>
              </w:rPr>
            </w:pPr>
            <w:r>
              <w:rPr>
                <w:rFonts w:ascii="Arial" w:cs="Arial" w:eastAsia="Arial" w:hAnsi="Arial"/>
                <w:sz w:val="18"/>
                <w:szCs w:val="18"/>
                <w:color w:val="auto"/>
              </w:rPr>
              <w:t>29,638</w:t>
            </w:r>
          </w:p>
        </w:tc>
        <w:tc>
          <w:tcPr>
            <w:tcW w:w="1460" w:type="dxa"/>
            <w:vAlign w:val="bottom"/>
          </w:tcPr>
          <w:p>
            <w:pPr>
              <w:jc w:val="right"/>
              <w:ind w:right="12"/>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2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5,287</w:t>
            </w:r>
          </w:p>
        </w:tc>
        <w:tc>
          <w:tcPr>
            <w:tcW w:w="16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4,758</w:t>
            </w:r>
          </w:p>
        </w:tc>
        <w:tc>
          <w:tcPr>
            <w:tcW w:w="17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15,768</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2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304</w:t>
            </w:r>
          </w:p>
        </w:tc>
        <w:tc>
          <w:tcPr>
            <w:tcW w:w="16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1,068</w:t>
            </w:r>
          </w:p>
        </w:tc>
        <w:tc>
          <w:tcPr>
            <w:tcW w:w="17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323</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16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(6,530)</w:t>
            </w:r>
          </w:p>
        </w:tc>
        <w:tc>
          <w:tcPr>
            <w:tcW w:w="16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(5,826)</w:t>
            </w:r>
          </w:p>
        </w:tc>
        <w:tc>
          <w:tcPr>
            <w:tcW w:w="178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(6,205)</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Settlements</w:t>
            </w:r>
          </w:p>
        </w:tc>
        <w:tc>
          <w:tcPr>
            <w:tcW w:w="216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(688)</w:t>
            </w:r>
          </w:p>
        </w:tc>
        <w:tc>
          <w:tcPr>
            <w:tcW w:w="16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(16,945)</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changes</w:t>
            </w:r>
          </w:p>
        </w:tc>
        <w:tc>
          <w:tcPr>
            <w:tcW w:w="2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(10,915)</w:t>
            </w: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(7,770)</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Fair value of plan assets, end of year</w:t>
            </w:r>
          </w:p>
        </w:tc>
        <w:tc>
          <w:tcPr>
            <w:tcW w:w="2160" w:type="dxa"/>
            <w:vAlign w:val="bottom"/>
            <w:tcBorders>
              <w:bottom w:val="single" w:sz="8" w:color="auto"/>
            </w:tcBorders>
          </w:tcPr>
          <w:p>
            <w:pPr>
              <w:jc w:val="right"/>
              <w:ind w:right="231"/>
              <w:spacing w:after="0" w:line="196" w:lineRule="exact"/>
              <w:rPr>
                <w:sz w:val="20"/>
                <w:szCs w:val="20"/>
                <w:color w:val="auto"/>
              </w:rPr>
            </w:pPr>
            <w:r>
              <w:rPr>
                <w:rFonts w:ascii="Arial" w:cs="Arial" w:eastAsia="Arial" w:hAnsi="Arial"/>
                <w:sz w:val="18"/>
                <w:szCs w:val="18"/>
                <w:b w:val="1"/>
                <w:bCs w:val="1"/>
                <w:color w:val="auto"/>
              </w:rPr>
              <w:t>$171,387</w:t>
            </w:r>
          </w:p>
        </w:tc>
        <w:tc>
          <w:tcPr>
            <w:tcW w:w="16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251"/>
              <w:spacing w:after="0" w:line="196" w:lineRule="exact"/>
              <w:rPr>
                <w:sz w:val="20"/>
                <w:szCs w:val="20"/>
                <w:color w:val="auto"/>
              </w:rPr>
            </w:pPr>
            <w:r>
              <w:rPr>
                <w:rFonts w:ascii="Arial" w:cs="Arial" w:eastAsia="Arial" w:hAnsi="Arial"/>
                <w:sz w:val="18"/>
                <w:szCs w:val="18"/>
                <w:color w:val="auto"/>
              </w:rPr>
              <w:t>$183,199</w:t>
            </w:r>
          </w:p>
        </w:tc>
        <w:tc>
          <w:tcPr>
            <w:tcW w:w="14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6"/>
        </w:trPr>
        <w:tc>
          <w:tcPr>
            <w:tcW w:w="4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29"/>
        </w:trPr>
        <w:tc>
          <w:tcPr>
            <w:tcW w:w="43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6"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funded status of the plans was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324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720" w:type="dxa"/>
            <w:vAlign w:val="bottom"/>
          </w:tcPr>
          <w:p>
            <w:pPr>
              <w:spacing w:after="0"/>
              <w:rPr>
                <w:sz w:val="17"/>
                <w:szCs w:val="17"/>
                <w:color w:val="auto"/>
              </w:rPr>
            </w:pP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720" w:type="dxa"/>
            <w:vAlign w:val="bottom"/>
          </w:tcPr>
          <w:p>
            <w:pPr>
              <w:spacing w:after="0"/>
              <w:rPr>
                <w:sz w:val="17"/>
                <w:szCs w:val="17"/>
                <w:color w:val="auto"/>
              </w:rPr>
            </w:pP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Pension plans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benefits</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Pension plans</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466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rPr>
              <w:t>$171,387</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$183,199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Benefit obligation</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199,856</w:t>
            </w: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59,970</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213,110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Funded status</w:t>
            </w:r>
          </w:p>
        </w:tc>
        <w:tc>
          <w:tcPr>
            <w:tcW w:w="1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($28,469)</w:t>
            </w:r>
          </w:p>
        </w:tc>
        <w:tc>
          <w:tcPr>
            <w:tcW w:w="1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($59,970)</w:t>
            </w:r>
          </w:p>
        </w:tc>
        <w:tc>
          <w:tcPr>
            <w:tcW w:w="1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($29,911)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Accrued benefit cost, end of year</w:t>
            </w:r>
          </w:p>
        </w:tc>
        <w:tc>
          <w:tcPr>
            <w:tcW w:w="1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($28,469)</w:t>
            </w:r>
          </w:p>
        </w:tc>
        <w:tc>
          <w:tcPr>
            <w:tcW w:w="1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($59,970)</w:t>
            </w:r>
          </w:p>
        </w:tc>
        <w:tc>
          <w:tcPr>
            <w:tcW w:w="1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($29,911)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398"/>
        </w:trPr>
        <w:tc>
          <w:tcPr>
            <w:tcW w:w="4660" w:type="dxa"/>
            <w:vAlign w:val="bottom"/>
          </w:tcPr>
          <w:p>
            <w:pPr>
              <w:ind w:left="40"/>
              <w:spacing w:after="0"/>
              <w:rPr>
                <w:sz w:val="20"/>
                <w:szCs w:val="20"/>
                <w:color w:val="auto"/>
              </w:rPr>
            </w:pPr>
            <w:r>
              <w:rPr>
                <w:rFonts w:ascii="Arial" w:cs="Arial" w:eastAsia="Arial" w:hAnsi="Arial"/>
                <w:sz w:val="18"/>
                <w:szCs w:val="18"/>
                <w:color w:val="auto"/>
              </w:rPr>
              <w:t>Amounts recognized in the consolidated balance sheet</w:t>
            </w: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consist of the following:</w:t>
            </w:r>
          </w:p>
        </w:tc>
        <w:tc>
          <w:tcPr>
            <w:tcW w:w="1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$10,423</w:t>
            </w:r>
          </w:p>
        </w:tc>
        <w:tc>
          <w:tcPr>
            <w:tcW w:w="17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60" w:type="dxa"/>
            <w:vAlign w:val="bottom"/>
          </w:tcPr>
          <w:p>
            <w:pPr>
              <w:ind w:left="40"/>
              <w:spacing w:after="0" w:line="181" w:lineRule="exact"/>
              <w:rPr>
                <w:sz w:val="20"/>
                <w:szCs w:val="20"/>
                <w:color w:val="auto"/>
              </w:rPr>
            </w:pPr>
            <w:r>
              <w:rPr>
                <w:rFonts w:ascii="Arial" w:cs="Arial" w:eastAsia="Arial" w:hAnsi="Arial"/>
                <w:sz w:val="18"/>
                <w:szCs w:val="18"/>
                <w:color w:val="auto"/>
              </w:rPr>
              <w:t>Noncurrent asset</w:t>
            </w:r>
          </w:p>
        </w:tc>
        <w:tc>
          <w:tcPr>
            <w:tcW w:w="18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2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$10,097</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liability</w:t>
            </w:r>
          </w:p>
        </w:tc>
        <w:tc>
          <w:tcPr>
            <w:tcW w:w="18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(2,110)</w:t>
            </w:r>
          </w:p>
        </w:tc>
        <w:tc>
          <w:tcPr>
            <w:tcW w:w="17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(4,660)</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(2,141)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liability</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(36,782)</w:t>
            </w:r>
          </w:p>
        </w:tc>
        <w:tc>
          <w:tcPr>
            <w:tcW w:w="1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(55,310)</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(37,867)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(60,237)</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amount recognized</w:t>
            </w:r>
          </w:p>
        </w:tc>
        <w:tc>
          <w:tcPr>
            <w:tcW w:w="1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($28,469)</w:t>
            </w:r>
          </w:p>
        </w:tc>
        <w:tc>
          <w:tcPr>
            <w:tcW w:w="1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($59,970)</w:t>
            </w:r>
          </w:p>
        </w:tc>
        <w:tc>
          <w:tcPr>
            <w:tcW w:w="1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($29,911)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398"/>
        </w:trPr>
        <w:tc>
          <w:tcPr>
            <w:tcW w:w="4660" w:type="dxa"/>
            <w:vAlign w:val="bottom"/>
          </w:tcPr>
          <w:p>
            <w:pPr>
              <w:ind w:left="40"/>
              <w:spacing w:after="0"/>
              <w:rPr>
                <w:sz w:val="20"/>
                <w:szCs w:val="20"/>
                <w:color w:val="auto"/>
              </w:rPr>
            </w:pPr>
            <w:r>
              <w:rPr>
                <w:rFonts w:ascii="Arial" w:cs="Arial" w:eastAsia="Arial" w:hAnsi="Arial"/>
                <w:sz w:val="18"/>
                <w:szCs w:val="18"/>
                <w:color w:val="auto"/>
              </w:rPr>
              <w:t>Amounts recognized in accumulated other</w:t>
            </w: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comprehensive income consist of:</w:t>
            </w:r>
          </w:p>
        </w:tc>
        <w:tc>
          <w:tcPr>
            <w:tcW w:w="1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$69,896</w:t>
            </w:r>
          </w:p>
        </w:tc>
        <w:tc>
          <w:tcPr>
            <w:tcW w:w="17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$37,997</w:t>
            </w:r>
          </w:p>
        </w:tc>
        <w:tc>
          <w:tcPr>
            <w:tcW w:w="1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60" w:type="dxa"/>
            <w:vAlign w:val="bottom"/>
          </w:tcPr>
          <w:p>
            <w:pPr>
              <w:ind w:left="40"/>
              <w:spacing w:after="0" w:line="181" w:lineRule="exact"/>
              <w:rPr>
                <w:sz w:val="20"/>
                <w:szCs w:val="20"/>
                <w:color w:val="auto"/>
              </w:rPr>
            </w:pPr>
            <w:r>
              <w:rPr>
                <w:rFonts w:ascii="Arial" w:cs="Arial" w:eastAsia="Arial" w:hAnsi="Arial"/>
                <w:sz w:val="18"/>
                <w:szCs w:val="18"/>
                <w:color w:val="auto"/>
              </w:rPr>
              <w:t>Net actuarial loss</w:t>
            </w:r>
          </w:p>
        </w:tc>
        <w:tc>
          <w:tcPr>
            <w:tcW w:w="18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2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$71,623</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Prior service cost/(credit)</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608</w:t>
            </w:r>
          </w:p>
        </w:tc>
        <w:tc>
          <w:tcPr>
            <w:tcW w:w="1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(35,387)</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753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amount recognized</w:t>
            </w:r>
          </w:p>
        </w:tc>
        <w:tc>
          <w:tcPr>
            <w:tcW w:w="1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$70,504</w:t>
            </w:r>
          </w:p>
        </w:tc>
        <w:tc>
          <w:tcPr>
            <w:tcW w:w="1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$2,610</w:t>
            </w:r>
          </w:p>
        </w:tc>
        <w:tc>
          <w:tcPr>
            <w:tcW w:w="1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$72,376</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pension plan funded status as of December 31,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ind w:right="790"/>
              <w:spacing w:after="0" w:line="194" w:lineRule="exact"/>
              <w:rPr>
                <w:sz w:val="20"/>
                <w:szCs w:val="20"/>
                <w:color w:val="auto"/>
              </w:rPr>
            </w:pPr>
            <w:r>
              <w:rPr>
                <w:rFonts w:ascii="Arial" w:cs="Arial" w:eastAsia="Arial" w:hAnsi="Arial"/>
                <w:sz w:val="18"/>
                <w:szCs w:val="18"/>
                <w:b w:val="1"/>
                <w:bCs w:val="1"/>
                <w:color w:val="auto"/>
              </w:rPr>
              <w:t>Non-U.S.</w:t>
            </w:r>
          </w:p>
        </w:tc>
        <w:tc>
          <w:tcPr>
            <w:tcW w:w="1520" w:type="dxa"/>
            <w:vAlign w:val="bottom"/>
            <w:tcBorders>
              <w:top w:val="single" w:sz="8" w:color="auto"/>
            </w:tcBorders>
          </w:tcPr>
          <w:p>
            <w:pPr>
              <w:spacing w:after="0"/>
              <w:rPr>
                <w:sz w:val="16"/>
                <w:szCs w:val="16"/>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U.S. plan</w:t>
            </w:r>
          </w:p>
        </w:tc>
        <w:tc>
          <w:tcPr>
            <w:tcW w:w="2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plans</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98"/>
        </w:trPr>
        <w:tc>
          <w:tcPr>
            <w:tcW w:w="4600" w:type="dxa"/>
            <w:vAlign w:val="bottom"/>
          </w:tcPr>
          <w:p>
            <w:pPr>
              <w:spacing w:after="0"/>
              <w:rPr>
                <w:sz w:val="20"/>
                <w:szCs w:val="20"/>
                <w:color w:val="auto"/>
              </w:rPr>
            </w:pPr>
            <w:r>
              <w:rPr>
                <w:rFonts w:ascii="Arial" w:cs="Arial" w:eastAsia="Arial" w:hAnsi="Arial"/>
                <w:sz w:val="18"/>
                <w:szCs w:val="18"/>
                <w:color w:val="auto"/>
              </w:rPr>
              <w:t>Pension plans with pension assets</w:t>
            </w:r>
          </w:p>
        </w:tc>
        <w:tc>
          <w:tcPr>
            <w:tcW w:w="3180" w:type="dxa"/>
            <w:vAlign w:val="bottom"/>
          </w:tcPr>
          <w:p>
            <w:pPr>
              <w:jc w:val="right"/>
              <w:ind w:right="410"/>
              <w:spacing w:after="0"/>
              <w:rPr>
                <w:sz w:val="20"/>
                <w:szCs w:val="20"/>
                <w:color w:val="auto"/>
              </w:rPr>
            </w:pPr>
            <w:r>
              <w:rPr>
                <w:rFonts w:ascii="Arial" w:cs="Arial" w:eastAsia="Arial" w:hAnsi="Arial"/>
                <w:sz w:val="18"/>
                <w:szCs w:val="18"/>
                <w:color w:val="auto"/>
              </w:rPr>
              <w:t>($2,890)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$6,097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$3,207</w:t>
            </w:r>
          </w:p>
        </w:tc>
      </w:tr>
      <w:tr>
        <w:trPr>
          <w:trHeight w:val="203"/>
        </w:trPr>
        <w:tc>
          <w:tcPr>
            <w:tcW w:w="46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Pension plans without pension assets</w:t>
            </w:r>
          </w:p>
        </w:tc>
        <w:tc>
          <w:tcPr>
            <w:tcW w:w="31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(7,905)</w:t>
            </w:r>
          </w:p>
        </w:tc>
        <w:tc>
          <w:tcPr>
            <w:tcW w:w="21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(23,771)</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(31,676)</w:t>
            </w: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1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($10,795)</w:t>
            </w:r>
          </w:p>
        </w:tc>
        <w:tc>
          <w:tcPr>
            <w:tcW w:w="21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($17,674)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($28,469)</w:t>
            </w:r>
          </w:p>
        </w:tc>
      </w:tr>
      <w:tr>
        <w:trPr>
          <w:trHeight w:val="426"/>
        </w:trPr>
        <w:tc>
          <w:tcPr>
            <w:tcW w:w="4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29"/>
        </w:trPr>
        <w:tc>
          <w:tcPr>
            <w:tcW w:w="460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98" w:right="239" w:bottom="1440" w:gutter="0" w:footer="0" w:header="0"/>
        </w:sectPr>
      </w:pPr>
    </w:p>
    <w:bookmarkStart w:id="62" w:name="page63"/>
    <w:bookmarkEnd w:id="62"/>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years ended December 31, 2015, 2014, and 2013,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0"/>
              <w:spacing w:after="0" w:line="194" w:lineRule="exact"/>
              <w:rPr>
                <w:sz w:val="20"/>
                <w:szCs w:val="20"/>
                <w:color w:val="auto"/>
              </w:rPr>
            </w:pPr>
            <w:r>
              <w:rPr>
                <w:rFonts w:ascii="Arial" w:cs="Arial" w:eastAsia="Arial" w:hAnsi="Arial"/>
                <w:sz w:val="18"/>
                <w:szCs w:val="18"/>
                <w:b w:val="1"/>
                <w:bCs w:val="1"/>
                <w:color w:val="auto"/>
                <w:w w:val="98"/>
              </w:rPr>
              <w:t>Pension plans</w:t>
            </w:r>
          </w:p>
        </w:tc>
        <w:tc>
          <w:tcPr>
            <w:tcW w:w="114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3"/>
          </w:tcPr>
          <w:p>
            <w:pPr>
              <w:jc w:val="right"/>
              <w:ind w:right="29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06"/>
        </w:trPr>
        <w:tc>
          <w:tcPr>
            <w:tcW w:w="4560" w:type="dxa"/>
            <w:vAlign w:val="bottom"/>
          </w:tcPr>
          <w:p>
            <w:pPr>
              <w:ind w:left="40"/>
              <w:spacing w:after="0"/>
              <w:rPr>
                <w:sz w:val="20"/>
                <w:szCs w:val="20"/>
                <w:color w:val="auto"/>
              </w:rPr>
            </w:pPr>
            <w:r>
              <w:rPr>
                <w:rFonts w:ascii="Arial" w:cs="Arial" w:eastAsia="Arial" w:hAnsi="Arial"/>
                <w:sz w:val="16"/>
                <w:szCs w:val="16"/>
                <w:color w:val="auto"/>
              </w:rPr>
              <w:t>Components of net periodic benefit cost: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$2,959</w:t>
            </w:r>
          </w:p>
        </w:tc>
        <w:tc>
          <w:tcPr>
            <w:tcW w:w="1440" w:type="dxa"/>
            <w:vAlign w:val="bottom"/>
            <w:vMerge w:val="restart"/>
          </w:tcPr>
          <w:p>
            <w:pPr>
              <w:jc w:val="right"/>
              <w:ind w:right="330"/>
              <w:spacing w:after="0"/>
              <w:rPr>
                <w:sz w:val="20"/>
                <w:szCs w:val="20"/>
                <w:color w:val="auto"/>
              </w:rPr>
            </w:pPr>
            <w:r>
              <w:rPr>
                <w:rFonts w:ascii="Arial" w:cs="Arial" w:eastAsia="Arial" w:hAnsi="Arial"/>
                <w:sz w:val="18"/>
                <w:szCs w:val="18"/>
                <w:color w:val="auto"/>
              </w:rPr>
              <w:t>$3,269</w:t>
            </w: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color w:val="auto"/>
              </w:rPr>
              <w:t>$3,662</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$330</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$314</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172"/>
        </w:trPr>
        <w:tc>
          <w:tcPr>
            <w:tcW w:w="4560" w:type="dxa"/>
            <w:vAlign w:val="bottom"/>
          </w:tcPr>
          <w:p>
            <w:pPr>
              <w:ind w:left="40"/>
              <w:spacing w:after="0" w:line="172" w:lineRule="exact"/>
              <w:rPr>
                <w:sz w:val="20"/>
                <w:szCs w:val="20"/>
                <w:color w:val="auto"/>
              </w:rPr>
            </w:pPr>
            <w:r>
              <w:rPr>
                <w:rFonts w:ascii="Arial" w:cs="Arial" w:eastAsia="Arial" w:hAnsi="Arial"/>
                <w:sz w:val="16"/>
                <w:szCs w:val="16"/>
                <w:color w:val="auto"/>
              </w:rPr>
              <w:t>Service cost</w:t>
            </w:r>
          </w:p>
        </w:tc>
        <w:tc>
          <w:tcPr>
            <w:tcW w:w="9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7,787</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9,505</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8,852</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2,437</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2,741</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(8,630)</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(9,577)</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(8,677)</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Amortization of prior service cost/(credit)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48</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53</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35</w:t>
            </w:r>
          </w:p>
        </w:tc>
        <w:tc>
          <w:tcPr>
            <w:tcW w:w="11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(4,488)</w:t>
            </w:r>
          </w:p>
        </w:tc>
        <w:tc>
          <w:tcPr>
            <w:tcW w:w="1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(4,488)</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Amortization of transition obligation</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70</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Amortization of net actuarial loss</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2,594</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2,421</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3,117</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3,338</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2,908</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103</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8,331</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502</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Curtailment (gain)/loss</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(942)</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(1,143)</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Special/contractual termination of benefits</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44</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periodic benefit cost</w:t>
            </w:r>
          </w:p>
        </w:tc>
        <w:tc>
          <w:tcPr>
            <w:tcW w:w="9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$4,905</w:t>
            </w:r>
          </w:p>
        </w:tc>
        <w:tc>
          <w:tcPr>
            <w:tcW w:w="14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$13,060</w:t>
            </w:r>
          </w:p>
        </w:tc>
        <w:tc>
          <w:tcPr>
            <w:tcW w:w="11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$6,418</w:t>
            </w:r>
          </w:p>
        </w:tc>
        <w:tc>
          <w:tcPr>
            <w:tcW w:w="11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$1,617</w:t>
            </w:r>
          </w:p>
        </w:tc>
        <w:tc>
          <w:tcPr>
            <w:tcW w:w="11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$1,475</w:t>
            </w: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406"/>
        </w:trPr>
        <w:tc>
          <w:tcPr>
            <w:tcW w:w="4560" w:type="dxa"/>
            <w:vAlign w:val="bottom"/>
          </w:tcPr>
          <w:p>
            <w:pPr>
              <w:ind w:left="40"/>
              <w:spacing w:after="0"/>
              <w:rPr>
                <w:sz w:val="20"/>
                <w:szCs w:val="20"/>
                <w:color w:val="auto"/>
              </w:rPr>
            </w:pPr>
            <w:r>
              <w:rPr>
                <w:rFonts w:ascii="Arial" w:cs="Arial" w:eastAsia="Arial" w:hAnsi="Arial"/>
                <w:sz w:val="16"/>
                <w:szCs w:val="16"/>
                <w:color w:val="auto"/>
              </w:rPr>
              <w:t>Weighted average assumptions used to determine net cost: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4.18%</w:t>
            </w: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5.22%</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4.28%</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3.90%</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4.68%</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72"/>
        </w:trPr>
        <w:tc>
          <w:tcPr>
            <w:tcW w:w="4560" w:type="dxa"/>
            <w:vAlign w:val="bottom"/>
          </w:tcPr>
          <w:p>
            <w:pPr>
              <w:ind w:left="40"/>
              <w:spacing w:after="0" w:line="172" w:lineRule="exact"/>
              <w:rPr>
                <w:sz w:val="20"/>
                <w:szCs w:val="20"/>
                <w:color w:val="auto"/>
              </w:rPr>
            </w:pPr>
            <w:r>
              <w:rPr>
                <w:rFonts w:ascii="Arial" w:cs="Arial" w:eastAsia="Arial" w:hAnsi="Arial"/>
                <w:sz w:val="16"/>
                <w:szCs w:val="16"/>
                <w:color w:val="auto"/>
              </w:rPr>
              <w:t>Discount rate - U.S. plan</w:t>
            </w:r>
          </w:p>
        </w:tc>
        <w:tc>
          <w:tcPr>
            <w:tcW w:w="9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40"/>
              <w:spacing w:after="0"/>
              <w:rPr>
                <w:sz w:val="20"/>
                <w:szCs w:val="20"/>
                <w:color w:val="auto"/>
              </w:rPr>
            </w:pPr>
            <w:r>
              <w:rPr>
                <w:rFonts w:ascii="Arial" w:cs="Arial" w:eastAsia="Arial" w:hAnsi="Arial"/>
                <w:sz w:val="16"/>
                <w:szCs w:val="16"/>
                <w:color w:val="auto"/>
              </w:rPr>
              <w:t>Discount rate - non-U.S. plan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3.85%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4.75%</w:t>
            </w: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42"/>
        </w:trPr>
        <w:tc>
          <w:tcPr>
            <w:tcW w:w="4560" w:type="dxa"/>
            <w:vAlign w:val="bottom"/>
          </w:tcPr>
          <w:p>
            <w:pPr>
              <w:ind w:left="40"/>
              <w:spacing w:after="0"/>
              <w:rPr>
                <w:sz w:val="20"/>
                <w:szCs w:val="20"/>
                <w:color w:val="auto"/>
              </w:rPr>
            </w:pPr>
            <w:r>
              <w:rPr>
                <w:rFonts w:ascii="Arial" w:cs="Arial" w:eastAsia="Arial" w:hAnsi="Arial"/>
                <w:sz w:val="16"/>
                <w:szCs w:val="16"/>
                <w:color w:val="auto"/>
              </w:rPr>
              <w:t>Expected return on plan assets - U.S. plan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5.40%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4.61%</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560" w:type="dxa"/>
            <w:vAlign w:val="bottom"/>
          </w:tcPr>
          <w:p>
            <w:pPr>
              <w:ind w:left="40"/>
              <w:spacing w:after="0"/>
              <w:rPr>
                <w:sz w:val="20"/>
                <w:szCs w:val="20"/>
                <w:color w:val="auto"/>
              </w:rPr>
            </w:pPr>
            <w:r>
              <w:rPr>
                <w:rFonts w:ascii="Arial" w:cs="Arial" w:eastAsia="Arial" w:hAnsi="Arial"/>
                <w:sz w:val="16"/>
                <w:szCs w:val="16"/>
                <w:color w:val="auto"/>
              </w:rPr>
              <w:t>Expected return on plan assets - non-U.S. plans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5.65%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5.53%</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4560" w:type="dxa"/>
            <w:vAlign w:val="bottom"/>
          </w:tcPr>
          <w:p>
            <w:pPr>
              <w:ind w:left="40"/>
              <w:spacing w:after="0"/>
              <w:rPr>
                <w:sz w:val="20"/>
                <w:szCs w:val="20"/>
                <w:color w:val="auto"/>
              </w:rPr>
            </w:pPr>
            <w:r>
              <w:rPr>
                <w:rFonts w:ascii="Arial" w:cs="Arial" w:eastAsia="Arial" w:hAnsi="Arial"/>
                <w:sz w:val="16"/>
                <w:szCs w:val="16"/>
                <w:color w:val="auto"/>
              </w:rPr>
              <w:t>Rate of compensation increase - U.S. plan</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9"/>
        </w:trPr>
        <w:tc>
          <w:tcPr>
            <w:tcW w:w="4560" w:type="dxa"/>
            <w:vAlign w:val="bottom"/>
          </w:tcPr>
          <w:p>
            <w:pPr>
              <w:ind w:left="40"/>
              <w:spacing w:after="0"/>
              <w:rPr>
                <w:sz w:val="20"/>
                <w:szCs w:val="20"/>
                <w:color w:val="auto"/>
              </w:rPr>
            </w:pPr>
            <w:r>
              <w:rPr>
                <w:rFonts w:ascii="Arial" w:cs="Arial" w:eastAsia="Arial" w:hAnsi="Arial"/>
                <w:sz w:val="16"/>
                <w:szCs w:val="16"/>
                <w:color w:val="auto"/>
              </w:rPr>
              <w:t>Rate of compensation increase - non-U.S. plans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3.26%</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3.00%</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7"/>
        </w:trPr>
        <w:tc>
          <w:tcPr>
            <w:tcW w:w="4560" w:type="dxa"/>
            <w:vAlign w:val="bottom"/>
          </w:tcPr>
          <w:p>
            <w:pPr>
              <w:ind w:left="40"/>
              <w:spacing w:after="0"/>
              <w:rPr>
                <w:sz w:val="20"/>
                <w:szCs w:val="20"/>
                <w:color w:val="auto"/>
              </w:rPr>
            </w:pPr>
            <w:r>
              <w:rPr>
                <w:rFonts w:ascii="Arial" w:cs="Arial" w:eastAsia="Arial" w:hAnsi="Arial"/>
                <w:sz w:val="16"/>
                <w:szCs w:val="16"/>
                <w:color w:val="auto"/>
              </w:rPr>
              <w:t>Health care cost trend rate (U.S. and non-U.S. plans):</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560" w:type="dxa"/>
            <w:vAlign w:val="bottom"/>
          </w:tcPr>
          <w:p>
            <w:pPr>
              <w:ind w:left="40"/>
              <w:spacing w:after="0" w:line="172" w:lineRule="exact"/>
              <w:rPr>
                <w:sz w:val="20"/>
                <w:szCs w:val="20"/>
                <w:color w:val="auto"/>
              </w:rPr>
            </w:pPr>
            <w:r>
              <w:rPr>
                <w:rFonts w:ascii="Arial" w:cs="Arial" w:eastAsia="Arial" w:hAnsi="Arial"/>
                <w:sz w:val="16"/>
                <w:szCs w:val="16"/>
                <w:color w:val="auto"/>
              </w:rPr>
              <w:t>Initial rate</w:t>
            </w:r>
          </w:p>
        </w:tc>
        <w:tc>
          <w:tcPr>
            <w:tcW w:w="9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40"/>
              <w:spacing w:after="0"/>
              <w:rPr>
                <w:sz w:val="20"/>
                <w:szCs w:val="20"/>
                <w:color w:val="auto"/>
              </w:rPr>
            </w:pPr>
            <w:r>
              <w:rPr>
                <w:rFonts w:ascii="Arial" w:cs="Arial" w:eastAsia="Arial" w:hAnsi="Arial"/>
                <w:sz w:val="16"/>
                <w:szCs w:val="16"/>
                <w:color w:val="auto"/>
              </w:rPr>
              <w:t>Ultimate rate</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Years to ultimate</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Pretax (gains)/losses in plan assets and benefit obligations recognized in other comprehensive income during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8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left="330"/>
              <w:spacing w:after="0" w:line="194"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6580" w:type="dxa"/>
            <w:vAlign w:val="bottom"/>
          </w:tcPr>
          <w:p>
            <w:pPr>
              <w:spacing w:after="0"/>
              <w:rPr>
                <w:sz w:val="17"/>
                <w:szCs w:val="17"/>
                <w:color w:val="auto"/>
              </w:rPr>
            </w:pPr>
          </w:p>
        </w:tc>
        <w:tc>
          <w:tcPr>
            <w:tcW w:w="286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Pension</w:t>
            </w:r>
          </w:p>
        </w:tc>
        <w:tc>
          <w:tcPr>
            <w:tcW w:w="198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plan</w:t>
            </w:r>
          </w:p>
        </w:tc>
        <w:tc>
          <w:tcPr>
            <w:tcW w:w="19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Settlements/curtailments</w:t>
            </w:r>
          </w:p>
        </w:tc>
        <w:tc>
          <w:tcPr>
            <w:tcW w:w="286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($103)</w:t>
            </w:r>
          </w:p>
        </w:tc>
        <w:tc>
          <w:tcPr>
            <w:tcW w:w="1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40"/>
              <w:spacing w:after="0" w:line="202" w:lineRule="exact"/>
              <w:rPr>
                <w:sz w:val="20"/>
                <w:szCs w:val="20"/>
                <w:color w:val="auto"/>
              </w:rPr>
            </w:pPr>
            <w:r>
              <w:rPr>
                <w:rFonts w:ascii="Arial" w:cs="Arial" w:eastAsia="Arial" w:hAnsi="Arial"/>
                <w:sz w:val="18"/>
                <w:szCs w:val="18"/>
                <w:color w:val="auto"/>
              </w:rPr>
              <w:t>Asset/liabilty loss/(gain)</w:t>
            </w:r>
          </w:p>
        </w:tc>
        <w:tc>
          <w:tcPr>
            <w:tcW w:w="28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3,555</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(2,855)</w:t>
            </w:r>
          </w:p>
        </w:tc>
      </w:tr>
      <w:tr>
        <w:trPr>
          <w:trHeight w:val="203"/>
        </w:trPr>
        <w:tc>
          <w:tcPr>
            <w:tcW w:w="658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actuarial (loss)</w:t>
            </w:r>
          </w:p>
        </w:tc>
        <w:tc>
          <w:tcPr>
            <w:tcW w:w="28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(2,594)</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(3,338)</w:t>
            </w:r>
          </w:p>
        </w:tc>
      </w:tr>
      <w:tr>
        <w:trPr>
          <w:trHeight w:val="203"/>
        </w:trPr>
        <w:tc>
          <w:tcPr>
            <w:tcW w:w="658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8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(48)</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4,488</w:t>
            </w:r>
          </w:p>
        </w:tc>
      </w:tr>
      <w:tr>
        <w:trPr>
          <w:trHeight w:val="203"/>
        </w:trPr>
        <w:tc>
          <w:tcPr>
            <w:tcW w:w="658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transition (obligation)</w:t>
            </w:r>
          </w:p>
        </w:tc>
        <w:tc>
          <w:tcPr>
            <w:tcW w:w="28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Currency impact</w:t>
            </w:r>
          </w:p>
        </w:tc>
        <w:tc>
          <w:tcPr>
            <w:tcW w:w="28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(2,682)</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r>
      <w:tr>
        <w:trPr>
          <w:trHeight w:val="196"/>
        </w:trPr>
        <w:tc>
          <w:tcPr>
            <w:tcW w:w="65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Gain in other comprehensive income</w:t>
            </w:r>
          </w:p>
        </w:tc>
        <w:tc>
          <w:tcPr>
            <w:tcW w:w="28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($1,872)</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($1,710)</w:t>
            </w:r>
          </w:p>
        </w:tc>
      </w:tr>
      <w:tr>
        <w:trPr>
          <w:trHeight w:val="196"/>
        </w:trPr>
        <w:tc>
          <w:tcPr>
            <w:tcW w:w="65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r>
        <w:trPr>
          <w:trHeight w:val="195"/>
        </w:trPr>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Total cost/(benefit) recognized in net periodic benefit cost and other</w:t>
            </w:r>
          </w:p>
        </w:tc>
        <w:tc>
          <w:tcPr>
            <w:tcW w:w="28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03"/>
        </w:trPr>
        <w:tc>
          <w:tcPr>
            <w:tcW w:w="65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comprehensive income</w:t>
            </w:r>
          </w:p>
        </w:tc>
        <w:tc>
          <w:tcPr>
            <w:tcW w:w="286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$3,033</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2016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left="350"/>
              <w:spacing w:after="0" w:line="194"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6"/>
                <w:szCs w:val="16"/>
                <w:color w:val="auto"/>
              </w:rPr>
            </w:pPr>
          </w:p>
        </w:tc>
      </w:tr>
      <w:tr>
        <w:trPr>
          <w:trHeight w:val="203"/>
        </w:trPr>
        <w:tc>
          <w:tcPr>
            <w:tcW w:w="4960" w:type="dxa"/>
            <w:vAlign w:val="bottom"/>
          </w:tcPr>
          <w:p>
            <w:pPr>
              <w:spacing w:after="0"/>
              <w:rPr>
                <w:sz w:val="17"/>
                <w:szCs w:val="17"/>
                <w:color w:val="auto"/>
              </w:rPr>
            </w:pPr>
          </w:p>
        </w:tc>
        <w:tc>
          <w:tcPr>
            <w:tcW w:w="444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Total</w:t>
            </w:r>
          </w:p>
        </w:tc>
        <w:tc>
          <w:tcPr>
            <w:tcW w:w="2040" w:type="dxa"/>
            <w:vAlign w:val="bottom"/>
            <w:gridSpan w:val="2"/>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49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440" w:type="dxa"/>
            <w:vAlign w:val="bottom"/>
          </w:tcPr>
          <w:p>
            <w:pPr>
              <w:jc w:val="right"/>
              <w:ind w:right="830"/>
              <w:spacing w:after="0"/>
              <w:rPr>
                <w:sz w:val="20"/>
                <w:szCs w:val="20"/>
                <w:color w:val="auto"/>
              </w:rPr>
            </w:pPr>
            <w:r>
              <w:rPr>
                <w:rFonts w:ascii="Arial" w:cs="Arial" w:eastAsia="Arial" w:hAnsi="Arial"/>
                <w:sz w:val="18"/>
                <w:szCs w:val="18"/>
                <w:b w:val="1"/>
                <w:bCs w:val="1"/>
                <w:color w:val="auto"/>
              </w:rPr>
              <w:t>pension</w:t>
            </w:r>
          </w:p>
        </w:tc>
        <w:tc>
          <w:tcPr>
            <w:tcW w:w="20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49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Actuarial loss</w:t>
            </w:r>
          </w:p>
        </w:tc>
        <w:tc>
          <w:tcPr>
            <w:tcW w:w="444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$2,293</w:t>
            </w:r>
          </w:p>
        </w:tc>
        <w:tc>
          <w:tcPr>
            <w:tcW w:w="20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$2,819</w:t>
            </w:r>
          </w:p>
        </w:tc>
        <w:tc>
          <w:tcPr>
            <w:tcW w:w="20" w:type="dxa"/>
            <w:vAlign w:val="bottom"/>
          </w:tcPr>
          <w:p>
            <w:pPr>
              <w:spacing w:after="0"/>
              <w:rPr>
                <w:sz w:val="16"/>
                <w:szCs w:val="16"/>
                <w:color w:val="auto"/>
              </w:rPr>
            </w:pPr>
          </w:p>
        </w:tc>
      </w:tr>
      <w:tr>
        <w:trPr>
          <w:trHeight w:val="203"/>
        </w:trPr>
        <w:tc>
          <w:tcPr>
            <w:tcW w:w="49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Prior service cost/(benefit)</w:t>
            </w:r>
          </w:p>
        </w:tc>
        <w:tc>
          <w:tcPr>
            <w:tcW w:w="444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37</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(4,488)</w:t>
            </w:r>
          </w:p>
        </w:tc>
        <w:tc>
          <w:tcPr>
            <w:tcW w:w="20" w:type="dxa"/>
            <w:vAlign w:val="bottom"/>
          </w:tcPr>
          <w:p>
            <w:pPr>
              <w:spacing w:after="0"/>
              <w:rPr>
                <w:sz w:val="17"/>
                <w:szCs w:val="17"/>
                <w:color w:val="auto"/>
              </w:rPr>
            </w:pPr>
          </w:p>
        </w:tc>
      </w:tr>
      <w:tr>
        <w:trPr>
          <w:trHeight w:val="196"/>
        </w:trPr>
        <w:tc>
          <w:tcPr>
            <w:tcW w:w="49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44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$2,330</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($1,669)</w:t>
            </w:r>
          </w:p>
        </w:tc>
        <w:tc>
          <w:tcPr>
            <w:tcW w:w="20" w:type="dxa"/>
            <w:vAlign w:val="bottom"/>
          </w:tcPr>
          <w:p>
            <w:pPr>
              <w:spacing w:after="0"/>
              <w:rPr>
                <w:sz w:val="17"/>
                <w:szCs w:val="17"/>
                <w:color w:val="auto"/>
              </w:rPr>
            </w:pPr>
          </w:p>
        </w:tc>
      </w:tr>
      <w:tr>
        <w:trPr>
          <w:trHeight w:val="426"/>
        </w:trPr>
        <w:tc>
          <w:tcPr>
            <w:tcW w:w="49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129"/>
        </w:trPr>
        <w:tc>
          <w:tcPr>
            <w:tcW w:w="496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9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Investment Strategy</w:t>
      </w:r>
    </w:p>
    <w:p>
      <w:pPr>
        <w:spacing w:after="0" w:line="18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7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85"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89"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The following tables present plan assets as of December 31, 2015, and 2014, using the fair-value hierarchy, which has three levels based on the reliability of inputs used, as described in Note 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right"/>
              <w:ind w:right="390"/>
              <w:spacing w:after="0" w:line="194" w:lineRule="exact"/>
              <w:rPr>
                <w:sz w:val="20"/>
                <w:szCs w:val="20"/>
                <w:color w:val="auto"/>
              </w:rPr>
            </w:pPr>
            <w:r>
              <w:rPr>
                <w:rFonts w:ascii="Arial" w:cs="Arial" w:eastAsia="Arial" w:hAnsi="Arial"/>
                <w:sz w:val="18"/>
                <w:szCs w:val="18"/>
                <w:b w:val="1"/>
                <w:bCs w:val="1"/>
                <w:color w:val="auto"/>
              </w:rPr>
              <w:t>Total fair</w:t>
            </w:r>
          </w:p>
        </w:tc>
        <w:tc>
          <w:tcPr>
            <w:tcW w:w="19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0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value at</w:t>
            </w: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Quoted prices</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 other</w:t>
            </w:r>
          </w:p>
        </w:tc>
        <w:tc>
          <w:tcPr>
            <w:tcW w:w="214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3240" w:type="dxa"/>
            <w:vAlign w:val="bottom"/>
          </w:tcPr>
          <w:p>
            <w:pPr>
              <w:spacing w:after="0"/>
              <w:rPr>
                <w:sz w:val="17"/>
                <w:szCs w:val="17"/>
                <w:color w:val="auto"/>
              </w:rPr>
            </w:pPr>
          </w:p>
        </w:tc>
        <w:tc>
          <w:tcPr>
            <w:tcW w:w="206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14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5"/>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9"/>
              </w:rPr>
              <w:t>2015</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1)</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2)</w:t>
            </w:r>
          </w:p>
        </w:tc>
        <w:tc>
          <w:tcPr>
            <w:tcW w:w="2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8"/>
              </w:rPr>
              <w:t>(Level 3)</w:t>
            </w:r>
          </w:p>
        </w:tc>
      </w:tr>
      <w:tr>
        <w:trPr>
          <w:trHeight w:val="195"/>
        </w:trPr>
        <w:tc>
          <w:tcPr>
            <w:tcW w:w="3240" w:type="dxa"/>
            <w:vAlign w:val="bottom"/>
          </w:tcPr>
          <w:p>
            <w:pPr>
              <w:ind w:left="40"/>
              <w:spacing w:after="0" w:line="195" w:lineRule="exact"/>
              <w:rPr>
                <w:sz w:val="20"/>
                <w:szCs w:val="20"/>
                <w:color w:val="auto"/>
              </w:rPr>
            </w:pPr>
            <w:r>
              <w:rPr>
                <w:rFonts w:ascii="Arial" w:cs="Arial" w:eastAsia="Arial" w:hAnsi="Arial"/>
                <w:sz w:val="18"/>
                <w:szCs w:val="18"/>
                <w:color w:val="auto"/>
              </w:rPr>
              <w:t>Common stocks and equity funds</w:t>
            </w:r>
          </w:p>
        </w:tc>
        <w:tc>
          <w:tcPr>
            <w:tcW w:w="20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$35,113</w:t>
            </w:r>
          </w:p>
        </w:tc>
        <w:tc>
          <w:tcPr>
            <w:tcW w:w="19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$404</w:t>
            </w:r>
          </w:p>
        </w:tc>
        <w:tc>
          <w:tcPr>
            <w:tcW w:w="20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$34,709</w:t>
            </w:r>
          </w:p>
        </w:tc>
        <w:tc>
          <w:tcPr>
            <w:tcW w:w="2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$125,502</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125,502</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Insurance contracts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$2,403</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2,403</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Limited partnerships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$5,676</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5,676</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Hedge funds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$192</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r>
      <w:tr>
        <w:trPr>
          <w:trHeight w:val="203"/>
        </w:trPr>
        <w:tc>
          <w:tcPr>
            <w:tcW w:w="32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Cash and short-term investments</w:t>
            </w:r>
          </w:p>
        </w:tc>
        <w:tc>
          <w:tcPr>
            <w:tcW w:w="20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$2,501</w:t>
            </w:r>
          </w:p>
        </w:tc>
        <w:tc>
          <w:tcPr>
            <w:tcW w:w="19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2,501</w:t>
            </w:r>
          </w:p>
        </w:tc>
        <w:tc>
          <w:tcPr>
            <w:tcW w:w="2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32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plan assets</w:t>
            </w:r>
          </w:p>
        </w:tc>
        <w:tc>
          <w:tcPr>
            <w:tcW w:w="20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$171,387</w:t>
            </w:r>
          </w:p>
        </w:tc>
        <w:tc>
          <w:tcPr>
            <w:tcW w:w="1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$2,905</w:t>
            </w:r>
          </w:p>
        </w:tc>
        <w:tc>
          <w:tcPr>
            <w:tcW w:w="2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$160,211</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$8,271</w:t>
            </w:r>
          </w:p>
        </w:tc>
      </w:tr>
      <w:tr>
        <w:trPr>
          <w:trHeight w:val="547"/>
        </w:trPr>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73"/>
        </w:trPr>
        <w:tc>
          <w:tcPr>
            <w:tcW w:w="3240" w:type="dxa"/>
            <w:vAlign w:val="bottom"/>
          </w:tcPr>
          <w:p>
            <w:pPr>
              <w:spacing w:after="0"/>
              <w:rPr>
                <w:sz w:val="15"/>
                <w:szCs w:val="15"/>
                <w:color w:val="auto"/>
              </w:rPr>
            </w:pPr>
          </w:p>
        </w:tc>
        <w:tc>
          <w:tcPr>
            <w:tcW w:w="2060" w:type="dxa"/>
            <w:vAlign w:val="bottom"/>
          </w:tcPr>
          <w:p>
            <w:pPr>
              <w:jc w:val="center"/>
              <w:ind w:left="170"/>
              <w:spacing w:after="0" w:line="173" w:lineRule="exact"/>
              <w:rPr>
                <w:sz w:val="20"/>
                <w:szCs w:val="20"/>
                <w:color w:val="auto"/>
              </w:rPr>
            </w:pPr>
            <w:r>
              <w:rPr>
                <w:rFonts w:ascii="Arial" w:cs="Arial" w:eastAsia="Arial" w:hAnsi="Arial"/>
                <w:sz w:val="18"/>
                <w:szCs w:val="18"/>
                <w:b w:val="1"/>
                <w:bCs w:val="1"/>
                <w:color w:val="auto"/>
                <w:w w:val="99"/>
              </w:rPr>
              <w:t>Total fair</w:t>
            </w:r>
          </w:p>
        </w:tc>
        <w:tc>
          <w:tcPr>
            <w:tcW w:w="1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3"/>
        </w:trPr>
        <w:tc>
          <w:tcPr>
            <w:tcW w:w="3240" w:type="dxa"/>
            <w:vAlign w:val="bottom"/>
          </w:tcPr>
          <w:p>
            <w:pPr>
              <w:spacing w:after="0"/>
              <w:rPr>
                <w:sz w:val="17"/>
                <w:szCs w:val="17"/>
                <w:color w:val="auto"/>
              </w:rPr>
            </w:pPr>
          </w:p>
        </w:tc>
        <w:tc>
          <w:tcPr>
            <w:tcW w:w="20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rPr>
              <w:t>value at</w:t>
            </w: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Quoted prices</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 other</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3240" w:type="dxa"/>
            <w:vAlign w:val="bottom"/>
          </w:tcPr>
          <w:p>
            <w:pPr>
              <w:spacing w:after="0"/>
              <w:rPr>
                <w:sz w:val="17"/>
                <w:szCs w:val="17"/>
                <w:color w:val="auto"/>
              </w:rPr>
            </w:pPr>
          </w:p>
        </w:tc>
        <w:tc>
          <w:tcPr>
            <w:tcW w:w="20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December 31,</w:t>
            </w: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5"/>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0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2014</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1)</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2)</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3)</w:t>
            </w:r>
          </w:p>
        </w:tc>
      </w:tr>
      <w:tr>
        <w:trPr>
          <w:trHeight w:val="195"/>
        </w:trPr>
        <w:tc>
          <w:tcPr>
            <w:tcW w:w="3240" w:type="dxa"/>
            <w:vAlign w:val="bottom"/>
          </w:tcPr>
          <w:p>
            <w:pPr>
              <w:ind w:left="40"/>
              <w:spacing w:after="0" w:line="195" w:lineRule="exact"/>
              <w:rPr>
                <w:sz w:val="20"/>
                <w:szCs w:val="20"/>
                <w:color w:val="auto"/>
              </w:rPr>
            </w:pPr>
            <w:r>
              <w:rPr>
                <w:rFonts w:ascii="Arial" w:cs="Arial" w:eastAsia="Arial" w:hAnsi="Arial"/>
                <w:sz w:val="18"/>
                <w:szCs w:val="18"/>
                <w:color w:val="auto"/>
              </w:rPr>
              <w:t>Common stocks and equity funds</w:t>
            </w:r>
          </w:p>
        </w:tc>
        <w:tc>
          <w:tcPr>
            <w:tcW w:w="20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$34,624</w:t>
            </w:r>
          </w:p>
        </w:tc>
        <w:tc>
          <w:tcPr>
            <w:tcW w:w="19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$803</w:t>
            </w:r>
          </w:p>
        </w:tc>
        <w:tc>
          <w:tcPr>
            <w:tcW w:w="20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$33,821</w:t>
            </w:r>
          </w:p>
        </w:tc>
        <w:tc>
          <w:tcPr>
            <w:tcW w:w="2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136,984</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136,984</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Insurance contracts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2,133</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2,133</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Limited partnerships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6,522</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6,522</w:t>
            </w: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Hedge funds</w:t>
            </w:r>
          </w:p>
        </w:tc>
        <w:tc>
          <w:tcPr>
            <w:tcW w:w="2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364</w:t>
            </w:r>
          </w:p>
        </w:tc>
        <w:tc>
          <w:tcPr>
            <w:tcW w:w="1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w:t>
            </w:r>
          </w:p>
        </w:tc>
      </w:tr>
      <w:tr>
        <w:trPr>
          <w:trHeight w:val="203"/>
        </w:trPr>
        <w:tc>
          <w:tcPr>
            <w:tcW w:w="32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Cash and short-term investments</w:t>
            </w:r>
          </w:p>
        </w:tc>
        <w:tc>
          <w:tcPr>
            <w:tcW w:w="20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2,572</w:t>
            </w:r>
          </w:p>
        </w:tc>
        <w:tc>
          <w:tcPr>
            <w:tcW w:w="19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2,572</w:t>
            </w:r>
          </w:p>
        </w:tc>
        <w:tc>
          <w:tcPr>
            <w:tcW w:w="2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32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plan assets</w:t>
            </w:r>
          </w:p>
        </w:tc>
        <w:tc>
          <w:tcPr>
            <w:tcW w:w="20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$183,199</w:t>
            </w:r>
          </w:p>
        </w:tc>
        <w:tc>
          <w:tcPr>
            <w:tcW w:w="1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$3,375</w:t>
            </w:r>
          </w:p>
        </w:tc>
        <w:tc>
          <w:tcPr>
            <w:tcW w:w="2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$170,805</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$9,019</w:t>
            </w:r>
          </w:p>
        </w:tc>
      </w:tr>
      <w:tr>
        <w:trPr>
          <w:trHeight w:val="709"/>
        </w:trPr>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29"/>
        </w:trPr>
        <w:tc>
          <w:tcPr>
            <w:tcW w:w="32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2015 and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Net purchases,</w:t>
            </w:r>
          </w:p>
        </w:tc>
        <w:tc>
          <w:tcPr>
            <w:tcW w:w="14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Pr>
          <w:p>
            <w:pPr>
              <w:jc w:val="center"/>
              <w:ind w:left="393"/>
              <w:spacing w:after="0"/>
              <w:rPr>
                <w:sz w:val="20"/>
                <w:szCs w:val="20"/>
                <w:color w:val="auto"/>
              </w:rPr>
            </w:pPr>
            <w:r>
              <w:rPr>
                <w:rFonts w:ascii="Arial" w:cs="Arial" w:eastAsia="Arial" w:hAnsi="Arial"/>
                <w:sz w:val="16"/>
                <w:szCs w:val="16"/>
                <w:b w:val="1"/>
                <w:bCs w:val="1"/>
                <w:color w:val="auto"/>
                <w:w w:val="99"/>
              </w:rPr>
              <w:t>December 31,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Net realized</w:t>
            </w:r>
          </w:p>
        </w:tc>
        <w:tc>
          <w:tcPr>
            <w:tcW w:w="1460" w:type="dxa"/>
            <w:vAlign w:val="bottom"/>
          </w:tcPr>
          <w:p>
            <w:pPr>
              <w:ind w:left="100"/>
              <w:spacing w:after="0"/>
              <w:rPr>
                <w:sz w:val="20"/>
                <w:szCs w:val="20"/>
                <w:color w:val="auto"/>
              </w:rPr>
            </w:pPr>
            <w:r>
              <w:rPr>
                <w:rFonts w:ascii="Arial" w:cs="Arial" w:eastAsia="Arial" w:hAnsi="Arial"/>
                <w:sz w:val="16"/>
                <w:szCs w:val="16"/>
                <w:b w:val="1"/>
                <w:bCs w:val="1"/>
                <w:color w:val="auto"/>
              </w:rPr>
              <w:t>Net unrealized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issuances and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Net transfers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center"/>
              <w:ind w:left="393"/>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gains/(losses)</w:t>
            </w: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gains/(losses)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settlements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 of) Level 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95"/>
        </w:trPr>
        <w:tc>
          <w:tcPr>
            <w:tcW w:w="2380" w:type="dxa"/>
            <w:vAlign w:val="bottom"/>
          </w:tcPr>
          <w:p>
            <w:pPr>
              <w:ind w:left="40"/>
              <w:spacing w:after="0" w:line="195" w:lineRule="exact"/>
              <w:rPr>
                <w:sz w:val="20"/>
                <w:szCs w:val="20"/>
                <w:color w:val="auto"/>
              </w:rPr>
            </w:pPr>
            <w:r>
              <w:rPr>
                <w:rFonts w:ascii="Arial" w:cs="Arial" w:eastAsia="Arial" w:hAnsi="Arial"/>
                <w:sz w:val="18"/>
                <w:szCs w:val="18"/>
                <w:color w:val="auto"/>
              </w:rPr>
              <w:t>Insurance contracts</w:t>
            </w:r>
          </w:p>
        </w:tc>
        <w:tc>
          <w:tcPr>
            <w:tcW w:w="2000" w:type="dxa"/>
            <w:vAlign w:val="bottom"/>
          </w:tcPr>
          <w:p>
            <w:pPr>
              <w:jc w:val="right"/>
              <w:ind w:right="73"/>
              <w:spacing w:after="0" w:line="195" w:lineRule="exact"/>
              <w:rPr>
                <w:sz w:val="20"/>
                <w:szCs w:val="20"/>
                <w:color w:val="auto"/>
              </w:rPr>
            </w:pPr>
            <w:r>
              <w:rPr>
                <w:rFonts w:ascii="Arial" w:cs="Arial" w:eastAsia="Arial" w:hAnsi="Arial"/>
                <w:sz w:val="18"/>
                <w:szCs w:val="18"/>
                <w:color w:val="auto"/>
              </w:rPr>
              <w:t>$2,133</w:t>
            </w:r>
          </w:p>
        </w:tc>
        <w:tc>
          <w:tcPr>
            <w:tcW w:w="1440" w:type="dxa"/>
            <w:vAlign w:val="bottom"/>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line="195" w:lineRule="exact"/>
              <w:rPr>
                <w:sz w:val="20"/>
                <w:szCs w:val="20"/>
                <w:color w:val="auto"/>
              </w:rPr>
            </w:pPr>
            <w:r>
              <w:rPr>
                <w:rFonts w:ascii="Arial" w:cs="Arial" w:eastAsia="Arial" w:hAnsi="Arial"/>
                <w:sz w:val="18"/>
                <w:szCs w:val="18"/>
                <w:color w:val="auto"/>
              </w:rPr>
              <w:t>$35</w:t>
            </w:r>
          </w:p>
        </w:tc>
        <w:tc>
          <w:tcPr>
            <w:tcW w:w="1400" w:type="dxa"/>
            <w:vAlign w:val="bottom"/>
          </w:tcPr>
          <w:p>
            <w:pPr>
              <w:jc w:val="right"/>
              <w:ind w:right="94"/>
              <w:spacing w:after="0" w:line="195" w:lineRule="exact"/>
              <w:rPr>
                <w:sz w:val="20"/>
                <w:szCs w:val="20"/>
                <w:color w:val="auto"/>
              </w:rPr>
            </w:pPr>
            <w:r>
              <w:rPr>
                <w:rFonts w:ascii="Arial" w:cs="Arial" w:eastAsia="Arial" w:hAnsi="Arial"/>
                <w:sz w:val="18"/>
                <w:szCs w:val="18"/>
                <w:color w:val="auto"/>
              </w:rPr>
              <w:t>$235</w:t>
            </w:r>
          </w:p>
        </w:tc>
        <w:tc>
          <w:tcPr>
            <w:tcW w:w="1440" w:type="dxa"/>
            <w:vAlign w:val="bottom"/>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line="202" w:lineRule="exact"/>
              <w:rPr>
                <w:sz w:val="20"/>
                <w:szCs w:val="20"/>
                <w:color w:val="auto"/>
              </w:rPr>
            </w:pPr>
            <w:r>
              <w:rPr>
                <w:rFonts w:ascii="Arial" w:cs="Arial" w:eastAsia="Arial" w:hAnsi="Arial"/>
                <w:sz w:val="18"/>
                <w:szCs w:val="18"/>
                <w:color w:val="auto"/>
              </w:rPr>
              <w:t>Limited partnerships</w:t>
            </w:r>
          </w:p>
        </w:tc>
        <w:tc>
          <w:tcPr>
            <w:tcW w:w="20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6,522</w:t>
            </w:r>
          </w:p>
        </w:tc>
        <w:tc>
          <w:tcPr>
            <w:tcW w:w="14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w:t>
            </w:r>
          </w:p>
        </w:tc>
        <w:tc>
          <w:tcPr>
            <w:tcW w:w="1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222</w:t>
            </w:r>
          </w:p>
        </w:tc>
        <w:tc>
          <w:tcPr>
            <w:tcW w:w="1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(1,114)</w:t>
            </w:r>
          </w:p>
        </w:tc>
        <w:tc>
          <w:tcPr>
            <w:tcW w:w="14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Hedge funds</w:t>
            </w:r>
          </w:p>
        </w:tc>
        <w:tc>
          <w:tcPr>
            <w:tcW w:w="200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364</w:t>
            </w:r>
          </w:p>
        </w:tc>
        <w:tc>
          <w:tcPr>
            <w:tcW w:w="14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7</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40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(162)</w:t>
            </w:r>
          </w:p>
        </w:tc>
        <w:tc>
          <w:tcPr>
            <w:tcW w:w="14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$9,019</w:t>
            </w:r>
          </w:p>
        </w:tc>
        <w:tc>
          <w:tcPr>
            <w:tcW w:w="14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w:t>
            </w:r>
          </w:p>
        </w:tc>
        <w:tc>
          <w:tcPr>
            <w:tcW w:w="14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$240</w:t>
            </w:r>
          </w:p>
        </w:tc>
        <w:tc>
          <w:tcPr>
            <w:tcW w:w="14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($1,041)</w:t>
            </w:r>
          </w:p>
        </w:tc>
        <w:tc>
          <w:tcPr>
            <w:tcW w:w="14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Net purchases,</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Pr>
          <w:p>
            <w:pPr>
              <w:jc w:val="center"/>
              <w:ind w:left="393"/>
              <w:spacing w:after="0"/>
              <w:rPr>
                <w:sz w:val="20"/>
                <w:szCs w:val="20"/>
                <w:color w:val="auto"/>
              </w:rPr>
            </w:pPr>
            <w:r>
              <w:rPr>
                <w:rFonts w:ascii="Arial" w:cs="Arial" w:eastAsia="Arial" w:hAnsi="Arial"/>
                <w:sz w:val="16"/>
                <w:szCs w:val="16"/>
                <w:b w:val="1"/>
                <w:bCs w:val="1"/>
                <w:color w:val="auto"/>
                <w:w w:val="99"/>
              </w:rPr>
              <w:t>December 31,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Net realized</w:t>
            </w:r>
          </w:p>
        </w:tc>
        <w:tc>
          <w:tcPr>
            <w:tcW w:w="1460" w:type="dxa"/>
            <w:vAlign w:val="bottom"/>
          </w:tcPr>
          <w:p>
            <w:pPr>
              <w:ind w:left="100"/>
              <w:spacing w:after="0"/>
              <w:rPr>
                <w:sz w:val="20"/>
                <w:szCs w:val="20"/>
                <w:color w:val="auto"/>
              </w:rPr>
            </w:pPr>
            <w:r>
              <w:rPr>
                <w:rFonts w:ascii="Arial" w:cs="Arial" w:eastAsia="Arial" w:hAnsi="Arial"/>
                <w:sz w:val="16"/>
                <w:szCs w:val="16"/>
                <w:b w:val="1"/>
                <w:bCs w:val="1"/>
                <w:color w:val="auto"/>
              </w:rPr>
              <w:t>Net unrealized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issuances and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Net transfers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center"/>
              <w:ind w:left="393"/>
              <w:spacing w:after="0"/>
              <w:rPr>
                <w:sz w:val="20"/>
                <w:szCs w:val="20"/>
                <w:color w:val="auto"/>
              </w:rPr>
            </w:pPr>
            <w:r>
              <w:rPr>
                <w:rFonts w:ascii="Arial" w:cs="Arial" w:eastAsia="Arial" w:hAnsi="Arial"/>
                <w:sz w:val="16"/>
                <w:szCs w:val="16"/>
                <w:b w:val="1"/>
                <w:bCs w:val="1"/>
                <w:color w:val="auto"/>
              </w:rPr>
              <w:t>2013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gains/(losses)</w:t>
            </w: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gains/(losses)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settlements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 of) Level 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195"/>
        </w:trPr>
        <w:tc>
          <w:tcPr>
            <w:tcW w:w="2380" w:type="dxa"/>
            <w:vAlign w:val="bottom"/>
          </w:tcPr>
          <w:p>
            <w:pPr>
              <w:ind w:left="40"/>
              <w:spacing w:after="0" w:line="195" w:lineRule="exact"/>
              <w:rPr>
                <w:sz w:val="20"/>
                <w:szCs w:val="20"/>
                <w:color w:val="auto"/>
              </w:rPr>
            </w:pPr>
            <w:r>
              <w:rPr>
                <w:rFonts w:ascii="Arial" w:cs="Arial" w:eastAsia="Arial" w:hAnsi="Arial"/>
                <w:sz w:val="18"/>
                <w:szCs w:val="18"/>
                <w:color w:val="auto"/>
              </w:rPr>
              <w:t>Insurance contracts</w:t>
            </w:r>
          </w:p>
        </w:tc>
        <w:tc>
          <w:tcPr>
            <w:tcW w:w="2000" w:type="dxa"/>
            <w:vAlign w:val="bottom"/>
          </w:tcPr>
          <w:p>
            <w:pPr>
              <w:jc w:val="right"/>
              <w:ind w:right="73"/>
              <w:spacing w:after="0" w:line="195" w:lineRule="exact"/>
              <w:rPr>
                <w:sz w:val="20"/>
                <w:szCs w:val="20"/>
                <w:color w:val="auto"/>
              </w:rPr>
            </w:pPr>
            <w:r>
              <w:rPr>
                <w:rFonts w:ascii="Arial" w:cs="Arial" w:eastAsia="Arial" w:hAnsi="Arial"/>
                <w:sz w:val="18"/>
                <w:szCs w:val="18"/>
                <w:color w:val="auto"/>
              </w:rPr>
              <w:t>$2,875</w:t>
            </w:r>
          </w:p>
        </w:tc>
        <w:tc>
          <w:tcPr>
            <w:tcW w:w="1440" w:type="dxa"/>
            <w:vAlign w:val="bottom"/>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line="195" w:lineRule="exact"/>
              <w:rPr>
                <w:sz w:val="20"/>
                <w:szCs w:val="20"/>
                <w:color w:val="auto"/>
              </w:rPr>
            </w:pPr>
            <w:r>
              <w:rPr>
                <w:rFonts w:ascii="Arial" w:cs="Arial" w:eastAsia="Arial" w:hAnsi="Arial"/>
                <w:sz w:val="18"/>
                <w:szCs w:val="18"/>
                <w:color w:val="auto"/>
              </w:rPr>
              <w:t>$49</w:t>
            </w:r>
          </w:p>
        </w:tc>
        <w:tc>
          <w:tcPr>
            <w:tcW w:w="1400" w:type="dxa"/>
            <w:vAlign w:val="bottom"/>
          </w:tcPr>
          <w:p>
            <w:pPr>
              <w:jc w:val="right"/>
              <w:ind w:right="34"/>
              <w:spacing w:after="0" w:line="195" w:lineRule="exact"/>
              <w:rPr>
                <w:sz w:val="20"/>
                <w:szCs w:val="20"/>
                <w:color w:val="auto"/>
              </w:rPr>
            </w:pPr>
            <w:r>
              <w:rPr>
                <w:rFonts w:ascii="Arial" w:cs="Arial" w:eastAsia="Arial" w:hAnsi="Arial"/>
                <w:sz w:val="18"/>
                <w:szCs w:val="18"/>
                <w:color w:val="auto"/>
              </w:rPr>
              <w:t>$(791)</w:t>
            </w:r>
          </w:p>
        </w:tc>
        <w:tc>
          <w:tcPr>
            <w:tcW w:w="1440" w:type="dxa"/>
            <w:vAlign w:val="bottom"/>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line="202" w:lineRule="exact"/>
              <w:rPr>
                <w:sz w:val="20"/>
                <w:szCs w:val="20"/>
                <w:color w:val="auto"/>
              </w:rPr>
            </w:pPr>
            <w:r>
              <w:rPr>
                <w:rFonts w:ascii="Arial" w:cs="Arial" w:eastAsia="Arial" w:hAnsi="Arial"/>
                <w:sz w:val="18"/>
                <w:szCs w:val="18"/>
                <w:color w:val="auto"/>
              </w:rPr>
              <w:t>Limited partnerships</w:t>
            </w:r>
          </w:p>
        </w:tc>
        <w:tc>
          <w:tcPr>
            <w:tcW w:w="20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7,034</w:t>
            </w:r>
          </w:p>
        </w:tc>
        <w:tc>
          <w:tcPr>
            <w:tcW w:w="14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w:t>
            </w:r>
          </w:p>
        </w:tc>
        <w:tc>
          <w:tcPr>
            <w:tcW w:w="1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613</w:t>
            </w:r>
          </w:p>
        </w:tc>
        <w:tc>
          <w:tcPr>
            <w:tcW w:w="1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(1,169)</w:t>
            </w:r>
          </w:p>
        </w:tc>
        <w:tc>
          <w:tcPr>
            <w:tcW w:w="14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Hedge funds</w:t>
            </w:r>
          </w:p>
        </w:tc>
        <w:tc>
          <w:tcPr>
            <w:tcW w:w="200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392</w:t>
            </w:r>
          </w:p>
        </w:tc>
        <w:tc>
          <w:tcPr>
            <w:tcW w:w="14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3</w:t>
            </w:r>
          </w:p>
        </w:tc>
        <w:tc>
          <w:tcPr>
            <w:tcW w:w="140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(31)</w:t>
            </w:r>
          </w:p>
        </w:tc>
        <w:tc>
          <w:tcPr>
            <w:tcW w:w="14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$10,301</w:t>
            </w:r>
          </w:p>
        </w:tc>
        <w:tc>
          <w:tcPr>
            <w:tcW w:w="14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$44</w:t>
            </w:r>
          </w:p>
        </w:tc>
        <w:tc>
          <w:tcPr>
            <w:tcW w:w="14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$665</w:t>
            </w:r>
          </w:p>
        </w:tc>
        <w:tc>
          <w:tcPr>
            <w:tcW w:w="14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($1,991)</w:t>
            </w:r>
          </w:p>
        </w:tc>
        <w:tc>
          <w:tcPr>
            <w:tcW w:w="14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2015 and 2014, and the target allocation for 2016, by asset category,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United States Plan</w:t>
            </w:r>
          </w:p>
        </w:tc>
        <w:tc>
          <w:tcPr>
            <w:tcW w:w="1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Non-U.S. Plans</w:t>
            </w:r>
          </w:p>
        </w:tc>
        <w:tc>
          <w:tcPr>
            <w:tcW w:w="960" w:type="dxa"/>
            <w:vAlign w:val="bottom"/>
            <w:tcBorders>
              <w:top w:val="single" w:sz="8" w:color="auto"/>
              <w:bottom w:val="single" w:sz="8" w:color="auto"/>
            </w:tcBorders>
          </w:tcPr>
          <w:p>
            <w:pPr>
              <w:spacing w:after="0"/>
              <w:rPr>
                <w:sz w:val="18"/>
                <w:szCs w:val="18"/>
                <w:color w:val="auto"/>
              </w:rPr>
            </w:pPr>
          </w:p>
        </w:tc>
      </w:tr>
      <w:tr>
        <w:trPr>
          <w:trHeight w:val="195"/>
        </w:trPr>
        <w:tc>
          <w:tcPr>
            <w:tcW w:w="2260" w:type="dxa"/>
            <w:vAlign w:val="bottom"/>
          </w:tcPr>
          <w:p>
            <w:pPr>
              <w:spacing w:after="0"/>
              <w:rPr>
                <w:sz w:val="16"/>
                <w:szCs w:val="16"/>
                <w:color w:val="auto"/>
              </w:rPr>
            </w:pPr>
          </w:p>
        </w:tc>
        <w:tc>
          <w:tcPr>
            <w:tcW w:w="18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Target</w:t>
            </w:r>
          </w:p>
        </w:tc>
        <w:tc>
          <w:tcPr>
            <w:tcW w:w="3160" w:type="dxa"/>
            <w:vAlign w:val="bottom"/>
            <w:gridSpan w:val="2"/>
          </w:tcPr>
          <w:p>
            <w:pPr>
              <w:jc w:val="right"/>
              <w:ind w:right="190"/>
              <w:spacing w:after="0" w:line="195" w:lineRule="exact"/>
              <w:rPr>
                <w:sz w:val="20"/>
                <w:szCs w:val="20"/>
                <w:color w:val="auto"/>
              </w:rPr>
            </w:pPr>
            <w:r>
              <w:rPr>
                <w:rFonts w:ascii="Arial" w:cs="Arial" w:eastAsia="Arial" w:hAnsi="Arial"/>
                <w:sz w:val="18"/>
                <w:szCs w:val="18"/>
                <w:color w:val="auto"/>
              </w:rPr>
              <w:t>Percentage of plan assets at plan</w:t>
            </w:r>
          </w:p>
        </w:tc>
        <w:tc>
          <w:tcPr>
            <w:tcW w:w="12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Target</w:t>
            </w:r>
          </w:p>
        </w:tc>
        <w:tc>
          <w:tcPr>
            <w:tcW w:w="28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Percentage of plan assets at plan</w:t>
            </w:r>
          </w:p>
        </w:tc>
      </w:tr>
      <w:tr>
        <w:trPr>
          <w:trHeight w:val="181"/>
        </w:trPr>
        <w:tc>
          <w:tcPr>
            <w:tcW w:w="2260" w:type="dxa"/>
            <w:vAlign w:val="bottom"/>
          </w:tcPr>
          <w:p>
            <w:pPr>
              <w:spacing w:after="0"/>
              <w:rPr>
                <w:sz w:val="15"/>
                <w:szCs w:val="15"/>
                <w:color w:val="auto"/>
              </w:rPr>
            </w:pPr>
          </w:p>
        </w:tc>
        <w:tc>
          <w:tcPr>
            <w:tcW w:w="1840" w:type="dxa"/>
            <w:vAlign w:val="bottom"/>
          </w:tcPr>
          <w:p>
            <w:pPr>
              <w:jc w:val="right"/>
              <w:ind w:right="50"/>
              <w:spacing w:after="0" w:line="181" w:lineRule="exact"/>
              <w:rPr>
                <w:sz w:val="20"/>
                <w:szCs w:val="20"/>
                <w:color w:val="auto"/>
              </w:rPr>
            </w:pPr>
            <w:r>
              <w:rPr>
                <w:rFonts w:ascii="Arial" w:cs="Arial" w:eastAsia="Arial" w:hAnsi="Arial"/>
                <w:sz w:val="18"/>
                <w:szCs w:val="18"/>
                <w:color w:val="auto"/>
              </w:rPr>
              <w:t>Allocation</w:t>
            </w:r>
          </w:p>
        </w:tc>
        <w:tc>
          <w:tcPr>
            <w:tcW w:w="3160" w:type="dxa"/>
            <w:vAlign w:val="bottom"/>
            <w:gridSpan w:val="2"/>
          </w:tcPr>
          <w:p>
            <w:pPr>
              <w:jc w:val="right"/>
              <w:ind w:right="190"/>
              <w:spacing w:after="0" w:line="181" w:lineRule="exact"/>
              <w:rPr>
                <w:sz w:val="20"/>
                <w:szCs w:val="20"/>
                <w:color w:val="auto"/>
              </w:rPr>
            </w:pPr>
            <w:r>
              <w:rPr>
                <w:rFonts w:ascii="Arial" w:cs="Arial" w:eastAsia="Arial" w:hAnsi="Arial"/>
                <w:sz w:val="18"/>
                <w:szCs w:val="18"/>
                <w:color w:val="auto"/>
              </w:rPr>
              <w:t>measurement date</w:t>
            </w:r>
          </w:p>
        </w:tc>
        <w:tc>
          <w:tcPr>
            <w:tcW w:w="128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Allocation</w:t>
            </w:r>
          </w:p>
        </w:tc>
        <w:tc>
          <w:tcPr>
            <w:tcW w:w="288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measurement date</w:t>
            </w:r>
          </w:p>
        </w:tc>
      </w:tr>
      <w:tr>
        <w:trPr>
          <w:trHeight w:val="225"/>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Asset category</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376"/>
        </w:trPr>
        <w:tc>
          <w:tcPr>
            <w:tcW w:w="22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34%</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35%</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226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1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100%</w:t>
            </w:r>
          </w:p>
        </w:tc>
        <w:tc>
          <w:tcPr>
            <w:tcW w:w="2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92%</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91%</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56%</w:t>
            </w:r>
          </w:p>
        </w:tc>
        <w:tc>
          <w:tcPr>
            <w:tcW w:w="19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2260" w:type="dxa"/>
            <w:vAlign w:val="bottom"/>
          </w:tcPr>
          <w:p>
            <w:pPr>
              <w:ind w:left="40"/>
              <w:spacing w:after="0" w:line="202" w:lineRule="exact"/>
              <w:rPr>
                <w:sz w:val="20"/>
                <w:szCs w:val="20"/>
                <w:color w:val="auto"/>
              </w:rPr>
            </w:pPr>
            <w:r>
              <w:rPr>
                <w:rFonts w:ascii="Arial" w:cs="Arial" w:eastAsia="Arial" w:hAnsi="Arial"/>
                <w:sz w:val="18"/>
                <w:szCs w:val="18"/>
                <w:color w:val="auto"/>
              </w:rPr>
              <w:t>Real estate</w:t>
            </w:r>
          </w:p>
        </w:tc>
        <w:tc>
          <w:tcPr>
            <w:tcW w:w="18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2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w:t>
            </w:r>
          </w:p>
        </w:tc>
        <w:tc>
          <w:tcPr>
            <w:tcW w:w="19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25"/>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(1)</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100%</w:t>
            </w:r>
          </w:p>
        </w:tc>
        <w:tc>
          <w:tcPr>
            <w:tcW w:w="20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100%</w:t>
            </w:r>
          </w:p>
        </w:tc>
        <w:tc>
          <w:tcPr>
            <w:tcW w:w="1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100%</w:t>
            </w:r>
          </w:p>
        </w:tc>
        <w:tc>
          <w:tcPr>
            <w:tcW w:w="19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100%</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bl>
    <w:p>
      <w:pPr>
        <w:spacing w:after="0" w:line="377" w:lineRule="exact"/>
        <w:rPr>
          <w:sz w:val="20"/>
          <w:szCs w:val="20"/>
          <w:color w:val="auto"/>
        </w:rPr>
      </w:pPr>
    </w:p>
    <w:p>
      <w:pPr>
        <w:ind w:right="580" w:firstLine="8"/>
        <w:spacing w:after="0" w:line="24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5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5" w:name="page66"/>
    <w:bookmarkEnd w:id="65"/>
    <w:p>
      <w:pPr>
        <w:ind w:right="120" w:firstLine="648"/>
        <w:spacing w:after="0" w:line="246" w:lineRule="auto"/>
        <w:rPr>
          <w:sz w:val="20"/>
          <w:szCs w:val="20"/>
          <w:color w:val="auto"/>
        </w:rPr>
      </w:pPr>
      <w:r>
        <w:rPr>
          <w:rFonts w:ascii="Arial" w:cs="Arial" w:eastAsia="Arial" w:hAnsi="Arial"/>
          <w:sz w:val="18"/>
          <w:szCs w:val="18"/>
          <w:color w:val="auto"/>
        </w:rPr>
        <w:t>At the end of 2015 and 2014, the projected benefit obligation, accumulated benefit obligation, and fair value of plan assets for pension plans with projected benefit obligation and an accumulated benefit obligation in excess of plan assets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Borders>
              <w:top w:val="single" w:sz="8" w:color="auto"/>
            </w:tcBorders>
          </w:tcPr>
          <w:p>
            <w:pPr>
              <w:spacing w:after="0"/>
              <w:rPr>
                <w:sz w:val="16"/>
                <w:szCs w:val="16"/>
                <w:color w:val="auto"/>
              </w:rPr>
            </w:pPr>
          </w:p>
        </w:tc>
        <w:tc>
          <w:tcPr>
            <w:tcW w:w="6380" w:type="dxa"/>
            <w:vAlign w:val="bottom"/>
            <w:tcBorders>
              <w:top w:val="single" w:sz="8" w:color="auto"/>
            </w:tcBorders>
            <w:gridSpan w:val="2"/>
          </w:tcPr>
          <w:p>
            <w:pPr>
              <w:jc w:val="center"/>
              <w:ind w:left="2190"/>
              <w:spacing w:after="0" w:line="194" w:lineRule="exact"/>
              <w:rPr>
                <w:sz w:val="20"/>
                <w:szCs w:val="20"/>
                <w:color w:val="auto"/>
              </w:rPr>
            </w:pPr>
            <w:r>
              <w:rPr>
                <w:rFonts w:ascii="Arial" w:cs="Arial" w:eastAsia="Arial" w:hAnsi="Arial"/>
                <w:sz w:val="18"/>
                <w:szCs w:val="18"/>
                <w:b w:val="1"/>
                <w:bCs w:val="1"/>
                <w:color w:val="auto"/>
                <w:w w:val="99"/>
              </w:rPr>
              <w:t>Plans with projected benefit obligation</w:t>
            </w:r>
          </w:p>
        </w:tc>
      </w:tr>
      <w:tr>
        <w:trPr>
          <w:trHeight w:val="203"/>
        </w:trPr>
        <w:tc>
          <w:tcPr>
            <w:tcW w:w="5040" w:type="dxa"/>
            <w:vAlign w:val="bottom"/>
          </w:tcPr>
          <w:p>
            <w:pPr>
              <w:spacing w:after="0"/>
              <w:rPr>
                <w:sz w:val="17"/>
                <w:szCs w:val="17"/>
                <w:color w:val="auto"/>
              </w:rPr>
            </w:pPr>
          </w:p>
        </w:tc>
        <w:tc>
          <w:tcPr>
            <w:tcW w:w="6380" w:type="dxa"/>
            <w:vAlign w:val="bottom"/>
            <w:gridSpan w:val="2"/>
          </w:tcPr>
          <w:p>
            <w:pPr>
              <w:jc w:val="center"/>
              <w:ind w:left="2190"/>
              <w:spacing w:after="0" w:line="202" w:lineRule="exact"/>
              <w:rPr>
                <w:sz w:val="20"/>
                <w:szCs w:val="20"/>
                <w:color w:val="auto"/>
              </w:rPr>
            </w:pPr>
            <w:r>
              <w:rPr>
                <w:rFonts w:ascii="Arial" w:cs="Arial" w:eastAsia="Arial" w:hAnsi="Arial"/>
                <w:sz w:val="18"/>
                <w:szCs w:val="18"/>
                <w:b w:val="1"/>
                <w:bCs w:val="1"/>
                <w:color w:val="auto"/>
                <w:w w:val="99"/>
              </w:rPr>
              <w:t>in excess of plan assets</w:t>
            </w:r>
          </w:p>
        </w:tc>
      </w:tr>
      <w:tr>
        <w:trPr>
          <w:trHeight w:val="225"/>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5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173"/>
        </w:trPr>
        <w:tc>
          <w:tcPr>
            <w:tcW w:w="5040" w:type="dxa"/>
            <w:vAlign w:val="bottom"/>
          </w:tcPr>
          <w:p>
            <w:pPr>
              <w:ind w:left="40"/>
              <w:spacing w:after="0" w:line="173" w:lineRule="exact"/>
              <w:rPr>
                <w:sz w:val="20"/>
                <w:szCs w:val="20"/>
                <w:color w:val="auto"/>
              </w:rPr>
            </w:pPr>
            <w:r>
              <w:rPr>
                <w:rFonts w:ascii="Arial" w:cs="Arial" w:eastAsia="Arial" w:hAnsi="Arial"/>
                <w:sz w:val="18"/>
                <w:szCs w:val="18"/>
                <w:color w:val="auto"/>
              </w:rPr>
              <w:t>Projected benefit obligation</w:t>
            </w:r>
          </w:p>
        </w:tc>
        <w:tc>
          <w:tcPr>
            <w:tcW w:w="456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$120,312</w:t>
            </w:r>
          </w:p>
        </w:tc>
        <w:tc>
          <w:tcPr>
            <w:tcW w:w="18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$126,029</w:t>
            </w:r>
          </w:p>
        </w:tc>
      </w:tr>
      <w:tr>
        <w:trPr>
          <w:trHeight w:val="203"/>
        </w:trPr>
        <w:tc>
          <w:tcPr>
            <w:tcW w:w="5040" w:type="dxa"/>
            <w:vAlign w:val="bottom"/>
          </w:tcPr>
          <w:p>
            <w:pPr>
              <w:ind w:left="40"/>
              <w:spacing w:after="0" w:line="202" w:lineRule="exact"/>
              <w:rPr>
                <w:sz w:val="20"/>
                <w:szCs w:val="20"/>
                <w:color w:val="auto"/>
              </w:rPr>
            </w:pPr>
            <w:r>
              <w:rPr>
                <w:rFonts w:ascii="Arial" w:cs="Arial" w:eastAsia="Arial" w:hAnsi="Arial"/>
                <w:sz w:val="18"/>
                <w:szCs w:val="18"/>
                <w:color w:val="auto"/>
              </w:rPr>
              <w:t>Accumulated benefit obligation</w:t>
            </w:r>
          </w:p>
        </w:tc>
        <w:tc>
          <w:tcPr>
            <w:tcW w:w="45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117,447</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122,855</w:t>
            </w:r>
          </w:p>
        </w:tc>
      </w:tr>
      <w:tr>
        <w:trPr>
          <w:trHeight w:val="225"/>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plan assets</w:t>
            </w:r>
          </w:p>
        </w:tc>
        <w:tc>
          <w:tcPr>
            <w:tcW w:w="4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81,421</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86,021</w:t>
            </w:r>
          </w:p>
        </w:tc>
      </w:tr>
      <w:tr>
        <w:trPr>
          <w:trHeight w:val="399"/>
        </w:trPr>
        <w:tc>
          <w:tcPr>
            <w:tcW w:w="5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73"/>
        </w:trPr>
        <w:tc>
          <w:tcPr>
            <w:tcW w:w="5040" w:type="dxa"/>
            <w:vAlign w:val="bottom"/>
          </w:tcPr>
          <w:p>
            <w:pPr>
              <w:spacing w:after="0"/>
              <w:rPr>
                <w:sz w:val="15"/>
                <w:szCs w:val="15"/>
                <w:color w:val="auto"/>
              </w:rPr>
            </w:pPr>
          </w:p>
        </w:tc>
        <w:tc>
          <w:tcPr>
            <w:tcW w:w="6380" w:type="dxa"/>
            <w:vAlign w:val="bottom"/>
            <w:gridSpan w:val="2"/>
          </w:tcPr>
          <w:p>
            <w:pPr>
              <w:jc w:val="center"/>
              <w:ind w:left="2190"/>
              <w:spacing w:after="0" w:line="173" w:lineRule="exact"/>
              <w:rPr>
                <w:sz w:val="20"/>
                <w:szCs w:val="20"/>
                <w:color w:val="auto"/>
              </w:rPr>
            </w:pPr>
            <w:r>
              <w:rPr>
                <w:rFonts w:ascii="Arial" w:cs="Arial" w:eastAsia="Arial" w:hAnsi="Arial"/>
                <w:sz w:val="18"/>
                <w:szCs w:val="18"/>
                <w:b w:val="1"/>
                <w:bCs w:val="1"/>
                <w:color w:val="auto"/>
                <w:w w:val="99"/>
              </w:rPr>
              <w:t>Plans with accumulated benefit obligation</w:t>
            </w:r>
          </w:p>
        </w:tc>
      </w:tr>
      <w:tr>
        <w:trPr>
          <w:trHeight w:val="203"/>
        </w:trPr>
        <w:tc>
          <w:tcPr>
            <w:tcW w:w="5040" w:type="dxa"/>
            <w:vAlign w:val="bottom"/>
          </w:tcPr>
          <w:p>
            <w:pPr>
              <w:spacing w:after="0"/>
              <w:rPr>
                <w:sz w:val="17"/>
                <w:szCs w:val="17"/>
                <w:color w:val="auto"/>
              </w:rPr>
            </w:pPr>
          </w:p>
        </w:tc>
        <w:tc>
          <w:tcPr>
            <w:tcW w:w="6380" w:type="dxa"/>
            <w:vAlign w:val="bottom"/>
            <w:gridSpan w:val="2"/>
          </w:tcPr>
          <w:p>
            <w:pPr>
              <w:jc w:val="right"/>
              <w:ind w:right="670"/>
              <w:spacing w:after="0" w:line="202" w:lineRule="exact"/>
              <w:rPr>
                <w:sz w:val="20"/>
                <w:szCs w:val="20"/>
                <w:color w:val="auto"/>
              </w:rPr>
            </w:pPr>
            <w:r>
              <w:rPr>
                <w:rFonts w:ascii="Arial" w:cs="Arial" w:eastAsia="Arial" w:hAnsi="Arial"/>
                <w:sz w:val="18"/>
                <w:szCs w:val="18"/>
                <w:b w:val="1"/>
                <w:bCs w:val="1"/>
                <w:color w:val="auto"/>
              </w:rPr>
              <w:t>in excess of plan assets</w:t>
            </w:r>
          </w:p>
        </w:tc>
      </w:tr>
      <w:tr>
        <w:trPr>
          <w:trHeight w:val="225"/>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5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173"/>
        </w:trPr>
        <w:tc>
          <w:tcPr>
            <w:tcW w:w="5040" w:type="dxa"/>
            <w:vAlign w:val="bottom"/>
          </w:tcPr>
          <w:p>
            <w:pPr>
              <w:ind w:left="40"/>
              <w:spacing w:after="0" w:line="173" w:lineRule="exact"/>
              <w:rPr>
                <w:sz w:val="20"/>
                <w:szCs w:val="20"/>
                <w:color w:val="auto"/>
              </w:rPr>
            </w:pPr>
            <w:r>
              <w:rPr>
                <w:rFonts w:ascii="Arial" w:cs="Arial" w:eastAsia="Arial" w:hAnsi="Arial"/>
                <w:sz w:val="18"/>
                <w:szCs w:val="18"/>
                <w:color w:val="auto"/>
              </w:rPr>
              <w:t>Projected benefit obligation</w:t>
            </w:r>
          </w:p>
        </w:tc>
        <w:tc>
          <w:tcPr>
            <w:tcW w:w="456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$120,312</w:t>
            </w:r>
          </w:p>
        </w:tc>
        <w:tc>
          <w:tcPr>
            <w:tcW w:w="18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$126,029</w:t>
            </w:r>
          </w:p>
        </w:tc>
      </w:tr>
      <w:tr>
        <w:trPr>
          <w:trHeight w:val="203"/>
        </w:trPr>
        <w:tc>
          <w:tcPr>
            <w:tcW w:w="5040" w:type="dxa"/>
            <w:vAlign w:val="bottom"/>
          </w:tcPr>
          <w:p>
            <w:pPr>
              <w:ind w:left="40"/>
              <w:spacing w:after="0" w:line="202" w:lineRule="exact"/>
              <w:rPr>
                <w:sz w:val="20"/>
                <w:szCs w:val="20"/>
                <w:color w:val="auto"/>
              </w:rPr>
            </w:pPr>
            <w:r>
              <w:rPr>
                <w:rFonts w:ascii="Arial" w:cs="Arial" w:eastAsia="Arial" w:hAnsi="Arial"/>
                <w:sz w:val="18"/>
                <w:szCs w:val="18"/>
                <w:color w:val="auto"/>
              </w:rPr>
              <w:t>Accumulated benefit obligation</w:t>
            </w:r>
          </w:p>
        </w:tc>
        <w:tc>
          <w:tcPr>
            <w:tcW w:w="45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117,447</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122,855</w:t>
            </w:r>
          </w:p>
        </w:tc>
      </w:tr>
      <w:tr>
        <w:trPr>
          <w:trHeight w:val="239"/>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4560" w:type="dxa"/>
            <w:vAlign w:val="bottom"/>
          </w:tcPr>
          <w:p>
            <w:pPr>
              <w:jc w:val="right"/>
              <w:ind w:right="690"/>
              <w:spacing w:after="0"/>
              <w:rPr>
                <w:sz w:val="20"/>
                <w:szCs w:val="20"/>
                <w:color w:val="auto"/>
              </w:rPr>
            </w:pPr>
            <w:r>
              <w:rPr>
                <w:rFonts w:ascii="Arial" w:cs="Arial" w:eastAsia="Arial" w:hAnsi="Arial"/>
                <w:sz w:val="18"/>
                <w:szCs w:val="18"/>
                <w:b w:val="1"/>
                <w:bCs w:val="1"/>
                <w:color w:val="auto"/>
              </w:rPr>
              <w:t>81,421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86,021</w:t>
            </w:r>
          </w:p>
        </w:tc>
      </w:tr>
      <w:tr>
        <w:trPr>
          <w:trHeight w:val="189"/>
        </w:trPr>
        <w:tc>
          <w:tcPr>
            <w:tcW w:w="504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 postretirement</w:t>
            </w:r>
          </w:p>
        </w:tc>
      </w:tr>
      <w:tr>
        <w:trPr>
          <w:trHeight w:val="225"/>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Pension plans</w:t>
            </w:r>
          </w:p>
        </w:tc>
        <w:tc>
          <w:tcPr>
            <w:tcW w:w="2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6040" w:type="dxa"/>
            <w:vAlign w:val="bottom"/>
          </w:tcPr>
          <w:p>
            <w:pPr>
              <w:spacing w:after="0" w:line="195" w:lineRule="exact"/>
              <w:rPr>
                <w:sz w:val="20"/>
                <w:szCs w:val="20"/>
                <w:color w:val="auto"/>
              </w:rPr>
            </w:pPr>
            <w:r>
              <w:rPr>
                <w:rFonts w:ascii="Arial" w:cs="Arial" w:eastAsia="Arial" w:hAnsi="Arial"/>
                <w:sz w:val="18"/>
                <w:szCs w:val="18"/>
                <w:color w:val="auto"/>
              </w:rPr>
              <w:t>Expected employer contributions and direct employer payments in</w:t>
            </w:r>
          </w:p>
        </w:tc>
        <w:tc>
          <w:tcPr>
            <w:tcW w:w="26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3"/>
        </w:trPr>
        <w:tc>
          <w:tcPr>
            <w:tcW w:w="60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the next fiscal year</w:t>
            </w:r>
          </w:p>
        </w:tc>
        <w:tc>
          <w:tcPr>
            <w:tcW w:w="264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$5,046</w:t>
            </w:r>
          </w:p>
        </w:tc>
        <w:tc>
          <w:tcPr>
            <w:tcW w:w="2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$4,660</w:t>
            </w:r>
          </w:p>
        </w:tc>
      </w:tr>
      <w:tr>
        <w:trPr>
          <w:trHeight w:val="398"/>
        </w:trPr>
        <w:tc>
          <w:tcPr>
            <w:tcW w:w="604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26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3"/>
        </w:trPr>
        <w:tc>
          <w:tcPr>
            <w:tcW w:w="6040" w:type="dxa"/>
            <w:vAlign w:val="bottom"/>
          </w:tcPr>
          <w:p>
            <w:pPr>
              <w:jc w:val="center"/>
              <w:ind w:right="430"/>
              <w:spacing w:after="0" w:line="202" w:lineRule="exact"/>
              <w:rPr>
                <w:sz w:val="20"/>
                <w:szCs w:val="20"/>
                <w:color w:val="auto"/>
              </w:rPr>
            </w:pPr>
            <w:r>
              <w:rPr>
                <w:rFonts w:ascii="Arial" w:cs="Arial" w:eastAsia="Arial" w:hAnsi="Arial"/>
                <w:sz w:val="18"/>
                <w:szCs w:val="18"/>
                <w:color w:val="auto"/>
                <w:w w:val="99"/>
              </w:rPr>
              <w:t>2016</w:t>
            </w:r>
          </w:p>
        </w:tc>
        <w:tc>
          <w:tcPr>
            <w:tcW w:w="26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$6,518</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$4,660</w:t>
            </w:r>
          </w:p>
        </w:tc>
      </w:tr>
      <w:tr>
        <w:trPr>
          <w:trHeight w:val="203"/>
        </w:trPr>
        <w:tc>
          <w:tcPr>
            <w:tcW w:w="6040" w:type="dxa"/>
            <w:vAlign w:val="bottom"/>
          </w:tcPr>
          <w:p>
            <w:pPr>
              <w:jc w:val="center"/>
              <w:ind w:right="430"/>
              <w:spacing w:after="0" w:line="202" w:lineRule="exact"/>
              <w:rPr>
                <w:sz w:val="20"/>
                <w:szCs w:val="20"/>
                <w:color w:val="auto"/>
              </w:rPr>
            </w:pPr>
            <w:r>
              <w:rPr>
                <w:rFonts w:ascii="Arial" w:cs="Arial" w:eastAsia="Arial" w:hAnsi="Arial"/>
                <w:sz w:val="18"/>
                <w:szCs w:val="18"/>
                <w:color w:val="auto"/>
                <w:w w:val="99"/>
              </w:rPr>
              <w:t>2017</w:t>
            </w:r>
          </w:p>
        </w:tc>
        <w:tc>
          <w:tcPr>
            <w:tcW w:w="26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7,162</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4,475</w:t>
            </w:r>
          </w:p>
        </w:tc>
      </w:tr>
      <w:tr>
        <w:trPr>
          <w:trHeight w:val="203"/>
        </w:trPr>
        <w:tc>
          <w:tcPr>
            <w:tcW w:w="6040" w:type="dxa"/>
            <w:vAlign w:val="bottom"/>
          </w:tcPr>
          <w:p>
            <w:pPr>
              <w:jc w:val="center"/>
              <w:ind w:right="430"/>
              <w:spacing w:after="0" w:line="202" w:lineRule="exact"/>
              <w:rPr>
                <w:sz w:val="20"/>
                <w:szCs w:val="20"/>
                <w:color w:val="auto"/>
              </w:rPr>
            </w:pPr>
            <w:r>
              <w:rPr>
                <w:rFonts w:ascii="Arial" w:cs="Arial" w:eastAsia="Arial" w:hAnsi="Arial"/>
                <w:sz w:val="18"/>
                <w:szCs w:val="18"/>
                <w:color w:val="auto"/>
                <w:w w:val="99"/>
              </w:rPr>
              <w:t>2018</w:t>
            </w:r>
          </w:p>
        </w:tc>
        <w:tc>
          <w:tcPr>
            <w:tcW w:w="26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7,873</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4,296</w:t>
            </w:r>
          </w:p>
        </w:tc>
      </w:tr>
      <w:tr>
        <w:trPr>
          <w:trHeight w:val="203"/>
        </w:trPr>
        <w:tc>
          <w:tcPr>
            <w:tcW w:w="6040" w:type="dxa"/>
            <w:vAlign w:val="bottom"/>
          </w:tcPr>
          <w:p>
            <w:pPr>
              <w:jc w:val="center"/>
              <w:ind w:right="430"/>
              <w:spacing w:after="0" w:line="202" w:lineRule="exact"/>
              <w:rPr>
                <w:sz w:val="20"/>
                <w:szCs w:val="20"/>
                <w:color w:val="auto"/>
              </w:rPr>
            </w:pPr>
            <w:r>
              <w:rPr>
                <w:rFonts w:ascii="Arial" w:cs="Arial" w:eastAsia="Arial" w:hAnsi="Arial"/>
                <w:sz w:val="18"/>
                <w:szCs w:val="18"/>
                <w:color w:val="auto"/>
                <w:w w:val="99"/>
              </w:rPr>
              <w:t>2019</w:t>
            </w:r>
          </w:p>
        </w:tc>
        <w:tc>
          <w:tcPr>
            <w:tcW w:w="26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7,881</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4,128</w:t>
            </w:r>
          </w:p>
        </w:tc>
      </w:tr>
      <w:tr>
        <w:trPr>
          <w:trHeight w:val="203"/>
        </w:trPr>
        <w:tc>
          <w:tcPr>
            <w:tcW w:w="6040" w:type="dxa"/>
            <w:vAlign w:val="bottom"/>
          </w:tcPr>
          <w:p>
            <w:pPr>
              <w:jc w:val="center"/>
              <w:ind w:right="430"/>
              <w:spacing w:after="0" w:line="202" w:lineRule="exact"/>
              <w:rPr>
                <w:sz w:val="20"/>
                <w:szCs w:val="20"/>
                <w:color w:val="auto"/>
              </w:rPr>
            </w:pPr>
            <w:r>
              <w:rPr>
                <w:rFonts w:ascii="Arial" w:cs="Arial" w:eastAsia="Arial" w:hAnsi="Arial"/>
                <w:sz w:val="18"/>
                <w:szCs w:val="18"/>
                <w:color w:val="auto"/>
                <w:w w:val="99"/>
              </w:rPr>
              <w:t>2020</w:t>
            </w:r>
          </w:p>
        </w:tc>
        <w:tc>
          <w:tcPr>
            <w:tcW w:w="26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8,349</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4,006</w:t>
            </w:r>
          </w:p>
        </w:tc>
      </w:tr>
      <w:tr>
        <w:trPr>
          <w:trHeight w:val="203"/>
        </w:trPr>
        <w:tc>
          <w:tcPr>
            <w:tcW w:w="6040" w:type="dxa"/>
            <w:vAlign w:val="bottom"/>
            <w:tcBorders>
              <w:bottom w:val="single" w:sz="8" w:color="auto"/>
            </w:tcBorders>
          </w:tcPr>
          <w:p>
            <w:pPr>
              <w:jc w:val="center"/>
              <w:ind w:right="410"/>
              <w:spacing w:after="0" w:line="203" w:lineRule="exact"/>
              <w:rPr>
                <w:sz w:val="20"/>
                <w:szCs w:val="20"/>
                <w:color w:val="auto"/>
              </w:rPr>
            </w:pPr>
            <w:r>
              <w:rPr>
                <w:rFonts w:ascii="Arial" w:cs="Arial" w:eastAsia="Arial" w:hAnsi="Arial"/>
                <w:sz w:val="18"/>
                <w:szCs w:val="18"/>
                <w:color w:val="auto"/>
                <w:w w:val="99"/>
              </w:rPr>
              <w:t>2021-2025</w:t>
            </w:r>
          </w:p>
        </w:tc>
        <w:tc>
          <w:tcPr>
            <w:tcW w:w="264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49,954</w:t>
            </w:r>
          </w:p>
        </w:tc>
        <w:tc>
          <w:tcPr>
            <w:tcW w:w="2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19,049</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2015, the Company announced a plan to discontinue manufacturing operations at its press fabric manufacturing facility in Göppingen, Germany and manufacturing operations were discontinued during the second quarter. The restructuring program was driven by the Company’s need to balance manufacturing capacity with demand. Approximately 50 employees were terminated under this plan, and the estimated severance payments were recorded in the first quarter of 2015. We recorded charges of $11.4 million related to this restructuring, including $ 3.3 million related to the write down of the land and former manufacturing facility to the estimated fair market value. Cost savings associated with this action will reduce Cost of goods sold in future periods.</w:t>
      </w:r>
    </w:p>
    <w:p>
      <w:pPr>
        <w:spacing w:after="0" w:line="165"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In the fourth quarter of 2015, the Company implemented an early retirement program for certain employees in the United States. Restructuring charges associated with this restructuring program were</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66" w:name="page67"/>
    <w:bookmarkEnd w:id="66"/>
    <w:p>
      <w:pPr>
        <w:ind w:right="80"/>
        <w:spacing w:after="0" w:line="246" w:lineRule="auto"/>
        <w:rPr>
          <w:sz w:val="20"/>
          <w:szCs w:val="20"/>
          <w:color w:val="auto"/>
        </w:rPr>
      </w:pPr>
      <w:r>
        <w:rPr>
          <w:rFonts w:ascii="Arial" w:cs="Arial" w:eastAsia="Arial" w:hAnsi="Arial"/>
          <w:sz w:val="18"/>
          <w:szCs w:val="18"/>
          <w:color w:val="auto"/>
        </w:rPr>
        <w:t>$8.1 million. Cost savings from this initiative are expected to be $5 million to $6 million and will reduce STG&amp;R expenses, most of which will be recognized in 2016.</w:t>
      </w:r>
    </w:p>
    <w:p>
      <w:pPr>
        <w:spacing w:after="0" w:line="156"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2015 restructuring charges also includes $ 4.3 million related to the reduction in STG&amp;R employment in Machine Clothing and Corporate. Machine Clothing restructuring costs in 2014 and 2013 were principally related to restructuring of manufacturing operations in France, where employment was reduced by approximately 200 positions.</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2014 and 2013 were principally related to organizational changes and exiting certain aerospace programs.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and other, net”: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w:t>
            </w:r>
          </w:p>
        </w:tc>
      </w:tr>
      <w:tr>
        <w:trPr>
          <w:trHeight w:val="162"/>
        </w:trPr>
        <w:tc>
          <w:tcPr>
            <w:tcW w:w="3780" w:type="dxa"/>
            <w:vAlign w:val="bottom"/>
          </w:tcPr>
          <w:p>
            <w:pPr>
              <w:spacing w:after="0"/>
              <w:rPr>
                <w:sz w:val="20"/>
                <w:szCs w:val="20"/>
                <w:color w:val="auto"/>
              </w:rPr>
            </w:pPr>
            <w:r>
              <w:rPr>
                <w:rFonts w:ascii="Arial" w:cs="Arial" w:eastAsia="Arial" w:hAnsi="Arial"/>
                <w:sz w:val="14"/>
                <w:szCs w:val="14"/>
                <w:b w:val="1"/>
                <w:bCs w:val="1"/>
                <w:color w:val="auto"/>
              </w:rPr>
              <w:t>Year ended December 31, 2015</w:t>
            </w:r>
          </w:p>
        </w:tc>
        <w:tc>
          <w:tcPr>
            <w:tcW w:w="27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restructuring</w:t>
            </w:r>
          </w:p>
        </w:tc>
        <w:tc>
          <w:tcPr>
            <w:tcW w:w="1640" w:type="dxa"/>
            <w:vAlign w:val="bottom"/>
          </w:tcPr>
          <w:p>
            <w:pPr>
              <w:jc w:val="right"/>
              <w:ind w:right="176"/>
              <w:spacing w:after="0"/>
              <w:rPr>
                <w:sz w:val="20"/>
                <w:szCs w:val="20"/>
                <w:color w:val="auto"/>
              </w:rPr>
            </w:pPr>
            <w:r>
              <w:rPr>
                <w:rFonts w:ascii="Arial" w:cs="Arial" w:eastAsia="Arial" w:hAnsi="Arial"/>
                <w:sz w:val="14"/>
                <w:szCs w:val="14"/>
                <w:b w:val="1"/>
                <w:bCs w:val="1"/>
                <w:color w:val="auto"/>
              </w:rPr>
              <w:t>Termination and</w:t>
            </w:r>
          </w:p>
        </w:tc>
        <w:tc>
          <w:tcPr>
            <w:tcW w:w="1840" w:type="dxa"/>
            <w:vAlign w:val="bottom"/>
          </w:tcPr>
          <w:p>
            <w:pPr>
              <w:jc w:val="right"/>
              <w:ind w:right="197"/>
              <w:spacing w:after="0"/>
              <w:rPr>
                <w:sz w:val="20"/>
                <w:szCs w:val="20"/>
                <w:color w:val="auto"/>
              </w:rPr>
            </w:pPr>
            <w:r>
              <w:rPr>
                <w:rFonts w:ascii="Arial" w:cs="Arial" w:eastAsia="Arial" w:hAnsi="Arial"/>
                <w:sz w:val="14"/>
                <w:szCs w:val="14"/>
                <w:b w:val="1"/>
                <w:bCs w:val="1"/>
                <w:color w:val="auto"/>
              </w:rPr>
              <w:t>Impairment of plant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curtailment/</w:t>
            </w:r>
          </w:p>
        </w:tc>
      </w:t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costs incurred</w:t>
            </w: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other costs</w:t>
            </w:r>
          </w:p>
        </w:tc>
        <w:tc>
          <w:tcPr>
            <w:tcW w:w="18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and equipment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settlement</w:t>
            </w:r>
          </w:p>
        </w:tc>
      </w:tr>
      <w:tr>
        <w:trPr>
          <w:trHeight w:val="195"/>
        </w:trPr>
        <w:tc>
          <w:tcPr>
            <w:tcW w:w="3780" w:type="dxa"/>
            <w:vAlign w:val="bottom"/>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ind w:right="237"/>
              <w:spacing w:after="0" w:line="195" w:lineRule="exact"/>
              <w:rPr>
                <w:sz w:val="20"/>
                <w:szCs w:val="20"/>
                <w:color w:val="auto"/>
              </w:rPr>
            </w:pPr>
            <w:r>
              <w:rPr>
                <w:rFonts w:ascii="Arial" w:cs="Arial" w:eastAsia="Arial" w:hAnsi="Arial"/>
                <w:sz w:val="18"/>
                <w:szCs w:val="18"/>
                <w:color w:val="auto"/>
              </w:rPr>
              <w:t>$22,211</w:t>
            </w:r>
          </w:p>
        </w:tc>
        <w:tc>
          <w:tcPr>
            <w:tcW w:w="1640" w:type="dxa"/>
            <w:vAlign w:val="bottom"/>
          </w:tcPr>
          <w:p>
            <w:pPr>
              <w:jc w:val="right"/>
              <w:ind w:right="156"/>
              <w:spacing w:after="0" w:line="195" w:lineRule="exact"/>
              <w:rPr>
                <w:sz w:val="20"/>
                <w:szCs w:val="20"/>
                <w:color w:val="auto"/>
              </w:rPr>
            </w:pPr>
            <w:r>
              <w:rPr>
                <w:rFonts w:ascii="Arial" w:cs="Arial" w:eastAsia="Arial" w:hAnsi="Arial"/>
                <w:sz w:val="18"/>
                <w:szCs w:val="18"/>
                <w:color w:val="auto"/>
              </w:rPr>
              <w:t>$18,906</w:t>
            </w:r>
          </w:p>
        </w:tc>
        <w:tc>
          <w:tcPr>
            <w:tcW w:w="1840" w:type="dxa"/>
            <w:vAlign w:val="bottom"/>
          </w:tcPr>
          <w:p>
            <w:pPr>
              <w:jc w:val="right"/>
              <w:ind w:right="297"/>
              <w:spacing w:after="0" w:line="195" w:lineRule="exact"/>
              <w:rPr>
                <w:sz w:val="20"/>
                <w:szCs w:val="20"/>
                <w:color w:val="auto"/>
              </w:rPr>
            </w:pPr>
            <w:r>
              <w:rPr>
                <w:rFonts w:ascii="Arial" w:cs="Arial" w:eastAsia="Arial" w:hAnsi="Arial"/>
                <w:sz w:val="18"/>
                <w:szCs w:val="18"/>
                <w:color w:val="auto"/>
              </w:rPr>
              <w:t>$3,305</w:t>
            </w:r>
          </w:p>
        </w:tc>
        <w:tc>
          <w:tcPr>
            <w:tcW w:w="1420" w:type="dxa"/>
            <w:vAlign w:val="bottom"/>
          </w:tcPr>
          <w:p>
            <w:pPr>
              <w:jc w:val="right"/>
              <w:ind w:right="18"/>
              <w:spacing w:after="0" w:line="195"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37"/>
              <w:spacing w:after="0" w:line="203" w:lineRule="exact"/>
              <w:rPr>
                <w:sz w:val="20"/>
                <w:szCs w:val="20"/>
                <w:color w:val="auto"/>
              </w:rPr>
            </w:pPr>
            <w:r>
              <w:rPr>
                <w:rFonts w:ascii="Arial" w:cs="Arial" w:eastAsia="Arial" w:hAnsi="Arial"/>
                <w:sz w:val="18"/>
                <w:szCs w:val="18"/>
                <w:color w:val="auto"/>
              </w:rPr>
              <w:t>1,635</w:t>
            </w:r>
          </w:p>
        </w:tc>
        <w:tc>
          <w:tcPr>
            <w:tcW w:w="1640" w:type="dxa"/>
            <w:vAlign w:val="bottom"/>
            <w:tcBorders>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rPr>
              <w:t>1,635</w:t>
            </w:r>
          </w:p>
        </w:tc>
        <w:tc>
          <w:tcPr>
            <w:tcW w:w="1840" w:type="dxa"/>
            <w:vAlign w:val="bottom"/>
            <w:tcBorders>
              <w:bottom w:val="single" w:sz="8" w:color="auto"/>
            </w:tcBorders>
          </w:tcPr>
          <w:p>
            <w:pPr>
              <w:jc w:val="right"/>
              <w:ind w:right="297"/>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8"/>
              <w:spacing w:after="0" w:line="203" w:lineRule="exact"/>
              <w:rPr>
                <w:sz w:val="20"/>
                <w:szCs w:val="20"/>
                <w:color w:val="auto"/>
              </w:rPr>
            </w:pPr>
            <w:r>
              <w:rPr>
                <w:rFonts w:ascii="Arial" w:cs="Arial" w:eastAsia="Arial" w:hAnsi="Arial"/>
                <w:sz w:val="18"/>
                <w:szCs w:val="18"/>
                <w:color w:val="auto"/>
              </w:rPr>
              <w:t>-</w:t>
            </w:r>
          </w:p>
        </w:tc>
      </w:tr>
      <w:tr>
        <w:trPr>
          <w:trHeight w:val="196"/>
        </w:trPr>
        <w:tc>
          <w:tcPr>
            <w:tcW w:w="37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37"/>
              <w:spacing w:after="0" w:line="196" w:lineRule="exact"/>
              <w:rPr>
                <w:sz w:val="20"/>
                <w:szCs w:val="20"/>
                <w:color w:val="auto"/>
              </w:rPr>
            </w:pPr>
            <w:r>
              <w:rPr>
                <w:rFonts w:ascii="Arial" w:cs="Arial" w:eastAsia="Arial" w:hAnsi="Arial"/>
                <w:sz w:val="18"/>
                <w:szCs w:val="18"/>
                <w:color w:val="auto"/>
              </w:rPr>
              <w:t>$23,846</w:t>
            </w:r>
          </w:p>
        </w:tc>
        <w:tc>
          <w:tcPr>
            <w:tcW w:w="16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$20,541</w:t>
            </w:r>
          </w:p>
        </w:tc>
        <w:tc>
          <w:tcPr>
            <w:tcW w:w="1840" w:type="dxa"/>
            <w:vAlign w:val="bottom"/>
            <w:tcBorders>
              <w:bottom w:val="single" w:sz="8" w:color="auto"/>
            </w:tcBorders>
          </w:tcPr>
          <w:p>
            <w:pPr>
              <w:jc w:val="right"/>
              <w:ind w:right="297"/>
              <w:spacing w:after="0" w:line="196" w:lineRule="exact"/>
              <w:rPr>
                <w:sz w:val="20"/>
                <w:szCs w:val="20"/>
                <w:color w:val="auto"/>
              </w:rPr>
            </w:pPr>
            <w:r>
              <w:rPr>
                <w:rFonts w:ascii="Arial" w:cs="Arial" w:eastAsia="Arial" w:hAnsi="Arial"/>
                <w:sz w:val="18"/>
                <w:szCs w:val="18"/>
                <w:color w:val="auto"/>
              </w:rPr>
              <w:t>$3,305</w:t>
            </w:r>
          </w:p>
        </w:tc>
        <w:tc>
          <w:tcPr>
            <w:tcW w:w="1420" w:type="dxa"/>
            <w:vAlign w:val="bottom"/>
            <w:tcBorders>
              <w:bottom w:val="single" w:sz="8" w:color="auto"/>
            </w:tcBorders>
          </w:tcPr>
          <w:p>
            <w:pPr>
              <w:jc w:val="right"/>
              <w:ind w:right="18"/>
              <w:spacing w:after="0" w:line="196" w:lineRule="exact"/>
              <w:rPr>
                <w:sz w:val="20"/>
                <w:szCs w:val="20"/>
                <w:color w:val="auto"/>
              </w:rPr>
            </w:pPr>
            <w:r>
              <w:rPr>
                <w:rFonts w:ascii="Arial" w:cs="Arial" w:eastAsia="Arial" w:hAnsi="Arial"/>
                <w:sz w:val="18"/>
                <w:szCs w:val="18"/>
                <w:color w:val="auto"/>
              </w:rPr>
              <w:t>$-</w:t>
            </w:r>
          </w:p>
        </w:tc>
      </w:tr>
      <w:tr>
        <w:trPr>
          <w:trHeight w:val="372"/>
        </w:trPr>
        <w:tc>
          <w:tcPr>
            <w:tcW w:w="3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2740" w:type="dxa"/>
            <w:vAlign w:val="bottom"/>
          </w:tcPr>
          <w:p>
            <w:pPr>
              <w:jc w:val="center"/>
              <w:ind w:left="757"/>
              <w:spacing w:after="0" w:line="143" w:lineRule="exact"/>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12"/>
                <w:szCs w:val="12"/>
                <w:color w:val="auto"/>
              </w:rPr>
            </w:pPr>
          </w:p>
        </w:tc>
        <w:tc>
          <w:tcPr>
            <w:tcW w:w="1840" w:type="dxa"/>
            <w:vAlign w:val="bottom"/>
          </w:tcPr>
          <w:p>
            <w:pPr>
              <w:jc w:val="center"/>
              <w:ind w:right="77"/>
              <w:spacing w:after="0" w:line="143" w:lineRule="exact"/>
              <w:rPr>
                <w:sz w:val="20"/>
                <w:szCs w:val="20"/>
                <w:color w:val="auto"/>
              </w:rPr>
            </w:pPr>
            <w:r>
              <w:rPr>
                <w:rFonts w:ascii="Arial" w:cs="Arial" w:eastAsia="Arial" w:hAnsi="Arial"/>
                <w:sz w:val="14"/>
                <w:szCs w:val="14"/>
                <w:b w:val="1"/>
                <w:bCs w:val="1"/>
                <w:color w:val="auto"/>
              </w:rPr>
              <w:t>Impairment of</w:t>
            </w:r>
          </w:p>
        </w:tc>
        <w:tc>
          <w:tcPr>
            <w:tcW w:w="1420" w:type="dxa"/>
            <w:vAlign w:val="bottom"/>
          </w:tcPr>
          <w:p>
            <w:pPr>
              <w:ind w:left="300"/>
              <w:spacing w:after="0" w:line="143" w:lineRule="exact"/>
              <w:rPr>
                <w:sz w:val="20"/>
                <w:szCs w:val="20"/>
                <w:color w:val="auto"/>
              </w:rPr>
            </w:pPr>
            <w:r>
              <w:rPr>
                <w:rFonts w:ascii="Arial" w:cs="Arial" w:eastAsia="Arial" w:hAnsi="Arial"/>
                <w:sz w:val="14"/>
                <w:szCs w:val="14"/>
                <w:b w:val="1"/>
                <w:bCs w:val="1"/>
                <w:color w:val="auto"/>
              </w:rPr>
              <w:t>Benefit plan</w:t>
            </w:r>
          </w:p>
        </w:tc>
      </w:tr>
      <w:tr>
        <w:trPr>
          <w:trHeight w:val="162"/>
        </w:trPr>
        <w:tc>
          <w:tcPr>
            <w:tcW w:w="3780" w:type="dxa"/>
            <w:vAlign w:val="bottom"/>
          </w:tcPr>
          <w:p>
            <w:pPr>
              <w:spacing w:after="0"/>
              <w:rPr>
                <w:sz w:val="20"/>
                <w:szCs w:val="20"/>
                <w:color w:val="auto"/>
              </w:rPr>
            </w:pPr>
            <w:r>
              <w:rPr>
                <w:rFonts w:ascii="Arial" w:cs="Arial" w:eastAsia="Arial" w:hAnsi="Arial"/>
                <w:sz w:val="14"/>
                <w:szCs w:val="14"/>
                <w:b w:val="1"/>
                <w:bCs w:val="1"/>
                <w:color w:val="auto"/>
              </w:rPr>
              <w:t>Year ended December 31, 2014</w:t>
            </w:r>
          </w:p>
        </w:tc>
        <w:tc>
          <w:tcPr>
            <w:tcW w:w="2740" w:type="dxa"/>
            <w:vAlign w:val="bottom"/>
          </w:tcPr>
          <w:p>
            <w:pPr>
              <w:jc w:val="center"/>
              <w:ind w:left="757"/>
              <w:spacing w:after="0"/>
              <w:rPr>
                <w:sz w:val="20"/>
                <w:szCs w:val="20"/>
                <w:color w:val="auto"/>
              </w:rPr>
            </w:pPr>
            <w:r>
              <w:rPr>
                <w:rFonts w:ascii="Arial" w:cs="Arial" w:eastAsia="Arial" w:hAnsi="Arial"/>
                <w:sz w:val="14"/>
                <w:szCs w:val="14"/>
                <w:b w:val="1"/>
                <w:bCs w:val="1"/>
                <w:color w:val="auto"/>
              </w:rPr>
              <w:t>restructuring</w:t>
            </w:r>
          </w:p>
        </w:tc>
        <w:tc>
          <w:tcPr>
            <w:tcW w:w="1640" w:type="dxa"/>
            <w:vAlign w:val="bottom"/>
          </w:tcPr>
          <w:p>
            <w:pPr>
              <w:jc w:val="right"/>
              <w:ind w:right="216"/>
              <w:spacing w:after="0"/>
              <w:rPr>
                <w:sz w:val="20"/>
                <w:szCs w:val="20"/>
                <w:color w:val="auto"/>
              </w:rPr>
            </w:pPr>
            <w:r>
              <w:rPr>
                <w:rFonts w:ascii="Arial" w:cs="Arial" w:eastAsia="Arial" w:hAnsi="Arial"/>
                <w:sz w:val="14"/>
                <w:szCs w:val="14"/>
                <w:b w:val="1"/>
                <w:bCs w:val="1"/>
                <w:color w:val="auto"/>
              </w:rPr>
              <w:t>Termination and</w:t>
            </w:r>
          </w:p>
        </w:tc>
        <w:tc>
          <w:tcPr>
            <w:tcW w:w="1840" w:type="dxa"/>
            <w:vAlign w:val="bottom"/>
          </w:tcPr>
          <w:p>
            <w:pPr>
              <w:jc w:val="center"/>
              <w:ind w:right="77"/>
              <w:spacing w:after="0"/>
              <w:rPr>
                <w:sz w:val="20"/>
                <w:szCs w:val="20"/>
                <w:color w:val="auto"/>
              </w:rPr>
            </w:pPr>
            <w:r>
              <w:rPr>
                <w:rFonts w:ascii="Arial" w:cs="Arial" w:eastAsia="Arial" w:hAnsi="Arial"/>
                <w:sz w:val="14"/>
                <w:szCs w:val="14"/>
                <w:b w:val="1"/>
                <w:bCs w:val="1"/>
                <w:color w:val="auto"/>
              </w:rPr>
              <w:t>plant and</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curtailment/</w:t>
            </w:r>
          </w:p>
        </w:tc>
      </w:t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costs incurred</w:t>
            </w: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other costs</w:t>
            </w:r>
          </w:p>
        </w:tc>
        <w:tc>
          <w:tcPr>
            <w:tcW w:w="1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equipment</w:t>
            </w: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settlement</w:t>
            </w:r>
          </w:p>
        </w:tc>
      </w:tr>
      <w:tr>
        <w:trPr>
          <w:trHeight w:val="195"/>
        </w:trPr>
        <w:tc>
          <w:tcPr>
            <w:tcW w:w="3780" w:type="dxa"/>
            <w:vAlign w:val="bottom"/>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ind w:right="237"/>
              <w:spacing w:after="0" w:line="195" w:lineRule="exact"/>
              <w:rPr>
                <w:sz w:val="20"/>
                <w:szCs w:val="20"/>
                <w:color w:val="auto"/>
              </w:rPr>
            </w:pPr>
            <w:r>
              <w:rPr>
                <w:rFonts w:ascii="Arial" w:cs="Arial" w:eastAsia="Arial" w:hAnsi="Arial"/>
                <w:sz w:val="18"/>
                <w:szCs w:val="18"/>
                <w:color w:val="auto"/>
              </w:rPr>
              <w:t>$4,828</w:t>
            </w:r>
          </w:p>
        </w:tc>
        <w:tc>
          <w:tcPr>
            <w:tcW w:w="1640" w:type="dxa"/>
            <w:vAlign w:val="bottom"/>
          </w:tcPr>
          <w:p>
            <w:pPr>
              <w:jc w:val="right"/>
              <w:ind w:right="156"/>
              <w:spacing w:after="0" w:line="195" w:lineRule="exact"/>
              <w:rPr>
                <w:sz w:val="20"/>
                <w:szCs w:val="20"/>
                <w:color w:val="auto"/>
              </w:rPr>
            </w:pPr>
            <w:r>
              <w:rPr>
                <w:rFonts w:ascii="Arial" w:cs="Arial" w:eastAsia="Arial" w:hAnsi="Arial"/>
                <w:sz w:val="18"/>
                <w:szCs w:val="18"/>
                <w:color w:val="auto"/>
              </w:rPr>
              <w:t>$5,769</w:t>
            </w:r>
          </w:p>
        </w:tc>
        <w:tc>
          <w:tcPr>
            <w:tcW w:w="1840" w:type="dxa"/>
            <w:vAlign w:val="bottom"/>
          </w:tcPr>
          <w:p>
            <w:pPr>
              <w:jc w:val="right"/>
              <w:ind w:right="297"/>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($941)</w:t>
            </w:r>
          </w:p>
        </w:tc>
      </w:tr>
      <w:tr>
        <w:trPr>
          <w:trHeight w:val="203"/>
        </w:trPr>
        <w:tc>
          <w:tcPr>
            <w:tcW w:w="378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931</w:t>
            </w:r>
          </w:p>
        </w:tc>
        <w:tc>
          <w:tcPr>
            <w:tcW w:w="16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319</w:t>
            </w:r>
          </w:p>
        </w:tc>
        <w:tc>
          <w:tcPr>
            <w:tcW w:w="184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612</w:t>
            </w:r>
          </w:p>
        </w:tc>
        <w:tc>
          <w:tcPr>
            <w:tcW w:w="14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37"/>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297"/>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8"/>
              <w:spacing w:after="0" w:line="203" w:lineRule="exact"/>
              <w:rPr>
                <w:sz w:val="20"/>
                <w:szCs w:val="20"/>
                <w:color w:val="auto"/>
              </w:rPr>
            </w:pPr>
            <w:r>
              <w:rPr>
                <w:rFonts w:ascii="Arial" w:cs="Arial" w:eastAsia="Arial" w:hAnsi="Arial"/>
                <w:sz w:val="18"/>
                <w:szCs w:val="18"/>
                <w:color w:val="auto"/>
              </w:rPr>
              <w:t>-</w:t>
            </w:r>
          </w:p>
        </w:tc>
      </w:tr>
      <w:tr>
        <w:trPr>
          <w:trHeight w:val="196"/>
        </w:trPr>
        <w:tc>
          <w:tcPr>
            <w:tcW w:w="37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37"/>
              <w:spacing w:after="0" w:line="196" w:lineRule="exact"/>
              <w:rPr>
                <w:sz w:val="20"/>
                <w:szCs w:val="20"/>
                <w:color w:val="auto"/>
              </w:rPr>
            </w:pPr>
            <w:r>
              <w:rPr>
                <w:rFonts w:ascii="Arial" w:cs="Arial" w:eastAsia="Arial" w:hAnsi="Arial"/>
                <w:sz w:val="18"/>
                <w:szCs w:val="18"/>
                <w:color w:val="auto"/>
              </w:rPr>
              <w:t>$5,759</w:t>
            </w:r>
          </w:p>
        </w:tc>
        <w:tc>
          <w:tcPr>
            <w:tcW w:w="16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$6,088</w:t>
            </w:r>
          </w:p>
        </w:tc>
        <w:tc>
          <w:tcPr>
            <w:tcW w:w="1840" w:type="dxa"/>
            <w:vAlign w:val="bottom"/>
            <w:tcBorders>
              <w:bottom w:val="single" w:sz="8" w:color="auto"/>
            </w:tcBorders>
          </w:tcPr>
          <w:p>
            <w:pPr>
              <w:jc w:val="right"/>
              <w:ind w:right="297"/>
              <w:spacing w:after="0" w:line="196" w:lineRule="exact"/>
              <w:rPr>
                <w:sz w:val="20"/>
                <w:szCs w:val="20"/>
                <w:color w:val="auto"/>
              </w:rPr>
            </w:pPr>
            <w:r>
              <w:rPr>
                <w:rFonts w:ascii="Arial" w:cs="Arial" w:eastAsia="Arial" w:hAnsi="Arial"/>
                <w:sz w:val="18"/>
                <w:szCs w:val="18"/>
                <w:color w:val="auto"/>
              </w:rPr>
              <w:t>$612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($941)</w:t>
            </w:r>
          </w:p>
        </w:tc>
      </w:tr>
      <w:tr>
        <w:trPr>
          <w:trHeight w:val="372"/>
        </w:trPr>
        <w:tc>
          <w:tcPr>
            <w:tcW w:w="3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2740" w:type="dxa"/>
            <w:vAlign w:val="bottom"/>
          </w:tcPr>
          <w:p>
            <w:pPr>
              <w:jc w:val="center"/>
              <w:ind w:left="757"/>
              <w:spacing w:after="0" w:line="143" w:lineRule="exact"/>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12"/>
                <w:szCs w:val="12"/>
                <w:color w:val="auto"/>
              </w:rPr>
            </w:pPr>
          </w:p>
        </w:tc>
        <w:tc>
          <w:tcPr>
            <w:tcW w:w="1840" w:type="dxa"/>
            <w:vAlign w:val="bottom"/>
          </w:tcPr>
          <w:p>
            <w:pPr>
              <w:jc w:val="center"/>
              <w:ind w:right="77"/>
              <w:spacing w:after="0" w:line="143" w:lineRule="exact"/>
              <w:rPr>
                <w:sz w:val="20"/>
                <w:szCs w:val="20"/>
                <w:color w:val="auto"/>
              </w:rPr>
            </w:pPr>
            <w:r>
              <w:rPr>
                <w:rFonts w:ascii="Arial" w:cs="Arial" w:eastAsia="Arial" w:hAnsi="Arial"/>
                <w:sz w:val="14"/>
                <w:szCs w:val="14"/>
                <w:b w:val="1"/>
                <w:bCs w:val="1"/>
                <w:color w:val="auto"/>
              </w:rPr>
              <w:t>Impairment of</w:t>
            </w:r>
          </w:p>
        </w:tc>
        <w:tc>
          <w:tcPr>
            <w:tcW w:w="1420" w:type="dxa"/>
            <w:vAlign w:val="bottom"/>
          </w:tcPr>
          <w:p>
            <w:pPr>
              <w:ind w:left="300"/>
              <w:spacing w:after="0" w:line="143" w:lineRule="exact"/>
              <w:rPr>
                <w:sz w:val="20"/>
                <w:szCs w:val="20"/>
                <w:color w:val="auto"/>
              </w:rPr>
            </w:pPr>
            <w:r>
              <w:rPr>
                <w:rFonts w:ascii="Arial" w:cs="Arial" w:eastAsia="Arial" w:hAnsi="Arial"/>
                <w:sz w:val="14"/>
                <w:szCs w:val="14"/>
                <w:b w:val="1"/>
                <w:bCs w:val="1"/>
                <w:color w:val="auto"/>
              </w:rPr>
              <w:t>Benefit plan</w:t>
            </w:r>
          </w:p>
        </w:tc>
      </w:tr>
      <w:tr>
        <w:trPr>
          <w:trHeight w:val="162"/>
        </w:trPr>
        <w:tc>
          <w:tcPr>
            <w:tcW w:w="3780" w:type="dxa"/>
            <w:vAlign w:val="bottom"/>
          </w:tcPr>
          <w:p>
            <w:pPr>
              <w:spacing w:after="0"/>
              <w:rPr>
                <w:sz w:val="20"/>
                <w:szCs w:val="20"/>
                <w:color w:val="auto"/>
              </w:rPr>
            </w:pPr>
            <w:r>
              <w:rPr>
                <w:rFonts w:ascii="Arial" w:cs="Arial" w:eastAsia="Arial" w:hAnsi="Arial"/>
                <w:sz w:val="14"/>
                <w:szCs w:val="14"/>
                <w:b w:val="1"/>
                <w:bCs w:val="1"/>
                <w:color w:val="auto"/>
              </w:rPr>
              <w:t>Year ended December 31, 2013</w:t>
            </w:r>
          </w:p>
        </w:tc>
        <w:tc>
          <w:tcPr>
            <w:tcW w:w="2740" w:type="dxa"/>
            <w:vAlign w:val="bottom"/>
          </w:tcPr>
          <w:p>
            <w:pPr>
              <w:jc w:val="center"/>
              <w:ind w:left="757"/>
              <w:spacing w:after="0"/>
              <w:rPr>
                <w:sz w:val="20"/>
                <w:szCs w:val="20"/>
                <w:color w:val="auto"/>
              </w:rPr>
            </w:pPr>
            <w:r>
              <w:rPr>
                <w:rFonts w:ascii="Arial" w:cs="Arial" w:eastAsia="Arial" w:hAnsi="Arial"/>
                <w:sz w:val="14"/>
                <w:szCs w:val="14"/>
                <w:b w:val="1"/>
                <w:bCs w:val="1"/>
                <w:color w:val="auto"/>
              </w:rPr>
              <w:t>restructuring</w:t>
            </w:r>
          </w:p>
        </w:tc>
        <w:tc>
          <w:tcPr>
            <w:tcW w:w="1640" w:type="dxa"/>
            <w:vAlign w:val="bottom"/>
          </w:tcPr>
          <w:p>
            <w:pPr>
              <w:jc w:val="right"/>
              <w:ind w:right="216"/>
              <w:spacing w:after="0"/>
              <w:rPr>
                <w:sz w:val="20"/>
                <w:szCs w:val="20"/>
                <w:color w:val="auto"/>
              </w:rPr>
            </w:pPr>
            <w:r>
              <w:rPr>
                <w:rFonts w:ascii="Arial" w:cs="Arial" w:eastAsia="Arial" w:hAnsi="Arial"/>
                <w:sz w:val="14"/>
                <w:szCs w:val="14"/>
                <w:b w:val="1"/>
                <w:bCs w:val="1"/>
                <w:color w:val="auto"/>
              </w:rPr>
              <w:t>Termination and</w:t>
            </w:r>
          </w:p>
        </w:tc>
        <w:tc>
          <w:tcPr>
            <w:tcW w:w="1840" w:type="dxa"/>
            <w:vAlign w:val="bottom"/>
          </w:tcPr>
          <w:p>
            <w:pPr>
              <w:jc w:val="center"/>
              <w:ind w:right="77"/>
              <w:spacing w:after="0"/>
              <w:rPr>
                <w:sz w:val="20"/>
                <w:szCs w:val="20"/>
                <w:color w:val="auto"/>
              </w:rPr>
            </w:pPr>
            <w:r>
              <w:rPr>
                <w:rFonts w:ascii="Arial" w:cs="Arial" w:eastAsia="Arial" w:hAnsi="Arial"/>
                <w:sz w:val="14"/>
                <w:szCs w:val="14"/>
                <w:b w:val="1"/>
                <w:bCs w:val="1"/>
                <w:color w:val="auto"/>
              </w:rPr>
              <w:t>plant and</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curtailment/</w:t>
            </w:r>
          </w:p>
        </w:tc>
      </w:t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costs incurred</w:t>
            </w: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other costs</w:t>
            </w:r>
          </w:p>
        </w:tc>
        <w:tc>
          <w:tcPr>
            <w:tcW w:w="1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equipment</w:t>
            </w: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settlement</w:t>
            </w:r>
          </w:p>
        </w:tc>
      </w:tr>
      <w:tr>
        <w:trPr>
          <w:trHeight w:val="195"/>
        </w:trPr>
        <w:tc>
          <w:tcPr>
            <w:tcW w:w="3780" w:type="dxa"/>
            <w:vAlign w:val="bottom"/>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ind w:right="237"/>
              <w:spacing w:after="0" w:line="195" w:lineRule="exact"/>
              <w:rPr>
                <w:sz w:val="20"/>
                <w:szCs w:val="20"/>
                <w:color w:val="auto"/>
              </w:rPr>
            </w:pPr>
            <w:r>
              <w:rPr>
                <w:rFonts w:ascii="Arial" w:cs="Arial" w:eastAsia="Arial" w:hAnsi="Arial"/>
                <w:sz w:val="18"/>
                <w:szCs w:val="18"/>
                <w:color w:val="auto"/>
              </w:rPr>
              <w:t>$24,568</w:t>
            </w:r>
          </w:p>
        </w:tc>
        <w:tc>
          <w:tcPr>
            <w:tcW w:w="1640" w:type="dxa"/>
            <w:vAlign w:val="bottom"/>
          </w:tcPr>
          <w:p>
            <w:pPr>
              <w:jc w:val="right"/>
              <w:ind w:right="156"/>
              <w:spacing w:after="0" w:line="195" w:lineRule="exact"/>
              <w:rPr>
                <w:sz w:val="20"/>
                <w:szCs w:val="20"/>
                <w:color w:val="auto"/>
              </w:rPr>
            </w:pPr>
            <w:r>
              <w:rPr>
                <w:rFonts w:ascii="Arial" w:cs="Arial" w:eastAsia="Arial" w:hAnsi="Arial"/>
                <w:sz w:val="18"/>
                <w:szCs w:val="18"/>
                <w:color w:val="auto"/>
              </w:rPr>
              <w:t>$25,838</w:t>
            </w:r>
          </w:p>
        </w:tc>
        <w:tc>
          <w:tcPr>
            <w:tcW w:w="1840" w:type="dxa"/>
            <w:vAlign w:val="bottom"/>
          </w:tcPr>
          <w:p>
            <w:pPr>
              <w:jc w:val="right"/>
              <w:ind w:right="297"/>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($1,270)</w:t>
            </w:r>
          </w:p>
        </w:tc>
      </w:tr>
      <w:tr>
        <w:trPr>
          <w:trHeight w:val="203"/>
        </w:trPr>
        <w:tc>
          <w:tcPr>
            <w:tcW w:w="378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540</w:t>
            </w:r>
          </w:p>
        </w:tc>
        <w:tc>
          <w:tcPr>
            <w:tcW w:w="16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452</w:t>
            </w:r>
          </w:p>
        </w:tc>
        <w:tc>
          <w:tcPr>
            <w:tcW w:w="184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88</w:t>
            </w:r>
          </w:p>
        </w:tc>
        <w:tc>
          <w:tcPr>
            <w:tcW w:w="14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37"/>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297"/>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8"/>
              <w:spacing w:after="0" w:line="203" w:lineRule="exact"/>
              <w:rPr>
                <w:sz w:val="20"/>
                <w:szCs w:val="20"/>
                <w:color w:val="auto"/>
              </w:rPr>
            </w:pPr>
            <w:r>
              <w:rPr>
                <w:rFonts w:ascii="Arial" w:cs="Arial" w:eastAsia="Arial" w:hAnsi="Arial"/>
                <w:sz w:val="18"/>
                <w:szCs w:val="18"/>
                <w:color w:val="auto"/>
              </w:rPr>
              <w:t>-</w:t>
            </w:r>
          </w:p>
        </w:tc>
      </w:tr>
      <w:tr>
        <w:trPr>
          <w:trHeight w:val="196"/>
        </w:trPr>
        <w:tc>
          <w:tcPr>
            <w:tcW w:w="37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37"/>
              <w:spacing w:after="0" w:line="196" w:lineRule="exact"/>
              <w:rPr>
                <w:sz w:val="20"/>
                <w:szCs w:val="20"/>
                <w:color w:val="auto"/>
              </w:rPr>
            </w:pPr>
            <w:r>
              <w:rPr>
                <w:rFonts w:ascii="Arial" w:cs="Arial" w:eastAsia="Arial" w:hAnsi="Arial"/>
                <w:sz w:val="18"/>
                <w:szCs w:val="18"/>
                <w:color w:val="auto"/>
              </w:rPr>
              <w:t>$25,108</w:t>
            </w:r>
          </w:p>
        </w:tc>
        <w:tc>
          <w:tcPr>
            <w:tcW w:w="16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$26,290</w:t>
            </w:r>
          </w:p>
        </w:tc>
        <w:tc>
          <w:tcPr>
            <w:tcW w:w="1840" w:type="dxa"/>
            <w:vAlign w:val="bottom"/>
            <w:tcBorders>
              <w:bottom w:val="single" w:sz="8" w:color="auto"/>
            </w:tcBorders>
          </w:tcPr>
          <w:p>
            <w:pPr>
              <w:jc w:val="right"/>
              <w:ind w:right="297"/>
              <w:spacing w:after="0" w:line="196" w:lineRule="exact"/>
              <w:rPr>
                <w:sz w:val="20"/>
                <w:szCs w:val="20"/>
                <w:color w:val="auto"/>
              </w:rPr>
            </w:pPr>
            <w:r>
              <w:rPr>
                <w:rFonts w:ascii="Arial" w:cs="Arial" w:eastAsia="Arial" w:hAnsi="Arial"/>
                <w:sz w:val="18"/>
                <w:szCs w:val="18"/>
                <w:color w:val="auto"/>
              </w:rPr>
              <w:t>$88</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w:t>
            </w:r>
          </w:p>
        </w:tc>
      </w:tr>
    </w:tbl>
    <w:p>
      <w:pPr>
        <w:spacing w:after="0" w:line="391"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We expect that approximately $6.9 million of Accrued liabilities for restructuring at December 31, 2015 will be paid within one year and approximately $3.3 million will be paid in 2017. The table below presents the changes in restructuring liabilities for 2015 and 2014, all of which related to termination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December 31,</w:t>
            </w:r>
          </w:p>
        </w:tc>
        <w:tc>
          <w:tcPr>
            <w:tcW w:w="1780" w:type="dxa"/>
            <w:vAlign w:val="bottom"/>
            <w:tcBorders>
              <w:top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Restructuring</w:t>
            </w:r>
          </w:p>
        </w:tc>
        <w:tc>
          <w:tcPr>
            <w:tcW w:w="14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Currency</w:t>
            </w:r>
          </w:p>
        </w:tc>
        <w:tc>
          <w:tcPr>
            <w:tcW w:w="1440" w:type="dxa"/>
            <w:vAlign w:val="bottom"/>
            <w:tcBorders>
              <w:top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2014</w:t>
            </w:r>
          </w:p>
        </w:tc>
        <w:tc>
          <w:tcPr>
            <w:tcW w:w="178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charges accrued</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Payments</w:t>
            </w:r>
          </w:p>
        </w:tc>
        <w:tc>
          <w:tcPr>
            <w:tcW w:w="18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translation/other</w:t>
            </w: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399"/>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Termination costs</w:t>
            </w:r>
          </w:p>
        </w:tc>
        <w:tc>
          <w:tcPr>
            <w:tcW w:w="22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$1,874</w:t>
            </w:r>
          </w:p>
        </w:tc>
        <w:tc>
          <w:tcPr>
            <w:tcW w:w="17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$20,541</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($12,323)</w:t>
            </w: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$85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r>
      <w:tr>
        <w:trPr>
          <w:trHeight w:val="426"/>
        </w:trPr>
        <w:tc>
          <w:tcPr>
            <w:tcW w:w="2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29"/>
        </w:trPr>
        <w:tc>
          <w:tcPr>
            <w:tcW w:w="27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98"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top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Restructuring</w:t>
            </w:r>
          </w:p>
        </w:tc>
        <w:tc>
          <w:tcPr>
            <w:tcW w:w="15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Currency</w:t>
            </w:r>
          </w:p>
        </w:tc>
        <w:tc>
          <w:tcPr>
            <w:tcW w:w="144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charges accrued</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Payments</w:t>
            </w:r>
          </w:p>
        </w:tc>
        <w:tc>
          <w:tcPr>
            <w:tcW w:w="1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translation/other</w:t>
            </w: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Termination costs</w:t>
            </w:r>
          </w:p>
        </w:tc>
        <w:tc>
          <w:tcPr>
            <w:tcW w:w="194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color w:val="auto"/>
              </w:rPr>
              <w:t>$9,656</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$6,088</w:t>
            </w: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($13,240)</w:t>
            </w:r>
          </w:p>
        </w:tc>
        <w:tc>
          <w:tcPr>
            <w:tcW w:w="1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($630)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100" w:type="dxa"/>
            <w:vAlign w:val="bottom"/>
          </w:tcPr>
          <w:p>
            <w:pPr>
              <w:spacing w:after="0"/>
              <w:rPr>
                <w:sz w:val="20"/>
                <w:szCs w:val="20"/>
                <w:color w:val="auto"/>
              </w:rPr>
            </w:pPr>
            <w:r>
              <w:rPr>
                <w:rFonts w:ascii="Arial" w:cs="Arial" w:eastAsia="Arial" w:hAnsi="Arial"/>
                <w:sz w:val="18"/>
                <w:szCs w:val="18"/>
                <w:b w:val="1"/>
                <w:bCs w:val="1"/>
                <w:color w:val="auto"/>
              </w:rPr>
              <w:t>6. Other Expense/(Income), net</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4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Expense/(Income), net, are:</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(in thousands)</w:t>
            </w:r>
          </w:p>
        </w:tc>
        <w:tc>
          <w:tcPr>
            <w:tcW w:w="1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32"/>
              <w:spacing w:after="0" w:line="196" w:lineRule="exact"/>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tcBorders>
          </w:tcPr>
          <w:p>
            <w:pPr>
              <w:jc w:val="right"/>
              <w:ind w:right="514"/>
              <w:spacing w:after="0" w:line="196" w:lineRule="exact"/>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60"/>
              <w:spacing w:after="0" w:line="173" w:lineRule="exact"/>
              <w:rPr>
                <w:sz w:val="20"/>
                <w:szCs w:val="20"/>
                <w:color w:val="auto"/>
              </w:rPr>
            </w:pPr>
            <w:r>
              <w:rPr>
                <w:rFonts w:ascii="Arial" w:cs="Arial" w:eastAsia="Arial" w:hAnsi="Arial"/>
                <w:sz w:val="18"/>
                <w:szCs w:val="18"/>
                <w:color w:val="auto"/>
              </w:rPr>
              <w:t>Currency transactions</w:t>
            </w: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tcPr>
          <w:p>
            <w:pPr>
              <w:jc w:val="right"/>
              <w:ind w:right="852"/>
              <w:spacing w:after="0" w:line="173" w:lineRule="exact"/>
              <w:rPr>
                <w:sz w:val="20"/>
                <w:szCs w:val="20"/>
                <w:color w:val="auto"/>
              </w:rPr>
            </w:pPr>
            <w:r>
              <w:rPr>
                <w:rFonts w:ascii="Arial" w:cs="Arial" w:eastAsia="Arial" w:hAnsi="Arial"/>
                <w:sz w:val="18"/>
                <w:szCs w:val="18"/>
                <w:b w:val="1"/>
                <w:bCs w:val="1"/>
                <w:color w:val="auto"/>
              </w:rPr>
              <w:t>$1,496</w:t>
            </w:r>
          </w:p>
        </w:tc>
        <w:tc>
          <w:tcPr>
            <w:tcW w:w="1820" w:type="dxa"/>
            <w:vAlign w:val="bottom"/>
          </w:tcPr>
          <w:p>
            <w:pPr>
              <w:jc w:val="right"/>
              <w:ind w:right="554"/>
              <w:spacing w:after="0" w:line="173" w:lineRule="exact"/>
              <w:rPr>
                <w:sz w:val="20"/>
                <w:szCs w:val="20"/>
                <w:color w:val="auto"/>
              </w:rPr>
            </w:pPr>
            <w:r>
              <w:rPr>
                <w:rFonts w:ascii="Arial" w:cs="Arial" w:eastAsia="Arial" w:hAnsi="Arial"/>
                <w:sz w:val="18"/>
                <w:szCs w:val="18"/>
                <w:color w:val="auto"/>
              </w:rPr>
              <w:t>($6,379)</w:t>
            </w:r>
          </w:p>
        </w:tc>
        <w:tc>
          <w:tcPr>
            <w:tcW w:w="1440" w:type="dxa"/>
            <w:vAlign w:val="bottom"/>
          </w:tcPr>
          <w:p>
            <w:pPr>
              <w:jc w:val="right"/>
              <w:ind w:right="14"/>
              <w:spacing w:after="0" w:line="173" w:lineRule="exact"/>
              <w:rPr>
                <w:sz w:val="20"/>
                <w:szCs w:val="20"/>
                <w:color w:val="auto"/>
              </w:rPr>
            </w:pPr>
            <w:r>
              <w:rPr>
                <w:rFonts w:ascii="Arial" w:cs="Arial" w:eastAsia="Arial" w:hAnsi="Arial"/>
                <w:sz w:val="18"/>
                <w:szCs w:val="18"/>
                <w:color w:val="auto"/>
              </w:rPr>
              <w:t>$5,227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540" w:type="dxa"/>
            <w:vAlign w:val="bottom"/>
          </w:tcPr>
          <w:p>
            <w:pPr>
              <w:spacing w:after="0"/>
              <w:rPr>
                <w:sz w:val="17"/>
                <w:szCs w:val="17"/>
                <w:color w:val="auto"/>
              </w:rPr>
            </w:pPr>
          </w:p>
        </w:tc>
        <w:tc>
          <w:tcPr>
            <w:tcW w:w="1580" w:type="dxa"/>
            <w:vAlign w:val="bottom"/>
          </w:tcPr>
          <w:p>
            <w:pPr>
              <w:jc w:val="right"/>
              <w:ind w:right="852"/>
              <w:spacing w:after="0" w:line="202" w:lineRule="exact"/>
              <w:rPr>
                <w:sz w:val="20"/>
                <w:szCs w:val="20"/>
                <w:color w:val="auto"/>
              </w:rPr>
            </w:pPr>
            <w:r>
              <w:rPr>
                <w:rFonts w:ascii="Arial" w:cs="Arial" w:eastAsia="Arial" w:hAnsi="Arial"/>
                <w:sz w:val="18"/>
                <w:szCs w:val="18"/>
                <w:b w:val="1"/>
                <w:bCs w:val="1"/>
                <w:color w:val="auto"/>
              </w:rPr>
              <w:t>916</w:t>
            </w:r>
          </w:p>
        </w:tc>
        <w:tc>
          <w:tcPr>
            <w:tcW w:w="182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1,174</w:t>
            </w: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60"/>
              <w:spacing w:after="0" w:line="202" w:lineRule="exact"/>
              <w:rPr>
                <w:sz w:val="20"/>
                <w:szCs w:val="20"/>
                <w:color w:val="auto"/>
              </w:rPr>
            </w:pPr>
            <w:r>
              <w:rPr>
                <w:rFonts w:ascii="Arial" w:cs="Arial" w:eastAsia="Arial" w:hAnsi="Arial"/>
                <w:sz w:val="18"/>
                <w:szCs w:val="18"/>
                <w:color w:val="auto"/>
              </w:rPr>
              <w:t>Gain on sale of investment</w:t>
            </w: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jc w:val="right"/>
              <w:ind w:right="792"/>
              <w:spacing w:after="0" w:line="202" w:lineRule="exact"/>
              <w:rPr>
                <w:sz w:val="20"/>
                <w:szCs w:val="20"/>
                <w:color w:val="auto"/>
              </w:rPr>
            </w:pPr>
            <w:r>
              <w:rPr>
                <w:rFonts w:ascii="Arial" w:cs="Arial" w:eastAsia="Arial" w:hAnsi="Arial"/>
                <w:sz w:val="18"/>
                <w:szCs w:val="18"/>
                <w:b w:val="1"/>
                <w:bCs w:val="1"/>
                <w:color w:val="auto"/>
              </w:rPr>
              <w:t>(872)</w:t>
            </w:r>
          </w:p>
        </w:tc>
        <w:tc>
          <w:tcPr>
            <w:tcW w:w="182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60"/>
              <w:spacing w:after="0" w:line="202" w:lineRule="exact"/>
              <w:rPr>
                <w:sz w:val="20"/>
                <w:szCs w:val="20"/>
                <w:color w:val="auto"/>
              </w:rPr>
            </w:pPr>
            <w:r>
              <w:rPr>
                <w:rFonts w:ascii="Arial" w:cs="Arial" w:eastAsia="Arial" w:hAnsi="Arial"/>
                <w:sz w:val="18"/>
                <w:szCs w:val="18"/>
                <w:color w:val="auto"/>
              </w:rPr>
              <w:t>Gain on insurance recovery</w:t>
            </w: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jc w:val="right"/>
              <w:ind w:right="852"/>
              <w:spacing w:after="0" w:line="202" w:lineRule="exact"/>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(1,126)</w:t>
            </w: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b w:val="1"/>
                <w:bCs w:val="1"/>
                <w:color w:val="auto"/>
              </w:rPr>
              <w:t>893</w:t>
            </w:r>
          </w:p>
        </w:tc>
        <w:tc>
          <w:tcPr>
            <w:tcW w:w="18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(522)</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52"/>
              <w:spacing w:after="0" w:line="196" w:lineRule="exact"/>
              <w:rPr>
                <w:sz w:val="20"/>
                <w:szCs w:val="20"/>
                <w:color w:val="auto"/>
              </w:rPr>
            </w:pPr>
            <w:r>
              <w:rPr>
                <w:rFonts w:ascii="Arial" w:cs="Arial" w:eastAsia="Arial" w:hAnsi="Arial"/>
                <w:sz w:val="18"/>
                <w:szCs w:val="18"/>
                <w:b w:val="1"/>
                <w:bCs w:val="1"/>
                <w:color w:val="auto"/>
              </w:rPr>
              <w:t>$2,433</w:t>
            </w:r>
          </w:p>
        </w:tc>
        <w:tc>
          <w:tcPr>
            <w:tcW w:w="1820" w:type="dxa"/>
            <w:vAlign w:val="bottom"/>
            <w:tcBorders>
              <w:bottom w:val="single" w:sz="8" w:color="auto"/>
            </w:tcBorders>
          </w:tcPr>
          <w:p>
            <w:pPr>
              <w:jc w:val="right"/>
              <w:ind w:right="554"/>
              <w:spacing w:after="0" w:line="196" w:lineRule="exact"/>
              <w:rPr>
                <w:sz w:val="20"/>
                <w:szCs w:val="20"/>
                <w:color w:val="auto"/>
              </w:rPr>
            </w:pPr>
            <w:r>
              <w:rPr>
                <w:rFonts w:ascii="Arial" w:cs="Arial" w:eastAsia="Arial" w:hAnsi="Arial"/>
                <w:sz w:val="18"/>
                <w:szCs w:val="18"/>
                <w:color w:val="auto"/>
              </w:rPr>
              <w:t>($6,853)</w:t>
            </w:r>
          </w:p>
        </w:tc>
        <w:tc>
          <w:tcPr>
            <w:tcW w:w="14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$7,256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resulting in a gain of $0.9 million. The value of the investment had been written off in 2004.</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the value was minimal. The gain recorded in 2014 represents the finalization of the insurance claim.</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components of income tax (benefit)/expense and income before income taxes on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8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98"/>
        </w:trPr>
        <w:tc>
          <w:tcPr>
            <w:tcW w:w="6640" w:type="dxa"/>
            <w:vAlign w:val="bottom"/>
          </w:tcPr>
          <w:p>
            <w:pPr>
              <w:ind w:left="40"/>
              <w:spacing w:after="0"/>
              <w:rPr>
                <w:sz w:val="20"/>
                <w:szCs w:val="20"/>
                <w:color w:val="auto"/>
              </w:rPr>
            </w:pPr>
            <w:r>
              <w:rPr>
                <w:rFonts w:ascii="Arial" w:cs="Arial" w:eastAsia="Arial" w:hAnsi="Arial"/>
                <w:sz w:val="18"/>
                <w:szCs w:val="18"/>
                <w:color w:val="auto"/>
              </w:rPr>
              <w:t>Income tax based on income from continuing operations, at estimated tax rates</w:t>
            </w:r>
          </w:p>
        </w:tc>
        <w:tc>
          <w:tcPr>
            <w:tcW w:w="16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$16,388</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40"/>
              <w:spacing w:after="0" w:line="181" w:lineRule="exact"/>
              <w:rPr>
                <w:sz w:val="20"/>
                <w:szCs w:val="20"/>
                <w:color w:val="auto"/>
              </w:rPr>
            </w:pPr>
            <w:r>
              <w:rPr>
                <w:rFonts w:ascii="Arial" w:cs="Arial" w:eastAsia="Arial" w:hAnsi="Arial"/>
                <w:sz w:val="18"/>
                <w:szCs w:val="18"/>
                <w:color w:val="auto"/>
              </w:rPr>
              <w:t>of 32%, 34%, and 49%, respectively</w:t>
            </w:r>
          </w:p>
        </w:tc>
        <w:tc>
          <w:tcPr>
            <w:tcW w:w="1620" w:type="dxa"/>
            <w:vAlign w:val="bottom"/>
            <w:vMerge w:val="continue"/>
          </w:tcPr>
          <w:p>
            <w:pPr>
              <w:spacing w:after="0"/>
              <w:rPr>
                <w:sz w:val="15"/>
                <w:szCs w:val="15"/>
                <w:color w:val="auto"/>
              </w:rPr>
            </w:pPr>
          </w:p>
        </w:tc>
        <w:tc>
          <w:tcPr>
            <w:tcW w:w="18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$25,703</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Pension plan settlements</w:t>
            </w: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(3,194)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640" w:type="dxa"/>
            <w:vAlign w:val="bottom"/>
          </w:tcPr>
          <w:p>
            <w:pPr>
              <w:ind w:left="40"/>
              <w:spacing w:after="0"/>
              <w:rPr>
                <w:sz w:val="20"/>
                <w:szCs w:val="20"/>
                <w:color w:val="auto"/>
              </w:rPr>
            </w:pPr>
            <w:r>
              <w:rPr>
                <w:rFonts w:ascii="Arial" w:cs="Arial" w:eastAsia="Arial" w:hAnsi="Arial"/>
                <w:sz w:val="18"/>
                <w:szCs w:val="18"/>
                <w:color w:val="auto"/>
              </w:rPr>
              <w:t>Income tax before discrete items</w:t>
            </w: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16,388</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22,509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368"/>
        </w:trPr>
        <w:tc>
          <w:tcPr>
            <w:tcW w:w="6640" w:type="dxa"/>
            <w:vAlign w:val="bottom"/>
          </w:tcPr>
          <w:p>
            <w:pPr>
              <w:ind w:left="40"/>
              <w:spacing w:after="0"/>
              <w:rPr>
                <w:sz w:val="20"/>
                <w:szCs w:val="20"/>
                <w:color w:val="auto"/>
              </w:rPr>
            </w:pPr>
            <w:r>
              <w:rPr>
                <w:rFonts w:ascii="Arial" w:cs="Arial" w:eastAsia="Arial" w:hAnsi="Arial"/>
                <w:sz w:val="18"/>
                <w:szCs w:val="18"/>
                <w:color w:val="auto"/>
              </w:rPr>
              <w:t>Discrete tax (benefit)/expense:</w:t>
            </w:r>
          </w:p>
        </w:tc>
        <w:tc>
          <w:tcPr>
            <w:tcW w:w="16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(28,553)</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140"/>
              <w:spacing w:after="0" w:line="181" w:lineRule="exact"/>
              <w:rPr>
                <w:sz w:val="20"/>
                <w:szCs w:val="20"/>
                <w:color w:val="auto"/>
              </w:rPr>
            </w:pPr>
            <w:r>
              <w:rPr>
                <w:rFonts w:ascii="Arial" w:cs="Arial" w:eastAsia="Arial" w:hAnsi="Arial"/>
                <w:sz w:val="18"/>
                <w:szCs w:val="18"/>
                <w:color w:val="auto"/>
              </w:rPr>
              <w:t>Worthless stock deduction</w:t>
            </w:r>
          </w:p>
        </w:tc>
        <w:tc>
          <w:tcPr>
            <w:tcW w:w="1620" w:type="dxa"/>
            <w:vAlign w:val="bottom"/>
            <w:vMerge w:val="continue"/>
          </w:tcPr>
          <w:p>
            <w:pPr>
              <w:spacing w:after="0"/>
              <w:rPr>
                <w:sz w:val="15"/>
                <w:szCs w:val="15"/>
                <w:color w:val="auto"/>
              </w:rPr>
            </w:pPr>
          </w:p>
        </w:tc>
        <w:tc>
          <w:tcPr>
            <w:tcW w:w="18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Repatriation of non-U.S. prior years' earnings</w:t>
            </w:r>
          </w:p>
        </w:tc>
        <w:tc>
          <w:tcPr>
            <w:tcW w:w="16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2,210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6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6,500</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744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6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(867)</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397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16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75</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(109)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Enacted tax legislation</w:t>
            </w:r>
          </w:p>
        </w:tc>
        <w:tc>
          <w:tcPr>
            <w:tcW w:w="16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670</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discrete tax adjustments, net</w:t>
            </w: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income tax (benefit)/expense</w:t>
            </w:r>
          </w:p>
        </w:tc>
        <w:tc>
          <w:tcPr>
            <w:tcW w:w="16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(5,787)</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25,751</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696"/>
        </w:trPr>
        <w:tc>
          <w:tcPr>
            <w:tcW w:w="6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29"/>
        </w:trPr>
        <w:tc>
          <w:tcPr>
            <w:tcW w:w="66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82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2015</w:t>
            </w:r>
          </w:p>
        </w:tc>
        <w:tc>
          <w:tcPr>
            <w:tcW w:w="196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2014</w:t>
            </w:r>
          </w:p>
        </w:tc>
        <w:tc>
          <w:tcPr>
            <w:tcW w:w="14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Income/(loss) before income taxes:</w:t>
            </w:r>
          </w:p>
        </w:tc>
        <w:tc>
          <w:tcPr>
            <w:tcW w:w="2820" w:type="dxa"/>
            <w:vAlign w:val="bottom"/>
            <w:tcBorders>
              <w:top w:val="single" w:sz="8" w:color="auto"/>
            </w:tcBorders>
            <w:vMerge w:val="restart"/>
          </w:tcPr>
          <w:p>
            <w:pPr>
              <w:jc w:val="right"/>
              <w:ind w:right="630"/>
              <w:spacing w:after="0"/>
              <w:rPr>
                <w:sz w:val="20"/>
                <w:szCs w:val="20"/>
                <w:color w:val="auto"/>
              </w:rPr>
            </w:pPr>
            <w:r>
              <w:rPr>
                <w:rFonts w:ascii="Arial" w:cs="Arial" w:eastAsia="Arial" w:hAnsi="Arial"/>
                <w:sz w:val="18"/>
                <w:szCs w:val="18"/>
                <w:b w:val="1"/>
                <w:bCs w:val="1"/>
                <w:color w:val="auto"/>
              </w:rPr>
              <w:t>($7,211)</w:t>
            </w:r>
          </w:p>
        </w:tc>
        <w:tc>
          <w:tcPr>
            <w:tcW w:w="19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Pr>
          <w:p>
            <w:pPr>
              <w:ind w:left="120"/>
              <w:spacing w:after="0" w:line="181" w:lineRule="exact"/>
              <w:rPr>
                <w:sz w:val="20"/>
                <w:szCs w:val="20"/>
                <w:color w:val="auto"/>
              </w:rPr>
            </w:pPr>
            <w:r>
              <w:rPr>
                <w:rFonts w:ascii="Arial" w:cs="Arial" w:eastAsia="Arial" w:hAnsi="Arial"/>
                <w:sz w:val="18"/>
                <w:szCs w:val="18"/>
                <w:color w:val="auto"/>
              </w:rPr>
              <w:t>U.S.</w:t>
            </w:r>
          </w:p>
        </w:tc>
        <w:tc>
          <w:tcPr>
            <w:tcW w:w="2820" w:type="dxa"/>
            <w:vAlign w:val="bottom"/>
            <w:vMerge w:val="continue"/>
          </w:tcPr>
          <w:p>
            <w:pPr>
              <w:spacing w:after="0"/>
              <w:rPr>
                <w:sz w:val="15"/>
                <w:szCs w:val="15"/>
                <w:color w:val="auto"/>
              </w:rPr>
            </w:pPr>
          </w:p>
        </w:tc>
        <w:tc>
          <w:tcPr>
            <w:tcW w:w="196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$4,993</w:t>
            </w:r>
          </w:p>
        </w:tc>
        <w:tc>
          <w:tcPr>
            <w:tcW w:w="14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Non-U.S.</w:t>
            </w:r>
          </w:p>
        </w:tc>
        <w:tc>
          <w:tcPr>
            <w:tcW w:w="2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58,689</w:t>
            </w:r>
          </w:p>
        </w:tc>
        <w:tc>
          <w:tcPr>
            <w:tcW w:w="1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62,507</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$51,478</w:t>
            </w:r>
          </w:p>
        </w:tc>
        <w:tc>
          <w:tcPr>
            <w:tcW w:w="19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$67,500</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Current:</w:t>
            </w:r>
          </w:p>
        </w:tc>
        <w:tc>
          <w:tcPr>
            <w:tcW w:w="28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2820" w:type="dxa"/>
            <w:vAlign w:val="bottom"/>
            <w:vMerge w:val="continue"/>
          </w:tcPr>
          <w:p>
            <w:pPr>
              <w:spacing w:after="0"/>
              <w:rPr>
                <w:sz w:val="15"/>
                <w:szCs w:val="15"/>
                <w:color w:val="auto"/>
              </w:rPr>
            </w:pPr>
          </w:p>
        </w:tc>
        <w:tc>
          <w:tcPr>
            <w:tcW w:w="196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$1,874</w:t>
            </w:r>
          </w:p>
        </w:tc>
        <w:tc>
          <w:tcPr>
            <w:tcW w:w="14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282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1,993</w:t>
            </w:r>
          </w:p>
        </w:tc>
        <w:tc>
          <w:tcPr>
            <w:tcW w:w="19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1,102</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Non-U.S.</w:t>
            </w:r>
          </w:p>
        </w:tc>
        <w:tc>
          <w:tcPr>
            <w:tcW w:w="2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20,842</w:t>
            </w:r>
          </w:p>
        </w:tc>
        <w:tc>
          <w:tcPr>
            <w:tcW w:w="1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17,474</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$22,835</w:t>
            </w:r>
          </w:p>
        </w:tc>
        <w:tc>
          <w:tcPr>
            <w:tcW w:w="19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$20,450</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$20,766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Deferred:</w:t>
            </w:r>
          </w:p>
        </w:tc>
        <w:tc>
          <w:tcPr>
            <w:tcW w:w="282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($34,135)</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2820" w:type="dxa"/>
            <w:vAlign w:val="bottom"/>
            <w:vMerge w:val="continue"/>
          </w:tcPr>
          <w:p>
            <w:pPr>
              <w:spacing w:after="0"/>
              <w:rPr>
                <w:sz w:val="15"/>
                <w:szCs w:val="15"/>
                <w:color w:val="auto"/>
              </w:rPr>
            </w:pPr>
          </w:p>
        </w:tc>
        <w:tc>
          <w:tcPr>
            <w:tcW w:w="196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($1,707)</w:t>
            </w:r>
          </w:p>
        </w:tc>
        <w:tc>
          <w:tcPr>
            <w:tcW w:w="14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282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(40)</w:t>
            </w:r>
          </w:p>
        </w:tc>
        <w:tc>
          <w:tcPr>
            <w:tcW w:w="19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(495)</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Non-U.S.</w:t>
            </w:r>
          </w:p>
        </w:tc>
        <w:tc>
          <w:tcPr>
            <w:tcW w:w="2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5,553</w:t>
            </w:r>
          </w:p>
        </w:tc>
        <w:tc>
          <w:tcPr>
            <w:tcW w:w="1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7,503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($28,622)</w:t>
            </w:r>
          </w:p>
        </w:tc>
        <w:tc>
          <w:tcPr>
            <w:tcW w:w="19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$5,301</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income tax (benefit)/expense</w:t>
            </w:r>
          </w:p>
        </w:tc>
        <w:tc>
          <w:tcPr>
            <w:tcW w:w="2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($5,787)</w:t>
            </w:r>
          </w:p>
        </w:tc>
        <w:tc>
          <w:tcPr>
            <w:tcW w:w="19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$25,751</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980" w:type="dxa"/>
            <w:vAlign w:val="bottom"/>
            <w:gridSpan w:val="2"/>
          </w:tcPr>
          <w:p>
            <w:pPr>
              <w:jc w:val="right"/>
              <w:ind w:right="590"/>
              <w:spacing w:after="0"/>
              <w:rPr>
                <w:sz w:val="20"/>
                <w:szCs w:val="20"/>
                <w:color w:val="auto"/>
              </w:rPr>
            </w:pPr>
            <w:r>
              <w:rPr>
                <w:rFonts w:ascii="Arial" w:cs="Arial" w:eastAsia="Arial" w:hAnsi="Arial"/>
                <w:sz w:val="18"/>
                <w:szCs w:val="18"/>
                <w:color w:val="auto"/>
              </w:rPr>
              <w:t>The significant components of deferred income tax (benefit)/expense are as follows:</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82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2015</w:t>
            </w:r>
          </w:p>
        </w:tc>
        <w:tc>
          <w:tcPr>
            <w:tcW w:w="196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2014</w:t>
            </w:r>
          </w:p>
        </w:tc>
        <w:tc>
          <w:tcPr>
            <w:tcW w:w="14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282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($7,615)</w:t>
            </w:r>
          </w:p>
        </w:tc>
        <w:tc>
          <w:tcPr>
            <w:tcW w:w="19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($1,667)</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Foreign tax credits</w:t>
            </w:r>
          </w:p>
        </w:tc>
        <w:tc>
          <w:tcPr>
            <w:tcW w:w="28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(17,874)</w:t>
            </w:r>
          </w:p>
        </w:tc>
        <w:tc>
          <w:tcPr>
            <w:tcW w:w="19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(481)</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Retirement benefits</w:t>
            </w:r>
          </w:p>
        </w:tc>
        <w:tc>
          <w:tcPr>
            <w:tcW w:w="282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1,844</w:t>
            </w:r>
          </w:p>
        </w:tc>
        <w:tc>
          <w:tcPr>
            <w:tcW w:w="19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1,438</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28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(5,722)</w:t>
            </w:r>
          </w:p>
        </w:tc>
        <w:tc>
          <w:tcPr>
            <w:tcW w:w="19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6,120</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25"/>
        </w:trPr>
        <w:tc>
          <w:tcPr>
            <w:tcW w:w="5180" w:type="dxa"/>
            <w:vAlign w:val="bottom"/>
            <w:gridSpan w:val="2"/>
          </w:tcPr>
          <w:p>
            <w:pPr>
              <w:spacing w:after="0"/>
              <w:rPr>
                <w:sz w:val="20"/>
                <w:szCs w:val="20"/>
                <w:color w:val="auto"/>
              </w:rPr>
            </w:pPr>
            <w:r>
              <w:rPr>
                <w:rFonts w:ascii="Arial" w:cs="Arial" w:eastAsia="Arial" w:hAnsi="Arial"/>
                <w:sz w:val="18"/>
                <w:szCs w:val="18"/>
                <w:color w:val="auto"/>
              </w:rPr>
              <w:t>Enacted changes in tax laws and rates</w:t>
            </w:r>
          </w:p>
        </w:tc>
        <w:tc>
          <w:tcPr>
            <w:tcW w:w="2820" w:type="dxa"/>
            <w:vAlign w:val="bottom"/>
          </w:tcPr>
          <w:p>
            <w:pPr>
              <w:jc w:val="right"/>
              <w:ind w:right="430"/>
              <w:spacing w:after="0"/>
              <w:rPr>
                <w:sz w:val="20"/>
                <w:szCs w:val="20"/>
                <w:color w:val="auto"/>
              </w:rPr>
            </w:pPr>
            <w:r>
              <w:rPr>
                <w:rFonts w:ascii="Arial" w:cs="Arial" w:eastAsia="Arial" w:hAnsi="Arial"/>
                <w:sz w:val="18"/>
                <w:szCs w:val="18"/>
                <w:b w:val="1"/>
                <w:bCs w:val="1"/>
                <w:color w:val="auto"/>
              </w:rPr>
              <w:t>670</w:t>
            </w:r>
          </w:p>
        </w:tc>
        <w:tc>
          <w:tcPr>
            <w:tcW w:w="1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beginning-of-the-year valuation</w:t>
            </w:r>
          </w:p>
        </w:tc>
        <w:tc>
          <w:tcPr>
            <w:tcW w:w="28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75</w:t>
            </w: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allowance balance for changes in circumstances</w:t>
            </w:r>
          </w:p>
        </w:tc>
        <w:tc>
          <w:tcPr>
            <w:tcW w:w="2820" w:type="dxa"/>
            <w:vAlign w:val="bottom"/>
            <w:vMerge w:val="continue"/>
          </w:tcPr>
          <w:p>
            <w:pPr>
              <w:spacing w:after="0"/>
              <w:rPr>
                <w:sz w:val="18"/>
                <w:szCs w:val="18"/>
                <w:color w:val="auto"/>
              </w:rPr>
            </w:pPr>
          </w:p>
        </w:tc>
        <w:tc>
          <w:tcPr>
            <w:tcW w:w="1960" w:type="dxa"/>
            <w:vAlign w:val="bottom"/>
          </w:tcPr>
          <w:p>
            <w:pPr>
              <w:jc w:val="right"/>
              <w:ind w:right="410"/>
              <w:spacing w:after="0"/>
              <w:rPr>
                <w:sz w:val="20"/>
                <w:szCs w:val="20"/>
                <w:color w:val="auto"/>
              </w:rPr>
            </w:pPr>
            <w:r>
              <w:rPr>
                <w:rFonts w:ascii="Arial" w:cs="Arial" w:eastAsia="Arial" w:hAnsi="Arial"/>
                <w:sz w:val="18"/>
                <w:szCs w:val="18"/>
                <w:color w:val="auto"/>
              </w:rPr>
              <w:t>(109)</w:t>
            </w:r>
          </w:p>
        </w:tc>
        <w:tc>
          <w:tcPr>
            <w:tcW w:w="1460" w:type="dxa"/>
            <w:vAlign w:val="bottom"/>
          </w:tcPr>
          <w:p>
            <w:pPr>
              <w:jc w:val="right"/>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189"/>
        </w:trPr>
        <w:tc>
          <w:tcPr>
            <w:tcW w:w="5180" w:type="dxa"/>
            <w:vAlign w:val="bottom"/>
            <w:gridSpan w:val="2"/>
          </w:tcPr>
          <w:p>
            <w:pPr>
              <w:spacing w:after="0"/>
              <w:rPr>
                <w:sz w:val="16"/>
                <w:szCs w:val="16"/>
                <w:color w:val="auto"/>
              </w:rPr>
            </w:pPr>
          </w:p>
        </w:tc>
        <w:tc>
          <w:tcPr>
            <w:tcW w:w="2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82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($28,622)</w:t>
            </w:r>
          </w:p>
        </w:tc>
        <w:tc>
          <w:tcPr>
            <w:tcW w:w="19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$5,301</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173"/>
        </w:trPr>
        <w:tc>
          <w:tcPr>
            <w:tcW w:w="5620" w:type="dxa"/>
            <w:vAlign w:val="bottom"/>
          </w:tcPr>
          <w:p>
            <w:pPr>
              <w:ind w:left="40"/>
              <w:spacing w:after="0" w:line="173" w:lineRule="exact"/>
              <w:rPr>
                <w:sz w:val="20"/>
                <w:szCs w:val="20"/>
                <w:color w:val="auto"/>
              </w:rPr>
            </w:pPr>
            <w:r>
              <w:rPr>
                <w:rFonts w:ascii="Arial" w:cs="Arial" w:eastAsia="Arial" w:hAnsi="Arial"/>
                <w:sz w:val="18"/>
                <w:szCs w:val="18"/>
                <w:color w:val="auto"/>
              </w:rPr>
              <w:t>U.S. federal statutory tax rate</w:t>
            </w:r>
          </w:p>
        </w:tc>
        <w:tc>
          <w:tcPr>
            <w:tcW w:w="236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35.0%</w:t>
            </w:r>
          </w:p>
        </w:tc>
        <w:tc>
          <w:tcPr>
            <w:tcW w:w="1980" w:type="dxa"/>
            <w:vAlign w:val="bottom"/>
          </w:tcPr>
          <w:p>
            <w:pPr>
              <w:jc w:val="right"/>
              <w:ind w:right="430"/>
              <w:spacing w:after="0" w:line="173" w:lineRule="exact"/>
              <w:rPr>
                <w:sz w:val="20"/>
                <w:szCs w:val="20"/>
                <w:color w:val="auto"/>
              </w:rPr>
            </w:pPr>
            <w:r>
              <w:rPr>
                <w:rFonts w:ascii="Arial" w:cs="Arial" w:eastAsia="Arial" w:hAnsi="Arial"/>
                <w:sz w:val="18"/>
                <w:szCs w:val="18"/>
                <w:color w:val="auto"/>
              </w:rPr>
              <w:t>35.0%</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State taxes, net of federal benefit</w:t>
            </w:r>
          </w:p>
        </w:tc>
        <w:tc>
          <w:tcPr>
            <w:tcW w:w="23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2.4</w:t>
            </w:r>
          </w:p>
        </w:tc>
        <w:tc>
          <w:tcPr>
            <w:tcW w:w="19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1.7</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4.9</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Non-U.S. local income taxes</w:t>
            </w:r>
          </w:p>
        </w:tc>
        <w:tc>
          <w:tcPr>
            <w:tcW w:w="23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4.1</w:t>
            </w:r>
          </w:p>
        </w:tc>
        <w:tc>
          <w:tcPr>
            <w:tcW w:w="19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4.0</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8.7</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Foreign adjustments and rate differential</w:t>
            </w:r>
          </w:p>
        </w:tc>
        <w:tc>
          <w:tcPr>
            <w:tcW w:w="2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(6.2)</w:t>
            </w:r>
          </w:p>
        </w:tc>
        <w:tc>
          <w:tcPr>
            <w:tcW w:w="19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(10.2)</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0.2</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Net U.S. tax on non-U.S. earnings and foreign withholdings</w:t>
            </w:r>
          </w:p>
        </w:tc>
        <w:tc>
          <w:tcPr>
            <w:tcW w:w="2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(1.8)</w:t>
            </w:r>
          </w:p>
        </w:tc>
        <w:tc>
          <w:tcPr>
            <w:tcW w:w="19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8.0</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5.3</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3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12.6</w:t>
            </w:r>
          </w:p>
        </w:tc>
        <w:tc>
          <w:tcPr>
            <w:tcW w:w="19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1.0</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8.5</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2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(2.4)</w:t>
            </w:r>
          </w:p>
        </w:tc>
        <w:tc>
          <w:tcPr>
            <w:tcW w:w="19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(1.6)</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Adjustment to beginning of year valuation allowances</w:t>
            </w:r>
          </w:p>
        </w:tc>
        <w:tc>
          <w:tcPr>
            <w:tcW w:w="236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0.1</w:t>
            </w:r>
          </w:p>
        </w:tc>
        <w:tc>
          <w:tcPr>
            <w:tcW w:w="19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(0.2)</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620" w:type="dxa"/>
            <w:vAlign w:val="bottom"/>
          </w:tcPr>
          <w:p>
            <w:pPr>
              <w:ind w:left="40"/>
              <w:spacing w:after="0" w:line="202" w:lineRule="exact"/>
              <w:rPr>
                <w:sz w:val="20"/>
                <w:szCs w:val="20"/>
                <w:color w:val="auto"/>
              </w:rPr>
            </w:pPr>
            <w:r>
              <w:rPr>
                <w:rFonts w:ascii="Arial" w:cs="Arial" w:eastAsia="Arial" w:hAnsi="Arial"/>
                <w:sz w:val="18"/>
                <w:szCs w:val="18"/>
                <w:color w:val="auto"/>
              </w:rPr>
              <w:t>Worthless stock deduction</w:t>
            </w:r>
          </w:p>
        </w:tc>
        <w:tc>
          <w:tcPr>
            <w:tcW w:w="2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(55.5)</w:t>
            </w:r>
          </w:p>
        </w:tc>
        <w:tc>
          <w:tcPr>
            <w:tcW w:w="19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25"/>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0.5</w:t>
            </w:r>
          </w:p>
        </w:tc>
        <w:tc>
          <w:tcPr>
            <w:tcW w:w="1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196"/>
        </w:trPr>
        <w:tc>
          <w:tcPr>
            <w:tcW w:w="5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23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(11.2)%</w:t>
            </w:r>
          </w:p>
        </w:tc>
        <w:tc>
          <w:tcPr>
            <w:tcW w:w="1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38.1%</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w:t>
            </w:r>
          </w:p>
        </w:tc>
      </w:tr>
      <w:tr>
        <w:trPr>
          <w:trHeight w:val="709"/>
        </w:trPr>
        <w:tc>
          <w:tcPr>
            <w:tcW w:w="5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29"/>
        </w:trPr>
        <w:tc>
          <w:tcPr>
            <w:tcW w:w="56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81" w:right="239" w:bottom="1440" w:gutter="0" w:footer="0" w:header="0"/>
        </w:sectPr>
      </w:pPr>
    </w:p>
    <w:bookmarkStart w:id="69" w:name="page70"/>
    <w:bookmarkEnd w:id="69"/>
    <w:p>
      <w:pPr>
        <w:ind w:right="60" w:firstLine="648"/>
        <w:spacing w:after="0" w:line="236"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these countries except one had income tax rates that were lower than the United States federal tax rate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35 percent and the expense accrued based on lower statutory tax rates that apply in the jurisdictions where the income or loss is earned.</w:t>
      </w:r>
    </w:p>
    <w:p>
      <w:pPr>
        <w:spacing w:after="0" w:line="168"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During the periods reported, income outside of the U.S. was heavily concentrated within Brazil, China, (25% tax rates), Mexico (30% tax rate) and Switzerland (8% tax rate). As a result, the foreign income tax rate differential was primarily attributable to these tax rate differences. In 2015, 2014 and 2013 the income tax rate differential was significantly reduced by the pension settlement and restructuring charges outside of the U.S. that resulted in a lower tax rate benefit, as compared to the benefit calculated using the higher U.S. tax rate.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0" w:name="page71"/>
    <w:bookmarkEnd w:id="70"/>
    <w:p>
      <w:pPr>
        <w:ind w:right="60" w:firstLine="648"/>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and the amounts used for income tax expense purposes. Significant components of the Company’s deferred tax assets and liabilities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U.S.</w:t>
            </w:r>
          </w:p>
        </w:tc>
        <w:tc>
          <w:tcPr>
            <w:tcW w:w="1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Non-U.S.</w:t>
            </w: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66"/>
        </w:trPr>
        <w:tc>
          <w:tcPr>
            <w:tcW w:w="4760" w:type="dxa"/>
            <w:vAlign w:val="bottom"/>
            <w:tcBorders>
              <w:bottom w:val="single" w:sz="8" w:color="auto"/>
            </w:tcBorders>
            <w:vMerge w:val="continue"/>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Current deferred tax assets: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line="181" w:lineRule="exact"/>
              <w:rPr>
                <w:sz w:val="20"/>
                <w:szCs w:val="20"/>
                <w:color w:val="auto"/>
              </w:rPr>
            </w:pPr>
            <w:r>
              <w:rPr>
                <w:rFonts w:ascii="Arial" w:cs="Arial" w:eastAsia="Arial" w:hAnsi="Arial"/>
                <w:sz w:val="18"/>
                <w:szCs w:val="18"/>
                <w:color w:val="auto"/>
              </w:rPr>
              <w:t>Accounts receivable</w:t>
            </w:r>
          </w:p>
        </w:tc>
        <w:tc>
          <w:tcPr>
            <w:tcW w:w="2980" w:type="dxa"/>
            <w:vAlign w:val="bottom"/>
            <w:vMerge w:val="continue"/>
          </w:tcPr>
          <w:p>
            <w:pPr>
              <w:spacing w:after="0"/>
              <w:rPr>
                <w:sz w:val="15"/>
                <w:szCs w:val="15"/>
                <w:color w:val="auto"/>
              </w:rPr>
            </w:pPr>
          </w:p>
        </w:tc>
        <w:tc>
          <w:tcPr>
            <w:tcW w:w="122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$1,597</w:t>
            </w:r>
          </w:p>
        </w:tc>
        <w:tc>
          <w:tcPr>
            <w:tcW w:w="1620" w:type="dxa"/>
            <w:vAlign w:val="bottom"/>
            <w:vMerge w:val="continue"/>
          </w:tcPr>
          <w:p>
            <w:pPr>
              <w:spacing w:after="0"/>
              <w:rPr>
                <w:sz w:val="15"/>
                <w:szCs w:val="15"/>
                <w:color w:val="auto"/>
              </w:rPr>
            </w:pPr>
          </w:p>
        </w:tc>
        <w:tc>
          <w:tcPr>
            <w:tcW w:w="8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343</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2,662</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Current deferred tax assets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140"/>
              <w:spacing w:after="0"/>
              <w:rPr>
                <w:sz w:val="20"/>
                <w:szCs w:val="20"/>
                <w:color w:val="auto"/>
              </w:rPr>
            </w:pPr>
            <w:r>
              <w:rPr>
                <w:rFonts w:ascii="Arial" w:cs="Arial" w:eastAsia="Arial" w:hAnsi="Arial"/>
                <w:sz w:val="18"/>
                <w:szCs w:val="18"/>
                <w:color w:val="auto"/>
              </w:rPr>
              <w:t>before valuation allowance</w:t>
            </w:r>
          </w:p>
        </w:tc>
        <w:tc>
          <w:tcPr>
            <w:tcW w:w="2980" w:type="dxa"/>
            <w:vAlign w:val="bottom"/>
            <w:vMerge w:val="continue"/>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4,602</w:t>
            </w:r>
          </w:p>
        </w:tc>
        <w:tc>
          <w:tcPr>
            <w:tcW w:w="1620" w:type="dxa"/>
            <w:vAlign w:val="bottom"/>
            <w:vMerge w:val="continue"/>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392"/>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valuation allowance</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current deferred tax assets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$4,602</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398"/>
        </w:trPr>
        <w:tc>
          <w:tcPr>
            <w:tcW w:w="4760" w:type="dxa"/>
            <w:vAlign w:val="bottom"/>
          </w:tcPr>
          <w:p>
            <w:pPr>
              <w:ind w:left="40"/>
              <w:spacing w:after="0"/>
              <w:rPr>
                <w:sz w:val="20"/>
                <w:szCs w:val="20"/>
                <w:color w:val="auto"/>
              </w:rPr>
            </w:pPr>
            <w:r>
              <w:rPr>
                <w:rFonts w:ascii="Arial" w:cs="Arial" w:eastAsia="Arial" w:hAnsi="Arial"/>
                <w:sz w:val="18"/>
                <w:szCs w:val="18"/>
                <w:color w:val="auto"/>
              </w:rPr>
              <w:t>Noncurrent deferred tax assets: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1,392</w:t>
            </w:r>
          </w:p>
        </w:tc>
        <w:tc>
          <w:tcPr>
            <w:tcW w:w="1220" w:type="dxa"/>
            <w:vAlign w:val="bottom"/>
          </w:tcPr>
          <w:p>
            <w:pPr>
              <w:spacing w:after="0"/>
              <w:rPr>
                <w:sz w:val="24"/>
                <w:szCs w:val="24"/>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1,304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line="181" w:lineRule="exact"/>
              <w:rPr>
                <w:sz w:val="20"/>
                <w:szCs w:val="20"/>
                <w:color w:val="auto"/>
              </w:rPr>
            </w:pPr>
            <w:r>
              <w:rPr>
                <w:rFonts w:ascii="Arial" w:cs="Arial" w:eastAsia="Arial" w:hAnsi="Arial"/>
                <w:sz w:val="18"/>
                <w:szCs w:val="18"/>
                <w:color w:val="auto"/>
              </w:rPr>
              <w:t>Accounts receivable</w:t>
            </w:r>
          </w:p>
        </w:tc>
        <w:tc>
          <w:tcPr>
            <w:tcW w:w="2980" w:type="dxa"/>
            <w:vAlign w:val="bottom"/>
            <w:vMerge w:val="continue"/>
          </w:tcPr>
          <w:p>
            <w:pPr>
              <w:spacing w:after="0"/>
              <w:rPr>
                <w:sz w:val="15"/>
                <w:szCs w:val="15"/>
                <w:color w:val="auto"/>
              </w:rPr>
            </w:pPr>
          </w:p>
        </w:tc>
        <w:tc>
          <w:tcPr>
            <w:tcW w:w="122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w:t>
            </w:r>
          </w:p>
        </w:tc>
        <w:tc>
          <w:tcPr>
            <w:tcW w:w="1620" w:type="dxa"/>
            <w:vAlign w:val="bottom"/>
            <w:vMerge w:val="continue"/>
          </w:tcPr>
          <w:p>
            <w:pPr>
              <w:spacing w:after="0"/>
              <w:rPr>
                <w:sz w:val="15"/>
                <w:szCs w:val="15"/>
                <w:color w:val="auto"/>
              </w:rPr>
            </w:pPr>
          </w:p>
        </w:tc>
        <w:tc>
          <w:tcPr>
            <w:tcW w:w="8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897</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1,750</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Deferred compensation</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6,714</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5,981</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10,323</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3,575</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4,882</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Postretirement benefits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26,475</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28,344</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4,138</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Tax loss carryforwards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2,682</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1,358</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27,134</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34,980</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Tax credit carryforwards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42,851</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24,426</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1,740</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10,222</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2,939</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3,503</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Noncurrent deferred tax assets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101,556</w:t>
            </w:r>
          </w:p>
        </w:tc>
        <w:tc>
          <w:tcPr>
            <w:tcW w:w="122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44,451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140"/>
              <w:spacing w:after="0"/>
              <w:rPr>
                <w:sz w:val="20"/>
                <w:szCs w:val="20"/>
                <w:color w:val="auto"/>
              </w:rPr>
            </w:pPr>
            <w:r>
              <w:rPr>
                <w:rFonts w:ascii="Arial" w:cs="Arial" w:eastAsia="Arial" w:hAnsi="Arial"/>
                <w:sz w:val="18"/>
                <w:szCs w:val="18"/>
                <w:color w:val="auto"/>
              </w:rPr>
              <w:t>before valuation allowance</w:t>
            </w:r>
          </w:p>
        </w:tc>
        <w:tc>
          <w:tcPr>
            <w:tcW w:w="2980" w:type="dxa"/>
            <w:vAlign w:val="bottom"/>
            <w:vMerge w:val="continue"/>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66,623</w:t>
            </w:r>
          </w:p>
        </w:tc>
        <w:tc>
          <w:tcPr>
            <w:tcW w:w="1620" w:type="dxa"/>
            <w:vAlign w:val="bottom"/>
            <w:vMerge w:val="continue"/>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46,444</w:t>
            </w:r>
          </w:p>
        </w:tc>
        <w:tc>
          <w:tcPr>
            <w:tcW w:w="0" w:type="dxa"/>
            <w:vAlign w:val="bottom"/>
          </w:tcPr>
          <w:p>
            <w:pPr>
              <w:spacing w:after="0"/>
              <w:rPr>
                <w:sz w:val="1"/>
                <w:szCs w:val="1"/>
                <w:color w:val="auto"/>
              </w:rPr>
            </w:pPr>
          </w:p>
        </w:tc>
      </w:tr>
      <w:tr>
        <w:trPr>
          <w:trHeight w:val="392"/>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valuation allowance</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(24,439)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 assets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101,556</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66,623</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20,012</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25,081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deferred tax assets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$101,556</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$71,225</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$20,012</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40"/>
              <w:spacing w:after="0" w:line="195" w:lineRule="exact"/>
              <w:rPr>
                <w:sz w:val="20"/>
                <w:szCs w:val="20"/>
                <w:color w:val="auto"/>
              </w:rPr>
            </w:pPr>
            <w:r>
              <w:rPr>
                <w:rFonts w:ascii="Arial" w:cs="Arial" w:eastAsia="Arial" w:hAnsi="Arial"/>
                <w:sz w:val="18"/>
                <w:szCs w:val="18"/>
                <w:color w:val="auto"/>
              </w:rPr>
              <w:t>Current deferred tax liabilities: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40"/>
              <w:spacing w:after="0" w:line="181" w:lineRule="exact"/>
              <w:rPr>
                <w:sz w:val="20"/>
                <w:szCs w:val="20"/>
                <w:color w:val="auto"/>
              </w:rPr>
            </w:pPr>
            <w:r>
              <w:rPr>
                <w:rFonts w:ascii="Arial" w:cs="Arial" w:eastAsia="Arial" w:hAnsi="Arial"/>
                <w:sz w:val="18"/>
                <w:szCs w:val="18"/>
                <w:color w:val="auto"/>
              </w:rPr>
              <w:t>Unrepatriated foreign earnings</w:t>
            </w:r>
          </w:p>
        </w:tc>
        <w:tc>
          <w:tcPr>
            <w:tcW w:w="2980" w:type="dxa"/>
            <w:vAlign w:val="bottom"/>
            <w:vMerge w:val="continue"/>
          </w:tcPr>
          <w:p>
            <w:pPr>
              <w:spacing w:after="0"/>
              <w:rPr>
                <w:sz w:val="15"/>
                <w:szCs w:val="15"/>
                <w:color w:val="auto"/>
              </w:rPr>
            </w:pPr>
          </w:p>
        </w:tc>
        <w:tc>
          <w:tcPr>
            <w:tcW w:w="122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$3,679</w:t>
            </w:r>
          </w:p>
        </w:tc>
        <w:tc>
          <w:tcPr>
            <w:tcW w:w="1620" w:type="dxa"/>
            <w:vAlign w:val="bottom"/>
            <w:vMerge w:val="continue"/>
          </w:tcPr>
          <w:p>
            <w:pPr>
              <w:spacing w:after="0"/>
              <w:rPr>
                <w:sz w:val="15"/>
                <w:szCs w:val="15"/>
                <w:color w:val="auto"/>
              </w:rPr>
            </w:pPr>
          </w:p>
        </w:tc>
        <w:tc>
          <w:tcPr>
            <w:tcW w:w="8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current deferred tax liabilities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3,679</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398"/>
        </w:trPr>
        <w:tc>
          <w:tcPr>
            <w:tcW w:w="476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2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1,157</w:t>
            </w:r>
          </w:p>
        </w:tc>
        <w:tc>
          <w:tcPr>
            <w:tcW w:w="1220" w:type="dxa"/>
            <w:vAlign w:val="bottom"/>
          </w:tcPr>
          <w:p>
            <w:pPr>
              <w:spacing w:after="0"/>
              <w:rPr>
                <w:sz w:val="24"/>
                <w:szCs w:val="24"/>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40"/>
              <w:spacing w:after="0" w:line="181" w:lineRule="exact"/>
              <w:rPr>
                <w:sz w:val="20"/>
                <w:szCs w:val="20"/>
                <w:color w:val="auto"/>
              </w:rPr>
            </w:pPr>
            <w:r>
              <w:rPr>
                <w:rFonts w:ascii="Arial" w:cs="Arial" w:eastAsia="Arial" w:hAnsi="Arial"/>
                <w:sz w:val="18"/>
                <w:szCs w:val="18"/>
                <w:color w:val="auto"/>
              </w:rPr>
              <w:t>Unrepatriated foreign earnings</w:t>
            </w:r>
          </w:p>
        </w:tc>
        <w:tc>
          <w:tcPr>
            <w:tcW w:w="2980" w:type="dxa"/>
            <w:vAlign w:val="bottom"/>
            <w:vMerge w:val="continue"/>
          </w:tcPr>
          <w:p>
            <w:pPr>
              <w:spacing w:after="0"/>
              <w:rPr>
                <w:sz w:val="15"/>
                <w:szCs w:val="15"/>
                <w:color w:val="auto"/>
              </w:rPr>
            </w:pPr>
          </w:p>
        </w:tc>
        <w:tc>
          <w:tcPr>
            <w:tcW w:w="122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w:t>
            </w:r>
          </w:p>
        </w:tc>
        <w:tc>
          <w:tcPr>
            <w:tcW w:w="1620" w:type="dxa"/>
            <w:vAlign w:val="bottom"/>
            <w:vMerge w:val="continue"/>
          </w:tcPr>
          <w:p>
            <w:pPr>
              <w:spacing w:after="0"/>
              <w:rPr>
                <w:sz w:val="15"/>
                <w:szCs w:val="15"/>
                <w:color w:val="auto"/>
              </w:rPr>
            </w:pPr>
          </w:p>
        </w:tc>
        <w:tc>
          <w:tcPr>
            <w:tcW w:w="8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10,309</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11,587</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3,174</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Postretirement benefits</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2,003</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Deferred gain</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7,559</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8,396</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line="202" w:lineRule="exact"/>
              <w:rPr>
                <w:sz w:val="20"/>
                <w:szCs w:val="20"/>
                <w:color w:val="auto"/>
              </w:rPr>
            </w:pPr>
            <w:r>
              <w:rPr>
                <w:rFonts w:ascii="Arial" w:cs="Arial" w:eastAsia="Arial" w:hAnsi="Arial"/>
                <w:sz w:val="18"/>
                <w:szCs w:val="18"/>
                <w:color w:val="auto"/>
              </w:rPr>
              <w:t>Branch losses subject to recapture</w:t>
            </w:r>
          </w:p>
        </w:tc>
        <w:tc>
          <w:tcPr>
            <w:tcW w:w="29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918</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3,245</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 liabilities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19,025</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19,983</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9,340</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18,280</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deferred tax liabilities</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19,025</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23,662</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9,340</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deferred tax asset</w:t>
            </w:r>
          </w:p>
        </w:tc>
        <w:tc>
          <w:tcPr>
            <w:tcW w:w="29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$82,531</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$47,563</w:t>
            </w:r>
          </w:p>
        </w:tc>
        <w:tc>
          <w:tcPr>
            <w:tcW w:w="16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$10,672</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2015, the Company adopted the provisions of ASU 2015-17 which requires that deferred income taxes related to each tax paying jurisdiction be aggregated and classified as a single noncurrent asset or noncurrent liability. We adopted the ASU using the prospective transition method and, accordingly, we have not restated 2014 deferred income taxes as presented in the accompanying Consolidated Balance Sheets.</w:t>
      </w:r>
    </w:p>
    <w:p>
      <w:pPr>
        <w:spacing w:after="0" w:line="26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1" w:name="page72"/>
    <w:bookmarkEnd w:id="71"/>
    <w:p>
      <w:pPr>
        <w:jc w:val="both"/>
        <w:ind w:right="240" w:firstLine="648"/>
        <w:spacing w:after="0"/>
        <w:rPr>
          <w:sz w:val="20"/>
          <w:szCs w:val="20"/>
          <w:color w:val="auto"/>
        </w:rPr>
      </w:pPr>
      <w:r>
        <w:rPr>
          <w:rFonts w:ascii="Arial" w:cs="Arial" w:eastAsia="Arial" w:hAnsi="Arial"/>
          <w:sz w:val="18"/>
          <w:szCs w:val="18"/>
          <w:color w:val="auto"/>
        </w:rPr>
        <w:t>Prior to adopting ASU 2015-17, we were required to net current deferred tax assets and liabilities, and to net noncurrent deferred tax assets and liabilities, for each tax jurisdiction. If we elected to use the retrospective transition method, the amounts in the 2014 Consolidated Balance Sheet would have been increased/(decreased)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auto"/>
            </w:tcBorders>
            <w:vMerge w:val="continue"/>
          </w:tcPr>
          <w:p>
            <w:pPr>
              <w:spacing w:after="0"/>
              <w:rPr>
                <w:sz w:val="17"/>
                <w:szCs w:val="17"/>
                <w:color w:val="auto"/>
              </w:rPr>
            </w:pPr>
          </w:p>
        </w:tc>
        <w:tc>
          <w:tcPr>
            <w:tcW w:w="428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5"/>
        </w:trPr>
        <w:tc>
          <w:tcPr>
            <w:tcW w:w="7140" w:type="dxa"/>
            <w:vAlign w:val="bottom"/>
          </w:tcPr>
          <w:p>
            <w:pPr>
              <w:ind w:left="40"/>
              <w:spacing w:after="0" w:line="195" w:lineRule="exact"/>
              <w:rPr>
                <w:sz w:val="20"/>
                <w:szCs w:val="20"/>
                <w:color w:val="auto"/>
              </w:rPr>
            </w:pPr>
            <w:r>
              <w:rPr>
                <w:rFonts w:ascii="Arial" w:cs="Arial" w:eastAsia="Arial" w:hAnsi="Arial"/>
                <w:sz w:val="18"/>
                <w:szCs w:val="18"/>
                <w:color w:val="auto"/>
              </w:rPr>
              <w:t>Current assets: Income taxes prepaid and deferred</w:t>
            </w:r>
          </w:p>
        </w:tc>
        <w:tc>
          <w:tcPr>
            <w:tcW w:w="4280" w:type="dxa"/>
            <w:vAlign w:val="bottom"/>
          </w:tcPr>
          <w:p>
            <w:pPr>
              <w:jc w:val="right"/>
              <w:spacing w:after="0" w:line="195" w:lineRule="exact"/>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3"/>
        </w:trPr>
        <w:tc>
          <w:tcPr>
            <w:tcW w:w="7140" w:type="dxa"/>
            <w:vAlign w:val="bottom"/>
          </w:tcPr>
          <w:p>
            <w:pPr>
              <w:ind w:left="40"/>
              <w:spacing w:after="0" w:line="202" w:lineRule="exact"/>
              <w:rPr>
                <w:sz w:val="20"/>
                <w:szCs w:val="20"/>
                <w:color w:val="auto"/>
              </w:rPr>
            </w:pPr>
            <w:r>
              <w:rPr>
                <w:rFonts w:ascii="Arial" w:cs="Arial" w:eastAsia="Arial" w:hAnsi="Arial"/>
                <w:sz w:val="18"/>
                <w:szCs w:val="18"/>
                <w:color w:val="auto"/>
              </w:rPr>
              <w:t>Noncurrent asset: Income taxes receivable and deferred</w:t>
            </w:r>
          </w:p>
        </w:tc>
        <w:tc>
          <w:tcPr>
            <w:tcW w:w="4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03"/>
        </w:trPr>
        <w:tc>
          <w:tcPr>
            <w:tcW w:w="714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liabilities: Income taxes payable and deferred</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Noncurrent liabilities: Deferred taxes and other credits</w:t>
            </w:r>
          </w:p>
        </w:tc>
        <w:tc>
          <w:tcPr>
            <w:tcW w:w="4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4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2015, the Company recorded an increase in its valuation allowance of $5.1 million due to a net increase of deferred tax assets and a decrease in its valuation allowance due to translation of $2.6 million, for a net increase in its valuation allowance of $2.5 million.</w:t>
      </w:r>
    </w:p>
    <w:p>
      <w:pPr>
        <w:spacing w:after="0" w:line="16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At December 31, 2015, the Company had available approximately $ 220.0 million of net operating loss carryforwards in state and foreign jurisdictions, for which we have a deferred tax asset of $30.0 million, with expiration periods ranging from one year to indefinite that may be applied against future taxable income in those jurisdictions. We believe that it is more likely than not that certain benefits from these net operating loss carryforwards will not be realized and, accordingly, we have recorded a valuation allowance of $21.6 million as of December 31, 2015. Included in the net operating loss carryforwards is approximately $20.7 million of state net operating loss carryforwards that are subject to various business apportionment factors and multiple jurisdictional requirements when utilized. In addition, the Company had available a foreign tax credit carryforward of $35.1 million that will begin to expire in 2018, research and development credit carryforwards of $7.6 million that will begin to expire in 2025, and alternative minimum tax credit carryforwards of $1.2 million with no expiration date.</w:t>
      </w:r>
    </w:p>
    <w:p>
      <w:pPr>
        <w:spacing w:after="0" w:line="16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Company reported a U.S. net deferred tax asset of $82.5 million at December 31, 2015, which contained $48.5 million of tax attributes with limited lives. Although the Company is in a cumulative book income position over the evaluation period (three-year period ending December 31, 2015), management has evaluated its ability to utilize these tax attributes during the carryforward period. The Company’s future profits from operations, coupled with the repatriation of non-U.S. earnings will generate income of sufficient character to utilize the tax attributes. Accordingly, no valuation allowance has been established for the U.S. net deferred tax assets.</w:t>
      </w:r>
    </w:p>
    <w:p>
      <w:pPr>
        <w:spacing w:after="0" w:line="17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162"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At December 31, 2015 the Company reported a deferred tax liability of $1.1 million on $59.0 million of non-U.S. earnings that have been targeted for future repatriation to the U.S. Included in these amounts are $1.1 million of tax expense on approximately $46.8 million of foreign earnings that were generated in 2015.</w:t>
      </w:r>
    </w:p>
    <w:p>
      <w:pPr>
        <w:spacing w:after="0" w:line="16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$165.6 million, and are intended to remain permanently invested in foreign operations. Accordingly, no taxes have been provided on these earnings at December 31, 2015. If these earnings were distributed, the Company would be subject to both foreign withholding taxes and U.S. income taxes that may not be fully offset by foreign tax credits. Determination of the amount of any unrecognized deferred tax liability on these earnings is not practicable because of the complexities of the hypothetical calculation.</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2" w:name="page73"/>
    <w:bookmarkEnd w:id="72"/>
    <w:p>
      <w:pPr>
        <w:ind w:right="880" w:firstLine="648"/>
        <w:spacing w:after="0" w:line="246"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all of which, if recognized, would impact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2015</w:t>
            </w:r>
          </w:p>
        </w:tc>
        <w:tc>
          <w:tcPr>
            <w:tcW w:w="18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412"/>
        </w:trPr>
        <w:tc>
          <w:tcPr>
            <w:tcW w:w="6060" w:type="dxa"/>
            <w:vAlign w:val="bottom"/>
          </w:tcPr>
          <w:p>
            <w:pPr>
              <w:ind w:left="40"/>
              <w:spacing w:after="0"/>
              <w:rPr>
                <w:sz w:val="20"/>
                <w:szCs w:val="20"/>
                <w:color w:val="auto"/>
              </w:rPr>
            </w:pPr>
            <w:r>
              <w:rPr>
                <w:rFonts w:ascii="Arial" w:cs="Arial" w:eastAsia="Arial" w:hAnsi="Arial"/>
                <w:sz w:val="18"/>
                <w:szCs w:val="18"/>
                <w:color w:val="auto"/>
              </w:rPr>
              <w:t>Unrecognized tax benefits balance at January 1</w:t>
            </w:r>
          </w:p>
        </w:tc>
        <w:tc>
          <w:tcPr>
            <w:tcW w:w="2160" w:type="dxa"/>
            <w:vAlign w:val="bottom"/>
          </w:tcPr>
          <w:p>
            <w:pPr>
              <w:jc w:val="right"/>
              <w:ind w:right="430"/>
              <w:spacing w:after="0"/>
              <w:rPr>
                <w:sz w:val="20"/>
                <w:szCs w:val="20"/>
                <w:color w:val="auto"/>
              </w:rPr>
            </w:pPr>
            <w:r>
              <w:rPr>
                <w:rFonts w:ascii="Arial" w:cs="Arial" w:eastAsia="Arial" w:hAnsi="Arial"/>
                <w:sz w:val="18"/>
                <w:szCs w:val="18"/>
                <w:b w:val="1"/>
                <w:bCs w:val="1"/>
                <w:color w:val="auto"/>
              </w:rPr>
              <w:t>$19,509</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$12,538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$24,386</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Increase in gross amounts of tax positions related to prior years</w:t>
            </w:r>
          </w:p>
        </w:tc>
        <w:tc>
          <w:tcPr>
            <w:tcW w:w="2160" w:type="dxa"/>
            <w:vAlign w:val="bottom"/>
          </w:tcPr>
          <w:p>
            <w:pPr>
              <w:jc w:val="right"/>
              <w:ind w:right="430"/>
              <w:spacing w:after="0"/>
              <w:rPr>
                <w:sz w:val="20"/>
                <w:szCs w:val="20"/>
                <w:color w:val="auto"/>
              </w:rPr>
            </w:pPr>
            <w:r>
              <w:rPr>
                <w:rFonts w:ascii="Arial" w:cs="Arial" w:eastAsia="Arial" w:hAnsi="Arial"/>
                <w:sz w:val="18"/>
                <w:szCs w:val="18"/>
                <w:b w:val="1"/>
                <w:bCs w:val="1"/>
                <w:color w:val="auto"/>
              </w:rPr>
              <w:t>2,315</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14,699</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2,121</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Decrease in gross amounts of tax positions related to prior years</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(145)</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Increase in gross amounts of tax positions related to current year</w:t>
            </w:r>
          </w:p>
        </w:tc>
        <w:tc>
          <w:tcPr>
            <w:tcW w:w="2160" w:type="dxa"/>
            <w:vAlign w:val="bottom"/>
          </w:tcPr>
          <w:p>
            <w:pPr>
              <w:jc w:val="right"/>
              <w:ind w:right="430"/>
              <w:spacing w:after="0"/>
              <w:rPr>
                <w:sz w:val="20"/>
                <w:szCs w:val="20"/>
                <w:color w:val="auto"/>
              </w:rPr>
            </w:pPr>
            <w:r>
              <w:rPr>
                <w:rFonts w:ascii="Arial" w:cs="Arial" w:eastAsia="Arial" w:hAnsi="Arial"/>
                <w:sz w:val="18"/>
                <w:szCs w:val="18"/>
                <w:b w:val="1"/>
                <w:bCs w:val="1"/>
                <w:color w:val="auto"/>
              </w:rPr>
              <w:t>79</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1,077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2,622</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Decrease due to settlements with tax authorities</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(42)</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1400" w:type="dxa"/>
            <w:vAlign w:val="bottom"/>
          </w:tcPr>
          <w:p>
            <w:pPr>
              <w:jc w:val="right"/>
              <w:spacing w:after="0"/>
              <w:rPr>
                <w:sz w:val="20"/>
                <w:szCs w:val="20"/>
                <w:color w:val="auto"/>
              </w:rPr>
            </w:pPr>
            <w:r>
              <w:rPr>
                <w:rFonts w:ascii="Arial" w:cs="Arial" w:eastAsia="Arial" w:hAnsi="Arial"/>
                <w:sz w:val="18"/>
                <w:szCs w:val="18"/>
                <w:color w:val="auto"/>
              </w:rPr>
              <w:t>(16,721)</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Decrease due to lapse in statute of limitations</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(90)</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(6,775)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05"/>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(1,931)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189"/>
        </w:trPr>
        <w:tc>
          <w:tcPr>
            <w:tcW w:w="60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6"/>
        </w:trPr>
        <w:tc>
          <w:tcPr>
            <w:tcW w:w="60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21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$19,606</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$19,509</w:t>
            </w: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$12,538</w:t>
            </w:r>
          </w:p>
        </w:tc>
      </w:tr>
    </w:tbl>
    <w:p>
      <w:pPr>
        <w:spacing w:after="0" w:line="39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related to the unrecognized tax benefits noted above of ($0.1) million, $1.0 million and ($1.3) million in the Consolidated Statements of Income in 2015, 2014 and 2013, respectively. The 2013 negative amount include the reversal of $1.4 million of interest and penalties related to the settlement of audits. As of December 31, 2015, 2014 and 2013 the Company had approximately $0.4 million, $0.4 million, and $0.1 million respectively, of accrued interest and penalties related to unrecognized tax benefits.</w:t>
      </w:r>
    </w:p>
    <w:p>
      <w:pPr>
        <w:spacing w:after="0" w:line="16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2015. We are currently under audit in the U.S. and in other non-U.S. tax jurisdictions, including but not limited to Canada, Germany, and Italy.</w:t>
      </w:r>
    </w:p>
    <w:p>
      <w:pPr>
        <w:spacing w:after="0" w:line="162"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$ 0.6 million to a net decrease of $3.6 million, from the reevaluation of uncertain tax positions arising in examinations, in appeals, or in the courts, or from the closure of tax statutes. The range principally results from the matter described in the following paragraph.</w:t>
      </w:r>
    </w:p>
    <w:p>
      <w:pPr>
        <w:spacing w:after="0" w:line="17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 recognized current and deferred tax benefits of approximately $25.3 million on their corporate income tax returns filed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was published during the fourth quarter of 2014. Although the decision of the FTC in the case is not determinative of the outcome in our case, management views the conclusion of this matter as an opportunity to approach the German tax authorities with the goal of a settlement agreement. We were required to pay tax and interest of approximately $14.5 million to the German tax authorities in order to pursue our appeal position. In</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3" w:name="page74"/>
    <w:bookmarkEnd w:id="73"/>
    <w:p>
      <w:pPr>
        <w:ind w:right="40"/>
        <w:spacing w:after="0" w:line="238" w:lineRule="auto"/>
        <w:rPr>
          <w:sz w:val="20"/>
          <w:szCs w:val="20"/>
          <w:color w:val="auto"/>
        </w:rPr>
      </w:pPr>
      <w:r>
        <w:rPr>
          <w:rFonts w:ascii="Arial" w:cs="Arial" w:eastAsia="Arial" w:hAnsi="Arial"/>
          <w:sz w:val="18"/>
          <w:szCs w:val="18"/>
          <w:color w:val="auto"/>
        </w:rPr>
        <w:t>anticipation of a settlement, a portion of the prepaid taxes and interest along with certain deferred tax assets were adjusted downward by $6.3 million in 2014 and $6.4 million in 2015. The recognition of the uncertain tax position in deferred tax assets was partially offset by a reduction in a valuation allowance that offset the deferred tax assets. The remaining tax benefits sustained on the books are related to current tax benefits that were recognized in earlier tax years. Included in the range above is approximately $3.2 million of tax benefits that will continue to be challenged by the German tax authorities.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current income taxes prepaid and deferred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173"/>
        </w:trPr>
        <w:tc>
          <w:tcPr>
            <w:tcW w:w="6400" w:type="dxa"/>
            <w:vAlign w:val="bottom"/>
          </w:tcPr>
          <w:p>
            <w:pPr>
              <w:ind w:left="40"/>
              <w:spacing w:after="0" w:line="173" w:lineRule="exact"/>
              <w:rPr>
                <w:sz w:val="20"/>
                <w:szCs w:val="20"/>
                <w:color w:val="auto"/>
              </w:rPr>
            </w:pPr>
            <w:r>
              <w:rPr>
                <w:rFonts w:ascii="Arial" w:cs="Arial" w:eastAsia="Arial" w:hAnsi="Arial"/>
                <w:sz w:val="18"/>
                <w:szCs w:val="18"/>
                <w:color w:val="auto"/>
              </w:rPr>
              <w:t>Prepaid taxes</w:t>
            </w:r>
          </w:p>
        </w:tc>
        <w:tc>
          <w:tcPr>
            <w:tcW w:w="378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$2,417</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r>
      <w:tr>
        <w:trPr>
          <w:trHeight w:val="203"/>
        </w:trPr>
        <w:tc>
          <w:tcPr>
            <w:tcW w:w="6400" w:type="dxa"/>
            <w:vAlign w:val="bottom"/>
          </w:tcPr>
          <w:p>
            <w:pPr>
              <w:ind w:left="40"/>
              <w:spacing w:after="0" w:line="202" w:lineRule="exact"/>
              <w:rPr>
                <w:sz w:val="20"/>
                <w:szCs w:val="20"/>
                <w:color w:val="auto"/>
              </w:rPr>
            </w:pPr>
            <w:r>
              <w:rPr>
                <w:rFonts w:ascii="Arial" w:cs="Arial" w:eastAsia="Arial" w:hAnsi="Arial"/>
                <w:sz w:val="18"/>
                <w:szCs w:val="18"/>
                <w:color w:val="auto"/>
              </w:rPr>
              <w:t>Taxes receivable</w:t>
            </w:r>
          </w:p>
        </w:tc>
        <w:tc>
          <w:tcPr>
            <w:tcW w:w="378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510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3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6,743</w:t>
            </w:r>
          </w:p>
        </w:tc>
      </w:tr>
      <w:tr>
        <w:trPr>
          <w:trHeight w:val="196"/>
        </w:trPr>
        <w:tc>
          <w:tcPr>
            <w:tcW w:w="6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current income taxes prepaid and deferred</w:t>
            </w:r>
          </w:p>
        </w:tc>
        <w:tc>
          <w:tcPr>
            <w:tcW w:w="37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$2,927</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$6,743</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noncurrent income taxes receivable and deferred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5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173"/>
        </w:trPr>
        <w:tc>
          <w:tcPr>
            <w:tcW w:w="6560" w:type="dxa"/>
            <w:vAlign w:val="bottom"/>
          </w:tcPr>
          <w:p>
            <w:pPr>
              <w:ind w:left="40"/>
              <w:spacing w:after="0" w:line="173" w:lineRule="exact"/>
              <w:rPr>
                <w:sz w:val="20"/>
                <w:szCs w:val="20"/>
                <w:color w:val="auto"/>
              </w:rPr>
            </w:pPr>
            <w:r>
              <w:rPr>
                <w:rFonts w:ascii="Arial" w:cs="Arial" w:eastAsia="Arial" w:hAnsi="Arial"/>
                <w:sz w:val="18"/>
                <w:szCs w:val="18"/>
                <w:color w:val="auto"/>
              </w:rPr>
              <w:t>Deferred income taxes</w:t>
            </w:r>
          </w:p>
        </w:tc>
        <w:tc>
          <w:tcPr>
            <w:tcW w:w="358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$105,792</w:t>
            </w:r>
          </w:p>
        </w:tc>
        <w:tc>
          <w:tcPr>
            <w:tcW w:w="12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$59,022</w:t>
            </w:r>
          </w:p>
        </w:tc>
      </w:tr>
      <w:tr>
        <w:trPr>
          <w:trHeight w:val="225"/>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Taxes receivable</w:t>
            </w:r>
          </w:p>
        </w:tc>
        <w:tc>
          <w:tcPr>
            <w:tcW w:w="3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3,153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10,518</w:t>
            </w:r>
          </w:p>
        </w:tc>
      </w:tr>
      <w:tr>
        <w:trPr>
          <w:trHeight w:val="196"/>
        </w:trPr>
        <w:tc>
          <w:tcPr>
            <w:tcW w:w="65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income taxes receivable and deferred</w:t>
            </w:r>
          </w:p>
        </w:tc>
        <w:tc>
          <w:tcPr>
            <w:tcW w:w="35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$108,945</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$69,540</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current income taxes payable and deferred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173"/>
        </w:trPr>
        <w:tc>
          <w:tcPr>
            <w:tcW w:w="6420" w:type="dxa"/>
            <w:vAlign w:val="bottom"/>
          </w:tcPr>
          <w:p>
            <w:pPr>
              <w:ind w:left="40"/>
              <w:spacing w:after="0" w:line="173" w:lineRule="exact"/>
              <w:rPr>
                <w:sz w:val="20"/>
                <w:szCs w:val="20"/>
                <w:color w:val="auto"/>
              </w:rPr>
            </w:pPr>
            <w:r>
              <w:rPr>
                <w:rFonts w:ascii="Arial" w:cs="Arial" w:eastAsia="Arial" w:hAnsi="Arial"/>
                <w:sz w:val="18"/>
                <w:szCs w:val="18"/>
                <w:color w:val="auto"/>
              </w:rPr>
              <w:t>Taxes Payable</w:t>
            </w:r>
          </w:p>
        </w:tc>
        <w:tc>
          <w:tcPr>
            <w:tcW w:w="376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$7,090</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$2,211</w:t>
            </w:r>
          </w:p>
        </w:tc>
      </w:tr>
      <w:tr>
        <w:trPr>
          <w:trHeight w:val="225"/>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3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r>
      <w:tr>
        <w:trPr>
          <w:trHeight w:val="196"/>
        </w:trPr>
        <w:tc>
          <w:tcPr>
            <w:tcW w:w="64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current income taxes payable and deferred</w:t>
            </w:r>
          </w:p>
        </w:tc>
        <w:tc>
          <w:tcPr>
            <w:tcW w:w="37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$7,090</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$2,786</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noncurrent deferred taxes and other liabilities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173"/>
        </w:trPr>
        <w:tc>
          <w:tcPr>
            <w:tcW w:w="6460" w:type="dxa"/>
            <w:vAlign w:val="bottom"/>
          </w:tcPr>
          <w:p>
            <w:pPr>
              <w:ind w:left="40"/>
              <w:spacing w:after="0" w:line="173" w:lineRule="exact"/>
              <w:rPr>
                <w:sz w:val="20"/>
                <w:szCs w:val="20"/>
                <w:color w:val="auto"/>
              </w:rPr>
            </w:pPr>
            <w:r>
              <w:rPr>
                <w:rFonts w:ascii="Arial" w:cs="Arial" w:eastAsia="Arial" w:hAnsi="Arial"/>
                <w:sz w:val="18"/>
                <w:szCs w:val="18"/>
                <w:color w:val="auto"/>
              </w:rPr>
              <w:t>Deferred income taxes</w:t>
            </w:r>
          </w:p>
        </w:tc>
        <w:tc>
          <w:tcPr>
            <w:tcW w:w="372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$12,589</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$5,583</w:t>
            </w:r>
          </w:p>
        </w:tc>
      </w:tr>
      <w:tr>
        <w:trPr>
          <w:trHeight w:val="225"/>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3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1,565</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1,580</w:t>
            </w:r>
          </w:p>
        </w:tc>
      </w:tr>
      <w:tr>
        <w:trPr>
          <w:trHeight w:val="196"/>
        </w:trPr>
        <w:tc>
          <w:tcPr>
            <w:tcW w:w="64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taxes and other liabilities</w:t>
            </w:r>
          </w:p>
        </w:tc>
        <w:tc>
          <w:tcPr>
            <w:tcW w:w="37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$14,154</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$7,163</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paid, net of refunds, amounted to $18.3 million in 2015, $17.6 million in 2014, and $29.4 million in 2013.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22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6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99"/>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the Company</w:t>
            </w:r>
          </w:p>
        </w:tc>
        <w:tc>
          <w:tcPr>
            <w:tcW w:w="2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$57,279</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$41,569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$17,517</w:t>
            </w:r>
          </w:p>
        </w:tc>
        <w:tc>
          <w:tcPr>
            <w:tcW w:w="0" w:type="dxa"/>
            <w:vAlign w:val="bottom"/>
          </w:tcPr>
          <w:p>
            <w:pPr>
              <w:spacing w:after="0"/>
              <w:rPr>
                <w:sz w:val="1"/>
                <w:szCs w:val="1"/>
                <w:color w:val="auto"/>
              </w:rPr>
            </w:pPr>
          </w:p>
        </w:tc>
      </w:tr>
      <w:tr>
        <w:trPr>
          <w:trHeight w:val="412"/>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120" w:type="dxa"/>
            <w:vAlign w:val="bottom"/>
          </w:tcPr>
          <w:p>
            <w:pPr>
              <w:ind w:left="180"/>
              <w:spacing w:after="0"/>
              <w:rPr>
                <w:sz w:val="20"/>
                <w:szCs w:val="20"/>
                <w:color w:val="auto"/>
              </w:rPr>
            </w:pPr>
            <w:r>
              <w:rPr>
                <w:rFonts w:ascii="Arial" w:cs="Arial" w:eastAsia="Arial" w:hAnsi="Arial"/>
                <w:sz w:val="18"/>
                <w:szCs w:val="18"/>
                <w:color w:val="auto"/>
              </w:rPr>
              <w:t>Weighted average number of shares used in</w:t>
            </w:r>
          </w:p>
        </w:tc>
        <w:tc>
          <w:tcPr>
            <w:tcW w:w="2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31,978</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8"/>
                <w:szCs w:val="18"/>
                <w:color w:val="auto"/>
              </w:rPr>
              <w:t>calculating basic net income per share</w:t>
            </w:r>
          </w:p>
        </w:tc>
        <w:tc>
          <w:tcPr>
            <w:tcW w:w="2280" w:type="dxa"/>
            <w:vAlign w:val="bottom"/>
            <w:vMerge w:val="continue"/>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31,832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405"/>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58</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05"/>
        </w:trPr>
        <w:tc>
          <w:tcPr>
            <w:tcW w:w="6120" w:type="dxa"/>
            <w:vAlign w:val="bottom"/>
          </w:tcPr>
          <w:p>
            <w:pPr>
              <w:ind w:left="140"/>
              <w:spacing w:after="0"/>
              <w:rPr>
                <w:sz w:val="20"/>
                <w:szCs w:val="20"/>
                <w:color w:val="auto"/>
              </w:rPr>
            </w:pPr>
            <w:r>
              <w:rPr>
                <w:rFonts w:ascii="Arial" w:cs="Arial" w:eastAsia="Arial" w:hAnsi="Arial"/>
                <w:sz w:val="18"/>
                <w:szCs w:val="18"/>
                <w:color w:val="auto"/>
              </w:rPr>
              <w:t>Long-term incentive plan</w:t>
            </w: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52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391"/>
        </w:trPr>
        <w:tc>
          <w:tcPr>
            <w:tcW w:w="6120" w:type="dxa"/>
            <w:vAlign w:val="bottom"/>
          </w:tcPr>
          <w:p>
            <w:pPr>
              <w:ind w:left="40"/>
              <w:spacing w:after="0"/>
              <w:rPr>
                <w:sz w:val="20"/>
                <w:szCs w:val="20"/>
                <w:color w:val="auto"/>
              </w:rPr>
            </w:pPr>
            <w:r>
              <w:rPr>
                <w:rFonts w:ascii="Arial" w:cs="Arial" w:eastAsia="Arial" w:hAnsi="Arial"/>
                <w:sz w:val="18"/>
                <w:szCs w:val="18"/>
                <w:color w:val="auto"/>
              </w:rPr>
              <w:t>Weighted average number of shares used in</w:t>
            </w:r>
          </w:p>
        </w:tc>
        <w:tc>
          <w:tcPr>
            <w:tcW w:w="2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32,088</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calculating diluted net income per share</w:t>
            </w:r>
          </w:p>
        </w:tc>
        <w:tc>
          <w:tcPr>
            <w:tcW w:w="22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31,988</w:t>
            </w: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31,934</w:t>
            </w:r>
          </w:p>
        </w:tc>
        <w:tc>
          <w:tcPr>
            <w:tcW w:w="0" w:type="dxa"/>
            <w:vAlign w:val="bottom"/>
          </w:tcPr>
          <w:p>
            <w:pPr>
              <w:spacing w:after="0"/>
              <w:rPr>
                <w:sz w:val="1"/>
                <w:szCs w:val="1"/>
                <w:color w:val="auto"/>
              </w:rPr>
            </w:pPr>
          </w:p>
        </w:tc>
      </w:tr>
      <w:tr>
        <w:trPr>
          <w:trHeight w:val="398"/>
        </w:trPr>
        <w:tc>
          <w:tcPr>
            <w:tcW w:w="6120" w:type="dxa"/>
            <w:vAlign w:val="bottom"/>
          </w:tcPr>
          <w:p>
            <w:pPr>
              <w:ind w:left="40"/>
              <w:spacing w:after="0"/>
              <w:rPr>
                <w:sz w:val="20"/>
                <w:szCs w:val="20"/>
                <w:color w:val="auto"/>
              </w:rPr>
            </w:pPr>
            <w:r>
              <w:rPr>
                <w:rFonts w:ascii="Arial" w:cs="Arial" w:eastAsia="Arial" w:hAnsi="Arial"/>
                <w:sz w:val="18"/>
                <w:szCs w:val="18"/>
                <w:color w:val="auto"/>
              </w:rPr>
              <w:t>Average market price of common stock used</w:t>
            </w:r>
          </w:p>
        </w:tc>
        <w:tc>
          <w:tcPr>
            <w:tcW w:w="2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$36.68</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 calculation of dilutive shares</w:t>
            </w:r>
          </w:p>
        </w:tc>
        <w:tc>
          <w:tcPr>
            <w:tcW w:w="22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$36.29</w:t>
            </w: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412"/>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tcPr>
          <w:p>
            <w:pPr>
              <w:ind w:left="180"/>
              <w:spacing w:after="0"/>
              <w:rPr>
                <w:sz w:val="20"/>
                <w:szCs w:val="20"/>
                <w:color w:val="auto"/>
              </w:rPr>
            </w:pPr>
            <w:r>
              <w:rPr>
                <w:rFonts w:ascii="Arial" w:cs="Arial" w:eastAsia="Arial" w:hAnsi="Arial"/>
                <w:sz w:val="18"/>
                <w:szCs w:val="18"/>
                <w:color w:val="auto"/>
              </w:rPr>
              <w:t>Basic</w:t>
            </w: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$1.79</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$1.31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392"/>
        </w:trPr>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$1.79</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Shares outstanding, net of treasury shares, were 32.0 million as of December 31, 2015, 31.9 million as of December 31, 2014, and 31.8 million as of December 31, 2013.</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r>
              <w:rPr>
                <w:rFonts w:ascii="Arial" w:cs="Arial" w:eastAsia="Arial" w:hAnsi="Arial"/>
                <w:sz w:val="18"/>
                <w:szCs w:val="18"/>
                <w:b w:val="1"/>
                <w:bCs w:val="1"/>
                <w:color w:val="auto"/>
              </w:rPr>
              <w:t>9. Accumulated Other Comprehensive Income (AOCI)</w:t>
            </w:r>
          </w:p>
        </w:tc>
        <w:tc>
          <w:tcPr>
            <w:tcW w:w="1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92"/>
        </w:trPr>
        <w:tc>
          <w:tcPr>
            <w:tcW w:w="9900" w:type="dxa"/>
            <w:vAlign w:val="bottom"/>
            <w:gridSpan w:val="4"/>
          </w:tcPr>
          <w:p>
            <w:pPr>
              <w:ind w:left="660"/>
              <w:spacing w:after="0"/>
              <w:rPr>
                <w:sz w:val="20"/>
                <w:szCs w:val="20"/>
                <w:color w:val="auto"/>
              </w:rPr>
            </w:pPr>
            <w:r>
              <w:rPr>
                <w:rFonts w:ascii="Arial" w:cs="Arial" w:eastAsia="Arial" w:hAnsi="Arial"/>
                <w:sz w:val="18"/>
                <w:szCs w:val="18"/>
                <w:color w:val="auto"/>
              </w:rPr>
              <w:t>The table below presents changes in the components of AOCI from January 1, 2013 to December 31, 2015:</w:t>
            </w:r>
          </w:p>
        </w:tc>
        <w:tc>
          <w:tcPr>
            <w:tcW w:w="1520" w:type="dxa"/>
            <w:vAlign w:val="bottom"/>
          </w:tcPr>
          <w:p>
            <w:pPr>
              <w:spacing w:after="0"/>
              <w:rPr>
                <w:sz w:val="24"/>
                <w:szCs w:val="24"/>
                <w:color w:val="auto"/>
              </w:rPr>
            </w:pPr>
          </w:p>
        </w:tc>
      </w:tr>
      <w:tr>
        <w:trPr>
          <w:trHeight w:val="364"/>
        </w:trPr>
        <w:tc>
          <w:tcPr>
            <w:tcW w:w="4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99"/>
              </w:rPr>
              <w:t>Pension and</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4860" w:type="dxa"/>
            <w:vAlign w:val="bottom"/>
          </w:tcPr>
          <w:p>
            <w:pPr>
              <w:spacing w:after="0"/>
              <w:rPr>
                <w:sz w:val="17"/>
                <w:szCs w:val="17"/>
                <w:color w:val="auto"/>
              </w:rPr>
            </w:pP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Translation</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48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66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adjustments</w:t>
            </w:r>
          </w:p>
        </w:tc>
        <w:tc>
          <w:tcPr>
            <w:tcW w:w="17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adjustment</w:t>
            </w:r>
          </w:p>
        </w:tc>
        <w:tc>
          <w:tcPr>
            <w:tcW w:w="152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rPr>
              <w:t>Income</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January 1, 2013</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($7,659)</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($69,484)</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($2,878)</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($80,021)</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6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7,521</w:t>
            </w:r>
          </w:p>
        </w:tc>
        <w:tc>
          <w:tcPr>
            <w:tcW w:w="17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614</w:t>
            </w:r>
          </w:p>
        </w:tc>
        <w:tc>
          <w:tcPr>
            <w:tcW w:w="16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742</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8,877</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Postretirement plan change in benefits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4,864</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4,864</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13,771</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13,771</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plan change in benefits</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(374)</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Statement of Income, net of tax</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1,159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1,159</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2,226</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2,226</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7,521</w:t>
            </w:r>
          </w:p>
        </w:tc>
        <w:tc>
          <w:tcPr>
            <w:tcW w:w="1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21,101</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1,901</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30,523</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2013</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(138)</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(48,383)</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(977)</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(49,498)</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(55,102)</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252</w:t>
            </w: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(1,052)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(55,902)</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5,167</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5,167</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(9,265)</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(9,265)</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Statement of Income, net of tax</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1,168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1,168</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563</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563</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(55,102)</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(3,283)</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116</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(58,269)</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2014</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(55,240)</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(51,666)</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(861)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(53,415)</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2,238</w:t>
            </w: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(1,836)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(53,013)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(622)</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Statement of Income, net of tax</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1,233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1,222</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1,222</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(53,415)</w:t>
            </w:r>
          </w:p>
        </w:tc>
        <w:tc>
          <w:tcPr>
            <w:tcW w:w="1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2,941</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(603)</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(51,077)</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2015</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($108,655)</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($48,725)</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($1,464)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r>
    </w:tbl>
    <w:p>
      <w:pPr>
        <w:spacing w:after="0" w:line="377"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As part of the Company’s pension de-risking strategy, in 2014, certain U.S. participants received a lump-sum distribution from the pension plan, which led to a pension settlement charge of $8.2 million. Including other 2014 pension plan settlements and curtailments, the amount reclassified from AOCI was $8.4 million before tax, and $5.2 million after tax effects.</w:t>
      </w:r>
    </w:p>
    <w:p>
      <w:pPr>
        <w:spacing w:after="0" w:line="176"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In 2013, the Company modified certain provisions of its U.S. postretirement plan. The change in plan benefits decreased pretax liabilities by $8.0 million, resulting in a $4.9 million increase to AOCI.</w:t>
      </w:r>
    </w:p>
    <w:p>
      <w:pPr>
        <w:spacing w:after="0" w:line="156"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197"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76" w:name="page77"/>
    <w:bookmarkEnd w:id="76"/>
    <w:p>
      <w:pPr>
        <w:ind w:right="8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periods ended December 31, 2015 and 2014.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0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73"/>
        </w:trPr>
        <w:tc>
          <w:tcPr>
            <w:tcW w:w="5780" w:type="dxa"/>
            <w:vAlign w:val="bottom"/>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w:t>
            </w:r>
          </w:p>
        </w:tc>
        <w:tc>
          <w:tcPr>
            <w:tcW w:w="2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60"/>
              <w:spacing w:after="0" w:line="202" w:lineRule="exact"/>
              <w:rPr>
                <w:sz w:val="20"/>
                <w:szCs w:val="20"/>
                <w:color w:val="auto"/>
              </w:rPr>
            </w:pPr>
            <w:r>
              <w:rPr>
                <w:rFonts w:ascii="Arial" w:cs="Arial" w:eastAsia="Arial" w:hAnsi="Arial"/>
                <w:sz w:val="18"/>
                <w:szCs w:val="18"/>
                <w:color w:val="auto"/>
              </w:rPr>
              <w:t>Payments made on interest rate swaps included in Income</w:t>
            </w:r>
          </w:p>
        </w:tc>
        <w:tc>
          <w:tcPr>
            <w:tcW w:w="20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$1,988</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60"/>
              <w:spacing w:after="0" w:line="181" w:lineRule="exact"/>
              <w:rPr>
                <w:sz w:val="20"/>
                <w:szCs w:val="20"/>
                <w:color w:val="auto"/>
              </w:rPr>
            </w:pPr>
            <w:r>
              <w:rPr>
                <w:rFonts w:ascii="Arial" w:cs="Arial" w:eastAsia="Arial" w:hAnsi="Arial"/>
                <w:sz w:val="18"/>
                <w:szCs w:val="18"/>
                <w:color w:val="auto"/>
              </w:rPr>
              <w:t>before taxes (a)</w:t>
            </w:r>
          </w:p>
        </w:tc>
        <w:tc>
          <w:tcPr>
            <w:tcW w:w="208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$1,914</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 effect</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(755)</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(746)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95"/>
        </w:trPr>
        <w:tc>
          <w:tcPr>
            <w:tcW w:w="5780" w:type="dxa"/>
            <w:vAlign w:val="bottom"/>
          </w:tcPr>
          <w:p>
            <w:pPr>
              <w:ind w:left="40"/>
              <w:spacing w:after="0" w:line="195" w:lineRule="exact"/>
              <w:rPr>
                <w:sz w:val="20"/>
                <w:szCs w:val="20"/>
                <w:color w:val="auto"/>
              </w:rPr>
            </w:pPr>
            <w:r>
              <w:rPr>
                <w:rFonts w:ascii="Arial" w:cs="Arial" w:eastAsia="Arial" w:hAnsi="Arial"/>
                <w:sz w:val="18"/>
                <w:szCs w:val="18"/>
                <w:color w:val="auto"/>
              </w:rPr>
              <w:t>Effect on net income due to items reclassified from Accumulated</w:t>
            </w:r>
          </w:p>
        </w:tc>
        <w:tc>
          <w:tcPr>
            <w:tcW w:w="20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$1,233</w:t>
            </w:r>
          </w:p>
        </w:tc>
        <w:tc>
          <w:tcPr>
            <w:tcW w:w="2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Other Comprehensive Income</w:t>
            </w:r>
          </w:p>
        </w:tc>
        <w:tc>
          <w:tcPr>
            <w:tcW w:w="208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$1,168</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376"/>
        </w:trPr>
        <w:tc>
          <w:tcPr>
            <w:tcW w:w="5780" w:type="dxa"/>
            <w:vAlign w:val="bottom"/>
          </w:tcPr>
          <w:p>
            <w:pPr>
              <w:spacing w:after="0"/>
              <w:rPr>
                <w:sz w:val="20"/>
                <w:szCs w:val="20"/>
                <w:color w:val="auto"/>
              </w:rPr>
            </w:pPr>
            <w:r>
              <w:rPr>
                <w:rFonts w:ascii="Arial" w:cs="Arial" w:eastAsia="Arial" w:hAnsi="Arial"/>
                <w:sz w:val="18"/>
                <w:szCs w:val="18"/>
                <w:b w:val="1"/>
                <w:bCs w:val="1"/>
                <w:color w:val="auto"/>
              </w:rPr>
              <w:t>Pretax pension and postretirement liabilities reclassified</w:t>
            </w:r>
          </w:p>
        </w:tc>
        <w:tc>
          <w:tcPr>
            <w:tcW w:w="2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Arial" w:cs="Arial" w:eastAsia="Arial" w:hAnsi="Arial"/>
                <w:sz w:val="18"/>
                <w:szCs w:val="18"/>
                <w:b w:val="1"/>
                <w:bCs w:val="1"/>
                <w:color w:val="auto"/>
              </w:rPr>
              <w:t>from Accumulated Other Comprehensive Income:</w:t>
            </w:r>
          </w:p>
        </w:tc>
        <w:tc>
          <w:tcPr>
            <w:tcW w:w="20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$103</w:t>
            </w:r>
          </w:p>
        </w:tc>
        <w:tc>
          <w:tcPr>
            <w:tcW w:w="2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18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208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$8,377</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prior service credit</w:t>
            </w:r>
          </w:p>
        </w:tc>
        <w:tc>
          <w:tcPr>
            <w:tcW w:w="20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(4,440)</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(4,436)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transition obligation</w:t>
            </w:r>
          </w:p>
        </w:tc>
        <w:tc>
          <w:tcPr>
            <w:tcW w:w="2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Amortization of net actuarial loss</w:t>
            </w:r>
          </w:p>
        </w:tc>
        <w:tc>
          <w:tcPr>
            <w:tcW w:w="2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5,932</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5,329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32"/>
        </w:trPr>
        <w:tc>
          <w:tcPr>
            <w:tcW w:w="5780" w:type="dxa"/>
            <w:vAlign w:val="bottom"/>
          </w:tcPr>
          <w:p>
            <w:pPr>
              <w:ind w:left="40"/>
              <w:spacing w:after="0"/>
              <w:rPr>
                <w:sz w:val="20"/>
                <w:szCs w:val="20"/>
                <w:color w:val="auto"/>
              </w:rPr>
            </w:pPr>
            <w:r>
              <w:rPr>
                <w:rFonts w:ascii="Arial" w:cs="Arial" w:eastAsia="Arial" w:hAnsi="Arial"/>
                <w:sz w:val="18"/>
                <w:szCs w:val="18"/>
                <w:color w:val="auto"/>
              </w:rPr>
              <w:t>Total pretax amount reclassified (b)</w:t>
            </w: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auto"/>
              </w:rPr>
              <w:t>1,595</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9,270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369"/>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effect</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(270)</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(3,540)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95"/>
        </w:trPr>
        <w:tc>
          <w:tcPr>
            <w:tcW w:w="5780" w:type="dxa"/>
            <w:vAlign w:val="bottom"/>
          </w:tcPr>
          <w:p>
            <w:pPr>
              <w:ind w:left="40"/>
              <w:spacing w:after="0" w:line="195" w:lineRule="exact"/>
              <w:rPr>
                <w:sz w:val="20"/>
                <w:szCs w:val="20"/>
                <w:color w:val="auto"/>
              </w:rPr>
            </w:pPr>
            <w:r>
              <w:rPr>
                <w:rFonts w:ascii="Arial" w:cs="Arial" w:eastAsia="Arial" w:hAnsi="Arial"/>
                <w:sz w:val="18"/>
                <w:szCs w:val="18"/>
                <w:color w:val="auto"/>
              </w:rPr>
              <w:t>Effect on net income due to items reclassified from Accumulated</w:t>
            </w:r>
          </w:p>
        </w:tc>
        <w:tc>
          <w:tcPr>
            <w:tcW w:w="20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$1,325</w:t>
            </w:r>
          </w:p>
        </w:tc>
        <w:tc>
          <w:tcPr>
            <w:tcW w:w="2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Other Comprehensive Income</w:t>
            </w:r>
          </w:p>
        </w:tc>
        <w:tc>
          <w:tcPr>
            <w:tcW w:w="208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$5,730</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in Interest expense.</w:t>
      </w: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w:t>
      </w:r>
    </w:p>
    <w:p>
      <w:pPr>
        <w:spacing w:after="0" w:line="193"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78"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61"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00"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173"/>
        </w:trPr>
        <w:tc>
          <w:tcPr>
            <w:tcW w:w="7060" w:type="dxa"/>
            <w:vAlign w:val="bottom"/>
          </w:tcPr>
          <w:p>
            <w:pPr>
              <w:ind w:left="40"/>
              <w:spacing w:after="0" w:line="173" w:lineRule="exact"/>
              <w:rPr>
                <w:sz w:val="20"/>
                <w:szCs w:val="20"/>
                <w:color w:val="auto"/>
              </w:rPr>
            </w:pPr>
            <w:r>
              <w:rPr>
                <w:rFonts w:ascii="Arial" w:cs="Arial" w:eastAsia="Arial" w:hAnsi="Arial"/>
                <w:sz w:val="18"/>
                <w:szCs w:val="18"/>
                <w:color w:val="auto"/>
              </w:rPr>
              <w:t>Net income of ASC</w:t>
            </w:r>
          </w:p>
        </w:tc>
        <w:tc>
          <w:tcPr>
            <w:tcW w:w="258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$842</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$2,816</w:t>
            </w:r>
          </w:p>
        </w:tc>
      </w:tr>
      <w:tr>
        <w:trPr>
          <w:trHeight w:val="225"/>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Return attributable to the Company's preferred holding</w:t>
            </w:r>
          </w:p>
        </w:tc>
        <w:tc>
          <w:tcPr>
            <w:tcW w:w="2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978</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1,019</w:t>
            </w:r>
          </w:p>
        </w:tc>
      </w:tr>
      <w:tr>
        <w:trPr>
          <w:trHeight w:val="173"/>
        </w:trPr>
        <w:tc>
          <w:tcPr>
            <w:tcW w:w="7060" w:type="dxa"/>
            <w:vAlign w:val="bottom"/>
          </w:tcPr>
          <w:p>
            <w:pPr>
              <w:ind w:left="40"/>
              <w:spacing w:after="0" w:line="173" w:lineRule="exact"/>
              <w:rPr>
                <w:sz w:val="20"/>
                <w:szCs w:val="20"/>
                <w:color w:val="auto"/>
              </w:rPr>
            </w:pPr>
            <w:r>
              <w:rPr>
                <w:rFonts w:ascii="Arial" w:cs="Arial" w:eastAsia="Arial" w:hAnsi="Arial"/>
                <w:sz w:val="18"/>
                <w:szCs w:val="18"/>
                <w:color w:val="auto"/>
              </w:rPr>
              <w:t>Net (loss)/income of ASC available for common ownership</w:t>
            </w:r>
          </w:p>
        </w:tc>
        <w:tc>
          <w:tcPr>
            <w:tcW w:w="258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($136)</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1,797</w:t>
            </w:r>
          </w:p>
        </w:tc>
      </w:tr>
      <w:tr>
        <w:trPr>
          <w:trHeight w:val="225"/>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Ownership percentage of noncontrolling shareholder</w:t>
            </w:r>
          </w:p>
        </w:tc>
        <w:tc>
          <w:tcPr>
            <w:tcW w:w="2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0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(loss)/income attributable to noncontrolling interest</w:t>
            </w:r>
          </w:p>
        </w:tc>
        <w:tc>
          <w:tcPr>
            <w:tcW w:w="25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($14)</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$180</w:t>
            </w:r>
          </w:p>
        </w:tc>
      </w:tr>
      <w:tr>
        <w:trPr>
          <w:trHeight w:val="376"/>
        </w:trPr>
        <w:tc>
          <w:tcPr>
            <w:tcW w:w="7060" w:type="dxa"/>
            <w:vAlign w:val="bottom"/>
          </w:tcPr>
          <w:p>
            <w:pPr>
              <w:ind w:left="40"/>
              <w:spacing w:after="0"/>
              <w:rPr>
                <w:sz w:val="20"/>
                <w:szCs w:val="20"/>
                <w:color w:val="auto"/>
              </w:rPr>
            </w:pPr>
            <w:r>
              <w:rPr>
                <w:rFonts w:ascii="Arial" w:cs="Arial" w:eastAsia="Arial" w:hAnsi="Arial"/>
                <w:sz w:val="18"/>
                <w:szCs w:val="18"/>
                <w:color w:val="auto"/>
              </w:rPr>
              <w:t>Noncontrolling interest, beginning of year</w:t>
            </w:r>
          </w:p>
        </w:tc>
        <w:tc>
          <w:tcPr>
            <w:tcW w:w="2580" w:type="dxa"/>
            <w:vAlign w:val="bottom"/>
          </w:tcPr>
          <w:p>
            <w:pPr>
              <w:jc w:val="right"/>
              <w:ind w:right="830"/>
              <w:spacing w:after="0"/>
              <w:rPr>
                <w:sz w:val="20"/>
                <w:szCs w:val="20"/>
                <w:color w:val="auto"/>
              </w:rPr>
            </w:pPr>
            <w:r>
              <w:rPr>
                <w:rFonts w:ascii="Arial" w:cs="Arial" w:eastAsia="Arial" w:hAnsi="Arial"/>
                <w:sz w:val="18"/>
                <w:szCs w:val="18"/>
                <w:b w:val="1"/>
                <w:bCs w:val="1"/>
                <w:color w:val="auto"/>
              </w:rPr>
              <w:t>$3,699</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$3,482</w:t>
            </w:r>
          </w:p>
        </w:tc>
      </w:tr>
      <w:tr>
        <w:trPr>
          <w:trHeight w:val="203"/>
        </w:trPr>
        <w:tc>
          <w:tcPr>
            <w:tcW w:w="7060" w:type="dxa"/>
            <w:vAlign w:val="bottom"/>
          </w:tcPr>
          <w:p>
            <w:pPr>
              <w:ind w:left="40"/>
              <w:spacing w:after="0" w:line="202" w:lineRule="exact"/>
              <w:rPr>
                <w:sz w:val="20"/>
                <w:szCs w:val="20"/>
                <w:color w:val="auto"/>
              </w:rPr>
            </w:pPr>
            <w:r>
              <w:rPr>
                <w:rFonts w:ascii="Arial" w:cs="Arial" w:eastAsia="Arial" w:hAnsi="Arial"/>
                <w:sz w:val="18"/>
                <w:szCs w:val="18"/>
                <w:color w:val="auto"/>
              </w:rPr>
              <w:t>Adjustment to net assets contributed by Albany</w:t>
            </w:r>
          </w:p>
        </w:tc>
        <w:tc>
          <w:tcPr>
            <w:tcW w:w="25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w:t>
            </w:r>
          </w:p>
        </w:tc>
      </w:tr>
      <w:tr>
        <w:trPr>
          <w:trHeight w:val="203"/>
        </w:trPr>
        <w:tc>
          <w:tcPr>
            <w:tcW w:w="7060" w:type="dxa"/>
            <w:vAlign w:val="bottom"/>
          </w:tcPr>
          <w:p>
            <w:pPr>
              <w:ind w:left="40"/>
              <w:spacing w:after="0" w:line="202" w:lineRule="exact"/>
              <w:rPr>
                <w:sz w:val="20"/>
                <w:szCs w:val="20"/>
                <w:color w:val="auto"/>
              </w:rPr>
            </w:pPr>
            <w:r>
              <w:rPr>
                <w:rFonts w:ascii="Arial" w:cs="Arial" w:eastAsia="Arial" w:hAnsi="Arial"/>
                <w:sz w:val="18"/>
                <w:szCs w:val="18"/>
                <w:color w:val="auto"/>
              </w:rPr>
              <w:t>Net (loss)/income attributable to noncontrolling interest</w:t>
            </w:r>
          </w:p>
        </w:tc>
        <w:tc>
          <w:tcPr>
            <w:tcW w:w="25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(14)</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180</w:t>
            </w:r>
          </w:p>
        </w:tc>
      </w:tr>
      <w:tr>
        <w:trPr>
          <w:trHeight w:val="225"/>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5</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196"/>
        </w:trPr>
        <w:tc>
          <w:tcPr>
            <w:tcW w:w="70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Noncontrolling interest, end of year</w:t>
            </w:r>
          </w:p>
        </w:tc>
        <w:tc>
          <w:tcPr>
            <w:tcW w:w="258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$3,690</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$3,699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reclassification and components of property, plant and equipment as of December 31, 2015 and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2014</w:t>
            </w:r>
          </w:p>
        </w:tc>
        <w:tc>
          <w:tcPr>
            <w:tcW w:w="3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Estimated useful life</w:t>
            </w:r>
          </w:p>
        </w:tc>
      </w:tr>
      <w:tr>
        <w:trPr>
          <w:trHeight w:val="412"/>
        </w:trPr>
        <w:tc>
          <w:tcPr>
            <w:tcW w:w="43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$14,307</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$22,967</w:t>
            </w:r>
          </w:p>
        </w:tc>
        <w:tc>
          <w:tcPr>
            <w:tcW w:w="3100" w:type="dxa"/>
            <w:vAlign w:val="bottom"/>
          </w:tcPr>
          <w:p>
            <w:pPr>
              <w:ind w:left="340"/>
              <w:spacing w:after="0"/>
              <w:rPr>
                <w:sz w:val="20"/>
                <w:szCs w:val="20"/>
                <w:color w:val="auto"/>
              </w:rPr>
            </w:pPr>
            <w:r>
              <w:rPr>
                <w:rFonts w:ascii="Arial" w:cs="Arial" w:eastAsia="Arial" w:hAnsi="Arial"/>
                <w:sz w:val="18"/>
                <w:szCs w:val="18"/>
                <w:color w:val="auto"/>
              </w:rPr>
              <w:t>25 years for improvements</w:t>
            </w:r>
          </w:p>
        </w:tc>
      </w:tr>
      <w:tr>
        <w:trPr>
          <w:trHeight w:val="405"/>
        </w:trPr>
        <w:tc>
          <w:tcPr>
            <w:tcW w:w="43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211,027</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225,094</w:t>
            </w:r>
          </w:p>
        </w:tc>
        <w:tc>
          <w:tcPr>
            <w:tcW w:w="3100" w:type="dxa"/>
            <w:vAlign w:val="bottom"/>
          </w:tcPr>
          <w:p>
            <w:pPr>
              <w:ind w:left="340"/>
              <w:spacing w:after="0"/>
              <w:rPr>
                <w:sz w:val="20"/>
                <w:szCs w:val="20"/>
                <w:color w:val="auto"/>
              </w:rPr>
            </w:pPr>
            <w:r>
              <w:rPr>
                <w:rFonts w:ascii="Arial" w:cs="Arial" w:eastAsia="Arial" w:hAnsi="Arial"/>
                <w:sz w:val="18"/>
                <w:szCs w:val="18"/>
                <w:color w:val="auto"/>
              </w:rPr>
              <w:t>25 to 40 years</w:t>
            </w:r>
          </w:p>
        </w:tc>
      </w:tr>
      <w:tr>
        <w:trPr>
          <w:trHeight w:val="405"/>
        </w:trPr>
        <w:tc>
          <w:tcPr>
            <w:tcW w:w="43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828,409</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892,171</w:t>
            </w:r>
          </w:p>
        </w:tc>
        <w:tc>
          <w:tcPr>
            <w:tcW w:w="3100" w:type="dxa"/>
            <w:vAlign w:val="bottom"/>
          </w:tcPr>
          <w:p>
            <w:pPr>
              <w:ind w:left="340"/>
              <w:spacing w:after="0"/>
              <w:rPr>
                <w:sz w:val="20"/>
                <w:szCs w:val="20"/>
                <w:color w:val="auto"/>
              </w:rPr>
            </w:pPr>
            <w:r>
              <w:rPr>
                <w:rFonts w:ascii="Arial" w:cs="Arial" w:eastAsia="Arial" w:hAnsi="Arial"/>
                <w:sz w:val="18"/>
                <w:szCs w:val="18"/>
                <w:color w:val="auto"/>
              </w:rPr>
              <w:t>10 years</w:t>
            </w:r>
          </w:p>
        </w:tc>
      </w:tr>
      <w:tr>
        <w:trPr>
          <w:trHeight w:val="405"/>
        </w:trPr>
        <w:tc>
          <w:tcPr>
            <w:tcW w:w="4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6,074</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6,716</w:t>
            </w:r>
          </w:p>
        </w:tc>
        <w:tc>
          <w:tcPr>
            <w:tcW w:w="3100" w:type="dxa"/>
            <w:vAlign w:val="bottom"/>
          </w:tcPr>
          <w:p>
            <w:pPr>
              <w:ind w:left="340"/>
              <w:spacing w:after="0"/>
              <w:rPr>
                <w:sz w:val="20"/>
                <w:szCs w:val="20"/>
                <w:color w:val="auto"/>
              </w:rPr>
            </w:pPr>
            <w:r>
              <w:rPr>
                <w:rFonts w:ascii="Arial" w:cs="Arial" w:eastAsia="Arial" w:hAnsi="Arial"/>
                <w:sz w:val="18"/>
                <w:szCs w:val="18"/>
                <w:color w:val="auto"/>
              </w:rPr>
              <w:t>5 years</w:t>
            </w:r>
          </w:p>
        </w:tc>
      </w:tr>
      <w:tr>
        <w:trPr>
          <w:trHeight w:val="405"/>
        </w:trPr>
        <w:tc>
          <w:tcPr>
            <w:tcW w:w="4360" w:type="dxa"/>
            <w:vAlign w:val="bottom"/>
          </w:tcPr>
          <w:p>
            <w:pPr>
              <w:ind w:left="40"/>
              <w:spacing w:after="0"/>
              <w:rPr>
                <w:sz w:val="20"/>
                <w:szCs w:val="20"/>
                <w:color w:val="auto"/>
              </w:rPr>
            </w:pPr>
            <w:r>
              <w:rPr>
                <w:rFonts w:ascii="Arial" w:cs="Arial" w:eastAsia="Arial" w:hAnsi="Arial"/>
                <w:sz w:val="18"/>
                <w:szCs w:val="18"/>
                <w:color w:val="auto"/>
              </w:rPr>
              <w:t>Computer and other equipment</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14,813</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13,692</w:t>
            </w:r>
          </w:p>
        </w:tc>
        <w:tc>
          <w:tcPr>
            <w:tcW w:w="3100" w:type="dxa"/>
            <w:vAlign w:val="bottom"/>
          </w:tcPr>
          <w:p>
            <w:pPr>
              <w:ind w:left="340"/>
              <w:spacing w:after="0"/>
              <w:rPr>
                <w:sz w:val="20"/>
                <w:szCs w:val="20"/>
                <w:color w:val="auto"/>
              </w:rPr>
            </w:pPr>
            <w:r>
              <w:rPr>
                <w:rFonts w:ascii="Arial" w:cs="Arial" w:eastAsia="Arial" w:hAnsi="Arial"/>
                <w:sz w:val="18"/>
                <w:szCs w:val="18"/>
                <w:color w:val="auto"/>
              </w:rPr>
              <w:t>3 to 10 years</w:t>
            </w:r>
          </w:p>
        </w:tc>
      </w:tr>
      <w:tr>
        <w:trPr>
          <w:trHeight w:val="405"/>
        </w:trPr>
        <w:tc>
          <w:tcPr>
            <w:tcW w:w="4360" w:type="dxa"/>
            <w:vAlign w:val="bottom"/>
          </w:tcPr>
          <w:p>
            <w:pPr>
              <w:ind w:left="40"/>
              <w:spacing w:after="0"/>
              <w:rPr>
                <w:sz w:val="20"/>
                <w:szCs w:val="20"/>
                <w:color w:val="auto"/>
              </w:rPr>
            </w:pPr>
            <w:r>
              <w:rPr>
                <w:rFonts w:ascii="Arial" w:cs="Arial" w:eastAsia="Arial" w:hAnsi="Arial"/>
                <w:sz w:val="18"/>
                <w:szCs w:val="18"/>
                <w:color w:val="auto"/>
              </w:rPr>
              <w:t>Software</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52,503</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50,586</w:t>
            </w:r>
          </w:p>
        </w:tc>
        <w:tc>
          <w:tcPr>
            <w:tcW w:w="3100" w:type="dxa"/>
            <w:vAlign w:val="bottom"/>
          </w:tcPr>
          <w:p>
            <w:pPr>
              <w:ind w:left="340"/>
              <w:spacing w:after="0"/>
              <w:rPr>
                <w:sz w:val="20"/>
                <w:szCs w:val="20"/>
                <w:color w:val="auto"/>
              </w:rPr>
            </w:pPr>
            <w:r>
              <w:rPr>
                <w:rFonts w:ascii="Arial" w:cs="Arial" w:eastAsia="Arial" w:hAnsi="Arial"/>
                <w:sz w:val="18"/>
                <w:szCs w:val="18"/>
                <w:color w:val="auto"/>
              </w:rPr>
              <w:t>5 to 8 years</w:t>
            </w:r>
          </w:p>
        </w:tc>
      </w:tr>
      <w:tr>
        <w:trPr>
          <w:trHeight w:val="3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Capital expenditures in progress</w:t>
            </w:r>
          </w:p>
        </w:tc>
        <w:tc>
          <w:tcPr>
            <w:tcW w:w="2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26,291</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48,593</w:t>
            </w:r>
          </w:p>
        </w:tc>
        <w:tc>
          <w:tcPr>
            <w:tcW w:w="3100" w:type="dxa"/>
            <w:vAlign w:val="bottom"/>
            <w:tcBorders>
              <w:bottom w:val="single" w:sz="8" w:color="auto"/>
            </w:tcBorders>
          </w:tcPr>
          <w:p>
            <w:pPr>
              <w:spacing w:after="0"/>
              <w:rPr>
                <w:sz w:val="24"/>
                <w:szCs w:val="24"/>
                <w:color w:val="auto"/>
              </w:rPr>
            </w:pPr>
          </w:p>
        </w:tc>
      </w:tr>
      <w:tr>
        <w:trPr>
          <w:trHeight w:val="412"/>
        </w:trPr>
        <w:tc>
          <w:tcPr>
            <w:tcW w:w="436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1,153,424</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1,259,819</w:t>
            </w:r>
          </w:p>
        </w:tc>
        <w:tc>
          <w:tcPr>
            <w:tcW w:w="3100" w:type="dxa"/>
            <w:vAlign w:val="bottom"/>
          </w:tcPr>
          <w:p>
            <w:pPr>
              <w:spacing w:after="0"/>
              <w:rPr>
                <w:sz w:val="24"/>
                <w:szCs w:val="24"/>
                <w:color w:val="auto"/>
              </w:rPr>
            </w:pPr>
          </w:p>
        </w:tc>
      </w:tr>
      <w:tr>
        <w:trPr>
          <w:trHeight w:val="3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(795,954)</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(864,706)</w:t>
            </w:r>
          </w:p>
        </w:tc>
        <w:tc>
          <w:tcPr>
            <w:tcW w:w="3100" w:type="dxa"/>
            <w:vAlign w:val="bottom"/>
            <w:tcBorders>
              <w:bottom w:val="single" w:sz="8" w:color="auto"/>
            </w:tcBorders>
          </w:tcPr>
          <w:p>
            <w:pPr>
              <w:spacing w:after="0"/>
              <w:rPr>
                <w:sz w:val="24"/>
                <w:szCs w:val="24"/>
                <w:color w:val="auto"/>
              </w:rPr>
            </w:pPr>
          </w:p>
        </w:tc>
      </w:tr>
      <w:tr>
        <w:trPr>
          <w:trHeight w:val="399"/>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2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$357,470</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$395,113</w:t>
            </w:r>
          </w:p>
        </w:tc>
        <w:tc>
          <w:tcPr>
            <w:tcW w:w="3100" w:type="dxa"/>
            <w:vAlign w:val="bottom"/>
            <w:tcBorders>
              <w:bottom w:val="single" w:sz="8" w:color="auto"/>
            </w:tcBorders>
          </w:tcPr>
          <w:p>
            <w:pPr>
              <w:spacing w:after="0"/>
              <w:rPr>
                <w:sz w:val="24"/>
                <w:szCs w:val="24"/>
                <w:color w:val="auto"/>
              </w:rPr>
            </w:pPr>
          </w:p>
        </w:tc>
      </w:tr>
    </w:tbl>
    <w:p>
      <w:pPr>
        <w:spacing w:after="0" w:line="37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2015, we reclassified to Asset held for sale real property of our former manufacturing facility in Germany. The value of $5.0 million as of December 31, 2015 reflects the estimated selling price. We anticipate the sale of the property to occur in 2016. Included in the table above for 2014 are $7.7 million in land and land improvements, $7.6 million in buildings, and $6.2 million in related accumulated depreciation, related to that asset.</w:t>
      </w:r>
    </w:p>
    <w:p>
      <w:pPr>
        <w:spacing w:after="0" w:line="161"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Expenditures for maintenance and repairs are charged to income as incurred and amounted to $16.6 million in 2015, $17.4 million in 2014, and $17.5 million in 2013.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78" w:name="page79"/>
    <w:bookmarkEnd w:id="78"/>
    <w:p>
      <w:pPr>
        <w:jc w:val="both"/>
        <w:ind w:right="40" w:firstLine="648"/>
        <w:spacing w:after="0" w:line="239" w:lineRule="auto"/>
        <w:rPr>
          <w:sz w:val="20"/>
          <w:szCs w:val="20"/>
          <w:color w:val="auto"/>
        </w:rPr>
      </w:pPr>
      <w:r>
        <w:rPr>
          <w:rFonts w:ascii="Arial" w:cs="Arial" w:eastAsia="Arial" w:hAnsi="Arial"/>
          <w:sz w:val="18"/>
          <w:szCs w:val="18"/>
          <w:color w:val="auto"/>
        </w:rPr>
        <w:t>Depreciation expense was $53.0 million in 2015, $ 56.6 million in 2014, and $57.2 million in 2013. Software amortization is recorded in Selling, general, and administrative expense and was $6.5 million in 2015, $6.2 million in 2014, and $6.0 million in 2013. Capital expenditures, including purchased software, were $50.6 million in 2015, $58.9 million in 2014, and $64.5 million in 2013. Unamortized software cost was $9.6 million and $13.8 million as of December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7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2"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2015, the Company applied the qualitative assessment approach in performing its annual evaluation of goodwill and concluded that no impairment provision was required. There were no amounts at risk due to the large spread between the fair and carrying values.</w:t>
      </w:r>
    </w:p>
    <w:p>
      <w:pPr>
        <w:spacing w:after="0" w:line="162"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2013 to December 31, 2015,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Balance at</w:t>
            </w:r>
          </w:p>
        </w:tc>
        <w:tc>
          <w:tcPr>
            <w:tcW w:w="14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Amortization</w:t>
            </w:r>
          </w:p>
        </w:tc>
        <w:tc>
          <w:tcPr>
            <w:tcW w:w="1600" w:type="dxa"/>
            <w:vAlign w:val="bottom"/>
            <w:tcBorders>
              <w:top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Currency</w:t>
            </w:r>
          </w:p>
        </w:tc>
        <w:tc>
          <w:tcPr>
            <w:tcW w:w="214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2014</w:t>
            </w:r>
          </w:p>
        </w:tc>
        <w:tc>
          <w:tcPr>
            <w:tcW w:w="1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Translation</w:t>
            </w:r>
          </w:p>
        </w:tc>
        <w:tc>
          <w:tcPr>
            <w:tcW w:w="21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2015</w:t>
            </w:r>
          </w:p>
        </w:tc>
      </w:tr>
      <w:tr>
        <w:trPr>
          <w:trHeight w:val="195"/>
        </w:trPr>
        <w:tc>
          <w:tcPr>
            <w:tcW w:w="3660" w:type="dxa"/>
            <w:vAlign w:val="bottom"/>
          </w:tcPr>
          <w:p>
            <w:pPr>
              <w:ind w:left="40"/>
              <w:spacing w:after="0" w:line="195" w:lineRule="exact"/>
              <w:rPr>
                <w:sz w:val="20"/>
                <w:szCs w:val="20"/>
                <w:color w:val="auto"/>
              </w:rPr>
            </w:pPr>
            <w:r>
              <w:rPr>
                <w:rFonts w:ascii="Arial" w:cs="Arial" w:eastAsia="Arial" w:hAnsi="Arial"/>
                <w:sz w:val="18"/>
                <w:szCs w:val="18"/>
                <w:color w:val="auto"/>
              </w:rPr>
              <w:t>Amortized intangible assets:</w:t>
            </w:r>
          </w:p>
        </w:tc>
        <w:tc>
          <w:tcPr>
            <w:tcW w:w="2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03"/>
        </w:trPr>
        <w:tc>
          <w:tcPr>
            <w:tcW w:w="366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560" w:type="dxa"/>
            <w:vAlign w:val="bottom"/>
          </w:tcPr>
          <w:p>
            <w:pPr>
              <w:jc w:val="right"/>
              <w:ind w:right="395"/>
              <w:spacing w:after="0" w:line="202" w:lineRule="exact"/>
              <w:rPr>
                <w:sz w:val="20"/>
                <w:szCs w:val="20"/>
                <w:color w:val="auto"/>
              </w:rPr>
            </w:pPr>
            <w:r>
              <w:rPr>
                <w:rFonts w:ascii="Arial" w:cs="Arial" w:eastAsia="Arial" w:hAnsi="Arial"/>
                <w:sz w:val="18"/>
                <w:szCs w:val="18"/>
                <w:color w:val="auto"/>
              </w:rPr>
              <w:t>$29</w:t>
            </w:r>
          </w:p>
        </w:tc>
        <w:tc>
          <w:tcPr>
            <w:tcW w:w="146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w:t>
            </w:r>
          </w:p>
        </w:tc>
        <w:tc>
          <w:tcPr>
            <w:tcW w:w="1600" w:type="dxa"/>
            <w:vAlign w:val="bottom"/>
          </w:tcPr>
          <w:p>
            <w:pPr>
              <w:spacing w:after="0"/>
              <w:rPr>
                <w:sz w:val="17"/>
                <w:szCs w:val="17"/>
                <w:color w:val="auto"/>
              </w:rPr>
            </w:pPr>
          </w:p>
        </w:tc>
        <w:tc>
          <w:tcPr>
            <w:tcW w:w="21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w:t>
            </w:r>
          </w:p>
        </w:tc>
      </w:tr>
      <w:tr>
        <w:trPr>
          <w:trHeight w:val="203"/>
        </w:trPr>
        <w:tc>
          <w:tcPr>
            <w:tcW w:w="366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560" w:type="dxa"/>
            <w:vAlign w:val="bottom"/>
          </w:tcPr>
          <w:p>
            <w:pPr>
              <w:jc w:val="right"/>
              <w:ind w:right="395"/>
              <w:spacing w:after="0" w:line="202" w:lineRule="exact"/>
              <w:rPr>
                <w:sz w:val="20"/>
                <w:szCs w:val="20"/>
                <w:color w:val="auto"/>
              </w:rPr>
            </w:pPr>
            <w:r>
              <w:rPr>
                <w:rFonts w:ascii="Arial" w:cs="Arial" w:eastAsia="Arial" w:hAnsi="Arial"/>
                <w:sz w:val="18"/>
                <w:szCs w:val="18"/>
                <w:color w:val="auto"/>
              </w:rPr>
              <w:t>202</w:t>
            </w:r>
          </w:p>
        </w:tc>
        <w:tc>
          <w:tcPr>
            <w:tcW w:w="146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(202)</w:t>
            </w:r>
          </w:p>
        </w:tc>
        <w:tc>
          <w:tcPr>
            <w:tcW w:w="1600" w:type="dxa"/>
            <w:vAlign w:val="bottom"/>
          </w:tcPr>
          <w:p>
            <w:pPr>
              <w:spacing w:after="0"/>
              <w:rPr>
                <w:sz w:val="17"/>
                <w:szCs w:val="17"/>
                <w:color w:val="auto"/>
              </w:rPr>
            </w:pPr>
          </w:p>
        </w:tc>
        <w:tc>
          <w:tcPr>
            <w:tcW w:w="21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560" w:type="dxa"/>
            <w:vAlign w:val="bottom"/>
            <w:tcBorders>
              <w:bottom w:val="single" w:sz="8" w:color="auto"/>
            </w:tcBorders>
          </w:tcPr>
          <w:p>
            <w:pPr>
              <w:jc w:val="right"/>
              <w:ind w:right="395"/>
              <w:spacing w:after="0" w:line="203" w:lineRule="exact"/>
              <w:rPr>
                <w:sz w:val="20"/>
                <w:szCs w:val="20"/>
                <w:color w:val="auto"/>
              </w:rPr>
            </w:pPr>
            <w:r>
              <w:rPr>
                <w:rFonts w:ascii="Arial" w:cs="Arial" w:eastAsia="Arial" w:hAnsi="Arial"/>
                <w:sz w:val="18"/>
                <w:szCs w:val="18"/>
                <w:color w:val="auto"/>
              </w:rPr>
              <w:t>154</w:t>
            </w:r>
          </w:p>
        </w:tc>
        <w:tc>
          <w:tcPr>
            <w:tcW w:w="1460" w:type="dxa"/>
            <w:vAlign w:val="bottom"/>
            <w:tcBorders>
              <w:bottom w:val="single" w:sz="8" w:color="auto"/>
            </w:tcBorders>
          </w:tcPr>
          <w:p>
            <w:pPr>
              <w:jc w:val="right"/>
              <w:ind w:right="293"/>
              <w:spacing w:after="0" w:line="203" w:lineRule="exact"/>
              <w:rPr>
                <w:sz w:val="20"/>
                <w:szCs w:val="20"/>
                <w:color w:val="auto"/>
              </w:rPr>
            </w:pPr>
            <w:r>
              <w:rPr>
                <w:rFonts w:ascii="Arial" w:cs="Arial" w:eastAsia="Arial" w:hAnsi="Arial"/>
                <w:sz w:val="18"/>
                <w:szCs w:val="18"/>
                <w:color w:val="auto"/>
              </w:rPr>
              <w:t>(25)</w:t>
            </w:r>
          </w:p>
        </w:tc>
        <w:tc>
          <w:tcPr>
            <w:tcW w:w="16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129</w:t>
            </w:r>
          </w:p>
        </w:tc>
      </w:tr>
      <w:tr>
        <w:trPr>
          <w:trHeight w:val="196"/>
        </w:trPr>
        <w:tc>
          <w:tcPr>
            <w:tcW w:w="36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2560" w:type="dxa"/>
            <w:vAlign w:val="bottom"/>
            <w:tcBorders>
              <w:bottom w:val="single" w:sz="8" w:color="auto"/>
            </w:tcBorders>
          </w:tcPr>
          <w:p>
            <w:pPr>
              <w:jc w:val="right"/>
              <w:ind w:right="395"/>
              <w:spacing w:after="0" w:line="196" w:lineRule="exact"/>
              <w:rPr>
                <w:sz w:val="20"/>
                <w:szCs w:val="20"/>
                <w:color w:val="auto"/>
              </w:rPr>
            </w:pPr>
            <w:r>
              <w:rPr>
                <w:rFonts w:ascii="Arial" w:cs="Arial" w:eastAsia="Arial" w:hAnsi="Arial"/>
                <w:sz w:val="18"/>
                <w:szCs w:val="18"/>
                <w:color w:val="auto"/>
              </w:rPr>
              <w:t>$385</w:t>
            </w:r>
          </w:p>
        </w:tc>
        <w:tc>
          <w:tcPr>
            <w:tcW w:w="146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($231)</w:t>
            </w:r>
          </w:p>
        </w:tc>
        <w:tc>
          <w:tcPr>
            <w:tcW w:w="1600" w:type="dxa"/>
            <w:vAlign w:val="bottom"/>
            <w:tcBorders>
              <w:bottom w:val="single" w:sz="8" w:color="auto"/>
            </w:tcBorders>
          </w:tcPr>
          <w:p>
            <w:pPr>
              <w:jc w:val="right"/>
              <w:ind w:right="499"/>
              <w:spacing w:after="0" w:line="196"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$154</w:t>
            </w:r>
          </w:p>
        </w:tc>
      </w:tr>
      <w:tr>
        <w:trPr>
          <w:trHeight w:val="398"/>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Unamortized intangible assets:</w:t>
            </w: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3"/>
        </w:trPr>
        <w:tc>
          <w:tcPr>
            <w:tcW w:w="366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Goodwill</w:t>
            </w:r>
          </w:p>
        </w:tc>
        <w:tc>
          <w:tcPr>
            <w:tcW w:w="2560" w:type="dxa"/>
            <w:vAlign w:val="bottom"/>
            <w:tcBorders>
              <w:bottom w:val="single" w:sz="8" w:color="auto"/>
            </w:tcBorders>
          </w:tcPr>
          <w:p>
            <w:pPr>
              <w:jc w:val="right"/>
              <w:ind w:right="395"/>
              <w:spacing w:after="0" w:line="203" w:lineRule="exact"/>
              <w:rPr>
                <w:sz w:val="20"/>
                <w:szCs w:val="20"/>
                <w:color w:val="auto"/>
              </w:rPr>
            </w:pPr>
            <w:r>
              <w:rPr>
                <w:rFonts w:ascii="Arial" w:cs="Arial" w:eastAsia="Arial" w:hAnsi="Arial"/>
                <w:sz w:val="18"/>
                <w:szCs w:val="18"/>
                <w:color w:val="auto"/>
              </w:rPr>
              <w:t>$71,680</w:t>
            </w:r>
          </w:p>
        </w:tc>
        <w:tc>
          <w:tcPr>
            <w:tcW w:w="1460" w:type="dxa"/>
            <w:vAlign w:val="bottom"/>
            <w:tcBorders>
              <w:bottom w:val="single" w:sz="8" w:color="auto"/>
            </w:tcBorders>
          </w:tcPr>
          <w:p>
            <w:pPr>
              <w:jc w:val="right"/>
              <w:ind w:right="353"/>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39"/>
              <w:spacing w:after="0" w:line="203" w:lineRule="exact"/>
              <w:rPr>
                <w:sz w:val="20"/>
                <w:szCs w:val="20"/>
                <w:color w:val="auto"/>
              </w:rPr>
            </w:pPr>
            <w:r>
              <w:rPr>
                <w:rFonts w:ascii="Arial" w:cs="Arial" w:eastAsia="Arial" w:hAnsi="Arial"/>
                <w:sz w:val="18"/>
                <w:szCs w:val="18"/>
                <w:color w:val="auto"/>
              </w:rPr>
              <w:t>($5,307)</w:t>
            </w:r>
          </w:p>
        </w:tc>
        <w:tc>
          <w:tcPr>
            <w:tcW w:w="214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$66,373</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35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Balance at</w:t>
            </w:r>
          </w:p>
        </w:tc>
        <w:tc>
          <w:tcPr>
            <w:tcW w:w="1860" w:type="dxa"/>
            <w:vAlign w:val="bottom"/>
            <w:tcBorders>
              <w:top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Currency</w:t>
            </w:r>
          </w:p>
        </w:tc>
        <w:tc>
          <w:tcPr>
            <w:tcW w:w="17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December 31, 2013</w:t>
            </w:r>
          </w:p>
        </w:tc>
        <w:tc>
          <w:tcPr>
            <w:tcW w:w="1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Translation</w:t>
            </w:r>
          </w:p>
        </w:tc>
        <w:tc>
          <w:tcPr>
            <w:tcW w:w="1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2014</w:t>
            </w:r>
          </w:p>
        </w:tc>
      </w:tr>
      <w:tr>
        <w:trPr>
          <w:trHeight w:val="398"/>
        </w:trPr>
        <w:tc>
          <w:tcPr>
            <w:tcW w:w="352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8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$33</w:t>
            </w:r>
          </w:p>
        </w:tc>
        <w:tc>
          <w:tcPr>
            <w:tcW w:w="1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w:t>
            </w:r>
          </w:p>
        </w:tc>
        <w:tc>
          <w:tcPr>
            <w:tcW w:w="14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8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404</w:t>
            </w:r>
          </w:p>
        </w:tc>
        <w:tc>
          <w:tcPr>
            <w:tcW w:w="1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(202)</w:t>
            </w:r>
          </w:p>
        </w:tc>
        <w:tc>
          <w:tcPr>
            <w:tcW w:w="14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03"/>
        </w:trPr>
        <w:tc>
          <w:tcPr>
            <w:tcW w:w="35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800" w:type="dxa"/>
            <w:vAlign w:val="bottom"/>
            <w:tcBorders>
              <w:bottom w:val="single" w:sz="8" w:color="auto"/>
            </w:tcBorders>
          </w:tcPr>
          <w:p>
            <w:pPr>
              <w:jc w:val="right"/>
              <w:ind w:right="195"/>
              <w:spacing w:after="0" w:line="203" w:lineRule="exact"/>
              <w:rPr>
                <w:sz w:val="20"/>
                <w:szCs w:val="20"/>
                <w:color w:val="auto"/>
              </w:rPr>
            </w:pPr>
            <w:r>
              <w:rPr>
                <w:rFonts w:ascii="Arial" w:cs="Arial" w:eastAsia="Arial" w:hAnsi="Arial"/>
                <w:sz w:val="18"/>
                <w:szCs w:val="18"/>
                <w:color w:val="auto"/>
              </w:rPr>
              <w:t>179</w:t>
            </w:r>
          </w:p>
        </w:tc>
        <w:tc>
          <w:tcPr>
            <w:tcW w:w="186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rPr>
              <w:t>(25)</w:t>
            </w:r>
          </w:p>
        </w:tc>
        <w:tc>
          <w:tcPr>
            <w:tcW w:w="1460" w:type="dxa"/>
            <w:vAlign w:val="bottom"/>
            <w:tcBorders>
              <w:bottom w:val="single" w:sz="8" w:color="auto"/>
            </w:tcBorders>
          </w:tcPr>
          <w:p>
            <w:pPr>
              <w:jc w:val="right"/>
              <w:ind w:right="95"/>
              <w:spacing w:after="0" w:line="203"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r>
      <w:tr>
        <w:trPr>
          <w:trHeight w:val="196"/>
        </w:trPr>
        <w:tc>
          <w:tcPr>
            <w:tcW w:w="35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280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color w:val="auto"/>
              </w:rPr>
              <w:t>$616</w:t>
            </w:r>
          </w:p>
        </w:tc>
        <w:tc>
          <w:tcPr>
            <w:tcW w:w="18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($231)</w:t>
            </w:r>
          </w:p>
        </w:tc>
        <w:tc>
          <w:tcPr>
            <w:tcW w:w="146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w:t>
            </w:r>
          </w:p>
        </w:tc>
      </w:tr>
      <w:tr>
        <w:trPr>
          <w:trHeight w:val="398"/>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Unamortized intangible assets:</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35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Goodwill</w:t>
            </w:r>
          </w:p>
        </w:tc>
        <w:tc>
          <w:tcPr>
            <w:tcW w:w="2800" w:type="dxa"/>
            <w:vAlign w:val="bottom"/>
            <w:tcBorders>
              <w:bottom w:val="single" w:sz="8" w:color="auto"/>
            </w:tcBorders>
          </w:tcPr>
          <w:p>
            <w:pPr>
              <w:jc w:val="right"/>
              <w:ind w:right="195"/>
              <w:spacing w:after="0" w:line="203" w:lineRule="exact"/>
              <w:rPr>
                <w:sz w:val="20"/>
                <w:szCs w:val="20"/>
                <w:color w:val="auto"/>
              </w:rPr>
            </w:pPr>
            <w:r>
              <w:rPr>
                <w:rFonts w:ascii="Arial" w:cs="Arial" w:eastAsia="Arial" w:hAnsi="Arial"/>
                <w:sz w:val="18"/>
                <w:szCs w:val="18"/>
                <w:color w:val="auto"/>
              </w:rPr>
              <w:t>$78,890</w:t>
            </w:r>
          </w:p>
        </w:tc>
        <w:tc>
          <w:tcPr>
            <w:tcW w:w="186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95"/>
              <w:spacing w:after="0" w:line="203" w:lineRule="exact"/>
              <w:rPr>
                <w:sz w:val="20"/>
                <w:szCs w:val="20"/>
                <w:color w:val="auto"/>
              </w:rPr>
            </w:pPr>
            <w:r>
              <w:rPr>
                <w:rFonts w:ascii="Arial" w:cs="Arial" w:eastAsia="Arial" w:hAnsi="Arial"/>
                <w:sz w:val="18"/>
                <w:szCs w:val="18"/>
                <w:color w:val="auto"/>
              </w:rPr>
              <w:t>($7,210)</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$71,680</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2016 through 2020, is as follows:</w:t>
      </w:r>
    </w:p>
    <w:p>
      <w:pPr>
        <w:spacing w:after="0" w:line="152"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50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Annual amortization</w:t>
            </w:r>
          </w:p>
        </w:tc>
      </w:tr>
      <w:tr>
        <w:trPr>
          <w:trHeight w:val="175"/>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320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(in thousands)</w:t>
            </w:r>
          </w:p>
        </w:tc>
      </w:tr>
      <w:tr>
        <w:trPr>
          <w:trHeight w:val="195"/>
        </w:trPr>
        <w:tc>
          <w:tcPr>
            <w:tcW w:w="2500" w:type="dxa"/>
            <w:vAlign w:val="bottom"/>
          </w:tcPr>
          <w:p>
            <w:pPr>
              <w:jc w:val="center"/>
              <w:spacing w:after="0" w:line="195" w:lineRule="exact"/>
              <w:rPr>
                <w:sz w:val="20"/>
                <w:szCs w:val="20"/>
                <w:color w:val="auto"/>
              </w:rPr>
            </w:pPr>
            <w:r>
              <w:rPr>
                <w:rFonts w:ascii="Arial" w:cs="Arial" w:eastAsia="Arial" w:hAnsi="Arial"/>
                <w:sz w:val="18"/>
                <w:szCs w:val="18"/>
                <w:color w:val="auto"/>
                <w:w w:val="99"/>
              </w:rPr>
              <w:t>2016</w:t>
            </w:r>
          </w:p>
        </w:tc>
        <w:tc>
          <w:tcPr>
            <w:tcW w:w="320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2017</w:t>
            </w:r>
          </w:p>
        </w:tc>
        <w:tc>
          <w:tcPr>
            <w:tcW w:w="32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w:t>
            </w:r>
          </w:p>
        </w:tc>
        <w:tc>
          <w:tcPr>
            <w:tcW w:w="32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2019</w:t>
            </w:r>
          </w:p>
        </w:tc>
        <w:tc>
          <w:tcPr>
            <w:tcW w:w="32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2020</w:t>
            </w:r>
          </w:p>
        </w:tc>
        <w:tc>
          <w:tcPr>
            <w:tcW w:w="3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8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13. Accrued Liabilities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173"/>
        </w:trPr>
        <w:tc>
          <w:tcPr>
            <w:tcW w:w="6460" w:type="dxa"/>
            <w:vAlign w:val="bottom"/>
          </w:tcPr>
          <w:p>
            <w:pPr>
              <w:ind w:left="40"/>
              <w:spacing w:after="0" w:line="173" w:lineRule="exact"/>
              <w:rPr>
                <w:sz w:val="20"/>
                <w:szCs w:val="20"/>
                <w:color w:val="auto"/>
              </w:rPr>
            </w:pPr>
            <w:r>
              <w:rPr>
                <w:rFonts w:ascii="Arial" w:cs="Arial" w:eastAsia="Arial" w:hAnsi="Arial"/>
                <w:sz w:val="18"/>
                <w:szCs w:val="18"/>
                <w:color w:val="auto"/>
              </w:rPr>
              <w:t>Salaries and wages</w:t>
            </w:r>
          </w:p>
        </w:tc>
        <w:tc>
          <w:tcPr>
            <w:tcW w:w="3760" w:type="dxa"/>
            <w:vAlign w:val="bottom"/>
          </w:tcPr>
          <w:p>
            <w:pPr>
              <w:jc w:val="right"/>
              <w:ind w:right="211"/>
              <w:spacing w:after="0" w:line="173" w:lineRule="exact"/>
              <w:rPr>
                <w:sz w:val="20"/>
                <w:szCs w:val="20"/>
                <w:color w:val="auto"/>
              </w:rPr>
            </w:pPr>
            <w:r>
              <w:rPr>
                <w:rFonts w:ascii="Arial" w:cs="Arial" w:eastAsia="Arial" w:hAnsi="Arial"/>
                <w:sz w:val="18"/>
                <w:szCs w:val="18"/>
                <w:b w:val="1"/>
                <w:bCs w:val="1"/>
                <w:color w:val="auto"/>
              </w:rPr>
              <w:t>$17,621</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$19,229</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Accrual for compensated absences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9,564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11,330</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Employee benefits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10,880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11,525</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Pension liability - current portion</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2,110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4,660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4,750</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Returns and allowances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14,024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17,265</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Interest</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942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2,052</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Restructuring costs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6,856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1,873</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Dividends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5,443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5,098</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Workers' compensation</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2,086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2,502</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Billings in excess of revenue recognized</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2,903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2,024</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Professional fees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2,093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2,051</w:t>
            </w:r>
          </w:p>
        </w:tc>
      </w:tr>
      <w:tr>
        <w:trPr>
          <w:trHeight w:val="203"/>
        </w:trPr>
        <w:tc>
          <w:tcPr>
            <w:tcW w:w="6460" w:type="dxa"/>
            <w:vAlign w:val="bottom"/>
          </w:tcPr>
          <w:p>
            <w:pPr>
              <w:ind w:left="40"/>
              <w:spacing w:after="0" w:line="202" w:lineRule="exact"/>
              <w:rPr>
                <w:sz w:val="20"/>
                <w:szCs w:val="20"/>
                <w:color w:val="auto"/>
              </w:rPr>
            </w:pPr>
            <w:r>
              <w:rPr>
                <w:rFonts w:ascii="Arial" w:cs="Arial" w:eastAsia="Arial" w:hAnsi="Arial"/>
                <w:sz w:val="18"/>
                <w:szCs w:val="18"/>
                <w:color w:val="auto"/>
              </w:rPr>
              <w:t>Utilities</w:t>
            </w:r>
          </w:p>
        </w:tc>
        <w:tc>
          <w:tcPr>
            <w:tcW w:w="37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779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r>
      <w:tr>
        <w:trPr>
          <w:trHeight w:val="225"/>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11,824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r>
      <w:tr>
        <w:trPr>
          <w:trHeight w:val="196"/>
        </w:trPr>
        <w:tc>
          <w:tcPr>
            <w:tcW w:w="64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$91,785</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9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2015</w:t>
            </w:r>
          </w:p>
        </w:tc>
        <w:tc>
          <w:tcPr>
            <w:tcW w:w="14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12"/>
        </w:trPr>
        <w:tc>
          <w:tcPr>
            <w:tcW w:w="8040" w:type="dxa"/>
            <w:vAlign w:val="bottom"/>
          </w:tcPr>
          <w:p>
            <w:pPr>
              <w:ind w:left="40"/>
              <w:spacing w:after="0"/>
              <w:rPr>
                <w:sz w:val="20"/>
                <w:szCs w:val="20"/>
                <w:color w:val="auto"/>
              </w:rPr>
            </w:pPr>
            <w:r>
              <w:rPr>
                <w:rFonts w:ascii="Arial" w:cs="Arial" w:eastAsia="Arial" w:hAnsi="Arial"/>
                <w:sz w:val="18"/>
                <w:szCs w:val="18"/>
                <w:color w:val="auto"/>
              </w:rPr>
              <w:t>Private placement with a fixed interest rate of 6.84%, due 2017</w:t>
            </w:r>
          </w:p>
        </w:tc>
        <w:tc>
          <w:tcPr>
            <w:tcW w:w="1900" w:type="dxa"/>
            <w:vAlign w:val="bottom"/>
          </w:tcPr>
          <w:p>
            <w:pPr>
              <w:jc w:val="right"/>
              <w:ind w:right="570"/>
              <w:spacing w:after="0"/>
              <w:rPr>
                <w:sz w:val="20"/>
                <w:szCs w:val="20"/>
                <w:color w:val="auto"/>
              </w:rPr>
            </w:pPr>
            <w:r>
              <w:rPr>
                <w:rFonts w:ascii="Arial" w:cs="Arial" w:eastAsia="Arial" w:hAnsi="Arial"/>
                <w:sz w:val="18"/>
                <w:szCs w:val="18"/>
                <w:b w:val="1"/>
                <w:bCs w:val="1"/>
                <w:color w:val="auto"/>
              </w:rPr>
              <w:t>$50,000</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$100,000</w:t>
            </w:r>
          </w:p>
        </w:tc>
        <w:tc>
          <w:tcPr>
            <w:tcW w:w="0" w:type="dxa"/>
            <w:vAlign w:val="bottom"/>
          </w:tcPr>
          <w:p>
            <w:pPr>
              <w:spacing w:after="0"/>
              <w:rPr>
                <w:sz w:val="1"/>
                <w:szCs w:val="1"/>
                <w:color w:val="auto"/>
              </w:rPr>
            </w:pPr>
          </w:p>
        </w:tc>
      </w:tr>
      <w:tr>
        <w:trPr>
          <w:trHeight w:val="391"/>
        </w:trPr>
        <w:tc>
          <w:tcPr>
            <w:tcW w:w="8040" w:type="dxa"/>
            <w:vAlign w:val="bottom"/>
          </w:tcPr>
          <w:p>
            <w:pPr>
              <w:ind w:left="40"/>
              <w:spacing w:after="0"/>
              <w:rPr>
                <w:sz w:val="20"/>
                <w:szCs w:val="20"/>
                <w:color w:val="auto"/>
              </w:rPr>
            </w:pPr>
            <w:r>
              <w:rPr>
                <w:rFonts w:ascii="Arial" w:cs="Arial" w:eastAsia="Arial" w:hAnsi="Arial"/>
                <w:sz w:val="18"/>
                <w:szCs w:val="18"/>
                <w:color w:val="auto"/>
              </w:rPr>
              <w:t>Revolving credit agreements with borrowings outstanding at an end of period interest rate of</w:t>
            </w: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40"/>
              <w:spacing w:after="0" w:line="202" w:lineRule="exact"/>
              <w:rPr>
                <w:sz w:val="20"/>
                <w:szCs w:val="20"/>
                <w:color w:val="auto"/>
              </w:rPr>
            </w:pPr>
            <w:r>
              <w:rPr>
                <w:rFonts w:ascii="Arial" w:cs="Arial" w:eastAsia="Arial" w:hAnsi="Arial"/>
                <w:sz w:val="18"/>
                <w:szCs w:val="18"/>
                <w:color w:val="auto"/>
              </w:rPr>
              <w:t>2.27% in 2015 and 2.69% in 2014 (including the effect of interest rate hedging transactions, as</w:t>
            </w:r>
          </w:p>
        </w:tc>
        <w:tc>
          <w:tcPr>
            <w:tcW w:w="19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215,000</w:t>
            </w: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172,000</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8"/>
                <w:szCs w:val="18"/>
                <w:color w:val="auto"/>
              </w:rPr>
              <w:t>described below), due in 2020</w:t>
            </w:r>
          </w:p>
        </w:tc>
        <w:tc>
          <w:tcPr>
            <w:tcW w:w="190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040" w:type="dxa"/>
            <w:vAlign w:val="bottom"/>
          </w:tcPr>
          <w:p>
            <w:pPr>
              <w:ind w:left="40"/>
              <w:spacing w:after="0"/>
              <w:rPr>
                <w:sz w:val="20"/>
                <w:szCs w:val="20"/>
                <w:color w:val="auto"/>
              </w:rPr>
            </w:pPr>
            <w:r>
              <w:rPr>
                <w:rFonts w:ascii="Arial" w:cs="Arial" w:eastAsia="Arial" w:hAnsi="Arial"/>
                <w:sz w:val="18"/>
                <w:szCs w:val="18"/>
                <w:color w:val="auto"/>
              </w:rPr>
              <w:t>Various notes and mortgages, at an average end of period rate of 5.50% in both 2015 and</w:t>
            </w:r>
          </w:p>
        </w:tc>
        <w:tc>
          <w:tcPr>
            <w:tcW w:w="19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96</w:t>
            </w: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2014, due in varying amounts through 2021</w:t>
            </w:r>
          </w:p>
        </w:tc>
        <w:tc>
          <w:tcPr>
            <w:tcW w:w="19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900" w:type="dxa"/>
            <w:vAlign w:val="bottom"/>
          </w:tcPr>
          <w:p>
            <w:pPr>
              <w:jc w:val="right"/>
              <w:ind w:right="570"/>
              <w:spacing w:after="0"/>
              <w:rPr>
                <w:sz w:val="20"/>
                <w:szCs w:val="20"/>
                <w:color w:val="auto"/>
              </w:rPr>
            </w:pPr>
            <w:r>
              <w:rPr>
                <w:rFonts w:ascii="Arial" w:cs="Arial" w:eastAsia="Arial" w:hAnsi="Arial"/>
                <w:sz w:val="18"/>
                <w:szCs w:val="18"/>
                <w:b w:val="1"/>
                <w:bCs w:val="1"/>
                <w:color w:val="auto"/>
              </w:rPr>
              <w:t>265,096</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272,111</w:t>
            </w:r>
          </w:p>
        </w:tc>
        <w:tc>
          <w:tcPr>
            <w:tcW w:w="0" w:type="dxa"/>
            <w:vAlign w:val="bottom"/>
          </w:tcPr>
          <w:p>
            <w:pPr>
              <w:spacing w:after="0"/>
              <w:rPr>
                <w:sz w:val="1"/>
                <w:szCs w:val="1"/>
                <w:color w:val="auto"/>
              </w:rPr>
            </w:pPr>
          </w:p>
        </w:tc>
      </w:tr>
      <w:tr>
        <w:trPr>
          <w:trHeight w:val="392"/>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(50,015)</w:t>
            </w:r>
          </w:p>
        </w:tc>
        <w:tc>
          <w:tcPr>
            <w:tcW w:w="0" w:type="dxa"/>
            <w:vAlign w:val="bottom"/>
          </w:tcPr>
          <w:p>
            <w:pPr>
              <w:spacing w:after="0"/>
              <w:rPr>
                <w:sz w:val="1"/>
                <w:szCs w:val="1"/>
                <w:color w:val="auto"/>
              </w:rPr>
            </w:pPr>
          </w:p>
        </w:tc>
      </w:tr>
      <w:tr>
        <w:trPr>
          <w:trHeight w:val="399"/>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Long-term debt, net of current portion</w:t>
            </w:r>
          </w:p>
        </w:tc>
        <w:tc>
          <w:tcPr>
            <w:tcW w:w="1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$265,080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$222,096</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Principal payments due on long-term debt are: 2017, $ 50.0 million and 2020, $215.0 million. Total principal payments in 2016, 2018, 2019, 2021 and thereafter total $0.1 million. Cash payments of interest amounted to $14.8 million in 2015, $13.0 million in 2014 and $16.1 million in 2013.</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81" w:name="page82"/>
    <w:bookmarkEnd w:id="81"/>
    <w:p>
      <w:pPr>
        <w:ind w:right="100"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and a maturity date of October 25, 2017. The remaining obligation under the Prudential Agreement has a final payment of $50 million due on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The Prudential Agreement has been amended a number of times, most recently in June 2015, in order to maintain terms comparable to our current principal credit facility. For disclosure purposes, we are required to measure the fair value of outstanding debt on a recurring basis. As of December 31, 2015, the fair value of this debt was approximately $54.6 million, and was measured using active market interest rates, which would be considered Level 2 for fair value measurement purposes.</w:t>
      </w:r>
    </w:p>
    <w:p>
      <w:pPr>
        <w:spacing w:after="0" w:line="18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$215 million of borrowings were outstanding as of December 31, 2015. The Credit Agreement replaced a previous $330 million five-year Credit Agreement entered into 2013. The applicable interest rate for borrowings under the Credit Agreement is, as it was under the former agreement, LIBOR plus a spread, based on our leverage ratio at the time of borrowing. At the time of the last borrowing on December 16, 2015, the spread was 1.375%. The spread is based on a pricing grid, which ranges from 1.250% to 1.750%, based on our leverage ratio.</w:t>
      </w:r>
    </w:p>
    <w:p>
      <w:pPr>
        <w:spacing w:after="0" w:line="162" w:lineRule="exact"/>
        <w:rPr>
          <w:sz w:val="20"/>
          <w:szCs w:val="20"/>
          <w:color w:val="auto"/>
        </w:rPr>
      </w:pPr>
    </w:p>
    <w:p>
      <w:pPr>
        <w:jc w:val="both"/>
        <w:ind w:right="32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 Based on our maximum leverage ratio and our Consolidated EBITDA (as defined in the Credit Agreement), and without modification to any other credit agreements, as of December 31, 2015, we would have been able to borrow an additional $185 million under the Credit Agreement.</w:t>
      </w:r>
    </w:p>
    <w:p>
      <w:pPr>
        <w:spacing w:after="0" w:line="161"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On July 16, 2010, we entered into interest rate hedging transactions that had the effect of fixing the LIBOR portion of the effective interest rate (before addition of the spread) on $105 million of the indebtedness drawn under the Credit Agreement at the rate of 2.04%, plus the applicable spread. The agreement expired on July 16, 2015.</w:t>
      </w:r>
    </w:p>
    <w:p>
      <w:pPr>
        <w:spacing w:after="0" w:line="17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December 16, 2015 was 0.350%. The net effect is to fix the effective interest rate on $110 million of indebtedness at 1.414%, plus the applicable spread, during the swap period. On December 16, 2015, the all-in-rate on the $110 million of debt was 2.789%.</w:t>
      </w:r>
    </w:p>
    <w:p>
      <w:pPr>
        <w:spacing w:after="0" w:line="16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July 16, 2015, we entered into interest rate hedging transactions for the period March 16, 2018 through June 16, 2020. These transactions have the effect of fixing the LIBOR portion of the effective interest rate (before addition of the spread) on $120 million of indebtedness drawn under the Credit Agreement at the rate of 2.43% during the period. Under the term of these transactions, we pay the fixed rate of 2.43% and the counterparties pay a floating rate based on the one-month LIBOR rate at each monthly calculation date, which on December 16, 2015 was 0.35%. The net effect is to fix the effective interest rate on $120 million of indebtedness at 2.43%, plus the applicable spread, during the swap period. These interest rate swaps are accounted for as a hedge of future cash flows, as further described in Note 15 of the Notes to Consolidated Financial Statements. No cash collateral was received or pledged in relation to the swap agreements.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2" w:name="page83"/>
    <w:bookmarkEnd w:id="82"/>
    <w:p>
      <w:pPr>
        <w:ind w:right="64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7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2015, our leverage ratio was 1.27 to 1.00 and our interest coverage ratio was 13.39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6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December 31,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Fair-Value Measurements</w:t>
      </w:r>
    </w:p>
    <w:p>
      <w:pPr>
        <w:spacing w:after="0" w:line="19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In 2015, we reclassified land and building related to the former manufacturing facility in Germany as Asset held for sale in the accompanying Consolidated Balance Sheets. As of December 31, 2015 and December 31, 2014, we have Level 3 non-financial assets of $5.0 million and $0.0 million, respectively. The value as of December 31, 2015 was determined based on preliminary offers from active market participants.</w:t>
      </w:r>
    </w:p>
    <w:p>
      <w:pPr>
        <w:spacing w:after="0" w:line="16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 and Level 3 non-financial assets measured at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right"/>
              <w:ind w:right="259"/>
              <w:spacing w:after="0" w:line="216" w:lineRule="exact"/>
              <w:rPr>
                <w:sz w:val="20"/>
                <w:szCs w:val="20"/>
                <w:color w:val="auto"/>
              </w:rPr>
            </w:pPr>
            <w:r>
              <w:rPr>
                <w:rFonts w:ascii="Arial" w:cs="Arial" w:eastAsia="Arial" w:hAnsi="Arial"/>
                <w:sz w:val="20"/>
                <w:szCs w:val="20"/>
                <w:b w:val="1"/>
                <w:bCs w:val="1"/>
                <w:color w:val="auto"/>
              </w:rPr>
              <w:t>December 31, 2015</w:t>
            </w:r>
          </w:p>
        </w:tc>
        <w:tc>
          <w:tcPr>
            <w:tcW w:w="12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2"/>
          </w:tcPr>
          <w:p>
            <w:pPr>
              <w:jc w:val="right"/>
              <w:ind w:right="219"/>
              <w:spacing w:after="0" w:line="216" w:lineRule="exact"/>
              <w:rPr>
                <w:sz w:val="20"/>
                <w:szCs w:val="20"/>
                <w:color w:val="auto"/>
              </w:rPr>
            </w:pPr>
            <w:r>
              <w:rPr>
                <w:rFonts w:ascii="Arial" w:cs="Arial" w:eastAsia="Arial" w:hAnsi="Arial"/>
                <w:sz w:val="20"/>
                <w:szCs w:val="20"/>
                <w:b w:val="1"/>
                <w:bCs w:val="1"/>
                <w:color w:val="auto"/>
              </w:rPr>
              <w:t>December 31, 2014</w:t>
            </w: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80" w:type="dxa"/>
            <w:vAlign w:val="bottom"/>
          </w:tcPr>
          <w:p>
            <w:pPr>
              <w:jc w:val="right"/>
              <w:ind w:right="337"/>
              <w:spacing w:after="0"/>
              <w:rPr>
                <w:sz w:val="20"/>
                <w:szCs w:val="20"/>
                <w:color w:val="auto"/>
              </w:rPr>
            </w:pPr>
            <w:r>
              <w:rPr>
                <w:rFonts w:ascii="Arial" w:cs="Arial" w:eastAsia="Arial" w:hAnsi="Arial"/>
                <w:sz w:val="14"/>
                <w:szCs w:val="14"/>
                <w:b w:val="1"/>
                <w:bCs w:val="1"/>
                <w:color w:val="auto"/>
              </w:rPr>
              <w:t>Quoted</w:t>
            </w: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rPr>
              <w:t>Significant</w:t>
            </w:r>
          </w:p>
        </w:tc>
        <w:tc>
          <w:tcPr>
            <w:tcW w:w="122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Quoted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80" w:type="dxa"/>
            <w:vAlign w:val="bottom"/>
          </w:tcPr>
          <w:p>
            <w:pPr>
              <w:jc w:val="center"/>
              <w:ind w:left="37"/>
              <w:spacing w:after="0"/>
              <w:rPr>
                <w:sz w:val="20"/>
                <w:szCs w:val="20"/>
                <w:color w:val="auto"/>
              </w:rPr>
            </w:pPr>
            <w:r>
              <w:rPr>
                <w:rFonts w:ascii="Arial" w:cs="Arial" w:eastAsia="Arial" w:hAnsi="Arial"/>
                <w:sz w:val="14"/>
                <w:szCs w:val="14"/>
                <w:b w:val="1"/>
                <w:bCs w:val="1"/>
                <w:color w:val="auto"/>
              </w:rPr>
              <w:t>prices in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22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rPr>
              <w:t>prices in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80" w:type="dxa"/>
            <w:vAlign w:val="bottom"/>
          </w:tcPr>
          <w:p>
            <w:pPr>
              <w:jc w:val="center"/>
              <w:ind w:left="37"/>
              <w:spacing w:after="0"/>
              <w:rPr>
                <w:sz w:val="20"/>
                <w:szCs w:val="20"/>
                <w:color w:val="auto"/>
              </w:rPr>
            </w:pPr>
            <w:r>
              <w:rPr>
                <w:rFonts w:ascii="Arial" w:cs="Arial" w:eastAsia="Arial" w:hAnsi="Arial"/>
                <w:sz w:val="14"/>
                <w:szCs w:val="14"/>
                <w:b w:val="1"/>
                <w:bCs w:val="1"/>
                <w:color w:val="auto"/>
              </w:rPr>
              <w:t>active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rPr>
              <w:t>active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1040" w:type="dxa"/>
            <w:vAlign w:val="bottom"/>
          </w:tcPr>
          <w:p>
            <w:pPr>
              <w:jc w:val="center"/>
              <w:ind w:left="17"/>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80" w:type="dxa"/>
            <w:vAlign w:val="bottom"/>
          </w:tcPr>
          <w:p>
            <w:pPr>
              <w:jc w:val="center"/>
              <w:ind w:left="77"/>
              <w:spacing w:after="0"/>
              <w:rPr>
                <w:sz w:val="20"/>
                <w:szCs w:val="20"/>
                <w:color w:val="auto"/>
              </w:rPr>
            </w:pPr>
            <w:r>
              <w:rPr>
                <w:rFonts w:ascii="Arial" w:cs="Arial" w:eastAsia="Arial" w:hAnsi="Arial"/>
                <w:sz w:val="14"/>
                <w:szCs w:val="14"/>
                <w:b w:val="1"/>
                <w:bCs w:val="1"/>
                <w:color w:val="auto"/>
              </w:rPr>
              <w:t>markets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inputs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inputs</w:t>
            </w:r>
          </w:p>
        </w:tc>
        <w:tc>
          <w:tcPr>
            <w:tcW w:w="1040" w:type="dxa"/>
            <w:vAlign w:val="bottom"/>
          </w:tcPr>
          <w:p>
            <w:pPr>
              <w:jc w:val="center"/>
              <w:ind w:left="17"/>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41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rPr>
              <w:t>(Level 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418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40"/>
              <w:spacing w:after="0"/>
              <w:rPr>
                <w:sz w:val="20"/>
                <w:szCs w:val="20"/>
                <w:color w:val="auto"/>
              </w:rPr>
            </w:pPr>
            <w:r>
              <w:rPr>
                <w:rFonts w:ascii="Arial" w:cs="Arial" w:eastAsia="Arial" w:hAnsi="Arial"/>
                <w:sz w:val="18"/>
                <w:szCs w:val="18"/>
                <w:i w:val="1"/>
                <w:iCs w:val="1"/>
                <w:color w:val="auto"/>
              </w:rPr>
              <w:t>Assets:</w:t>
            </w: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48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$5,189</w:t>
            </w:r>
          </w:p>
        </w:tc>
        <w:tc>
          <w:tcPr>
            <w:tcW w:w="120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$14,096</w:t>
            </w:r>
          </w:p>
        </w:tc>
        <w:tc>
          <w:tcPr>
            <w:tcW w:w="126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line="202" w:lineRule="exact"/>
              <w:rPr>
                <w:sz w:val="20"/>
                <w:szCs w:val="20"/>
                <w:color w:val="auto"/>
              </w:rPr>
            </w:pPr>
            <w:r>
              <w:rPr>
                <w:rFonts w:ascii="Arial" w:cs="Arial" w:eastAsia="Arial" w:hAnsi="Arial"/>
                <w:sz w:val="18"/>
                <w:szCs w:val="18"/>
                <w:color w:val="auto"/>
              </w:rPr>
              <w:t>Assets held for sale</w:t>
            </w:r>
          </w:p>
        </w:tc>
        <w:tc>
          <w:tcPr>
            <w:tcW w:w="148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4,988</w:t>
            </w:r>
          </w:p>
        </w:tc>
        <w:tc>
          <w:tcPr>
            <w:tcW w:w="10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340"/>
              <w:spacing w:after="0" w:line="185" w:lineRule="exact"/>
              <w:rPr>
                <w:sz w:val="20"/>
                <w:szCs w:val="20"/>
                <w:color w:val="auto"/>
              </w:rPr>
            </w:pPr>
            <w:r>
              <w:rPr>
                <w:rFonts w:ascii="Arial" w:cs="Arial" w:eastAsia="Arial" w:hAnsi="Arial"/>
                <w:sz w:val="18"/>
                <w:szCs w:val="18"/>
                <w:color w:val="auto"/>
              </w:rPr>
              <w:t>Foreign currency options</w:t>
            </w:r>
          </w:p>
        </w:tc>
        <w:tc>
          <w:tcPr>
            <w:tcW w:w="1480" w:type="dxa"/>
            <w:vAlign w:val="bottom"/>
          </w:tcPr>
          <w:p>
            <w:pPr>
              <w:jc w:val="right"/>
              <w:ind w:right="297"/>
              <w:spacing w:after="0" w:line="185"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99"/>
              <w:spacing w:after="0" w:line="185"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line="18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7"/>
              <w:spacing w:after="0" w:line="185" w:lineRule="exact"/>
              <w:rPr>
                <w:sz w:val="20"/>
                <w:szCs w:val="20"/>
                <w:color w:val="auto"/>
              </w:rPr>
            </w:pPr>
            <w:r>
              <w:rPr>
                <w:rFonts w:ascii="Arial" w:cs="Arial" w:eastAsia="Arial" w:hAnsi="Arial"/>
                <w:sz w:val="18"/>
                <w:szCs w:val="18"/>
                <w:color w:val="auto"/>
              </w:rPr>
              <w:t>69</w:t>
            </w:r>
          </w:p>
        </w:tc>
        <w:tc>
          <w:tcPr>
            <w:tcW w:w="1260" w:type="dxa"/>
            <w:vAlign w:val="bottom"/>
          </w:tcPr>
          <w:p>
            <w:pPr>
              <w:jc w:val="right"/>
              <w:ind w:right="299"/>
              <w:spacing w:after="0" w:line="18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Other Assets:</w:t>
            </w: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340"/>
              <w:spacing w:after="0" w:line="185" w:lineRule="exact"/>
              <w:rPr>
                <w:sz w:val="20"/>
                <w:szCs w:val="20"/>
                <w:color w:val="auto"/>
              </w:rPr>
            </w:pPr>
            <w:r>
              <w:rPr>
                <w:rFonts w:ascii="Arial" w:cs="Arial" w:eastAsia="Arial" w:hAnsi="Arial"/>
                <w:sz w:val="18"/>
                <w:szCs w:val="18"/>
                <w:color w:val="auto"/>
              </w:rPr>
              <w:t>Common stock of foreign public company</w:t>
            </w:r>
          </w:p>
        </w:tc>
        <w:tc>
          <w:tcPr>
            <w:tcW w:w="1480" w:type="dxa"/>
            <w:vAlign w:val="bottom"/>
          </w:tcPr>
          <w:p>
            <w:pPr>
              <w:jc w:val="right"/>
              <w:ind w:right="77"/>
              <w:spacing w:after="0" w:line="185" w:lineRule="exact"/>
              <w:rPr>
                <w:sz w:val="20"/>
                <w:szCs w:val="20"/>
                <w:color w:val="auto"/>
              </w:rPr>
            </w:pPr>
            <w:r>
              <w:rPr>
                <w:rFonts w:ascii="Arial" w:cs="Arial" w:eastAsia="Arial" w:hAnsi="Arial"/>
                <w:sz w:val="18"/>
                <w:szCs w:val="18"/>
                <w:color w:val="auto"/>
              </w:rPr>
              <w:t>819(a)</w:t>
            </w:r>
          </w:p>
        </w:tc>
        <w:tc>
          <w:tcPr>
            <w:tcW w:w="1200" w:type="dxa"/>
            <w:vAlign w:val="bottom"/>
          </w:tcPr>
          <w:p>
            <w:pPr>
              <w:jc w:val="right"/>
              <w:ind w:right="299"/>
              <w:spacing w:after="0" w:line="185"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line="18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7"/>
              <w:spacing w:after="0" w:line="185" w:lineRule="exact"/>
              <w:rPr>
                <w:sz w:val="20"/>
                <w:szCs w:val="20"/>
                <w:color w:val="auto"/>
              </w:rPr>
            </w:pPr>
            <w:r>
              <w:rPr>
                <w:rFonts w:ascii="Arial" w:cs="Arial" w:eastAsia="Arial" w:hAnsi="Arial"/>
                <w:sz w:val="18"/>
                <w:szCs w:val="18"/>
                <w:color w:val="auto"/>
              </w:rPr>
              <w:t>701</w:t>
            </w:r>
          </w:p>
        </w:tc>
        <w:tc>
          <w:tcPr>
            <w:tcW w:w="1260" w:type="dxa"/>
            <w:vAlign w:val="bottom"/>
          </w:tcPr>
          <w:p>
            <w:pPr>
              <w:jc w:val="right"/>
              <w:ind w:right="299"/>
              <w:spacing w:after="0" w:line="18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180" w:type="dxa"/>
            <w:vAlign w:val="bottom"/>
          </w:tcPr>
          <w:p>
            <w:pPr>
              <w:ind w:left="40"/>
              <w:spacing w:after="0"/>
              <w:rPr>
                <w:sz w:val="20"/>
                <w:szCs w:val="20"/>
                <w:color w:val="auto"/>
              </w:rPr>
            </w:pPr>
            <w:r>
              <w:rPr>
                <w:rFonts w:ascii="Arial" w:cs="Arial" w:eastAsia="Arial" w:hAnsi="Arial"/>
                <w:sz w:val="18"/>
                <w:szCs w:val="18"/>
                <w:i w:val="1"/>
                <w:iCs w:val="1"/>
                <w:color w:val="auto"/>
              </w:rPr>
              <w:t>Liabilities:</w:t>
            </w: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line="202" w:lineRule="exact"/>
              <w:rPr>
                <w:sz w:val="20"/>
                <w:szCs w:val="20"/>
                <w:color w:val="auto"/>
              </w:rPr>
            </w:pPr>
            <w:r>
              <w:rPr>
                <w:rFonts w:ascii="Arial" w:cs="Arial" w:eastAsia="Arial" w:hAnsi="Arial"/>
                <w:sz w:val="18"/>
                <w:szCs w:val="18"/>
                <w:color w:val="auto"/>
              </w:rPr>
              <w:t>Other noncurrent liabilities: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48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(2,400)(b)</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(1,411)(c)</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4"/>
          <w:szCs w:val="14"/>
          <w:color w:val="auto"/>
        </w:rPr>
        <w:t>(a)</w:t>
        <w:tab/>
        <w:t>Original cost basis $0.5 million.</w:t>
      </w:r>
    </w:p>
    <w:p>
      <w:pPr>
        <w:spacing w:after="0" w:line="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4"/>
          <w:szCs w:val="14"/>
          <w:color w:val="auto"/>
        </w:rPr>
        <w:t>(b)</w:t>
        <w:tab/>
        <w:t>Net of $7.4 million receivable floating leg and $9.8 million liability fixed leg</w:t>
      </w:r>
    </w:p>
    <w:p>
      <w:pPr>
        <w:spacing w:after="0" w:line="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4"/>
          <w:szCs w:val="14"/>
          <w:color w:val="auto"/>
        </w:rPr>
        <w:t>(c)</w:t>
        <w:tab/>
        <w:t>Net of $4.3 million receivable floating leg and $5.7 million liability fixed leg</w:t>
      </w:r>
    </w:p>
    <w:p>
      <w:pPr>
        <w:spacing w:after="0" w:line="27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in the Consolidated Statements of Income. Investments are considered to be impaired when a decline in fair value is judged to be other than temporary.</w:t>
      </w:r>
    </w:p>
    <w:p>
      <w:pPr>
        <w:spacing w:after="0" w:line="178"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1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161"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December 31, 2015,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$2.0 million in 2015 and $1.9 million in 2014.</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color w:val="auto"/>
              </w:rPr>
              <w:t>Years ended December 31,</w:t>
            </w:r>
          </w:p>
        </w:tc>
        <w:tc>
          <w:tcPr>
            <w:tcW w:w="1500" w:type="dxa"/>
            <w:vAlign w:val="bottom"/>
            <w:tcBorders>
              <w:top w:val="single" w:sz="8" w:color="auto"/>
            </w:tcBorders>
          </w:tcPr>
          <w:p>
            <w:pPr>
              <w:spacing w:after="0"/>
              <w:rPr>
                <w:sz w:val="16"/>
                <w:szCs w:val="16"/>
                <w:color w:val="auto"/>
              </w:rPr>
            </w:pPr>
          </w:p>
        </w:tc>
      </w:tr>
      <w:tr>
        <w:trPr>
          <w:trHeight w:val="22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2014</w:t>
            </w:r>
          </w:p>
        </w:tc>
        <w:tc>
          <w:tcPr>
            <w:tcW w:w="1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398"/>
        </w:trPr>
        <w:tc>
          <w:tcPr>
            <w:tcW w:w="52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520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Foreign currency options</w:t>
            </w:r>
          </w:p>
        </w:tc>
        <w:tc>
          <w:tcPr>
            <w:tcW w:w="21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$121</w:t>
            </w:r>
          </w:p>
        </w:tc>
        <w:tc>
          <w:tcPr>
            <w:tcW w:w="256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rPr>
              <w:t>($81)</w:t>
            </w:r>
          </w:p>
        </w:tc>
        <w:tc>
          <w:tcPr>
            <w:tcW w:w="15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($107)</w:t>
            </w:r>
          </w:p>
        </w:tc>
      </w:tr>
      <w:tr>
        <w:trPr>
          <w:trHeight w:val="588"/>
        </w:trPr>
        <w:tc>
          <w:tcPr>
            <w:tcW w:w="5200" w:type="dxa"/>
            <w:vAlign w:val="bottom"/>
          </w:tcPr>
          <w:p>
            <w:pPr>
              <w:spacing w:after="0"/>
              <w:rPr>
                <w:sz w:val="20"/>
                <w:szCs w:val="20"/>
                <w:color w:val="auto"/>
              </w:rPr>
            </w:pPr>
            <w:r>
              <w:rPr>
                <w:rFonts w:ascii="Arial" w:cs="Arial" w:eastAsia="Arial" w:hAnsi="Arial"/>
                <w:sz w:val="18"/>
                <w:szCs w:val="18"/>
                <w:b w:val="1"/>
                <w:bCs w:val="1"/>
                <w:color w:val="auto"/>
              </w:rPr>
              <w:t>16. Other Noncurrent Liabilities</w:t>
            </w:r>
          </w:p>
        </w:tc>
        <w:tc>
          <w:tcPr>
            <w:tcW w:w="2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8"/>
        </w:trPr>
        <w:tc>
          <w:tcPr>
            <w:tcW w:w="7360" w:type="dxa"/>
            <w:vAlign w:val="bottom"/>
            <w:gridSpan w:val="2"/>
          </w:tcPr>
          <w:p>
            <w:pPr>
              <w:ind w:left="660"/>
              <w:spacing w:after="0"/>
              <w:rPr>
                <w:sz w:val="20"/>
                <w:szCs w:val="20"/>
                <w:color w:val="auto"/>
              </w:rPr>
            </w:pPr>
            <w:r>
              <w:rPr>
                <w:rFonts w:ascii="Arial" w:cs="Arial" w:eastAsia="Arial" w:hAnsi="Arial"/>
                <w:sz w:val="18"/>
                <w:szCs w:val="18"/>
                <w:color w:val="auto"/>
              </w:rPr>
              <w:t>As of December 31 of each year, Other noncurrent liabilities consists of:</w:t>
            </w: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8"/>
        </w:trPr>
        <w:tc>
          <w:tcPr>
            <w:tcW w:w="5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96"/>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1490"/>
              <w:spacing w:after="0" w:line="196" w:lineRule="exact"/>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2014</w:t>
            </w:r>
          </w:p>
        </w:tc>
      </w:tr>
      <w:tr>
        <w:trPr>
          <w:trHeight w:val="376"/>
        </w:trPr>
        <w:tc>
          <w:tcPr>
            <w:tcW w:w="5200" w:type="dxa"/>
            <w:vAlign w:val="bottom"/>
          </w:tcPr>
          <w:p>
            <w:pPr>
              <w:ind w:left="40"/>
              <w:spacing w:after="0"/>
              <w:rPr>
                <w:sz w:val="20"/>
                <w:szCs w:val="20"/>
                <w:color w:val="auto"/>
              </w:rPr>
            </w:pPr>
            <w:r>
              <w:rPr>
                <w:rFonts w:ascii="Arial" w:cs="Arial" w:eastAsia="Arial" w:hAnsi="Arial"/>
                <w:sz w:val="18"/>
                <w:szCs w:val="18"/>
                <w:color w:val="auto"/>
              </w:rPr>
              <w:t>Pension liabilities</w:t>
            </w:r>
          </w:p>
        </w:tc>
        <w:tc>
          <w:tcPr>
            <w:tcW w:w="2160" w:type="dxa"/>
            <w:vAlign w:val="bottom"/>
          </w:tcPr>
          <w:p>
            <w:pPr>
              <w:spacing w:after="0"/>
              <w:rPr>
                <w:sz w:val="24"/>
                <w:szCs w:val="24"/>
                <w:color w:val="auto"/>
              </w:rPr>
            </w:pPr>
          </w:p>
        </w:tc>
        <w:tc>
          <w:tcPr>
            <w:tcW w:w="2560" w:type="dxa"/>
            <w:vAlign w:val="bottom"/>
          </w:tcPr>
          <w:p>
            <w:pPr>
              <w:jc w:val="right"/>
              <w:ind w:right="1010"/>
              <w:spacing w:after="0"/>
              <w:rPr>
                <w:sz w:val="20"/>
                <w:szCs w:val="20"/>
                <w:color w:val="auto"/>
              </w:rPr>
            </w:pPr>
            <w:r>
              <w:rPr>
                <w:rFonts w:ascii="Arial" w:cs="Arial" w:eastAsia="Arial" w:hAnsi="Arial"/>
                <w:sz w:val="18"/>
                <w:szCs w:val="18"/>
                <w:b w:val="1"/>
                <w:bCs w:val="1"/>
                <w:color w:val="auto"/>
              </w:rPr>
              <w:t>$36,782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$37,867</w:t>
            </w:r>
          </w:p>
        </w:tc>
      </w:tr>
      <w:tr>
        <w:trPr>
          <w:trHeight w:val="203"/>
        </w:trPr>
        <w:tc>
          <w:tcPr>
            <w:tcW w:w="5200" w:type="dxa"/>
            <w:vAlign w:val="bottom"/>
          </w:tcPr>
          <w:p>
            <w:pPr>
              <w:ind w:left="40"/>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2160" w:type="dxa"/>
            <w:vAlign w:val="bottom"/>
          </w:tcPr>
          <w:p>
            <w:pPr>
              <w:spacing w:after="0"/>
              <w:rPr>
                <w:sz w:val="17"/>
                <w:szCs w:val="17"/>
                <w:color w:val="auto"/>
              </w:rPr>
            </w:pPr>
          </w:p>
        </w:tc>
        <w:tc>
          <w:tcPr>
            <w:tcW w:w="256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55,310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60,237</w:t>
            </w:r>
          </w:p>
        </w:tc>
      </w:tr>
      <w:tr>
        <w:trPr>
          <w:trHeight w:val="203"/>
        </w:trPr>
        <w:tc>
          <w:tcPr>
            <w:tcW w:w="5200" w:type="dxa"/>
            <w:vAlign w:val="bottom"/>
          </w:tcPr>
          <w:p>
            <w:pPr>
              <w:ind w:left="40"/>
              <w:spacing w:after="0" w:line="202" w:lineRule="exact"/>
              <w:rPr>
                <w:sz w:val="20"/>
                <w:szCs w:val="20"/>
                <w:color w:val="auto"/>
              </w:rPr>
            </w:pPr>
            <w:r>
              <w:rPr>
                <w:rFonts w:ascii="Arial" w:cs="Arial" w:eastAsia="Arial" w:hAnsi="Arial"/>
                <w:sz w:val="18"/>
                <w:szCs w:val="18"/>
                <w:color w:val="auto"/>
              </w:rPr>
              <w:t>Interest rate swap agreement</w:t>
            </w:r>
          </w:p>
        </w:tc>
        <w:tc>
          <w:tcPr>
            <w:tcW w:w="2160" w:type="dxa"/>
            <w:vAlign w:val="bottom"/>
          </w:tcPr>
          <w:p>
            <w:pPr>
              <w:spacing w:after="0"/>
              <w:rPr>
                <w:sz w:val="17"/>
                <w:szCs w:val="17"/>
                <w:color w:val="auto"/>
              </w:rPr>
            </w:pPr>
          </w:p>
        </w:tc>
        <w:tc>
          <w:tcPr>
            <w:tcW w:w="256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2,400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1,411</w:t>
            </w:r>
          </w:p>
        </w:tc>
      </w:tr>
      <w:tr>
        <w:trPr>
          <w:trHeight w:val="203"/>
        </w:trPr>
        <w:tc>
          <w:tcPr>
            <w:tcW w:w="5200" w:type="dxa"/>
            <w:vAlign w:val="bottom"/>
          </w:tcPr>
          <w:p>
            <w:pPr>
              <w:ind w:left="40"/>
              <w:spacing w:after="0" w:line="202" w:lineRule="exact"/>
              <w:rPr>
                <w:sz w:val="20"/>
                <w:szCs w:val="20"/>
                <w:color w:val="auto"/>
              </w:rPr>
            </w:pPr>
            <w:r>
              <w:rPr>
                <w:rFonts w:ascii="Arial" w:cs="Arial" w:eastAsia="Arial" w:hAnsi="Arial"/>
                <w:sz w:val="18"/>
                <w:szCs w:val="18"/>
                <w:color w:val="auto"/>
              </w:rPr>
              <w:t>Incentive and deferred compensation</w:t>
            </w:r>
          </w:p>
        </w:tc>
        <w:tc>
          <w:tcPr>
            <w:tcW w:w="2160" w:type="dxa"/>
            <w:vAlign w:val="bottom"/>
          </w:tcPr>
          <w:p>
            <w:pPr>
              <w:spacing w:after="0"/>
              <w:rPr>
                <w:sz w:val="17"/>
                <w:szCs w:val="17"/>
                <w:color w:val="auto"/>
              </w:rPr>
            </w:pPr>
          </w:p>
        </w:tc>
        <w:tc>
          <w:tcPr>
            <w:tcW w:w="256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3,421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2,730</w:t>
            </w:r>
          </w:p>
        </w:tc>
      </w:tr>
      <w:tr>
        <w:trPr>
          <w:trHeight w:val="203"/>
        </w:trPr>
        <w:tc>
          <w:tcPr>
            <w:tcW w:w="5200" w:type="dxa"/>
            <w:vAlign w:val="bottom"/>
          </w:tcPr>
          <w:p>
            <w:pPr>
              <w:ind w:left="40"/>
              <w:spacing w:after="0" w:line="202" w:lineRule="exact"/>
              <w:rPr>
                <w:sz w:val="20"/>
                <w:szCs w:val="20"/>
                <w:color w:val="auto"/>
              </w:rPr>
            </w:pPr>
            <w:r>
              <w:rPr>
                <w:rFonts w:ascii="Arial" w:cs="Arial" w:eastAsia="Arial" w:hAnsi="Arial"/>
                <w:sz w:val="18"/>
                <w:szCs w:val="18"/>
                <w:color w:val="auto"/>
              </w:rPr>
              <w:t>Restructuring</w:t>
            </w:r>
          </w:p>
        </w:tc>
        <w:tc>
          <w:tcPr>
            <w:tcW w:w="2160" w:type="dxa"/>
            <w:vAlign w:val="bottom"/>
          </w:tcPr>
          <w:p>
            <w:pPr>
              <w:spacing w:after="0"/>
              <w:rPr>
                <w:sz w:val="17"/>
                <w:szCs w:val="17"/>
                <w:color w:val="auto"/>
              </w:rPr>
            </w:pPr>
          </w:p>
        </w:tc>
        <w:tc>
          <w:tcPr>
            <w:tcW w:w="256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3,320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311</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r>
      <w:tr>
        <w:trPr>
          <w:trHeight w:val="196"/>
        </w:trPr>
        <w:tc>
          <w:tcPr>
            <w:tcW w:w="52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b w:val="1"/>
                <w:bCs w:val="1"/>
                <w:color w:val="auto"/>
              </w:rPr>
              <w:t>$101,544</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$103,079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3"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There were no significant capital leases entered into during 2015. Total rental expense amounted to $3.5 million in 2015, $4.2 million in 2014, and $4.6 million in 2013.</w:t>
      </w:r>
    </w:p>
    <w:p>
      <w:pPr>
        <w:spacing w:after="0" w:line="17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2015 are: 2016, $3.4 million; 2017, $2.2 million; 2018, $1.0 million; 2019, $0.6 million, and 2020 and thereafter, $0.8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3,791 claims as of December 31, 2015.</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85" w:name="page86"/>
    <w:bookmarkEnd w:id="85"/>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Opening</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Claims</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Closing</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Amounts Paid</w:t>
            </w:r>
          </w:p>
        </w:tc>
      </w:tr>
      <w:tr>
        <w:trPr>
          <w:trHeight w:val="203"/>
        </w:trPr>
        <w:tc>
          <w:tcPr>
            <w:tcW w:w="2440" w:type="dxa"/>
            <w:vAlign w:val="bottom"/>
            <w:tcBorders>
              <w:left w:val="single" w:sz="8" w:color="auto"/>
              <w:right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December 31,</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2008</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3"/>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210"/>
        </w:trPr>
        <w:tc>
          <w:tcPr>
            <w:tcW w:w="2440" w:type="dxa"/>
            <w:vAlign w:val="bottom"/>
            <w:tcBorders>
              <w:left w:val="single" w:sz="8" w:color="auto"/>
              <w:bottom w:val="single" w:sz="8" w:color="auto"/>
              <w:right w:val="single" w:sz="8" w:color="auto"/>
            </w:tcBorders>
          </w:tcPr>
          <w:p>
            <w:pPr>
              <w:jc w:val="right"/>
              <w:ind w:right="1890"/>
              <w:spacing w:after="0" w:line="202" w:lineRule="exact"/>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3,821</w:t>
            </w:r>
          </w:p>
        </w:tc>
        <w:tc>
          <w:tcPr>
            <w:tcW w:w="17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116</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3,791</w:t>
            </w:r>
          </w:p>
        </w:tc>
        <w:tc>
          <w:tcPr>
            <w:tcW w:w="20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$164</w:t>
            </w:r>
          </w:p>
        </w:tc>
      </w:tr>
    </w:tbl>
    <w:p>
      <w:pPr>
        <w:spacing w:after="0" w:line="377"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December 31, 2015, we had resolved, by means of settlement or dismissal, 37,341 claims. The total cost of resolving all claims was $9.4 million. Of this amount, almost 100% was paid by our insurance carrier. The Company’s insurer has confirmed that although coverage limits under two (of approximately 23) primary insurance policies have been exhausted, there still remains approximately $3 million in coverage limits under other applicable primary policies, and $140 million in coverage under excess umbrella coverage policies that should be available with respect to current and future asbestos claims.</w:t>
      </w:r>
    </w:p>
    <w:p>
      <w:pPr>
        <w:spacing w:after="0" w:line="16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7,713 claims as of December 31, 2015.</w:t>
      </w:r>
    </w:p>
    <w:p>
      <w:pPr>
        <w:spacing w:after="0" w:line="270"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6" w:name="page87"/>
    <w:bookmarkEnd w:id="86"/>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150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b w:val="1"/>
                <w:bCs w:val="1"/>
                <w:color w:val="auto"/>
              </w:rPr>
              <w:t>Opening</w:t>
            </w:r>
          </w:p>
        </w:tc>
        <w:tc>
          <w:tcPr>
            <w:tcW w:w="560" w:type="dxa"/>
            <w:vAlign w:val="bottom"/>
            <w:tcBorders>
              <w:top w:val="single" w:sz="8" w:color="auto"/>
              <w:right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Closing</w:t>
            </w:r>
          </w:p>
        </w:tc>
        <w:tc>
          <w:tcPr>
            <w:tcW w:w="18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Amounts</w:t>
            </w:r>
          </w:p>
        </w:tc>
      </w:tr>
      <w:tr>
        <w:trPr>
          <w:trHeight w:val="203"/>
        </w:trPr>
        <w:tc>
          <w:tcPr>
            <w:tcW w:w="2440" w:type="dxa"/>
            <w:vAlign w:val="bottom"/>
            <w:tcBorders>
              <w:left w:val="single" w:sz="8" w:color="auto"/>
              <w:right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December 31,</w:t>
            </w:r>
          </w:p>
        </w:tc>
        <w:tc>
          <w:tcPr>
            <w:tcW w:w="1500" w:type="dxa"/>
            <w:vAlign w:val="bottom"/>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Number of</w:t>
            </w: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8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50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rPr>
              <w:t>Claims</w:t>
            </w: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2005</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2006</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2007</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2008</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2009</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2010</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2011</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2012</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2013</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203"/>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2014</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210"/>
        </w:trPr>
        <w:tc>
          <w:tcPr>
            <w:tcW w:w="2440" w:type="dxa"/>
            <w:vAlign w:val="bottom"/>
            <w:tcBorders>
              <w:left w:val="single" w:sz="8" w:color="auto"/>
              <w:bottom w:val="single" w:sz="8" w:color="auto"/>
              <w:right w:val="single" w:sz="8" w:color="auto"/>
            </w:tcBorders>
          </w:tcPr>
          <w:p>
            <w:pPr>
              <w:jc w:val="right"/>
              <w:ind w:right="1890"/>
              <w:spacing w:after="0" w:line="202" w:lineRule="exact"/>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7,730</w:t>
            </w:r>
          </w:p>
        </w:tc>
        <w:tc>
          <w:tcPr>
            <w:tcW w:w="17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7,713</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r>
    </w:tbl>
    <w:p>
      <w:pPr>
        <w:spacing w:after="0" w:line="37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December 31, 2015, Brandon has resolved, by means of settlement or dismissal, 9,893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w:t>
      </w:r>
    </w:p>
    <w:p>
      <w:pPr>
        <w:spacing w:after="0" w:line="26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7" w:name="page88"/>
    <w:bookmarkEnd w:id="87"/>
    <w:p>
      <w:pPr>
        <w:ind w:right="60"/>
        <w:spacing w:after="0" w:line="246" w:lineRule="auto"/>
        <w:rPr>
          <w:sz w:val="20"/>
          <w:szCs w:val="20"/>
          <w:color w:val="auto"/>
        </w:rPr>
      </w:pPr>
      <w:r>
        <w:rPr>
          <w:rFonts w:ascii="Arial" w:cs="Arial" w:eastAsia="Arial" w:hAnsi="Arial"/>
          <w:sz w:val="18"/>
          <w:szCs w:val="18"/>
          <w:color w:val="auto"/>
        </w:rPr>
        <w:t>paper mill claims to total claims filed, and the defenses available, we currently do not anticipate any material liability relating to the resolution of the aforementioned pending proceedings in excess of existing insurance limits.</w:t>
      </w:r>
    </w:p>
    <w:p>
      <w:pPr>
        <w:spacing w:after="0" w:line="17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 Options and Incentive Plans</w:t>
      </w:r>
    </w:p>
    <w:p>
      <w:pPr>
        <w:spacing w:after="0" w:line="207"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recognized no stock option expense during 2015, 2014 or 2013 and there are currently no remaining unvested options for which stock-option compensation costs will be recognized in future periods.</w:t>
      </w:r>
    </w:p>
    <w:p>
      <w:pPr>
        <w:spacing w:after="0" w:line="156"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respect to these plans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20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173"/>
        </w:trPr>
        <w:tc>
          <w:tcPr>
            <w:tcW w:w="55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232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187,233</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228,533</w:t>
            </w:r>
          </w:p>
        </w:tc>
        <w:tc>
          <w:tcPr>
            <w:tcW w:w="15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507,313</w:t>
            </w:r>
          </w:p>
        </w:tc>
      </w:tr>
      <w:tr>
        <w:trPr>
          <w:trHeight w:val="203"/>
        </w:trPr>
        <w:tc>
          <w:tcPr>
            <w:tcW w:w="5520" w:type="dxa"/>
            <w:vAlign w:val="bottom"/>
          </w:tcPr>
          <w:p>
            <w:pPr>
              <w:ind w:left="40"/>
              <w:spacing w:after="0" w:line="202" w:lineRule="exact"/>
              <w:rPr>
                <w:sz w:val="20"/>
                <w:szCs w:val="20"/>
                <w:color w:val="auto"/>
              </w:rPr>
            </w:pPr>
            <w:r>
              <w:rPr>
                <w:rFonts w:ascii="Arial" w:cs="Arial" w:eastAsia="Arial" w:hAnsi="Arial"/>
                <w:sz w:val="18"/>
                <w:szCs w:val="18"/>
                <w:color w:val="auto"/>
              </w:rPr>
              <w:t>Options canceled</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98,460</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41,300</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278,780</w:t>
            </w:r>
          </w:p>
        </w:tc>
      </w:tr>
      <w:tr>
        <w:trPr>
          <w:trHeight w:val="173"/>
        </w:trPr>
        <w:tc>
          <w:tcPr>
            <w:tcW w:w="55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at December 31</w:t>
            </w:r>
          </w:p>
        </w:tc>
        <w:tc>
          <w:tcPr>
            <w:tcW w:w="232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88,773</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187,233</w:t>
            </w:r>
          </w:p>
        </w:tc>
        <w:tc>
          <w:tcPr>
            <w:tcW w:w="15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228,533</w:t>
            </w:r>
          </w:p>
        </w:tc>
      </w:tr>
      <w:tr>
        <w:trPr>
          <w:trHeight w:val="225"/>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at December 31</w:t>
            </w: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88,773</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187,233</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228,533</w:t>
            </w:r>
          </w:p>
        </w:tc>
      </w:tr>
      <w:tr>
        <w:trPr>
          <w:trHeight w:val="588"/>
        </w:trPr>
        <w:tc>
          <w:tcPr>
            <w:tcW w:w="5520" w:type="dxa"/>
            <w:vAlign w:val="bottom"/>
          </w:tcPr>
          <w:p>
            <w:pPr>
              <w:ind w:left="660"/>
              <w:spacing w:after="0"/>
              <w:rPr>
                <w:sz w:val="20"/>
                <w:szCs w:val="20"/>
                <w:color w:val="auto"/>
              </w:rPr>
            </w:pPr>
            <w:r>
              <w:rPr>
                <w:rFonts w:ascii="Arial" w:cs="Arial" w:eastAsia="Arial" w:hAnsi="Arial"/>
                <w:sz w:val="18"/>
                <w:szCs w:val="18"/>
                <w:color w:val="auto"/>
              </w:rPr>
              <w:t>The weighted average exercise price is as follows:</w:t>
            </w:r>
          </w:p>
        </w:tc>
        <w:tc>
          <w:tcPr>
            <w:tcW w:w="2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2"/>
        </w:trPr>
        <w:tc>
          <w:tcPr>
            <w:tcW w:w="5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96"/>
        </w:trPr>
        <w:tc>
          <w:tcPr>
            <w:tcW w:w="55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auto"/>
              </w:rPr>
              <w:t>2015</w:t>
            </w:r>
          </w:p>
        </w:tc>
        <w:tc>
          <w:tcPr>
            <w:tcW w:w="204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auto"/>
              </w:rPr>
              <w:t>2014</w:t>
            </w:r>
          </w:p>
        </w:tc>
        <w:tc>
          <w:tcPr>
            <w:tcW w:w="15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2013</w:t>
            </w:r>
          </w:p>
        </w:tc>
      </w:tr>
      <w:tr>
        <w:trPr>
          <w:trHeight w:val="173"/>
        </w:trPr>
        <w:tc>
          <w:tcPr>
            <w:tcW w:w="55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232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$18.99</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$18.94</w:t>
            </w:r>
          </w:p>
        </w:tc>
        <w:tc>
          <w:tcPr>
            <w:tcW w:w="15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$19.45</w:t>
            </w:r>
          </w:p>
        </w:tc>
      </w:tr>
      <w:tr>
        <w:trPr>
          <w:trHeight w:val="203"/>
        </w:trPr>
        <w:tc>
          <w:tcPr>
            <w:tcW w:w="5520" w:type="dxa"/>
            <w:vAlign w:val="bottom"/>
          </w:tcPr>
          <w:p>
            <w:pPr>
              <w:ind w:left="40"/>
              <w:spacing w:after="0" w:line="202" w:lineRule="exact"/>
              <w:rPr>
                <w:sz w:val="20"/>
                <w:szCs w:val="20"/>
                <w:color w:val="auto"/>
              </w:rPr>
            </w:pPr>
            <w:r>
              <w:rPr>
                <w:rFonts w:ascii="Arial" w:cs="Arial" w:eastAsia="Arial" w:hAnsi="Arial"/>
                <w:sz w:val="18"/>
                <w:szCs w:val="18"/>
                <w:color w:val="auto"/>
              </w:rPr>
              <w:t>Options canceled</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19.27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18.71</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19.87</w:t>
            </w:r>
          </w:p>
        </w:tc>
      </w:tr>
      <w:tr>
        <w:trPr>
          <w:trHeight w:val="173"/>
        </w:trPr>
        <w:tc>
          <w:tcPr>
            <w:tcW w:w="55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December 31</w:t>
            </w:r>
          </w:p>
        </w:tc>
        <w:tc>
          <w:tcPr>
            <w:tcW w:w="232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18.67</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18.99</w:t>
            </w:r>
          </w:p>
        </w:tc>
        <w:tc>
          <w:tcPr>
            <w:tcW w:w="15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18.94</w:t>
            </w:r>
          </w:p>
        </w:tc>
      </w:tr>
      <w:tr>
        <w:trPr>
          <w:trHeight w:val="225"/>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December 31</w:t>
            </w: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18.67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18.99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w:t>
            </w:r>
          </w:p>
        </w:tc>
      </w:tr>
    </w:tbl>
    <w:p>
      <w:pPr>
        <w:spacing w:after="0" w:line="391"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As of December 31, 2015, the aggregate intrinsic value of vested options was $1.6 million. The aggregate intrinsic value of options exercised was $2.0 million in 2015, $0.7 million in 2014, and $3.1 million in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193"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In 2011, shareholders approved the Albany International 2011 Incentive Plan. Awards granted to date under these plans provide key members of management with incentive compensation based on achieving certain</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8" w:name="page89"/>
    <w:bookmarkEnd w:id="88"/>
    <w:p>
      <w:pPr>
        <w:ind w:right="100"/>
        <w:spacing w:after="0" w:line="236" w:lineRule="auto"/>
        <w:rPr>
          <w:sz w:val="20"/>
          <w:szCs w:val="20"/>
          <w:color w:val="auto"/>
        </w:rPr>
      </w:pPr>
      <w:r>
        <w:rPr>
          <w:rFonts w:ascii="Arial" w:cs="Arial" w:eastAsia="Arial" w:hAnsi="Arial"/>
          <w:sz w:val="18"/>
          <w:szCs w:val="18"/>
          <w:color w:val="auto"/>
        </w:rPr>
        <w:t>performance targets over a three year period. Such awards are paid out partly in cash and partly in shares of Class A Common Stock. Participants may elect to receive shares net of applicable income taxes. In March 2015 we issued 35,393 shares and made cash payments totaling $1.2 million. In March 2014 we issued 29,321 shares and made cash payments totaling $ 1.1 million. In March 2013 we issued 40,255 shares and made cash payments totaling $1.1 million. If a person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the award. Expense associated with these awards is recognized over the three year vesting period. In connection with this plan, we recognized expense of $3.0 million in 2015 and $ 2.4 million in each of 2014 and 2013. For share-based awards that are dependent on performance after 2015, we expect to record additional compensation expense of approximately $1.5 million in 2016 and $0.6 million in 2017.</w:t>
      </w:r>
    </w:p>
    <w:p>
      <w:pPr>
        <w:spacing w:after="0" w:line="18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2011, the Board of Directors modified the annual incentive plan for executive management whereby 40 to 50 percent of the earned incentive compensation is payable in the form of shares of Class A Common Stock. Participants may elect to receive shares net of applicable income taxes. In March 2015, the Company issued 19,571 shares and made cash payments totaling $1.5 million as a result of performance in 2014. In March 2014, the Company issued 15,910 shares and made cash payments totaling $1.4 million as a result of performance in 2013. In March 2013, the Company issued 34,988 shares and made cash payments totaling $ 2.0 million as a result of performance in 2012. The allocation of the award between cash and shares is determined by an average share price after the year of performance. Expense recorded for this plan was $3.4 million in 2015, $2.7 million in 2014, and $2.3 million in 2013.</w:t>
      </w:r>
    </w:p>
    <w:p>
      <w:pPr>
        <w:spacing w:after="0" w:line="16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Shares payable under these plans generally vest immediately prior to payment. As of December 31, 2015, there were 288,219 shares of Company stock authorized for the payment of awards under these plans. Information with respect to these plans is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center"/>
              <w:ind w:right="149"/>
              <w:spacing w:after="0"/>
              <w:rPr>
                <w:sz w:val="20"/>
                <w:szCs w:val="20"/>
                <w:color w:val="auto"/>
              </w:rPr>
            </w:pPr>
            <w:r>
              <w:rPr>
                <w:rFonts w:ascii="Arial" w:cs="Arial" w:eastAsia="Arial" w:hAnsi="Arial"/>
                <w:sz w:val="18"/>
                <w:szCs w:val="18"/>
                <w:color w:val="auto"/>
                <w:w w:val="99"/>
              </w:rPr>
              <w:t>Weighted average</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Year-end</w:t>
            </w:r>
          </w:p>
        </w:tc>
      </w:tr>
      <w:tr>
        <w:trPr>
          <w:trHeight w:val="203"/>
        </w:trPr>
        <w:tc>
          <w:tcPr>
            <w:tcW w:w="5320" w:type="dxa"/>
            <w:vAlign w:val="bottom"/>
          </w:tcPr>
          <w:p>
            <w:pPr>
              <w:spacing w:after="0"/>
              <w:rPr>
                <w:sz w:val="17"/>
                <w:szCs w:val="17"/>
                <w:color w:val="auto"/>
              </w:rPr>
            </w:pPr>
          </w:p>
        </w:tc>
        <w:tc>
          <w:tcPr>
            <w:tcW w:w="2540" w:type="dxa"/>
            <w:vAlign w:val="bottom"/>
          </w:tcPr>
          <w:p>
            <w:pPr>
              <w:jc w:val="right"/>
              <w:ind w:right="249"/>
              <w:spacing w:after="0" w:line="202" w:lineRule="exact"/>
              <w:rPr>
                <w:sz w:val="20"/>
                <w:szCs w:val="20"/>
                <w:color w:val="auto"/>
              </w:rPr>
            </w:pPr>
            <w:r>
              <w:rPr>
                <w:rFonts w:ascii="Arial" w:cs="Arial" w:eastAsia="Arial" w:hAnsi="Arial"/>
                <w:sz w:val="18"/>
                <w:szCs w:val="18"/>
                <w:color w:val="auto"/>
              </w:rPr>
              <w:t>Number of</w:t>
            </w:r>
          </w:p>
        </w:tc>
        <w:tc>
          <w:tcPr>
            <w:tcW w:w="2060" w:type="dxa"/>
            <w:vAlign w:val="bottom"/>
          </w:tcPr>
          <w:p>
            <w:pPr>
              <w:jc w:val="center"/>
              <w:ind w:right="129"/>
              <w:spacing w:after="0" w:line="202" w:lineRule="exact"/>
              <w:rPr>
                <w:sz w:val="20"/>
                <w:szCs w:val="20"/>
                <w:color w:val="auto"/>
              </w:rPr>
            </w:pPr>
            <w:r>
              <w:rPr>
                <w:rFonts w:ascii="Arial" w:cs="Arial" w:eastAsia="Arial" w:hAnsi="Arial"/>
                <w:sz w:val="18"/>
                <w:szCs w:val="18"/>
                <w:color w:val="auto"/>
                <w:w w:val="99"/>
              </w:rPr>
              <w:t>grant date value per</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intrinsic value</w:t>
            </w:r>
          </w:p>
        </w:tc>
      </w:tr>
      <w:tr>
        <w:trPr>
          <w:trHeight w:val="203"/>
        </w:trPr>
        <w:tc>
          <w:tcPr>
            <w:tcW w:w="5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409"/>
              <w:spacing w:after="0" w:line="203" w:lineRule="exact"/>
              <w:rPr>
                <w:sz w:val="20"/>
                <w:szCs w:val="20"/>
                <w:color w:val="auto"/>
              </w:rPr>
            </w:pPr>
            <w:r>
              <w:rPr>
                <w:rFonts w:ascii="Arial" w:cs="Arial" w:eastAsia="Arial" w:hAnsi="Arial"/>
                <w:sz w:val="18"/>
                <w:szCs w:val="18"/>
                <w:color w:val="auto"/>
              </w:rPr>
              <w:t>shares</w:t>
            </w:r>
          </w:p>
        </w:tc>
        <w:tc>
          <w:tcPr>
            <w:tcW w:w="2060" w:type="dxa"/>
            <w:vAlign w:val="bottom"/>
            <w:tcBorders>
              <w:bottom w:val="single" w:sz="8" w:color="auto"/>
            </w:tcBorders>
          </w:tcPr>
          <w:p>
            <w:pPr>
              <w:jc w:val="center"/>
              <w:ind w:right="89"/>
              <w:spacing w:after="0" w:line="203" w:lineRule="exact"/>
              <w:rPr>
                <w:sz w:val="20"/>
                <w:szCs w:val="20"/>
                <w:color w:val="auto"/>
              </w:rPr>
            </w:pPr>
            <w:r>
              <w:rPr>
                <w:rFonts w:ascii="Arial" w:cs="Arial" w:eastAsia="Arial" w:hAnsi="Arial"/>
                <w:sz w:val="18"/>
                <w:szCs w:val="18"/>
                <w:color w:val="auto"/>
                <w:w w:val="97"/>
              </w:rPr>
              <w:t>share</w:t>
            </w:r>
          </w:p>
        </w:tc>
        <w:tc>
          <w:tcPr>
            <w:tcW w:w="15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(000's)</w:t>
            </w:r>
          </w:p>
        </w:tc>
      </w:tr>
      <w:tr>
        <w:trPr>
          <w:trHeight w:val="196"/>
        </w:trPr>
        <w:tc>
          <w:tcPr>
            <w:tcW w:w="5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January 1, 2013</w:t>
            </w:r>
          </w:p>
        </w:tc>
        <w:tc>
          <w:tcPr>
            <w:tcW w:w="254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229,361</w:t>
            </w:r>
          </w:p>
        </w:tc>
        <w:tc>
          <w:tcPr>
            <w:tcW w:w="206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$24.13</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r>
      <w:tr>
        <w:trPr>
          <w:trHeight w:val="195"/>
        </w:trPr>
        <w:tc>
          <w:tcPr>
            <w:tcW w:w="5320" w:type="dxa"/>
            <w:vAlign w:val="bottom"/>
          </w:tcPr>
          <w:p>
            <w:pPr>
              <w:ind w:left="40"/>
              <w:spacing w:after="0" w:line="195" w:lineRule="exact"/>
              <w:rPr>
                <w:sz w:val="20"/>
                <w:szCs w:val="20"/>
                <w:color w:val="auto"/>
              </w:rPr>
            </w:pPr>
            <w:r>
              <w:rPr>
                <w:rFonts w:ascii="Arial" w:cs="Arial" w:eastAsia="Arial" w:hAnsi="Arial"/>
                <w:sz w:val="18"/>
                <w:szCs w:val="18"/>
                <w:color w:val="auto"/>
              </w:rPr>
              <w:t>Forfeitures</w:t>
            </w:r>
          </w:p>
        </w:tc>
        <w:tc>
          <w:tcPr>
            <w:tcW w:w="2540" w:type="dxa"/>
            <w:vAlign w:val="bottom"/>
          </w:tcPr>
          <w:p>
            <w:pPr>
              <w:jc w:val="right"/>
              <w:ind w:right="169"/>
              <w:spacing w:after="0" w:line="195" w:lineRule="exact"/>
              <w:rPr>
                <w:sz w:val="20"/>
                <w:szCs w:val="20"/>
                <w:color w:val="auto"/>
              </w:rPr>
            </w:pPr>
            <w:r>
              <w:rPr>
                <w:rFonts w:ascii="Arial" w:cs="Arial" w:eastAsia="Arial" w:hAnsi="Arial"/>
                <w:sz w:val="18"/>
                <w:szCs w:val="18"/>
                <w:color w:val="auto"/>
              </w:rPr>
              <w:t>-</w:t>
            </w:r>
          </w:p>
        </w:tc>
        <w:tc>
          <w:tcPr>
            <w:tcW w:w="2060" w:type="dxa"/>
            <w:vAlign w:val="bottom"/>
          </w:tcPr>
          <w:p>
            <w:pPr>
              <w:jc w:val="right"/>
              <w:ind w:right="189"/>
              <w:spacing w:after="0" w:line="195" w:lineRule="exact"/>
              <w:rPr>
                <w:sz w:val="20"/>
                <w:szCs w:val="20"/>
                <w:color w:val="auto"/>
              </w:rPr>
            </w:pPr>
            <w:r>
              <w:rPr>
                <w:rFonts w:ascii="Arial" w:cs="Arial" w:eastAsia="Arial" w:hAnsi="Arial"/>
                <w:sz w:val="18"/>
                <w:szCs w:val="18"/>
                <w:color w:val="auto"/>
              </w:rPr>
              <w:t>-</w:t>
            </w:r>
          </w:p>
        </w:tc>
        <w:tc>
          <w:tcPr>
            <w:tcW w:w="1500" w:type="dxa"/>
            <w:vAlign w:val="bottom"/>
          </w:tcPr>
          <w:p>
            <w:pPr>
              <w:spacing w:after="0"/>
              <w:rPr>
                <w:sz w:val="16"/>
                <w:szCs w:val="16"/>
                <w:color w:val="auto"/>
              </w:rPr>
            </w:pPr>
          </w:p>
        </w:tc>
      </w:tr>
      <w:tr>
        <w:trPr>
          <w:trHeight w:val="203"/>
        </w:trPr>
        <w:tc>
          <w:tcPr>
            <w:tcW w:w="532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540" w:type="dxa"/>
            <w:vAlign w:val="bottom"/>
          </w:tcPr>
          <w:p>
            <w:pPr>
              <w:jc w:val="right"/>
              <w:ind w:right="29"/>
              <w:spacing w:after="0" w:line="202" w:lineRule="exact"/>
              <w:rPr>
                <w:sz w:val="20"/>
                <w:szCs w:val="20"/>
                <w:color w:val="auto"/>
              </w:rPr>
            </w:pPr>
            <w:r>
              <w:rPr>
                <w:rFonts w:ascii="Arial" w:cs="Arial" w:eastAsia="Arial" w:hAnsi="Arial"/>
                <w:sz w:val="18"/>
                <w:szCs w:val="18"/>
                <w:color w:val="auto"/>
              </w:rPr>
              <w:t>(118,364)</w:t>
            </w:r>
          </w:p>
        </w:tc>
        <w:tc>
          <w:tcPr>
            <w:tcW w:w="2060" w:type="dxa"/>
            <w:vAlign w:val="bottom"/>
          </w:tcPr>
          <w:p>
            <w:pPr>
              <w:jc w:val="right"/>
              <w:ind w:right="29"/>
              <w:spacing w:after="0" w:line="202" w:lineRule="exact"/>
              <w:rPr>
                <w:sz w:val="20"/>
                <w:szCs w:val="20"/>
                <w:color w:val="auto"/>
              </w:rPr>
            </w:pPr>
            <w:r>
              <w:rPr>
                <w:rFonts w:ascii="Arial" w:cs="Arial" w:eastAsia="Arial" w:hAnsi="Arial"/>
                <w:sz w:val="18"/>
                <w:szCs w:val="18"/>
                <w:color w:val="auto"/>
              </w:rPr>
              <w:t>$23.05</w:t>
            </w:r>
          </w:p>
        </w:tc>
        <w:tc>
          <w:tcPr>
            <w:tcW w:w="1500" w:type="dxa"/>
            <w:vAlign w:val="bottom"/>
          </w:tcPr>
          <w:p>
            <w:pPr>
              <w:spacing w:after="0"/>
              <w:rPr>
                <w:sz w:val="17"/>
                <w:szCs w:val="17"/>
                <w:color w:val="auto"/>
              </w:rPr>
            </w:pPr>
          </w:p>
        </w:tc>
      </w:tr>
      <w:tr>
        <w:trPr>
          <w:trHeight w:val="203"/>
        </w:trPr>
        <w:tc>
          <w:tcPr>
            <w:tcW w:w="53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Shares accrued based on 2013 performance</w:t>
            </w:r>
          </w:p>
        </w:tc>
        <w:tc>
          <w:tcPr>
            <w:tcW w:w="2540" w:type="dxa"/>
            <w:vAlign w:val="bottom"/>
            <w:tcBorders>
              <w:bottom w:val="single" w:sz="8" w:color="auto"/>
            </w:tcBorders>
          </w:tcPr>
          <w:p>
            <w:pPr>
              <w:jc w:val="right"/>
              <w:ind w:right="29"/>
              <w:spacing w:after="0" w:line="203" w:lineRule="exact"/>
              <w:rPr>
                <w:sz w:val="20"/>
                <w:szCs w:val="20"/>
                <w:color w:val="auto"/>
              </w:rPr>
            </w:pPr>
            <w:r>
              <w:rPr>
                <w:rFonts w:ascii="Arial" w:cs="Arial" w:eastAsia="Arial" w:hAnsi="Arial"/>
                <w:sz w:val="18"/>
                <w:szCs w:val="18"/>
                <w:color w:val="auto"/>
              </w:rPr>
              <w:t>74,567</w:t>
            </w:r>
          </w:p>
        </w:tc>
        <w:tc>
          <w:tcPr>
            <w:tcW w:w="2060" w:type="dxa"/>
            <w:vAlign w:val="bottom"/>
            <w:tcBorders>
              <w:bottom w:val="single" w:sz="8" w:color="auto"/>
            </w:tcBorders>
          </w:tcPr>
          <w:p>
            <w:pPr>
              <w:jc w:val="right"/>
              <w:ind w:right="29"/>
              <w:spacing w:after="0" w:line="203" w:lineRule="exact"/>
              <w:rPr>
                <w:sz w:val="20"/>
                <w:szCs w:val="20"/>
                <w:color w:val="auto"/>
              </w:rPr>
            </w:pPr>
            <w:r>
              <w:rPr>
                <w:rFonts w:ascii="Arial" w:cs="Arial" w:eastAsia="Arial" w:hAnsi="Arial"/>
                <w:sz w:val="18"/>
                <w:szCs w:val="18"/>
                <w:color w:val="auto"/>
              </w:rPr>
              <w:t>$31.62</w:t>
            </w:r>
          </w:p>
        </w:tc>
        <w:tc>
          <w:tcPr>
            <w:tcW w:w="150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2013</w:t>
            </w:r>
          </w:p>
        </w:tc>
        <w:tc>
          <w:tcPr>
            <w:tcW w:w="254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185,564</w:t>
            </w:r>
          </w:p>
        </w:tc>
        <w:tc>
          <w:tcPr>
            <w:tcW w:w="206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$27.51</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$6,667</w:t>
            </w:r>
          </w:p>
        </w:tc>
      </w:tr>
      <w:tr>
        <w:trPr>
          <w:trHeight w:val="195"/>
        </w:trPr>
        <w:tc>
          <w:tcPr>
            <w:tcW w:w="5320" w:type="dxa"/>
            <w:vAlign w:val="bottom"/>
          </w:tcPr>
          <w:p>
            <w:pPr>
              <w:ind w:left="40"/>
              <w:spacing w:after="0" w:line="195" w:lineRule="exact"/>
              <w:rPr>
                <w:sz w:val="20"/>
                <w:szCs w:val="20"/>
                <w:color w:val="auto"/>
              </w:rPr>
            </w:pPr>
            <w:r>
              <w:rPr>
                <w:rFonts w:ascii="Arial" w:cs="Arial" w:eastAsia="Arial" w:hAnsi="Arial"/>
                <w:sz w:val="18"/>
                <w:szCs w:val="18"/>
                <w:color w:val="auto"/>
              </w:rPr>
              <w:t>Forfeitures</w:t>
            </w:r>
          </w:p>
        </w:tc>
        <w:tc>
          <w:tcPr>
            <w:tcW w:w="2540" w:type="dxa"/>
            <w:vAlign w:val="bottom"/>
          </w:tcPr>
          <w:p>
            <w:pPr>
              <w:jc w:val="right"/>
              <w:ind w:right="169"/>
              <w:spacing w:after="0" w:line="195" w:lineRule="exact"/>
              <w:rPr>
                <w:sz w:val="20"/>
                <w:szCs w:val="20"/>
                <w:color w:val="auto"/>
              </w:rPr>
            </w:pPr>
            <w:r>
              <w:rPr>
                <w:rFonts w:ascii="Arial" w:cs="Arial" w:eastAsia="Arial" w:hAnsi="Arial"/>
                <w:sz w:val="18"/>
                <w:szCs w:val="18"/>
                <w:color w:val="auto"/>
              </w:rPr>
              <w:t>-</w:t>
            </w:r>
          </w:p>
        </w:tc>
        <w:tc>
          <w:tcPr>
            <w:tcW w:w="2060" w:type="dxa"/>
            <w:vAlign w:val="bottom"/>
          </w:tcPr>
          <w:p>
            <w:pPr>
              <w:jc w:val="right"/>
              <w:ind w:right="189"/>
              <w:spacing w:after="0" w:line="195" w:lineRule="exact"/>
              <w:rPr>
                <w:sz w:val="20"/>
                <w:szCs w:val="20"/>
                <w:color w:val="auto"/>
              </w:rPr>
            </w:pPr>
            <w:r>
              <w:rPr>
                <w:rFonts w:ascii="Arial" w:cs="Arial" w:eastAsia="Arial" w:hAnsi="Arial"/>
                <w:sz w:val="18"/>
                <w:szCs w:val="18"/>
                <w:color w:val="auto"/>
              </w:rPr>
              <w:t>-</w:t>
            </w:r>
          </w:p>
        </w:tc>
        <w:tc>
          <w:tcPr>
            <w:tcW w:w="1500" w:type="dxa"/>
            <w:vAlign w:val="bottom"/>
          </w:tcPr>
          <w:p>
            <w:pPr>
              <w:spacing w:after="0"/>
              <w:rPr>
                <w:sz w:val="16"/>
                <w:szCs w:val="16"/>
                <w:color w:val="auto"/>
              </w:rPr>
            </w:pPr>
          </w:p>
        </w:tc>
      </w:tr>
      <w:tr>
        <w:trPr>
          <w:trHeight w:val="203"/>
        </w:trPr>
        <w:tc>
          <w:tcPr>
            <w:tcW w:w="532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540" w:type="dxa"/>
            <w:vAlign w:val="bottom"/>
          </w:tcPr>
          <w:p>
            <w:pPr>
              <w:jc w:val="right"/>
              <w:ind w:right="29"/>
              <w:spacing w:after="0" w:line="202" w:lineRule="exact"/>
              <w:rPr>
                <w:sz w:val="20"/>
                <w:szCs w:val="20"/>
                <w:color w:val="auto"/>
              </w:rPr>
            </w:pPr>
            <w:r>
              <w:rPr>
                <w:rFonts w:ascii="Arial" w:cs="Arial" w:eastAsia="Arial" w:hAnsi="Arial"/>
                <w:sz w:val="18"/>
                <w:szCs w:val="18"/>
                <w:color w:val="auto"/>
              </w:rPr>
              <w:t>(75,385)</w:t>
            </w:r>
          </w:p>
        </w:tc>
        <w:tc>
          <w:tcPr>
            <w:tcW w:w="2060" w:type="dxa"/>
            <w:vAlign w:val="bottom"/>
          </w:tcPr>
          <w:p>
            <w:pPr>
              <w:jc w:val="right"/>
              <w:ind w:right="29"/>
              <w:spacing w:after="0" w:line="202" w:lineRule="exact"/>
              <w:rPr>
                <w:sz w:val="20"/>
                <w:szCs w:val="20"/>
                <w:color w:val="auto"/>
              </w:rPr>
            </w:pPr>
            <w:r>
              <w:rPr>
                <w:rFonts w:ascii="Arial" w:cs="Arial" w:eastAsia="Arial" w:hAnsi="Arial"/>
                <w:sz w:val="18"/>
                <w:szCs w:val="18"/>
                <w:color w:val="auto"/>
              </w:rPr>
              <w:t>$28.60</w:t>
            </w:r>
          </w:p>
        </w:tc>
        <w:tc>
          <w:tcPr>
            <w:tcW w:w="1500" w:type="dxa"/>
            <w:vAlign w:val="bottom"/>
          </w:tcPr>
          <w:p>
            <w:pPr>
              <w:spacing w:after="0"/>
              <w:rPr>
                <w:sz w:val="17"/>
                <w:szCs w:val="17"/>
                <w:color w:val="auto"/>
              </w:rPr>
            </w:pPr>
          </w:p>
        </w:tc>
      </w:tr>
      <w:tr>
        <w:trPr>
          <w:trHeight w:val="203"/>
        </w:trPr>
        <w:tc>
          <w:tcPr>
            <w:tcW w:w="53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Shares accrued based on 2014 performance</w:t>
            </w:r>
          </w:p>
        </w:tc>
        <w:tc>
          <w:tcPr>
            <w:tcW w:w="2540" w:type="dxa"/>
            <w:vAlign w:val="bottom"/>
            <w:tcBorders>
              <w:bottom w:val="single" w:sz="8" w:color="auto"/>
            </w:tcBorders>
          </w:tcPr>
          <w:p>
            <w:pPr>
              <w:jc w:val="right"/>
              <w:ind w:right="29"/>
              <w:spacing w:after="0" w:line="203" w:lineRule="exact"/>
              <w:rPr>
                <w:sz w:val="20"/>
                <w:szCs w:val="20"/>
                <w:color w:val="auto"/>
              </w:rPr>
            </w:pPr>
            <w:r>
              <w:rPr>
                <w:rFonts w:ascii="Arial" w:cs="Arial" w:eastAsia="Arial" w:hAnsi="Arial"/>
                <w:sz w:val="18"/>
                <w:szCs w:val="18"/>
                <w:color w:val="auto"/>
              </w:rPr>
              <w:t>75,020</w:t>
            </w:r>
          </w:p>
        </w:tc>
        <w:tc>
          <w:tcPr>
            <w:tcW w:w="2060" w:type="dxa"/>
            <w:vAlign w:val="bottom"/>
            <w:tcBorders>
              <w:bottom w:val="single" w:sz="8" w:color="auto"/>
            </w:tcBorders>
          </w:tcPr>
          <w:p>
            <w:pPr>
              <w:jc w:val="right"/>
              <w:ind w:right="29"/>
              <w:spacing w:after="0" w:line="203" w:lineRule="exact"/>
              <w:rPr>
                <w:sz w:val="20"/>
                <w:szCs w:val="20"/>
                <w:color w:val="auto"/>
              </w:rPr>
            </w:pPr>
            <w:r>
              <w:rPr>
                <w:rFonts w:ascii="Arial" w:cs="Arial" w:eastAsia="Arial" w:hAnsi="Arial"/>
                <w:sz w:val="18"/>
                <w:szCs w:val="18"/>
                <w:color w:val="auto"/>
              </w:rPr>
              <w:t>$34.65</w:t>
            </w:r>
          </w:p>
        </w:tc>
        <w:tc>
          <w:tcPr>
            <w:tcW w:w="150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2014</w:t>
            </w:r>
          </w:p>
        </w:tc>
        <w:tc>
          <w:tcPr>
            <w:tcW w:w="254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185,199</w:t>
            </w:r>
          </w:p>
        </w:tc>
        <w:tc>
          <w:tcPr>
            <w:tcW w:w="206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$30.69</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$5,683</w:t>
            </w:r>
          </w:p>
        </w:tc>
      </w:tr>
      <w:tr>
        <w:trPr>
          <w:trHeight w:val="209"/>
        </w:trPr>
        <w:tc>
          <w:tcPr>
            <w:tcW w:w="532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2540" w:type="dxa"/>
            <w:vAlign w:val="bottom"/>
          </w:tcPr>
          <w:p>
            <w:pPr>
              <w:jc w:val="right"/>
              <w:ind w:right="189"/>
              <w:spacing w:after="0" w:line="208" w:lineRule="exact"/>
              <w:rPr>
                <w:sz w:val="20"/>
                <w:szCs w:val="20"/>
                <w:color w:val="auto"/>
              </w:rPr>
            </w:pPr>
            <w:r>
              <w:rPr>
                <w:rFonts w:ascii="Arial" w:cs="Arial" w:eastAsia="Arial" w:hAnsi="Arial"/>
                <w:sz w:val="20"/>
                <w:szCs w:val="20"/>
                <w:color w:val="auto"/>
              </w:rPr>
              <w:t>-</w:t>
            </w:r>
          </w:p>
        </w:tc>
        <w:tc>
          <w:tcPr>
            <w:tcW w:w="2060" w:type="dxa"/>
            <w:vAlign w:val="bottom"/>
          </w:tcPr>
          <w:p>
            <w:pPr>
              <w:jc w:val="right"/>
              <w:ind w:right="189"/>
              <w:spacing w:after="0" w:line="208" w:lineRule="exact"/>
              <w:rPr>
                <w:sz w:val="20"/>
                <w:szCs w:val="20"/>
                <w:color w:val="auto"/>
              </w:rPr>
            </w:pPr>
            <w:r>
              <w:rPr>
                <w:rFonts w:ascii="Arial" w:cs="Arial" w:eastAsia="Arial" w:hAnsi="Arial"/>
                <w:sz w:val="20"/>
                <w:szCs w:val="20"/>
                <w:color w:val="auto"/>
              </w:rPr>
              <w:t>-</w:t>
            </w:r>
          </w:p>
        </w:tc>
        <w:tc>
          <w:tcPr>
            <w:tcW w:w="1500" w:type="dxa"/>
            <w:vAlign w:val="bottom"/>
          </w:tcPr>
          <w:p>
            <w:pPr>
              <w:spacing w:after="0"/>
              <w:rPr>
                <w:sz w:val="18"/>
                <w:szCs w:val="18"/>
                <w:color w:val="auto"/>
              </w:rPr>
            </w:pPr>
          </w:p>
        </w:tc>
      </w:tr>
      <w:tr>
        <w:trPr>
          <w:trHeight w:val="216"/>
        </w:trPr>
        <w:tc>
          <w:tcPr>
            <w:tcW w:w="53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540" w:type="dxa"/>
            <w:vAlign w:val="bottom"/>
          </w:tcPr>
          <w:p>
            <w:pPr>
              <w:jc w:val="right"/>
              <w:ind w:right="29"/>
              <w:spacing w:after="0"/>
              <w:rPr>
                <w:sz w:val="20"/>
                <w:szCs w:val="20"/>
                <w:color w:val="auto"/>
              </w:rPr>
            </w:pPr>
            <w:r>
              <w:rPr>
                <w:rFonts w:ascii="Arial" w:cs="Arial" w:eastAsia="Arial" w:hAnsi="Arial"/>
                <w:sz w:val="18"/>
                <w:szCs w:val="18"/>
                <w:color w:val="auto"/>
              </w:rPr>
              <w:t>(95,889)</w:t>
            </w:r>
          </w:p>
        </w:tc>
        <w:tc>
          <w:tcPr>
            <w:tcW w:w="2060" w:type="dxa"/>
            <w:vAlign w:val="bottom"/>
          </w:tcPr>
          <w:p>
            <w:pPr>
              <w:jc w:val="right"/>
              <w:ind w:right="29"/>
              <w:spacing w:after="0"/>
              <w:rPr>
                <w:sz w:val="20"/>
                <w:szCs w:val="20"/>
                <w:color w:val="auto"/>
              </w:rPr>
            </w:pPr>
            <w:r>
              <w:rPr>
                <w:rFonts w:ascii="Arial" w:cs="Arial" w:eastAsia="Arial" w:hAnsi="Arial"/>
                <w:sz w:val="18"/>
                <w:szCs w:val="18"/>
                <w:color w:val="auto"/>
              </w:rPr>
              <w:t>$29.09</w:t>
            </w:r>
          </w:p>
        </w:tc>
        <w:tc>
          <w:tcPr>
            <w:tcW w:w="1500" w:type="dxa"/>
            <w:vAlign w:val="bottom"/>
          </w:tcPr>
          <w:p>
            <w:pPr>
              <w:spacing w:after="0"/>
              <w:rPr>
                <w:sz w:val="18"/>
                <w:szCs w:val="18"/>
                <w:color w:val="auto"/>
              </w:rPr>
            </w:pPr>
          </w:p>
        </w:tc>
      </w:tr>
      <w:tr>
        <w:trPr>
          <w:trHeight w:val="217"/>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Shares accrued based on 2015 performance</w:t>
            </w:r>
          </w:p>
        </w:tc>
        <w:tc>
          <w:tcPr>
            <w:tcW w:w="254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98,998</w:t>
            </w:r>
          </w:p>
        </w:tc>
        <w:tc>
          <w:tcPr>
            <w:tcW w:w="206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$38.01</w:t>
            </w:r>
          </w:p>
        </w:tc>
        <w:tc>
          <w:tcPr>
            <w:tcW w:w="1500" w:type="dxa"/>
            <w:vAlign w:val="bottom"/>
            <w:tcBorders>
              <w:bottom w:val="single" w:sz="8" w:color="auto"/>
            </w:tcBorders>
          </w:tcPr>
          <w:p>
            <w:pPr>
              <w:spacing w:after="0"/>
              <w:rPr>
                <w:sz w:val="18"/>
                <w:szCs w:val="18"/>
                <w:color w:val="auto"/>
              </w:rPr>
            </w:pPr>
          </w:p>
        </w:tc>
      </w:tr>
      <w:tr>
        <w:trPr>
          <w:trHeight w:val="196"/>
        </w:trPr>
        <w:tc>
          <w:tcPr>
            <w:tcW w:w="5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2015</w:t>
            </w:r>
          </w:p>
        </w:tc>
        <w:tc>
          <w:tcPr>
            <w:tcW w:w="254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188,308</w:t>
            </w:r>
          </w:p>
        </w:tc>
        <w:tc>
          <w:tcPr>
            <w:tcW w:w="2060" w:type="dxa"/>
            <w:vAlign w:val="bottom"/>
            <w:tcBorders>
              <w:bottom w:val="single" w:sz="8" w:color="auto"/>
            </w:tcBorders>
          </w:tcPr>
          <w:p>
            <w:pPr>
              <w:jc w:val="right"/>
              <w:ind w:right="29"/>
              <w:spacing w:after="0" w:line="196" w:lineRule="exact"/>
              <w:rPr>
                <w:sz w:val="20"/>
                <w:szCs w:val="20"/>
                <w:color w:val="auto"/>
              </w:rPr>
            </w:pPr>
            <w:r>
              <w:rPr>
                <w:rFonts w:ascii="Arial" w:cs="Arial" w:eastAsia="Arial" w:hAnsi="Arial"/>
                <w:sz w:val="18"/>
                <w:szCs w:val="18"/>
                <w:color w:val="auto"/>
              </w:rPr>
              <w:t>$35.35</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$6,657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Other Management share-based compensation:</w:t>
      </w:r>
    </w:p>
    <w:p>
      <w:pPr>
        <w:spacing w:after="0" w:line="171" w:lineRule="exact"/>
        <w:rPr>
          <w:sz w:val="20"/>
          <w:szCs w:val="20"/>
          <w:color w:val="auto"/>
        </w:rPr>
      </w:pPr>
    </w:p>
    <w:p>
      <w:pPr>
        <w:jc w:val="both"/>
        <w:ind w:right="240" w:firstLine="648"/>
        <w:spacing w:after="0" w:line="239" w:lineRule="auto"/>
        <w:rPr>
          <w:sz w:val="20"/>
          <w:szCs w:val="20"/>
          <w:color w:val="auto"/>
        </w:rPr>
      </w:pPr>
      <w:r>
        <w:rPr>
          <w:rFonts w:ascii="Arial" w:cs="Arial" w:eastAsia="Arial" w:hAnsi="Arial"/>
          <w:sz w:val="18"/>
          <w:szCs w:val="18"/>
          <w:color w:val="auto"/>
        </w:rPr>
        <w:t>In 2003, the Company adopted a Restricted Stock Program under which certain key employees were awarded restricted stock units. Such units vest over a five-year period and are paid annually in cash based on current market prices of the Company’s stock. The amount of compensation expense was subject to changes in the market price of the Company’s stock. The amount of compensation cost attributable to such units was</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9" w:name="page90"/>
    <w:bookmarkEnd w:id="89"/>
    <w:p>
      <w:pPr>
        <w:jc w:val="both"/>
        <w:ind w:right="480"/>
        <w:spacing w:after="0" w:line="246" w:lineRule="auto"/>
        <w:rPr>
          <w:sz w:val="20"/>
          <w:szCs w:val="20"/>
          <w:color w:val="auto"/>
        </w:rPr>
      </w:pPr>
      <w:r>
        <w:rPr>
          <w:rFonts w:ascii="Arial" w:cs="Arial" w:eastAsia="Arial" w:hAnsi="Arial"/>
          <w:sz w:val="18"/>
          <w:szCs w:val="18"/>
          <w:color w:val="auto"/>
        </w:rPr>
        <w:t>recorded in Selling, general and administrative expenses and was $0.6 million in 2015, $1.4 million in 2014, and $2.5 million in 2013. The Company has not awarded new restricted stock units since November 2010 and there are no remaining amounts payable under this plan.</w:t>
      </w:r>
    </w:p>
    <w:p>
      <w:pPr>
        <w:spacing w:after="0" w:line="170"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2012, the Company adopted a Phantom Stock Plan that replaced the Restricted Stock Program. Awards under this program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$2.6 million in 2015, $2.2 million in 2014, and $1.5 million in 2013. Based on awards outstanding at December 31, 2015, we expect to record $6.6 million of compensation cost from 2016 to 2019. The weighted average period for recognition of that cost is approximately 2 years.</w:t>
      </w:r>
    </w:p>
    <w:p>
      <w:pPr>
        <w:spacing w:after="0" w:line="165"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18"/>
          <w:szCs w:val="18"/>
          <w:color w:val="auto"/>
        </w:rPr>
        <w:t>In 2012, the Company granted restricted stock units to two executives. The amount of compensation expense was subject to changes in the market price of the Company’s stock and was recorded in Selling, general, and administrative expenses. The final vesting and payment due under these grants occurred in 2015. Expense recognized for these grants was $0.3 million in 2015, $0.7 million in 2014, and $1.0 million in 2013.</w:t>
      </w:r>
    </w:p>
    <w:p>
      <w:pPr>
        <w:spacing w:after="0" w:line="16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8"/>
              </w:rPr>
              <w:t>Cash paid for</w:t>
            </w:r>
          </w:p>
        </w:tc>
      </w:tr>
      <w:tr>
        <w:trPr>
          <w:trHeight w:val="203"/>
        </w:trPr>
        <w:tc>
          <w:tcPr>
            <w:tcW w:w="5260" w:type="dxa"/>
            <w:vAlign w:val="bottom"/>
          </w:tcPr>
          <w:p>
            <w:pPr>
              <w:spacing w:after="0"/>
              <w:rPr>
                <w:sz w:val="17"/>
                <w:szCs w:val="17"/>
                <w:color w:val="auto"/>
              </w:rPr>
            </w:pPr>
          </w:p>
        </w:tc>
        <w:tc>
          <w:tcPr>
            <w:tcW w:w="2220" w:type="dxa"/>
            <w:vAlign w:val="bottom"/>
          </w:tcPr>
          <w:p>
            <w:pPr>
              <w:jc w:val="right"/>
              <w:ind w:right="328"/>
              <w:spacing w:after="0" w:line="202" w:lineRule="exact"/>
              <w:rPr>
                <w:sz w:val="20"/>
                <w:szCs w:val="20"/>
                <w:color w:val="auto"/>
              </w:rPr>
            </w:pPr>
            <w:r>
              <w:rPr>
                <w:rFonts w:ascii="Arial" w:cs="Arial" w:eastAsia="Arial" w:hAnsi="Arial"/>
                <w:sz w:val="18"/>
                <w:szCs w:val="18"/>
                <w:color w:val="auto"/>
              </w:rPr>
              <w:t>Number of</w:t>
            </w:r>
          </w:p>
        </w:tc>
        <w:tc>
          <w:tcPr>
            <w:tcW w:w="2180" w:type="dxa"/>
            <w:vAlign w:val="bottom"/>
          </w:tcPr>
          <w:p>
            <w:pPr>
              <w:jc w:val="right"/>
              <w:ind w:right="448"/>
              <w:spacing w:after="0" w:line="202" w:lineRule="exact"/>
              <w:rPr>
                <w:sz w:val="20"/>
                <w:szCs w:val="20"/>
                <w:color w:val="auto"/>
              </w:rPr>
            </w:pPr>
            <w:r>
              <w:rPr>
                <w:rFonts w:ascii="Arial" w:cs="Arial" w:eastAsia="Arial" w:hAnsi="Arial"/>
                <w:sz w:val="18"/>
                <w:szCs w:val="18"/>
                <w:color w:val="auto"/>
              </w:rPr>
              <w:t>Weighted average</w:t>
            </w:r>
          </w:p>
        </w:tc>
        <w:tc>
          <w:tcPr>
            <w:tcW w:w="17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8"/>
              </w:rPr>
              <w:t>share based</w:t>
            </w:r>
          </w:p>
        </w:tc>
      </w:tr>
      <w:tr>
        <w:trPr>
          <w:trHeight w:val="203"/>
        </w:trPr>
        <w:tc>
          <w:tcPr>
            <w:tcW w:w="5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488"/>
              <w:spacing w:after="0" w:line="203" w:lineRule="exact"/>
              <w:rPr>
                <w:sz w:val="20"/>
                <w:szCs w:val="20"/>
                <w:color w:val="auto"/>
              </w:rPr>
            </w:pPr>
            <w:r>
              <w:rPr>
                <w:rFonts w:ascii="Arial" w:cs="Arial" w:eastAsia="Arial" w:hAnsi="Arial"/>
                <w:sz w:val="18"/>
                <w:szCs w:val="18"/>
                <w:color w:val="auto"/>
              </w:rPr>
              <w:t>shares</w:t>
            </w:r>
          </w:p>
        </w:tc>
        <w:tc>
          <w:tcPr>
            <w:tcW w:w="2180" w:type="dxa"/>
            <w:vAlign w:val="bottom"/>
            <w:tcBorders>
              <w:bottom w:val="single" w:sz="8" w:color="auto"/>
            </w:tcBorders>
          </w:tcPr>
          <w:p>
            <w:pPr>
              <w:jc w:val="right"/>
              <w:ind w:right="548"/>
              <w:spacing w:after="0" w:line="203" w:lineRule="exact"/>
              <w:rPr>
                <w:sz w:val="20"/>
                <w:szCs w:val="20"/>
                <w:color w:val="auto"/>
              </w:rPr>
            </w:pPr>
            <w:r>
              <w:rPr>
                <w:rFonts w:ascii="Arial" w:cs="Arial" w:eastAsia="Arial" w:hAnsi="Arial"/>
                <w:sz w:val="18"/>
                <w:szCs w:val="18"/>
                <w:color w:val="auto"/>
              </w:rPr>
              <w:t>value per share</w:t>
            </w:r>
          </w:p>
        </w:tc>
        <w:tc>
          <w:tcPr>
            <w:tcW w:w="1760" w:type="dxa"/>
            <w:vAlign w:val="bottom"/>
            <w:tcBorders>
              <w:bottom w:val="single" w:sz="8" w:color="auto"/>
            </w:tcBorders>
          </w:tcPr>
          <w:p>
            <w:pPr>
              <w:jc w:val="center"/>
              <w:ind w:right="90"/>
              <w:spacing w:after="0" w:line="203" w:lineRule="exact"/>
              <w:rPr>
                <w:sz w:val="20"/>
                <w:szCs w:val="20"/>
                <w:color w:val="auto"/>
              </w:rPr>
            </w:pPr>
            <w:r>
              <w:rPr>
                <w:rFonts w:ascii="Arial" w:cs="Arial" w:eastAsia="Arial" w:hAnsi="Arial"/>
                <w:sz w:val="18"/>
                <w:szCs w:val="18"/>
                <w:color w:val="auto"/>
                <w:w w:val="99"/>
              </w:rPr>
              <w:t>liabilities(000's)</w:t>
            </w:r>
          </w:p>
        </w:tc>
      </w:tr>
      <w:tr>
        <w:trPr>
          <w:trHeight w:val="196"/>
        </w:trPr>
        <w:tc>
          <w:tcPr>
            <w:tcW w:w="5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January 1, 2013</w:t>
            </w:r>
          </w:p>
        </w:tc>
        <w:tc>
          <w:tcPr>
            <w:tcW w:w="2220" w:type="dxa"/>
            <w:vAlign w:val="bottom"/>
            <w:tcBorders>
              <w:bottom w:val="single" w:sz="8" w:color="auto"/>
            </w:tcBorders>
          </w:tcPr>
          <w:p>
            <w:pPr>
              <w:jc w:val="right"/>
              <w:ind w:right="88"/>
              <w:spacing w:after="0" w:line="196" w:lineRule="exact"/>
              <w:rPr>
                <w:sz w:val="20"/>
                <w:szCs w:val="20"/>
                <w:color w:val="auto"/>
              </w:rPr>
            </w:pPr>
            <w:r>
              <w:rPr>
                <w:rFonts w:ascii="Arial" w:cs="Arial" w:eastAsia="Arial" w:hAnsi="Arial"/>
                <w:sz w:val="18"/>
                <w:szCs w:val="18"/>
                <w:color w:val="auto"/>
              </w:rPr>
              <w:t>350,760</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5"/>
        </w:trPr>
        <w:tc>
          <w:tcPr>
            <w:tcW w:w="5260" w:type="dxa"/>
            <w:vAlign w:val="bottom"/>
          </w:tcPr>
          <w:p>
            <w:pPr>
              <w:ind w:left="40"/>
              <w:spacing w:after="0" w:line="195" w:lineRule="exact"/>
              <w:rPr>
                <w:sz w:val="20"/>
                <w:szCs w:val="20"/>
                <w:color w:val="auto"/>
              </w:rPr>
            </w:pPr>
            <w:r>
              <w:rPr>
                <w:rFonts w:ascii="Arial" w:cs="Arial" w:eastAsia="Arial" w:hAnsi="Arial"/>
                <w:sz w:val="18"/>
                <w:szCs w:val="18"/>
                <w:color w:val="auto"/>
              </w:rPr>
              <w:t>Grants</w:t>
            </w:r>
          </w:p>
        </w:tc>
        <w:tc>
          <w:tcPr>
            <w:tcW w:w="2220" w:type="dxa"/>
            <w:vAlign w:val="bottom"/>
          </w:tcPr>
          <w:p>
            <w:pPr>
              <w:jc w:val="right"/>
              <w:ind w:right="88"/>
              <w:spacing w:after="0" w:line="195" w:lineRule="exact"/>
              <w:rPr>
                <w:sz w:val="20"/>
                <w:szCs w:val="20"/>
                <w:color w:val="auto"/>
              </w:rPr>
            </w:pPr>
            <w:r>
              <w:rPr>
                <w:rFonts w:ascii="Arial" w:cs="Arial" w:eastAsia="Arial" w:hAnsi="Arial"/>
                <w:sz w:val="18"/>
                <w:szCs w:val="18"/>
                <w:color w:val="auto"/>
              </w:rPr>
              <w:t>104,554</w:t>
            </w:r>
          </w:p>
        </w:tc>
        <w:tc>
          <w:tcPr>
            <w:tcW w:w="2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220" w:type="dxa"/>
            <w:vAlign w:val="bottom"/>
          </w:tcPr>
          <w:p>
            <w:pPr>
              <w:jc w:val="right"/>
              <w:ind w:right="88"/>
              <w:spacing w:after="0" w:line="202" w:lineRule="exact"/>
              <w:rPr>
                <w:sz w:val="20"/>
                <w:szCs w:val="20"/>
                <w:color w:val="auto"/>
              </w:rPr>
            </w:pPr>
            <w:r>
              <w:rPr>
                <w:rFonts w:ascii="Arial" w:cs="Arial" w:eastAsia="Arial" w:hAnsi="Arial"/>
                <w:sz w:val="18"/>
                <w:szCs w:val="18"/>
                <w:color w:val="auto"/>
              </w:rPr>
              <w:t>(85,902)</w:t>
            </w:r>
          </w:p>
        </w:tc>
        <w:tc>
          <w:tcPr>
            <w:tcW w:w="2180" w:type="dxa"/>
            <w:vAlign w:val="bottom"/>
          </w:tcPr>
          <w:p>
            <w:pPr>
              <w:jc w:val="right"/>
              <w:ind w:right="108"/>
              <w:spacing w:after="0" w:line="202" w:lineRule="exact"/>
              <w:rPr>
                <w:sz w:val="20"/>
                <w:szCs w:val="20"/>
                <w:color w:val="auto"/>
              </w:rPr>
            </w:pPr>
            <w:r>
              <w:rPr>
                <w:rFonts w:ascii="Arial" w:cs="Arial" w:eastAsia="Arial" w:hAnsi="Arial"/>
                <w:sz w:val="18"/>
                <w:szCs w:val="18"/>
                <w:color w:val="auto"/>
              </w:rPr>
              <w:t>$32.71</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$2,810</w:t>
            </w:r>
          </w:p>
        </w:tc>
      </w:tr>
      <w:tr>
        <w:trPr>
          <w:trHeight w:val="203"/>
        </w:trPr>
        <w:tc>
          <w:tcPr>
            <w:tcW w:w="52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Forfeitures</w:t>
            </w:r>
          </w:p>
        </w:tc>
        <w:tc>
          <w:tcPr>
            <w:tcW w:w="2220" w:type="dxa"/>
            <w:vAlign w:val="bottom"/>
            <w:tcBorders>
              <w:bottom w:val="single" w:sz="8" w:color="auto"/>
            </w:tcBorders>
          </w:tcPr>
          <w:p>
            <w:pPr>
              <w:jc w:val="right"/>
              <w:ind w:right="88"/>
              <w:spacing w:after="0" w:line="203" w:lineRule="exact"/>
              <w:rPr>
                <w:sz w:val="20"/>
                <w:szCs w:val="20"/>
                <w:color w:val="auto"/>
              </w:rPr>
            </w:pPr>
            <w:r>
              <w:rPr>
                <w:rFonts w:ascii="Arial" w:cs="Arial" w:eastAsia="Arial" w:hAnsi="Arial"/>
                <w:sz w:val="18"/>
                <w:szCs w:val="18"/>
                <w:color w:val="auto"/>
              </w:rPr>
              <w:t>(8,223)</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2013</w:t>
            </w:r>
          </w:p>
        </w:tc>
        <w:tc>
          <w:tcPr>
            <w:tcW w:w="2220" w:type="dxa"/>
            <w:vAlign w:val="bottom"/>
            <w:tcBorders>
              <w:bottom w:val="single" w:sz="8" w:color="auto"/>
            </w:tcBorders>
          </w:tcPr>
          <w:p>
            <w:pPr>
              <w:jc w:val="right"/>
              <w:ind w:right="88"/>
              <w:spacing w:after="0" w:line="196" w:lineRule="exact"/>
              <w:rPr>
                <w:sz w:val="20"/>
                <w:szCs w:val="20"/>
                <w:color w:val="auto"/>
              </w:rPr>
            </w:pPr>
            <w:r>
              <w:rPr>
                <w:rFonts w:ascii="Arial" w:cs="Arial" w:eastAsia="Arial" w:hAnsi="Arial"/>
                <w:sz w:val="18"/>
                <w:szCs w:val="18"/>
                <w:color w:val="auto"/>
              </w:rPr>
              <w:t>361,189</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5"/>
        </w:trPr>
        <w:tc>
          <w:tcPr>
            <w:tcW w:w="5260" w:type="dxa"/>
            <w:vAlign w:val="bottom"/>
          </w:tcPr>
          <w:p>
            <w:pPr>
              <w:ind w:left="40"/>
              <w:spacing w:after="0" w:line="195" w:lineRule="exact"/>
              <w:rPr>
                <w:sz w:val="20"/>
                <w:szCs w:val="20"/>
                <w:color w:val="auto"/>
              </w:rPr>
            </w:pPr>
            <w:r>
              <w:rPr>
                <w:rFonts w:ascii="Arial" w:cs="Arial" w:eastAsia="Arial" w:hAnsi="Arial"/>
                <w:sz w:val="18"/>
                <w:szCs w:val="18"/>
                <w:color w:val="auto"/>
              </w:rPr>
              <w:t>Grants</w:t>
            </w:r>
          </w:p>
        </w:tc>
        <w:tc>
          <w:tcPr>
            <w:tcW w:w="2220" w:type="dxa"/>
            <w:vAlign w:val="bottom"/>
          </w:tcPr>
          <w:p>
            <w:pPr>
              <w:jc w:val="right"/>
              <w:ind w:right="88"/>
              <w:spacing w:after="0" w:line="195" w:lineRule="exact"/>
              <w:rPr>
                <w:sz w:val="20"/>
                <w:szCs w:val="20"/>
                <w:color w:val="auto"/>
              </w:rPr>
            </w:pPr>
            <w:r>
              <w:rPr>
                <w:rFonts w:ascii="Arial" w:cs="Arial" w:eastAsia="Arial" w:hAnsi="Arial"/>
                <w:sz w:val="18"/>
                <w:szCs w:val="18"/>
                <w:color w:val="auto"/>
              </w:rPr>
              <w:t>91,631</w:t>
            </w:r>
          </w:p>
        </w:tc>
        <w:tc>
          <w:tcPr>
            <w:tcW w:w="2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Changes due to performance</w:t>
            </w:r>
          </w:p>
        </w:tc>
        <w:tc>
          <w:tcPr>
            <w:tcW w:w="2220" w:type="dxa"/>
            <w:vAlign w:val="bottom"/>
          </w:tcPr>
          <w:p>
            <w:pPr>
              <w:jc w:val="right"/>
              <w:ind w:right="88"/>
              <w:spacing w:after="0" w:line="202" w:lineRule="exact"/>
              <w:rPr>
                <w:sz w:val="20"/>
                <w:szCs w:val="20"/>
                <w:color w:val="auto"/>
              </w:rPr>
            </w:pPr>
            <w:r>
              <w:rPr>
                <w:rFonts w:ascii="Arial" w:cs="Arial" w:eastAsia="Arial" w:hAnsi="Arial"/>
                <w:sz w:val="18"/>
                <w:szCs w:val="18"/>
                <w:color w:val="auto"/>
              </w:rPr>
              <w:t>(8,793)</w:t>
            </w:r>
          </w:p>
        </w:tc>
        <w:tc>
          <w:tcPr>
            <w:tcW w:w="2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220" w:type="dxa"/>
            <w:vAlign w:val="bottom"/>
          </w:tcPr>
          <w:p>
            <w:pPr>
              <w:jc w:val="right"/>
              <w:ind w:right="88"/>
              <w:spacing w:after="0" w:line="202" w:lineRule="exact"/>
              <w:rPr>
                <w:sz w:val="20"/>
                <w:szCs w:val="20"/>
                <w:color w:val="auto"/>
              </w:rPr>
            </w:pPr>
            <w:r>
              <w:rPr>
                <w:rFonts w:ascii="Arial" w:cs="Arial" w:eastAsia="Arial" w:hAnsi="Arial"/>
                <w:sz w:val="18"/>
                <w:szCs w:val="18"/>
                <w:color w:val="auto"/>
              </w:rPr>
              <w:t>(86,840)</w:t>
            </w:r>
          </w:p>
        </w:tc>
        <w:tc>
          <w:tcPr>
            <w:tcW w:w="2180" w:type="dxa"/>
            <w:vAlign w:val="bottom"/>
          </w:tcPr>
          <w:p>
            <w:pPr>
              <w:jc w:val="right"/>
              <w:ind w:right="108"/>
              <w:spacing w:after="0" w:line="202" w:lineRule="exact"/>
              <w:rPr>
                <w:sz w:val="20"/>
                <w:szCs w:val="20"/>
                <w:color w:val="auto"/>
              </w:rPr>
            </w:pPr>
            <w:r>
              <w:rPr>
                <w:rFonts w:ascii="Arial" w:cs="Arial" w:eastAsia="Arial" w:hAnsi="Arial"/>
                <w:sz w:val="18"/>
                <w:szCs w:val="18"/>
                <w:color w:val="auto"/>
              </w:rPr>
              <w:t>$35.01</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$3,040</w:t>
            </w:r>
          </w:p>
        </w:tc>
      </w:tr>
      <w:tr>
        <w:trPr>
          <w:trHeight w:val="203"/>
        </w:trPr>
        <w:tc>
          <w:tcPr>
            <w:tcW w:w="52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Forfeitures</w:t>
            </w:r>
          </w:p>
        </w:tc>
        <w:tc>
          <w:tcPr>
            <w:tcW w:w="2220" w:type="dxa"/>
            <w:vAlign w:val="bottom"/>
            <w:tcBorders>
              <w:bottom w:val="single" w:sz="8" w:color="auto"/>
            </w:tcBorders>
          </w:tcPr>
          <w:p>
            <w:pPr>
              <w:jc w:val="right"/>
              <w:ind w:right="88"/>
              <w:spacing w:after="0" w:line="203" w:lineRule="exact"/>
              <w:rPr>
                <w:sz w:val="20"/>
                <w:szCs w:val="20"/>
                <w:color w:val="auto"/>
              </w:rPr>
            </w:pPr>
            <w:r>
              <w:rPr>
                <w:rFonts w:ascii="Arial" w:cs="Arial" w:eastAsia="Arial" w:hAnsi="Arial"/>
                <w:sz w:val="18"/>
                <w:szCs w:val="18"/>
                <w:color w:val="auto"/>
              </w:rPr>
              <w:t>(9,246)</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2014</w:t>
            </w:r>
          </w:p>
        </w:tc>
        <w:tc>
          <w:tcPr>
            <w:tcW w:w="2220" w:type="dxa"/>
            <w:vAlign w:val="bottom"/>
            <w:tcBorders>
              <w:bottom w:val="single" w:sz="8" w:color="auto"/>
            </w:tcBorders>
          </w:tcPr>
          <w:p>
            <w:pPr>
              <w:jc w:val="right"/>
              <w:ind w:right="88"/>
              <w:spacing w:after="0" w:line="196" w:lineRule="exact"/>
              <w:rPr>
                <w:sz w:val="20"/>
                <w:szCs w:val="20"/>
                <w:color w:val="auto"/>
              </w:rPr>
            </w:pPr>
            <w:r>
              <w:rPr>
                <w:rFonts w:ascii="Arial" w:cs="Arial" w:eastAsia="Arial" w:hAnsi="Arial"/>
                <w:sz w:val="18"/>
                <w:szCs w:val="18"/>
                <w:color w:val="auto"/>
              </w:rPr>
              <w:t>347,941</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206"/>
        </w:trPr>
        <w:tc>
          <w:tcPr>
            <w:tcW w:w="5260" w:type="dxa"/>
            <w:vAlign w:val="bottom"/>
          </w:tcPr>
          <w:p>
            <w:pPr>
              <w:ind w:left="40"/>
              <w:spacing w:after="0" w:line="206" w:lineRule="exact"/>
              <w:rPr>
                <w:sz w:val="20"/>
                <w:szCs w:val="20"/>
                <w:color w:val="auto"/>
              </w:rPr>
            </w:pPr>
            <w:r>
              <w:rPr>
                <w:rFonts w:ascii="Arial" w:cs="Arial" w:eastAsia="Arial" w:hAnsi="Arial"/>
                <w:sz w:val="18"/>
                <w:szCs w:val="18"/>
                <w:color w:val="auto"/>
              </w:rPr>
              <w:t>Grants</w:t>
            </w:r>
          </w:p>
        </w:tc>
        <w:tc>
          <w:tcPr>
            <w:tcW w:w="2220" w:type="dxa"/>
            <w:vAlign w:val="bottom"/>
          </w:tcPr>
          <w:p>
            <w:pPr>
              <w:jc w:val="right"/>
              <w:ind w:right="88"/>
              <w:spacing w:after="0" w:line="206" w:lineRule="exact"/>
              <w:rPr>
                <w:sz w:val="20"/>
                <w:szCs w:val="20"/>
                <w:color w:val="auto"/>
              </w:rPr>
            </w:pPr>
            <w:r>
              <w:rPr>
                <w:rFonts w:ascii="Arial" w:cs="Arial" w:eastAsia="Arial" w:hAnsi="Arial"/>
                <w:sz w:val="20"/>
                <w:szCs w:val="20"/>
                <w:color w:val="auto"/>
              </w:rPr>
              <w:t>90,065</w:t>
            </w:r>
          </w:p>
        </w:tc>
        <w:tc>
          <w:tcPr>
            <w:tcW w:w="2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8"/>
                <w:szCs w:val="18"/>
                <w:color w:val="auto"/>
              </w:rPr>
              <w:t>Changes due to performance</w:t>
            </w:r>
          </w:p>
        </w:tc>
        <w:tc>
          <w:tcPr>
            <w:tcW w:w="2220" w:type="dxa"/>
            <w:vAlign w:val="bottom"/>
          </w:tcPr>
          <w:p>
            <w:pPr>
              <w:jc w:val="right"/>
              <w:ind w:right="88"/>
              <w:spacing w:after="0" w:line="216" w:lineRule="exact"/>
              <w:rPr>
                <w:sz w:val="20"/>
                <w:szCs w:val="20"/>
                <w:color w:val="auto"/>
              </w:rPr>
            </w:pPr>
            <w:r>
              <w:rPr>
                <w:rFonts w:ascii="Arial" w:cs="Arial" w:eastAsia="Arial" w:hAnsi="Arial"/>
                <w:sz w:val="20"/>
                <w:szCs w:val="20"/>
                <w:color w:val="auto"/>
              </w:rPr>
              <w:t>13,966</w:t>
            </w:r>
          </w:p>
        </w:tc>
        <w:tc>
          <w:tcPr>
            <w:tcW w:w="2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20" w:type="dxa"/>
            <w:vAlign w:val="bottom"/>
          </w:tcPr>
          <w:p>
            <w:pPr>
              <w:jc w:val="right"/>
              <w:ind w:right="88"/>
              <w:spacing w:after="0" w:line="216" w:lineRule="exact"/>
              <w:rPr>
                <w:sz w:val="20"/>
                <w:szCs w:val="20"/>
                <w:color w:val="auto"/>
              </w:rPr>
            </w:pPr>
            <w:r>
              <w:rPr>
                <w:rFonts w:ascii="Arial" w:cs="Arial" w:eastAsia="Arial" w:hAnsi="Arial"/>
                <w:sz w:val="20"/>
                <w:szCs w:val="20"/>
                <w:color w:val="auto"/>
              </w:rPr>
              <w:t>(167,482)</w:t>
            </w:r>
          </w:p>
        </w:tc>
        <w:tc>
          <w:tcPr>
            <w:tcW w:w="2180" w:type="dxa"/>
            <w:vAlign w:val="bottom"/>
          </w:tcPr>
          <w:p>
            <w:pPr>
              <w:jc w:val="right"/>
              <w:ind w:right="108"/>
              <w:spacing w:after="0" w:line="216" w:lineRule="exact"/>
              <w:rPr>
                <w:sz w:val="20"/>
                <w:szCs w:val="20"/>
                <w:color w:val="auto"/>
              </w:rPr>
            </w:pPr>
            <w:r>
              <w:rPr>
                <w:rFonts w:ascii="Arial" w:cs="Arial" w:eastAsia="Arial" w:hAnsi="Arial"/>
                <w:sz w:val="20"/>
                <w:szCs w:val="20"/>
                <w:color w:val="auto"/>
              </w:rPr>
              <w:t>$36.08</w:t>
            </w:r>
          </w:p>
        </w:tc>
        <w:tc>
          <w:tcPr>
            <w:tcW w:w="176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2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Forfeitures</w:t>
            </w:r>
          </w:p>
        </w:tc>
        <w:tc>
          <w:tcPr>
            <w:tcW w:w="2220" w:type="dxa"/>
            <w:vAlign w:val="bottom"/>
            <w:tcBorders>
              <w:bottom w:val="single" w:sz="8" w:color="auto"/>
            </w:tcBorders>
          </w:tcPr>
          <w:p>
            <w:pPr>
              <w:jc w:val="right"/>
              <w:ind w:right="88"/>
              <w:spacing w:after="0" w:line="220" w:lineRule="exact"/>
              <w:rPr>
                <w:sz w:val="20"/>
                <w:szCs w:val="20"/>
                <w:color w:val="auto"/>
              </w:rPr>
            </w:pPr>
            <w:r>
              <w:rPr>
                <w:rFonts w:ascii="Arial" w:cs="Arial" w:eastAsia="Arial" w:hAnsi="Arial"/>
                <w:sz w:val="20"/>
                <w:szCs w:val="20"/>
                <w:color w:val="auto"/>
              </w:rPr>
              <w:t>(31,624)</w:t>
            </w:r>
          </w:p>
        </w:tc>
        <w:tc>
          <w:tcPr>
            <w:tcW w:w="2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196"/>
        </w:trPr>
        <w:tc>
          <w:tcPr>
            <w:tcW w:w="5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2015</w:t>
            </w:r>
          </w:p>
        </w:tc>
        <w:tc>
          <w:tcPr>
            <w:tcW w:w="2220" w:type="dxa"/>
            <w:vAlign w:val="bottom"/>
            <w:tcBorders>
              <w:bottom w:val="single" w:sz="8" w:color="auto"/>
            </w:tcBorders>
          </w:tcPr>
          <w:p>
            <w:pPr>
              <w:jc w:val="right"/>
              <w:ind w:right="88"/>
              <w:spacing w:after="0" w:line="196" w:lineRule="exact"/>
              <w:rPr>
                <w:sz w:val="20"/>
                <w:szCs w:val="20"/>
                <w:color w:val="auto"/>
              </w:rPr>
            </w:pPr>
            <w:r>
              <w:rPr>
                <w:rFonts w:ascii="Arial" w:cs="Arial" w:eastAsia="Arial" w:hAnsi="Arial"/>
                <w:sz w:val="18"/>
                <w:szCs w:val="18"/>
                <w:color w:val="auto"/>
              </w:rPr>
              <w:t>252,866</w:t>
            </w:r>
          </w:p>
        </w:tc>
        <w:tc>
          <w:tcPr>
            <w:tcW w:w="2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ProsperityPlus Savings Plan, is a qualified plan under section 401(k) of the U.S. Internal Revenue Code. The Company matches, in the form of cash, between 50% and 100% of employee contributions up to a defined maximum. The investment of employee contributions to the plan is self-directed. The Company’s cost of the plan amounted to $4.8 million in 2015, $4.3 million in 2014, and $4.1 million in 2013.</w:t>
      </w:r>
    </w:p>
    <w:p>
      <w:pPr>
        <w:spacing w:after="0" w:line="161"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$2.4 million in 2015, $1.5 million in 2014, and $1.6 million in 2013.</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19. Shareholders’ Equity</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2015, 3.3 million shares of Class A Common Stock were reserved for the conversion of Class B Common Stock and the exercise of stock options.</w:t>
      </w:r>
    </w:p>
    <w:p>
      <w:pPr>
        <w:spacing w:after="0" w:line="165"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 August 2006, we announced that the Board of Directors authorized management to purchase up to 2.0 million additional shares of our Class A Common Stock. The Board’s action authorizes management to purchase shares from time to time, in the open market or otherwise, whenever it believes such purchase to be advantageous to our shareholders, and it is</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1" w:name="page92"/>
    <w:bookmarkEnd w:id="91"/>
    <w:p>
      <w:pPr>
        <w:ind w:right="160"/>
        <w:spacing w:after="0" w:line="246" w:lineRule="auto"/>
        <w:rPr>
          <w:sz w:val="20"/>
          <w:szCs w:val="20"/>
          <w:color w:val="auto"/>
        </w:rPr>
      </w:pPr>
      <w:r>
        <w:rPr>
          <w:rFonts w:ascii="Arial" w:cs="Arial" w:eastAsia="Arial" w:hAnsi="Arial"/>
          <w:sz w:val="18"/>
          <w:szCs w:val="18"/>
          <w:color w:val="auto"/>
        </w:rPr>
        <w:t>otherwise legally permitted to do so. We have made no share purchases under the August 2006 authorization. Activity in Shareholders’ equity for 2013, 2014, and 2015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500" w:type="dxa"/>
            <w:vAlign w:val="bottom"/>
            <w:gridSpan w:val="2"/>
          </w:tcPr>
          <w:p>
            <w:pPr>
              <w:jc w:val="right"/>
              <w:ind w:right="448"/>
              <w:spacing w:after="0" w:line="135" w:lineRule="exact"/>
              <w:rPr>
                <w:sz w:val="20"/>
                <w:szCs w:val="20"/>
                <w:color w:val="auto"/>
              </w:rPr>
            </w:pPr>
            <w:r>
              <w:rPr>
                <w:rFonts w:ascii="Arial" w:cs="Arial" w:eastAsia="Arial" w:hAnsi="Arial"/>
                <w:sz w:val="13"/>
                <w:szCs w:val="13"/>
                <w:b w:val="1"/>
                <w:bCs w:val="1"/>
                <w:color w:val="auto"/>
              </w:rPr>
              <w:t>Class A</w:t>
            </w:r>
          </w:p>
        </w:tc>
        <w:tc>
          <w:tcPr>
            <w:tcW w:w="1340" w:type="dxa"/>
            <w:vAlign w:val="bottom"/>
            <w:gridSpan w:val="3"/>
          </w:tcPr>
          <w:p>
            <w:pPr>
              <w:jc w:val="right"/>
              <w:ind w:right="480"/>
              <w:spacing w:after="0" w:line="135" w:lineRule="exact"/>
              <w:rPr>
                <w:sz w:val="20"/>
                <w:szCs w:val="20"/>
                <w:color w:val="auto"/>
              </w:rPr>
            </w:pPr>
            <w:r>
              <w:rPr>
                <w:rFonts w:ascii="Arial" w:cs="Arial" w:eastAsia="Arial" w:hAnsi="Arial"/>
                <w:sz w:val="13"/>
                <w:szCs w:val="13"/>
                <w:b w:val="1"/>
                <w:bCs w:val="1"/>
                <w:color w:val="auto"/>
              </w:rPr>
              <w:t>Class B</w:t>
            </w:r>
          </w:p>
        </w:tc>
        <w:tc>
          <w:tcPr>
            <w:tcW w:w="92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94"/>
              </w:rPr>
              <w:t>Additional</w:t>
            </w:r>
          </w:p>
        </w:tc>
        <w:tc>
          <w:tcPr>
            <w:tcW w:w="88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items of other</w:t>
            </w:r>
          </w:p>
        </w:tc>
        <w:tc>
          <w:tcPr>
            <w:tcW w:w="16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Class A</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9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Preferred Stock</w:t>
            </w:r>
          </w:p>
        </w:tc>
        <w:tc>
          <w:tcPr>
            <w:tcW w:w="920" w:type="dxa"/>
            <w:vAlign w:val="bottom"/>
          </w:tcPr>
          <w:p>
            <w:pPr>
              <w:jc w:val="center"/>
              <w:ind w:right="89"/>
              <w:spacing w:after="0"/>
              <w:rPr>
                <w:sz w:val="20"/>
                <w:szCs w:val="20"/>
                <w:color w:val="auto"/>
              </w:rPr>
            </w:pPr>
            <w:r>
              <w:rPr>
                <w:rFonts w:ascii="Arial" w:cs="Arial" w:eastAsia="Arial" w:hAnsi="Arial"/>
                <w:sz w:val="13"/>
                <w:szCs w:val="13"/>
                <w:b w:val="1"/>
                <w:bCs w:val="1"/>
                <w:color w:val="auto"/>
                <w:w w:val="93"/>
              </w:rPr>
              <w:t>paid-in</w:t>
            </w:r>
          </w:p>
        </w:tc>
        <w:tc>
          <w:tcPr>
            <w:tcW w:w="880" w:type="dxa"/>
            <w:vAlign w:val="bottom"/>
          </w:tcPr>
          <w:p>
            <w:pPr>
              <w:jc w:val="right"/>
              <w:ind w:right="169"/>
              <w:spacing w:after="0"/>
              <w:rPr>
                <w:sz w:val="20"/>
                <w:szCs w:val="20"/>
                <w:color w:val="auto"/>
              </w:rPr>
            </w:pPr>
            <w:r>
              <w:rPr>
                <w:rFonts w:ascii="Arial" w:cs="Arial" w:eastAsia="Arial" w:hAnsi="Arial"/>
                <w:sz w:val="13"/>
                <w:szCs w:val="13"/>
                <w:b w:val="1"/>
                <w:bCs w:val="1"/>
                <w:color w:val="auto"/>
              </w:rPr>
              <w:t>Retained</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comprehensive</w:t>
            </w:r>
          </w:p>
        </w:tc>
        <w:tc>
          <w:tcPr>
            <w:tcW w:w="16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Treasury Stock</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w w:val="99"/>
              </w:rPr>
              <w:t>Noncontrolling</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Arial" w:cs="Arial" w:eastAsia="Arial" w:hAnsi="Arial"/>
                <w:sz w:val="13"/>
                <w:szCs w:val="13"/>
                <w:b w:val="1"/>
                <w:bCs w:val="1"/>
                <w:color w:val="auto"/>
              </w:rPr>
              <w:t>Shares</w:t>
            </w:r>
          </w:p>
        </w:tc>
        <w:tc>
          <w:tcPr>
            <w:tcW w:w="76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3"/>
                <w:szCs w:val="13"/>
                <w:b w:val="1"/>
                <w:bCs w:val="1"/>
                <w:color w:val="auto"/>
              </w:rPr>
              <w:t>Amount</w:t>
            </w:r>
          </w:p>
        </w:tc>
        <w:tc>
          <w:tcPr>
            <w:tcW w:w="72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9"/>
              <w:spacing w:after="0" w:line="143" w:lineRule="exact"/>
              <w:rPr>
                <w:sz w:val="20"/>
                <w:szCs w:val="20"/>
                <w:color w:val="auto"/>
              </w:rPr>
            </w:pPr>
            <w:r>
              <w:rPr>
                <w:rFonts w:ascii="Arial" w:cs="Arial" w:eastAsia="Arial" w:hAnsi="Arial"/>
                <w:sz w:val="13"/>
                <w:szCs w:val="13"/>
                <w:b w:val="1"/>
                <w:bCs w:val="1"/>
                <w:color w:val="auto"/>
                <w:w w:val="97"/>
              </w:rPr>
              <w:t>capital</w:t>
            </w:r>
          </w:p>
        </w:tc>
        <w:tc>
          <w:tcPr>
            <w:tcW w:w="88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3"/>
                <w:szCs w:val="13"/>
                <w:b w:val="1"/>
                <w:bCs w:val="1"/>
                <w:color w:val="auto"/>
              </w:rPr>
              <w:t>earnings</w:t>
            </w:r>
          </w:p>
        </w:tc>
        <w:tc>
          <w:tcPr>
            <w:tcW w:w="1080" w:type="dxa"/>
            <w:vAlign w:val="bottom"/>
            <w:tcBorders>
              <w:bottom w:val="single" w:sz="8" w:color="auto"/>
            </w:tcBorders>
          </w:tcPr>
          <w:p>
            <w:pPr>
              <w:jc w:val="center"/>
              <w:ind w:right="9"/>
              <w:spacing w:after="0" w:line="143"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29"/>
              <w:spacing w:after="0" w:line="143" w:lineRule="exact"/>
              <w:rPr>
                <w:sz w:val="20"/>
                <w:szCs w:val="20"/>
                <w:color w:val="auto"/>
              </w:rPr>
            </w:pPr>
            <w:r>
              <w:rPr>
                <w:rFonts w:ascii="Arial" w:cs="Arial" w:eastAsia="Arial" w:hAnsi="Arial"/>
                <w:sz w:val="13"/>
                <w:szCs w:val="13"/>
                <w:b w:val="1"/>
                <w:bCs w:val="1"/>
                <w:color w:val="auto"/>
              </w:rPr>
              <w:t>Shares</w:t>
            </w:r>
          </w:p>
        </w:tc>
        <w:tc>
          <w:tcPr>
            <w:tcW w:w="8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6"/>
        </w:trPr>
        <w:tc>
          <w:tcPr>
            <w:tcW w:w="2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2013</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36,642</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3,236</w:t>
            </w:r>
          </w:p>
        </w:tc>
        <w:tc>
          <w:tcPr>
            <w:tcW w:w="6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$395,381</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$435,775</w:t>
            </w:r>
          </w:p>
        </w:tc>
        <w:tc>
          <w:tcPr>
            <w:tcW w:w="11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($80,021)</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8,468</w:t>
            </w:r>
          </w:p>
        </w:tc>
        <w:tc>
          <w:tcPr>
            <w:tcW w:w="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($257,664)</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17,517</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(902)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Initial equity related to Noncontrolling interest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15,535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in ASC</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279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6,670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Dividends declared</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(18,694)</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7,521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Pension and postretirement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21,101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adjustments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1,901</w:t>
            </w:r>
          </w:p>
        </w:tc>
        <w:tc>
          <w:tcPr>
            <w:tcW w:w="8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2013</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36,996</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3,236</w:t>
            </w:r>
          </w:p>
        </w:tc>
        <w:tc>
          <w:tcPr>
            <w:tcW w:w="6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$416,728</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$434,598</w:t>
            </w:r>
          </w:p>
        </w:tc>
        <w:tc>
          <w:tcPr>
            <w:tcW w:w="11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($49,498)</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8,464</w:t>
            </w:r>
          </w:p>
        </w:tc>
        <w:tc>
          <w:tcPr>
            <w:tcW w:w="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($257,571)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41,569</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1,234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Conversion of Class B shares to Class A</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Changes in equity related to Noncontrolling</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interest in ASC</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974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Dividends declared</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(20,062)</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(55,102)</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Pension and postretirement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(3,283)</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adjustments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116</w:t>
            </w:r>
          </w:p>
        </w:tc>
        <w:tc>
          <w:tcPr>
            <w:tcW w:w="8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2014</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37,085</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3,235</w:t>
            </w:r>
          </w:p>
        </w:tc>
        <w:tc>
          <w:tcPr>
            <w:tcW w:w="6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$418,972</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$456,105</w:t>
            </w:r>
          </w:p>
        </w:tc>
        <w:tc>
          <w:tcPr>
            <w:tcW w:w="11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($107,767)</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8,459</w:t>
            </w:r>
          </w:p>
        </w:tc>
        <w:tc>
          <w:tcPr>
            <w:tcW w:w="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($257,481)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57,279</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1,540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2,520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76</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Dividends declared</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(21,434)</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(53,415)</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Pension and postretirement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2,941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adjustments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(603)</w:t>
            </w:r>
          </w:p>
        </w:tc>
        <w:tc>
          <w:tcPr>
            <w:tcW w:w="8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2015</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37,239</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3,235</w:t>
            </w:r>
          </w:p>
        </w:tc>
        <w:tc>
          <w:tcPr>
            <w:tcW w:w="6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$423,108</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$491,950</w:t>
            </w:r>
          </w:p>
        </w:tc>
        <w:tc>
          <w:tcPr>
            <w:tcW w:w="11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($158,844)</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8,455</w:t>
            </w:r>
          </w:p>
        </w:tc>
        <w:tc>
          <w:tcPr>
            <w:tcW w:w="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($257,391)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8"/>
                <w:szCs w:val="18"/>
                <w:b w:val="1"/>
                <w:bCs w:val="1"/>
                <w:color w:val="auto"/>
              </w:rPr>
              <w:t>(in millions, except per share amounts)</w:t>
            </w:r>
          </w:p>
        </w:tc>
        <w:tc>
          <w:tcPr>
            <w:tcW w:w="24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5"/>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2015</w:t>
            </w:r>
          </w:p>
        </w:tc>
        <w:tc>
          <w:tcPr>
            <w:tcW w:w="24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9"/>
              </w:rPr>
              <w:t>1st</w:t>
            </w: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2nd</w:t>
            </w: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3rd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4th</w:t>
            </w:r>
          </w:p>
        </w:tc>
      </w:tr>
      <w:tr>
        <w:trPr>
          <w:trHeight w:val="173"/>
        </w:trPr>
        <w:tc>
          <w:tcPr>
            <w:tcW w:w="5360" w:type="dxa"/>
            <w:vAlign w:val="bottom"/>
          </w:tcPr>
          <w:p>
            <w:pPr>
              <w:ind w:left="40"/>
              <w:spacing w:after="0" w:line="173" w:lineRule="exact"/>
              <w:rPr>
                <w:sz w:val="20"/>
                <w:szCs w:val="20"/>
                <w:color w:val="auto"/>
              </w:rPr>
            </w:pPr>
            <w:r>
              <w:rPr>
                <w:rFonts w:ascii="Arial" w:cs="Arial" w:eastAsia="Arial" w:hAnsi="Arial"/>
                <w:sz w:val="18"/>
                <w:szCs w:val="18"/>
                <w:b w:val="1"/>
                <w:bCs w:val="1"/>
                <w:color w:val="auto"/>
              </w:rPr>
              <w:t>Net sales</w:t>
            </w:r>
          </w:p>
        </w:tc>
        <w:tc>
          <w:tcPr>
            <w:tcW w:w="246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$181.3</w:t>
            </w:r>
          </w:p>
        </w:tc>
        <w:tc>
          <w:tcPr>
            <w:tcW w:w="13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$172.3</w:t>
            </w:r>
          </w:p>
        </w:tc>
        <w:tc>
          <w:tcPr>
            <w:tcW w:w="13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$178.8</w:t>
            </w:r>
          </w:p>
        </w:tc>
        <w:tc>
          <w:tcPr>
            <w:tcW w:w="9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$177.5</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Gross profit</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76.7</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54.6</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75.7</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71.7</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Net income/(loss) attributable to the Company</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12.2</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9.7</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0.38</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(0.07)</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0.30</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0.38</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(0.07)</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0.30</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0.16</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0.17</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0.17</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0.17</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2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High</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40.31</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41.15</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40.21</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39.25</w:t>
            </w:r>
          </w:p>
        </w:tc>
      </w:tr>
      <w:tr>
        <w:trPr>
          <w:trHeight w:val="239"/>
        </w:trPr>
        <w:tc>
          <w:tcPr>
            <w:tcW w:w="5360" w:type="dxa"/>
            <w:vAlign w:val="bottom"/>
          </w:tcPr>
          <w:p>
            <w:pPr>
              <w:ind w:left="140"/>
              <w:spacing w:after="0"/>
              <w:rPr>
                <w:sz w:val="20"/>
                <w:szCs w:val="20"/>
                <w:color w:val="auto"/>
              </w:rPr>
            </w:pPr>
            <w:r>
              <w:rPr>
                <w:rFonts w:ascii="Arial" w:cs="Arial" w:eastAsia="Arial" w:hAnsi="Arial"/>
                <w:sz w:val="18"/>
                <w:szCs w:val="18"/>
                <w:b w:val="1"/>
                <w:bCs w:val="1"/>
                <w:color w:val="auto"/>
              </w:rPr>
              <w:t>Low</w:t>
            </w: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34.13</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39.15</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28.28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28.19</w:t>
            </w:r>
          </w:p>
        </w:tc>
      </w:tr>
      <w:tr>
        <w:trPr>
          <w:trHeight w:val="39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2014</w:t>
            </w:r>
          </w:p>
        </w:tc>
        <w:tc>
          <w:tcPr>
            <w:tcW w:w="2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9"/>
              </w:rPr>
              <w:t>1st</w:t>
            </w:r>
          </w:p>
        </w:tc>
        <w:tc>
          <w:tcPr>
            <w:tcW w:w="13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2nd</w:t>
            </w: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3rd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4th</w:t>
            </w:r>
          </w:p>
        </w:tc>
      </w:tr>
      <w:tr>
        <w:trPr>
          <w:trHeight w:val="195"/>
        </w:trPr>
        <w:tc>
          <w:tcPr>
            <w:tcW w:w="5360" w:type="dxa"/>
            <w:vAlign w:val="bottom"/>
          </w:tcPr>
          <w:p>
            <w:pPr>
              <w:ind w:left="40"/>
              <w:spacing w:after="0" w:line="195" w:lineRule="exact"/>
              <w:rPr>
                <w:sz w:val="20"/>
                <w:szCs w:val="20"/>
                <w:color w:val="auto"/>
              </w:rPr>
            </w:pPr>
            <w:r>
              <w:rPr>
                <w:rFonts w:ascii="Arial" w:cs="Arial" w:eastAsia="Arial" w:hAnsi="Arial"/>
                <w:sz w:val="18"/>
                <w:szCs w:val="18"/>
                <w:color w:val="auto"/>
              </w:rPr>
              <w:t>Net sales</w:t>
            </w:r>
          </w:p>
        </w:tc>
        <w:tc>
          <w:tcPr>
            <w:tcW w:w="246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$180.3</w:t>
            </w:r>
          </w:p>
        </w:tc>
        <w:tc>
          <w:tcPr>
            <w:tcW w:w="13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$193.5</w:t>
            </w: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$179.9</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$191.6</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74.8</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75.3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68.6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Net income attributable to the Company</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10.6</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0.33</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0.35</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0.33</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0.35</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0.15</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0.16</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37.59</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38.01</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38.53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38.15</w:t>
            </w:r>
          </w:p>
        </w:tc>
      </w:tr>
      <w:tr>
        <w:trPr>
          <w:trHeight w:val="217"/>
        </w:trPr>
        <w:tc>
          <w:tcPr>
            <w:tcW w:w="5360" w:type="dxa"/>
            <w:vAlign w:val="bottom"/>
          </w:tcPr>
          <w:p>
            <w:pPr>
              <w:ind w:left="14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32.85</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33.67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34.04</w:t>
            </w:r>
          </w:p>
        </w:tc>
        <w:tc>
          <w:tcPr>
            <w:tcW w:w="92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39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2013</w:t>
            </w:r>
          </w:p>
        </w:tc>
        <w:tc>
          <w:tcPr>
            <w:tcW w:w="2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95"/>
        </w:trPr>
        <w:tc>
          <w:tcPr>
            <w:tcW w:w="5360" w:type="dxa"/>
            <w:vAlign w:val="bottom"/>
          </w:tcPr>
          <w:p>
            <w:pPr>
              <w:ind w:left="40"/>
              <w:spacing w:after="0" w:line="195" w:lineRule="exact"/>
              <w:rPr>
                <w:sz w:val="20"/>
                <w:szCs w:val="20"/>
                <w:color w:val="auto"/>
              </w:rPr>
            </w:pPr>
            <w:r>
              <w:rPr>
                <w:rFonts w:ascii="Arial" w:cs="Arial" w:eastAsia="Arial" w:hAnsi="Arial"/>
                <w:sz w:val="18"/>
                <w:szCs w:val="18"/>
                <w:color w:val="auto"/>
              </w:rPr>
              <w:t>Net sales</w:t>
            </w:r>
          </w:p>
        </w:tc>
        <w:tc>
          <w:tcPr>
            <w:tcW w:w="246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$186.7</w:t>
            </w:r>
          </w:p>
        </w:tc>
        <w:tc>
          <w:tcPr>
            <w:tcW w:w="13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$198.0</w:t>
            </w: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$183.1</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$189.6</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72.8</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77.4</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68.0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72.4</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Net income attributable to the Company</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11.5</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(7.4)</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0.36</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(0.23)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0.27</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0.36</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(0.23)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0.27</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0.14</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0.15</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r>
      <w:tr>
        <w:trPr>
          <w:trHeight w:val="203"/>
        </w:trPr>
        <w:tc>
          <w:tcPr>
            <w:tcW w:w="536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29.87</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33.90</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36.53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37.25</w:t>
            </w:r>
          </w:p>
        </w:tc>
      </w:tr>
      <w:tr>
        <w:trPr>
          <w:trHeight w:val="217"/>
        </w:trPr>
        <w:tc>
          <w:tcPr>
            <w:tcW w:w="5360" w:type="dxa"/>
            <w:vAlign w:val="bottom"/>
          </w:tcPr>
          <w:p>
            <w:pPr>
              <w:ind w:left="14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23.21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27.48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32.27</w:t>
            </w:r>
          </w:p>
        </w:tc>
        <w:tc>
          <w:tcPr>
            <w:tcW w:w="920" w:type="dxa"/>
            <w:vAlign w:val="bottom"/>
          </w:tcPr>
          <w:p>
            <w:pPr>
              <w:jc w:val="right"/>
              <w:spacing w:after="0"/>
              <w:rPr>
                <w:sz w:val="20"/>
                <w:szCs w:val="20"/>
                <w:color w:val="auto"/>
              </w:rPr>
            </w:pPr>
            <w:r>
              <w:rPr>
                <w:rFonts w:ascii="Arial" w:cs="Arial" w:eastAsia="Arial" w:hAnsi="Arial"/>
                <w:sz w:val="18"/>
                <w:szCs w:val="18"/>
                <w:color w:val="auto"/>
              </w:rPr>
              <w:t>33.81</w:t>
            </w:r>
          </w:p>
        </w:tc>
      </w:tr>
    </w:tbl>
    <w:p>
      <w:pPr>
        <w:spacing w:after="0" w:line="364"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2015, restructuring charges reduced earnings per share by $0.18 in the first quarter, $0.02 in the second quarter, $0.07 in the third quarter, and $0.21 in the fourth quarter.</w:t>
      </w:r>
    </w:p>
    <w:p>
      <w:pPr>
        <w:spacing w:after="0" w:line="15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2015, discrete income tax adjustments, increased/(decreased) earnings per share by: $(0.01) in the first quarter, $0.00 in the second quarter, ($0.15) in the third quarter, and $0.85 in the fourth quarter. The amount recognized in the fourth quarter was principally due to a worthless stock deduction for the Company’s investment in its German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recognized a gain related to the sale of investment, $0.02 per share in the first quarter.</w:t>
      </w:r>
    </w:p>
    <w:p>
      <w:pPr>
        <w:spacing w:after="0" w:line="17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2014, restructuring charges reduced earnings per share by $0.02 in the first quarter, $0.04 in the second quarter, $0.02 in the third quarter, and $0.04 in the fourth quarter.</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3" w:name="page94"/>
    <w:bookmarkEnd w:id="93"/>
    <w:p>
      <w:pPr>
        <w:ind w:right="60" w:firstLine="648"/>
        <w:spacing w:after="0" w:line="246" w:lineRule="auto"/>
        <w:rPr>
          <w:sz w:val="20"/>
          <w:szCs w:val="20"/>
          <w:color w:val="auto"/>
        </w:rPr>
      </w:pPr>
      <w:r>
        <w:rPr>
          <w:rFonts w:ascii="Arial" w:cs="Arial" w:eastAsia="Arial" w:hAnsi="Arial"/>
          <w:sz w:val="18"/>
          <w:szCs w:val="18"/>
          <w:color w:val="auto"/>
        </w:rPr>
        <w:t>In 2014, we recognized a gain related to the insurance recovery due to damage to a Machine Clothing manufacturing facility, $0.03 per share in the second quarter and $0.01 per share in the third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earnings per share included a pension plan settlement charge of $0.16 per share in the fourth quarter.</w:t>
      </w:r>
    </w:p>
    <w:p>
      <w:pPr>
        <w:spacing w:after="0" w:line="17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2013, restructuring charges reduced earnings per share by $0.01 in the first quarter, $0.47 in the second quarter, $0.04 in the third quarter, and increased earnings per share by $0.03 in the fourth quarter.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2013, we recognized a gain of $0.08 per share related to the sale of a former manufacturing facility.</w:t>
      </w:r>
    </w:p>
    <w:p>
      <w:pPr>
        <w:spacing w:after="0" w:line="185"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2015, there were approximately 7,500 beneficial owners of the Company’s common stock, including employees owning shares through the Company’s 401(k)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94" w:name="page95"/>
    <w:bookmarkEnd w:id="94"/>
    <w:p>
      <w:pPr>
        <w:ind w:left="1720" w:right="300" w:hanging="1714"/>
        <w:spacing w:after="0" w:line="475" w:lineRule="auto"/>
        <w:tabs>
          <w:tab w:leader="none" w:pos="1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 None.</w:t>
      </w:r>
    </w:p>
    <w:p>
      <w:pPr>
        <w:spacing w:after="0" w:line="31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9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the end of the period covered by this annual report, to ensure:</w:t>
      </w:r>
    </w:p>
    <w:p>
      <w:pPr>
        <w:spacing w:after="0" w:line="176" w:lineRule="exact"/>
        <w:rPr>
          <w:sz w:val="20"/>
          <w:szCs w:val="20"/>
          <w:color w:val="auto"/>
        </w:rPr>
      </w:pPr>
    </w:p>
    <w:p>
      <w:pPr>
        <w:ind w:left="980" w:right="50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maintained disclosure controls and procedures (as defined in paragraph (e) of this section) and internal control over financial reporting (as defined in paragraph (f) of this section);</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the effectiveness of disclosure controls and procedures, as of the end of each fiscal quarter;</w:t>
      </w:r>
    </w:p>
    <w:p>
      <w:pPr>
        <w:ind w:left="980" w:right="22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the effectiveness, as of the end of each fiscal year, of internal control over financial reporting. The framework on which evaluation of internal control over financial reporting is based is a suitable, recognized control framework that is established by a body or group that has followed due-process procedures, including the broad distribution of the framework for public comment;</w:t>
      </w:r>
    </w:p>
    <w:p>
      <w:pPr>
        <w:spacing w:after="0" w:line="3" w:lineRule="exact"/>
        <w:rPr>
          <w:rFonts w:ascii="Arial" w:cs="Arial" w:eastAsia="Arial" w:hAnsi="Arial"/>
          <w:sz w:val="18"/>
          <w:szCs w:val="18"/>
          <w:color w:val="auto"/>
        </w:rPr>
      </w:pPr>
    </w:p>
    <w:p>
      <w:pPr>
        <w:ind w:left="980" w:right="68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any change in internal control over financial reporting, that occurred during each fiscal quarter, that has materially affected, or is reasonably likely to materially affect, the internal control over financial reporting;</w:t>
      </w:r>
    </w:p>
    <w:p>
      <w:pPr>
        <w:spacing w:after="0" w:line="1" w:lineRule="exact"/>
        <w:rPr>
          <w:rFonts w:ascii="Arial" w:cs="Arial" w:eastAsia="Arial" w:hAnsi="Arial"/>
          <w:sz w:val="18"/>
          <w:szCs w:val="18"/>
          <w:color w:val="auto"/>
        </w:rPr>
      </w:pPr>
    </w:p>
    <w:p>
      <w:pPr>
        <w:ind w:left="980" w:right="12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section, the term disclosure controls and procedures means controls and other procedures that are designed to ensure that information required to be disclosed in reports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under the Act is accumulated and communicated to management, including the Chief Executive Officer and Chief Financial Officer, as appropriate to allow timely decisions regarding required disclosure;</w:t>
      </w:r>
    </w:p>
    <w:p>
      <w:pPr>
        <w:spacing w:after="0" w:line="4" w:lineRule="exact"/>
        <w:rPr>
          <w:rFonts w:ascii="Arial" w:cs="Arial" w:eastAsia="Arial" w:hAnsi="Arial"/>
          <w:sz w:val="18"/>
          <w:szCs w:val="18"/>
          <w:color w:val="auto"/>
        </w:rPr>
      </w:pPr>
    </w:p>
    <w:p>
      <w:pPr>
        <w:ind w:left="980" w:right="60" w:hanging="324"/>
        <w:spacing w:after="0" w:line="23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internal control over financial reporting is defined as a process designed by, or under the supervision of, the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9" w:lineRule="exact"/>
        <w:rPr>
          <w:rFonts w:ascii="Arial" w:cs="Arial" w:eastAsia="Arial" w:hAnsi="Arial"/>
          <w:sz w:val="18"/>
          <w:szCs w:val="18"/>
          <w:color w:val="auto"/>
        </w:rPr>
      </w:pPr>
    </w:p>
    <w:p>
      <w:pPr>
        <w:ind w:left="1300" w:right="100" w:hanging="320"/>
        <w:spacing w:after="0" w:line="23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w:t>
      </w:r>
    </w:p>
    <w:p>
      <w:pPr>
        <w:spacing w:after="0" w:line="1" w:lineRule="exact"/>
        <w:rPr>
          <w:rFonts w:ascii="Arial" w:cs="Arial" w:eastAsia="Arial" w:hAnsi="Arial"/>
          <w:sz w:val="18"/>
          <w:szCs w:val="18"/>
          <w:color w:val="auto"/>
        </w:rPr>
      </w:pPr>
    </w:p>
    <w:p>
      <w:pPr>
        <w:ind w:left="1300" w:right="400" w:hanging="320"/>
        <w:spacing w:after="0" w:line="23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5" w:name="page96"/>
    <w:bookmarkEnd w:id="95"/>
    <w:p>
      <w:pPr>
        <w:ind w:right="140" w:firstLine="648"/>
        <w:spacing w:after="0" w:line="238" w:lineRule="auto"/>
        <w:rPr>
          <w:sz w:val="20"/>
          <w:szCs w:val="20"/>
          <w:color w:val="auto"/>
        </w:rPr>
      </w:pPr>
      <w:r>
        <w:rPr>
          <w:rFonts w:ascii="Arial" w:cs="Arial" w:eastAsia="Arial" w:hAnsi="Arial"/>
          <w:sz w:val="18"/>
          <w:szCs w:val="18"/>
          <w:color w:val="auto"/>
        </w:rPr>
        <w:t>Based upon and as of the date of that evaluation, the Chief Executive Officer and the Chief Financial Officer concluded that the disclosure controls and procedures of the Company were effective in ensuring that the information required to be disclosed in the periodic reports is recorded, processed, summarized and reported, within the time periods specified in the Commission’s rules and forms and ensuring that information required to be disclosed in reports is accumulated and communicated to the management of the Company, including its Chief Executive Officer and Chief Financial Officer, as appropriate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7"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7"/>
          <w:szCs w:val="17"/>
          <w:color w:val="auto"/>
        </w:rPr>
        <w:t xml:space="preserve">Management of the Company assessed the effectiveness of the Company’s internal control over financial reporting as of December 31, 2015. In making this assessment, management used the criteria set forth by the 2013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Based on that assessment, management concluded that, as of December 31, 2015, the Company’s internal control over financial reporting was effective at a reasonable assurance level based on those criteria.</w:t>
      </w:r>
    </w:p>
    <w:p>
      <w:pPr>
        <w:spacing w:after="0" w:line="16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KPMG LLP, an independent registered public accounting firm, as stated in their report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our fourth fiscal quarter of 2015 that have materially affected, or are reasonably likely to materially affect, our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40" w:type="dxa"/>
            <w:vAlign w:val="bottom"/>
            <w:gridSpan w:val="4"/>
          </w:tcPr>
          <w:p>
            <w:pPr>
              <w:ind w:left="20"/>
              <w:spacing w:after="0"/>
              <w:rPr>
                <w:sz w:val="20"/>
                <w:szCs w:val="20"/>
                <w:color w:val="auto"/>
              </w:rPr>
            </w:pPr>
            <w:r>
              <w:rPr>
                <w:rFonts w:ascii="Arial" w:cs="Arial" w:eastAsia="Arial" w:hAnsi="Arial"/>
                <w:sz w:val="18"/>
                <w:szCs w:val="18"/>
                <w:color w:val="auto"/>
              </w:rPr>
              <w:t>/s/ Joseph G. Morone, Ph.D.</w:t>
            </w:r>
          </w:p>
        </w:tc>
        <w:tc>
          <w:tcPr>
            <w:tcW w:w="3660" w:type="dxa"/>
            <w:vAlign w:val="bottom"/>
            <w:gridSpan w:val="2"/>
          </w:tcPr>
          <w:p>
            <w:pPr>
              <w:spacing w:after="0"/>
              <w:rPr>
                <w:sz w:val="20"/>
                <w:szCs w:val="20"/>
                <w:color w:val="auto"/>
              </w:rPr>
            </w:pPr>
            <w:r>
              <w:rPr>
                <w:rFonts w:ascii="Arial" w:cs="Arial" w:eastAsia="Arial" w:hAnsi="Arial"/>
                <w:sz w:val="18"/>
                <w:szCs w:val="18"/>
                <w:color w:val="auto"/>
              </w:rPr>
              <w:t>/s/ John B. Cozzolino</w:t>
            </w:r>
          </w:p>
        </w:tc>
        <w:tc>
          <w:tcPr>
            <w:tcW w:w="2980" w:type="dxa"/>
            <w:vAlign w:val="bottom"/>
          </w:tcPr>
          <w:p>
            <w:pPr>
              <w:ind w:left="20"/>
              <w:spacing w:after="0"/>
              <w:rPr>
                <w:sz w:val="20"/>
                <w:szCs w:val="20"/>
                <w:color w:val="auto"/>
              </w:rPr>
            </w:pPr>
            <w:r>
              <w:rPr>
                <w:rFonts w:ascii="Arial" w:cs="Arial" w:eastAsia="Arial" w:hAnsi="Arial"/>
                <w:sz w:val="18"/>
                <w:szCs w:val="18"/>
                <w:color w:val="auto"/>
              </w:rPr>
              <w:t>/s/ David M. Pawlick</w:t>
            </w:r>
          </w:p>
        </w:tc>
      </w:tr>
      <w:tr>
        <w:trPr>
          <w:trHeight w:val="195"/>
        </w:trPr>
        <w:tc>
          <w:tcPr>
            <w:tcW w:w="580" w:type="dxa"/>
            <w:vAlign w:val="bottom"/>
          </w:tcPr>
          <w:p>
            <w:pPr>
              <w:spacing w:after="0"/>
              <w:rPr>
                <w:sz w:val="16"/>
                <w:szCs w:val="16"/>
                <w:color w:val="auto"/>
              </w:rPr>
            </w:pPr>
          </w:p>
        </w:tc>
        <w:tc>
          <w:tcPr>
            <w:tcW w:w="31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Joseph G. Morone, Ph.D.</w:t>
            </w:r>
          </w:p>
        </w:tc>
        <w:tc>
          <w:tcPr>
            <w:tcW w:w="5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Cozzolino</w:t>
            </w:r>
          </w:p>
        </w:tc>
        <w:tc>
          <w:tcPr>
            <w:tcW w:w="300" w:type="dxa"/>
            <w:vAlign w:val="bottom"/>
          </w:tcPr>
          <w:p>
            <w:pPr>
              <w:spacing w:after="0"/>
              <w:rPr>
                <w:sz w:val="16"/>
                <w:szCs w:val="16"/>
                <w:color w:val="auto"/>
              </w:rPr>
            </w:pPr>
          </w:p>
        </w:tc>
        <w:tc>
          <w:tcPr>
            <w:tcW w:w="2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580" w:type="dxa"/>
            <w:vAlign w:val="bottom"/>
          </w:tcPr>
          <w:p>
            <w:pPr>
              <w:spacing w:after="0"/>
              <w:rPr>
                <w:sz w:val="17"/>
                <w:szCs w:val="17"/>
                <w:color w:val="auto"/>
              </w:rPr>
            </w:pPr>
          </w:p>
        </w:tc>
        <w:tc>
          <w:tcPr>
            <w:tcW w:w="1420" w:type="dxa"/>
            <w:vAlign w:val="bottom"/>
          </w:tcPr>
          <w:p>
            <w:pPr>
              <w:ind w:left="20"/>
              <w:spacing w:after="0" w:line="202" w:lineRule="exact"/>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w:t>
            </w: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580" w:type="dxa"/>
            <w:vAlign w:val="bottom"/>
          </w:tcPr>
          <w:p>
            <w:pPr>
              <w:spacing w:after="0"/>
              <w:rPr>
                <w:sz w:val="17"/>
                <w:szCs w:val="17"/>
                <w:color w:val="auto"/>
              </w:rPr>
            </w:pPr>
          </w:p>
        </w:tc>
        <w:tc>
          <w:tcPr>
            <w:tcW w:w="36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Chief Executive Officer</w:t>
            </w:r>
          </w:p>
        </w:tc>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and Treasurer</w:t>
            </w: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580" w:type="dxa"/>
            <w:vAlign w:val="bottom"/>
          </w:tcPr>
          <w:p>
            <w:pPr>
              <w:spacing w:after="0"/>
              <w:rPr>
                <w:sz w:val="17"/>
                <w:szCs w:val="17"/>
                <w:color w:val="auto"/>
              </w:rPr>
            </w:pPr>
          </w:p>
        </w:tc>
        <w:tc>
          <w:tcPr>
            <w:tcW w:w="1420" w:type="dxa"/>
            <w:vAlign w:val="bottom"/>
          </w:tcPr>
          <w:p>
            <w:pPr>
              <w:ind w:left="20"/>
              <w:spacing w:after="0" w:line="202" w:lineRule="exact"/>
              <w:rPr>
                <w:sz w:val="20"/>
                <w:szCs w:val="20"/>
                <w:color w:val="auto"/>
              </w:rPr>
            </w:pPr>
            <w:r>
              <w:rPr>
                <w:rFonts w:ascii="Arial" w:cs="Arial" w:eastAsia="Arial" w:hAnsi="Arial"/>
                <w:sz w:val="18"/>
                <w:szCs w:val="18"/>
                <w:color w:val="auto"/>
              </w:rPr>
              <w:t>and Director</w:t>
            </w: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580" w:type="dxa"/>
            <w:vAlign w:val="bottom"/>
          </w:tcPr>
          <w:p>
            <w:pPr>
              <w:spacing w:after="0"/>
              <w:rPr>
                <w:sz w:val="18"/>
                <w:szCs w:val="18"/>
                <w:color w:val="auto"/>
              </w:rPr>
            </w:pPr>
          </w:p>
        </w:tc>
        <w:tc>
          <w:tcPr>
            <w:tcW w:w="3640" w:type="dxa"/>
            <w:vAlign w:val="bottom"/>
            <w:gridSpan w:val="4"/>
          </w:tcPr>
          <w:p>
            <w:pPr>
              <w:ind w:left="20"/>
              <w:spacing w:after="0"/>
              <w:rPr>
                <w:sz w:val="20"/>
                <w:szCs w:val="20"/>
                <w:color w:val="auto"/>
              </w:rPr>
            </w:pPr>
            <w:r>
              <w:rPr>
                <w:rFonts w:ascii="Arial" w:cs="Arial" w:eastAsia="Arial" w:hAnsi="Arial"/>
                <w:sz w:val="18"/>
                <w:szCs w:val="18"/>
                <w:color w:val="auto"/>
              </w:rPr>
              <w:t>(Principal Executive Officer)</w:t>
            </w: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581"/>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Item 9B.</w:t>
            </w:r>
          </w:p>
        </w:tc>
        <w:tc>
          <w:tcPr>
            <w:tcW w:w="2220" w:type="dxa"/>
            <w:vAlign w:val="bottom"/>
            <w:gridSpan w:val="3"/>
          </w:tcPr>
          <w:p>
            <w:pPr>
              <w:ind w:left="300"/>
              <w:spacing w:after="0"/>
              <w:rPr>
                <w:sz w:val="20"/>
                <w:szCs w:val="20"/>
                <w:color w:val="auto"/>
              </w:rPr>
            </w:pPr>
            <w:r>
              <w:rPr>
                <w:rFonts w:ascii="Arial" w:cs="Arial" w:eastAsia="Arial" w:hAnsi="Arial"/>
                <w:sz w:val="18"/>
                <w:szCs w:val="18"/>
                <w:b w:val="1"/>
                <w:bCs w:val="1"/>
                <w:color w:val="auto"/>
                <w:w w:val="97"/>
              </w:rPr>
              <w:t>OTHER INFORMATION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None.</w:t>
            </w: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6" w:name="page97"/>
    <w:bookmarkEnd w:id="96"/>
    <w:p>
      <w:pPr>
        <w:ind w:left="570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93" w:lineRule="exact"/>
        <w:rPr>
          <w:sz w:val="20"/>
          <w:szCs w:val="20"/>
          <w:color w:val="auto"/>
        </w:rPr>
      </w:pPr>
    </w:p>
    <w:p>
      <w:pPr>
        <w:ind w:left="1300" w:right="8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Information about the officers of the Company is set forth in Item 1 above.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spacing w:after="0" w:line="184" w:lineRule="exact"/>
        <w:rPr>
          <w:rFonts w:ascii="Arial" w:cs="Arial" w:eastAsia="Arial" w:hAnsi="Arial"/>
          <w:sz w:val="18"/>
          <w:szCs w:val="18"/>
          <w:color w:val="auto"/>
        </w:rPr>
      </w:pPr>
    </w:p>
    <w:p>
      <w:pPr>
        <w:ind w:left="1300" w:right="16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62" w:lineRule="exact"/>
        <w:rPr>
          <w:rFonts w:ascii="Arial" w:cs="Arial" w:eastAsia="Arial" w:hAnsi="Arial"/>
          <w:sz w:val="18"/>
          <w:szCs w:val="18"/>
          <w:color w:val="auto"/>
        </w:rPr>
      </w:pPr>
    </w:p>
    <w:p>
      <w:pPr>
        <w:ind w:left="1300" w:right="60" w:hanging="644"/>
        <w:spacing w:after="0" w:line="23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61" w:lineRule="exact"/>
        <w:rPr>
          <w:rFonts w:ascii="Arial" w:cs="Arial" w:eastAsia="Arial" w:hAnsi="Arial"/>
          <w:sz w:val="18"/>
          <w:szCs w:val="18"/>
          <w:color w:val="auto"/>
        </w:rPr>
      </w:pPr>
    </w:p>
    <w:p>
      <w:pPr>
        <w:ind w:left="1300" w:right="16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71" w:lineRule="exact"/>
        <w:rPr>
          <w:rFonts w:ascii="Arial" w:cs="Arial" w:eastAsia="Arial" w:hAnsi="Arial"/>
          <w:sz w:val="18"/>
          <w:szCs w:val="18"/>
          <w:color w:val="auto"/>
        </w:rPr>
      </w:pPr>
    </w:p>
    <w:p>
      <w:pPr>
        <w:ind w:left="1300" w:right="56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in the Proxy Statement is incorporated herein by reference.</w:t>
      </w:r>
    </w:p>
    <w:p>
      <w:pPr>
        <w:spacing w:after="0" w:line="156"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its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200" w:lineRule="exact"/>
        <w:rPr>
          <w:sz w:val="20"/>
          <w:szCs w:val="20"/>
          <w:color w:val="auto"/>
        </w:rPr>
      </w:pPr>
    </w:p>
    <w:p>
      <w:pPr>
        <w:spacing w:after="0" w:line="3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9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set forth in the sections of the Proxy Statement captioned “Executive Compensation,” “Summary Compensation Table,”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7" w:name="page98"/>
    <w:bookmarkEnd w:id="97"/>
    <w:p>
      <w:pPr>
        <w:ind w:left="1300" w:right="360" w:hanging="1296"/>
        <w:spacing w:after="0" w:line="271"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ind w:right="560" w:firstLine="648"/>
        <w:spacing w:after="0" w:line="438" w:lineRule="auto"/>
        <w:rPr>
          <w:sz w:val="20"/>
          <w:szCs w:val="20"/>
          <w:color w:val="auto"/>
        </w:rPr>
      </w:pPr>
      <w:r>
        <w:rPr>
          <w:rFonts w:ascii="Arial" w:cs="Arial" w:eastAsia="Arial" w:hAnsi="Arial"/>
          <w:sz w:val="18"/>
          <w:szCs w:val="18"/>
          <w:color w:val="auto"/>
        </w:rPr>
        <w:t xml:space="preserve">The information set forth in the section captioned "Share Ownership" in the Proxy Statement is incorporated herein by reference. </w:t>
      </w:r>
      <w:r>
        <w:rPr>
          <w:rFonts w:ascii="Arial" w:cs="Arial" w:eastAsia="Arial" w:hAnsi="Arial"/>
          <w:sz w:val="18"/>
          <w:szCs w:val="18"/>
          <w:b w:val="1"/>
          <w:bCs w:val="1"/>
          <w:color w:val="auto"/>
        </w:rPr>
        <w:t>Equity Compensation Plan Information</w:t>
      </w:r>
    </w:p>
    <w:tbl>
      <w:tblPr>
        <w:tblLayout w:type="fixed"/>
        <w:tblInd w:w="0" w:type="dxa"/>
        <w:tblCellMar>
          <w:top w:w="0" w:type="dxa"/>
          <w:left w:w="0" w:type="dxa"/>
          <w:bottom w:w="0" w:type="dxa"/>
          <w:right w:w="0" w:type="dxa"/>
        </w:tblCellMar>
      </w:tblPr>
      <w:tr>
        <w:trPr>
          <w:trHeight w:val="144"/>
        </w:trPr>
        <w:tc>
          <w:tcPr>
            <w:tcW w:w="2620" w:type="dxa"/>
            <w:vAlign w:val="bottom"/>
            <w:tcBorders>
              <w:top w:val="single" w:sz="8" w:color="auto"/>
            </w:tcBorders>
          </w:tcPr>
          <w:p>
            <w:pPr>
              <w:ind w:left="40"/>
              <w:spacing w:after="0" w:line="144" w:lineRule="exact"/>
              <w:rPr>
                <w:sz w:val="20"/>
                <w:szCs w:val="20"/>
                <w:color w:val="auto"/>
              </w:rPr>
            </w:pPr>
            <w:r>
              <w:rPr>
                <w:rFonts w:ascii="Arial" w:cs="Arial" w:eastAsia="Arial" w:hAnsi="Arial"/>
                <w:sz w:val="14"/>
                <w:szCs w:val="14"/>
                <w:b w:val="1"/>
                <w:bCs w:val="1"/>
                <w:color w:val="auto"/>
              </w:rPr>
              <w:t>Plan Category</w:t>
            </w:r>
          </w:p>
        </w:tc>
        <w:tc>
          <w:tcPr>
            <w:tcW w:w="3520" w:type="dxa"/>
            <w:vAlign w:val="bottom"/>
            <w:tcBorders>
              <w:top w:val="single" w:sz="8" w:color="auto"/>
            </w:tcBorders>
          </w:tcPr>
          <w:p>
            <w:pPr>
              <w:jc w:val="center"/>
              <w:ind w:left="1088"/>
              <w:spacing w:after="0" w:line="144" w:lineRule="exact"/>
              <w:rPr>
                <w:sz w:val="20"/>
                <w:szCs w:val="20"/>
                <w:color w:val="auto"/>
              </w:rPr>
            </w:pPr>
            <w:r>
              <w:rPr>
                <w:rFonts w:ascii="Arial" w:cs="Arial" w:eastAsia="Arial" w:hAnsi="Arial"/>
                <w:sz w:val="14"/>
                <w:szCs w:val="14"/>
                <w:b w:val="1"/>
                <w:bCs w:val="1"/>
                <w:color w:val="auto"/>
              </w:rPr>
              <w:t>Number of securities</w:t>
            </w:r>
          </w:p>
        </w:tc>
        <w:tc>
          <w:tcPr>
            <w:tcW w:w="21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Weighted average</w:t>
            </w:r>
          </w:p>
        </w:tc>
        <w:tc>
          <w:tcPr>
            <w:tcW w:w="31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Number of securities remaining</w:t>
            </w:r>
          </w:p>
        </w:tc>
      </w:tr>
      <w:tr>
        <w:trPr>
          <w:trHeight w:val="162"/>
        </w:trPr>
        <w:tc>
          <w:tcPr>
            <w:tcW w:w="2620" w:type="dxa"/>
            <w:vAlign w:val="bottom"/>
          </w:tcPr>
          <w:p>
            <w:pPr>
              <w:spacing w:after="0"/>
              <w:rPr>
                <w:sz w:val="14"/>
                <w:szCs w:val="14"/>
                <w:color w:val="auto"/>
              </w:rPr>
            </w:pPr>
          </w:p>
        </w:tc>
        <w:tc>
          <w:tcPr>
            <w:tcW w:w="3520" w:type="dxa"/>
            <w:vAlign w:val="bottom"/>
          </w:tcPr>
          <w:p>
            <w:pPr>
              <w:jc w:val="center"/>
              <w:ind w:left="1088"/>
              <w:spacing w:after="0"/>
              <w:rPr>
                <w:sz w:val="20"/>
                <w:szCs w:val="20"/>
                <w:color w:val="auto"/>
              </w:rPr>
            </w:pPr>
            <w:r>
              <w:rPr>
                <w:rFonts w:ascii="Arial" w:cs="Arial" w:eastAsia="Arial" w:hAnsi="Arial"/>
                <w:sz w:val="14"/>
                <w:szCs w:val="14"/>
                <w:b w:val="1"/>
                <w:bCs w:val="1"/>
                <w:color w:val="auto"/>
              </w:rPr>
              <w:t>to be issued upon</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r>
      <w:tr>
        <w:trPr>
          <w:trHeight w:val="162"/>
        </w:trPr>
        <w:tc>
          <w:tcPr>
            <w:tcW w:w="2620" w:type="dxa"/>
            <w:vAlign w:val="bottom"/>
          </w:tcPr>
          <w:p>
            <w:pPr>
              <w:spacing w:after="0"/>
              <w:rPr>
                <w:sz w:val="14"/>
                <w:szCs w:val="14"/>
                <w:color w:val="auto"/>
              </w:rPr>
            </w:pPr>
          </w:p>
        </w:tc>
        <w:tc>
          <w:tcPr>
            <w:tcW w:w="3520" w:type="dxa"/>
            <w:vAlign w:val="bottom"/>
          </w:tcPr>
          <w:p>
            <w:pPr>
              <w:jc w:val="center"/>
              <w:ind w:left="1088"/>
              <w:spacing w:after="0"/>
              <w:rPr>
                <w:sz w:val="20"/>
                <w:szCs w:val="20"/>
                <w:color w:val="auto"/>
              </w:rPr>
            </w:pPr>
            <w:r>
              <w:rPr>
                <w:rFonts w:ascii="Arial" w:cs="Arial" w:eastAsia="Arial" w:hAnsi="Arial"/>
                <w:sz w:val="14"/>
                <w:szCs w:val="14"/>
                <w:b w:val="1"/>
                <w:bCs w:val="1"/>
                <w:color w:val="auto"/>
              </w:rPr>
              <w:t>exercise of</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r>
      <w:tr>
        <w:trPr>
          <w:trHeight w:val="162"/>
        </w:trPr>
        <w:tc>
          <w:tcPr>
            <w:tcW w:w="2620" w:type="dxa"/>
            <w:vAlign w:val="bottom"/>
          </w:tcPr>
          <w:p>
            <w:pPr>
              <w:spacing w:after="0"/>
              <w:rPr>
                <w:sz w:val="14"/>
                <w:szCs w:val="14"/>
                <w:color w:val="auto"/>
              </w:rPr>
            </w:pPr>
          </w:p>
        </w:tc>
        <w:tc>
          <w:tcPr>
            <w:tcW w:w="3520" w:type="dxa"/>
            <w:vAlign w:val="bottom"/>
          </w:tcPr>
          <w:p>
            <w:pPr>
              <w:jc w:val="center"/>
              <w:ind w:left="1068"/>
              <w:spacing w:after="0"/>
              <w:rPr>
                <w:sz w:val="20"/>
                <w:szCs w:val="20"/>
                <w:color w:val="auto"/>
              </w:rPr>
            </w:pPr>
            <w:r>
              <w:rPr>
                <w:rFonts w:ascii="Arial" w:cs="Arial" w:eastAsia="Arial" w:hAnsi="Arial"/>
                <w:sz w:val="14"/>
                <w:szCs w:val="14"/>
                <w:b w:val="1"/>
                <w:bCs w:val="1"/>
                <w:color w:val="auto"/>
              </w:rPr>
              <w:t>outstanding options,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r>
      <w:tr>
        <w:trPr>
          <w:trHeight w:val="175"/>
        </w:trPr>
        <w:tc>
          <w:tcPr>
            <w:tcW w:w="2620" w:type="dxa"/>
            <w:vAlign w:val="bottom"/>
          </w:tcPr>
          <w:p>
            <w:pPr>
              <w:spacing w:after="0"/>
              <w:rPr>
                <w:sz w:val="15"/>
                <w:szCs w:val="15"/>
                <w:color w:val="auto"/>
              </w:rPr>
            </w:pPr>
          </w:p>
        </w:tc>
        <w:tc>
          <w:tcPr>
            <w:tcW w:w="3520" w:type="dxa"/>
            <w:vAlign w:val="bottom"/>
          </w:tcPr>
          <w:p>
            <w:pPr>
              <w:jc w:val="center"/>
              <w:ind w:left="1128"/>
              <w:spacing w:after="0"/>
              <w:rPr>
                <w:sz w:val="20"/>
                <w:szCs w:val="20"/>
                <w:color w:val="auto"/>
              </w:rPr>
            </w:pPr>
            <w:r>
              <w:rPr>
                <w:rFonts w:ascii="Arial" w:cs="Arial" w:eastAsia="Arial" w:hAnsi="Arial"/>
                <w:sz w:val="14"/>
                <w:szCs w:val="14"/>
                <w:b w:val="1"/>
                <w:bCs w:val="1"/>
                <w:color w:val="auto"/>
              </w:rPr>
              <w:t>warrants, and rights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720"/>
              <w:spacing w:after="0" w:line="182" w:lineRule="exact"/>
              <w:rPr>
                <w:sz w:val="20"/>
                <w:szCs w:val="20"/>
                <w:color w:val="auto"/>
              </w:rPr>
            </w:pPr>
            <w:r>
              <w:rPr>
                <w:rFonts w:ascii="Arial" w:cs="Arial" w:eastAsia="Arial" w:hAnsi="Arial"/>
                <w:sz w:val="16"/>
                <w:szCs w:val="16"/>
                <w:color w:val="auto"/>
              </w:rPr>
              <w:t>(a)</w:t>
            </w:r>
          </w:p>
        </w:tc>
        <w:tc>
          <w:tcPr>
            <w:tcW w:w="2340" w:type="dxa"/>
            <w:vAlign w:val="bottom"/>
            <w:tcBorders>
              <w:top w:val="single" w:sz="8" w:color="auto"/>
            </w:tcBorders>
          </w:tcPr>
          <w:p>
            <w:pPr>
              <w:ind w:left="1020"/>
              <w:spacing w:after="0" w:line="182" w:lineRule="exact"/>
              <w:rPr>
                <w:sz w:val="20"/>
                <w:szCs w:val="20"/>
                <w:color w:val="auto"/>
              </w:rPr>
            </w:pPr>
            <w:r>
              <w:rPr>
                <w:rFonts w:ascii="Arial" w:cs="Arial" w:eastAsia="Arial" w:hAnsi="Arial"/>
                <w:sz w:val="16"/>
                <w:szCs w:val="16"/>
                <w:color w:val="auto"/>
              </w:rPr>
              <w:t>(b)</w:t>
            </w:r>
          </w:p>
        </w:tc>
        <w:tc>
          <w:tcPr>
            <w:tcW w:w="2940" w:type="dxa"/>
            <w:vAlign w:val="bottom"/>
            <w:tcBorders>
              <w:top w:val="single" w:sz="8" w:color="auto"/>
            </w:tcBorders>
          </w:tcPr>
          <w:p>
            <w:pPr>
              <w:ind w:left="1300"/>
              <w:spacing w:after="0" w:line="182" w:lineRule="exact"/>
              <w:rPr>
                <w:sz w:val="20"/>
                <w:szCs w:val="20"/>
                <w:color w:val="auto"/>
              </w:rPr>
            </w:pPr>
            <w:r>
              <w:rPr>
                <w:rFonts w:ascii="Arial" w:cs="Arial" w:eastAsia="Arial" w:hAnsi="Arial"/>
                <w:sz w:val="16"/>
                <w:szCs w:val="16"/>
                <w:color w:val="auto"/>
              </w:rPr>
              <w:t>(c)</w:t>
            </w:r>
          </w:p>
        </w:tc>
      </w:tr>
      <w:tr>
        <w:trPr>
          <w:trHeight w:val="194"/>
        </w:trPr>
        <w:tc>
          <w:tcPr>
            <w:tcW w:w="4160" w:type="dxa"/>
            <w:vAlign w:val="bottom"/>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1980" w:type="dxa"/>
            <w:vAlign w:val="bottom"/>
          </w:tcPr>
          <w:p>
            <w:pPr>
              <w:jc w:val="center"/>
              <w:ind w:right="268"/>
              <w:spacing w:after="0" w:line="194" w:lineRule="exact"/>
              <w:rPr>
                <w:sz w:val="20"/>
                <w:szCs w:val="20"/>
                <w:color w:val="auto"/>
              </w:rPr>
            </w:pPr>
            <w:r>
              <w:rPr>
                <w:rFonts w:ascii="Arial" w:cs="Arial" w:eastAsia="Arial" w:hAnsi="Arial"/>
                <w:sz w:val="14"/>
                <w:szCs w:val="14"/>
                <w:color w:val="auto"/>
              </w:rPr>
              <w:t xml:space="preserve">88,773 </w:t>
            </w:r>
            <w:r>
              <w:rPr>
                <w:rFonts w:ascii="Arial" w:cs="Arial" w:eastAsia="Arial" w:hAnsi="Arial"/>
                <w:sz w:val="22"/>
                <w:szCs w:val="22"/>
                <w:color w:val="auto"/>
                <w:vertAlign w:val="superscript"/>
              </w:rPr>
              <w:t>1</w:t>
            </w:r>
          </w:p>
        </w:tc>
        <w:tc>
          <w:tcPr>
            <w:tcW w:w="2340" w:type="dxa"/>
            <w:vAlign w:val="bottom"/>
          </w:tcPr>
          <w:p>
            <w:pPr>
              <w:jc w:val="center"/>
              <w:ind w:right="26"/>
              <w:spacing w:after="0"/>
              <w:rPr>
                <w:sz w:val="20"/>
                <w:szCs w:val="20"/>
                <w:color w:val="auto"/>
              </w:rPr>
            </w:pPr>
            <w:r>
              <w:rPr>
                <w:rFonts w:ascii="Arial" w:cs="Arial" w:eastAsia="Arial" w:hAnsi="Arial"/>
                <w:sz w:val="14"/>
                <w:szCs w:val="14"/>
                <w:color w:val="auto"/>
              </w:rPr>
              <w:t>$18.67</w:t>
            </w:r>
          </w:p>
        </w:tc>
        <w:tc>
          <w:tcPr>
            <w:tcW w:w="2940" w:type="dxa"/>
            <w:vAlign w:val="bottom"/>
          </w:tcPr>
          <w:p>
            <w:pPr>
              <w:jc w:val="center"/>
              <w:ind w:right="68"/>
              <w:spacing w:after="0" w:line="194" w:lineRule="exact"/>
              <w:rPr>
                <w:sz w:val="20"/>
                <w:szCs w:val="20"/>
                <w:color w:val="auto"/>
              </w:rPr>
            </w:pPr>
            <w:r>
              <w:rPr>
                <w:rFonts w:ascii="Arial" w:cs="Arial" w:eastAsia="Arial" w:hAnsi="Arial"/>
                <w:sz w:val="14"/>
                <w:szCs w:val="14"/>
                <w:color w:val="auto"/>
                <w:w w:val="96"/>
              </w:rPr>
              <w:t xml:space="preserve">288,219 </w:t>
            </w:r>
            <w:r>
              <w:rPr>
                <w:rFonts w:ascii="Arial" w:cs="Arial" w:eastAsia="Arial" w:hAnsi="Arial"/>
                <w:sz w:val="22"/>
                <w:szCs w:val="22"/>
                <w:color w:val="auto"/>
                <w:w w:val="96"/>
                <w:vertAlign w:val="superscript"/>
              </w:rPr>
              <w:t>2,3,4</w:t>
            </w:r>
          </w:p>
        </w:tc>
      </w:tr>
      <w:tr>
        <w:trPr>
          <w:trHeight w:val="162"/>
        </w:trPr>
        <w:tc>
          <w:tcPr>
            <w:tcW w:w="416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w:t>
            </w:r>
          </w:p>
        </w:tc>
        <w:tc>
          <w:tcPr>
            <w:tcW w:w="1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57"/>
        </w:trPr>
        <w:tc>
          <w:tcPr>
            <w:tcW w:w="416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holders</w:t>
            </w:r>
          </w:p>
        </w:tc>
        <w:tc>
          <w:tcPr>
            <w:tcW w:w="1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w w:val="84"/>
              </w:rPr>
              <w:t>-</w:t>
            </w:r>
          </w:p>
        </w:tc>
        <w:tc>
          <w:tcPr>
            <w:tcW w:w="2340" w:type="dxa"/>
            <w:vAlign w:val="bottom"/>
            <w:tcBorders>
              <w:bottom w:val="single" w:sz="8" w:color="auto"/>
            </w:tcBorders>
          </w:tcPr>
          <w:p>
            <w:pPr>
              <w:jc w:val="center"/>
              <w:ind w:right="26"/>
              <w:spacing w:after="0" w:line="157" w:lineRule="exact"/>
              <w:rPr>
                <w:sz w:val="20"/>
                <w:szCs w:val="20"/>
                <w:color w:val="auto"/>
              </w:rPr>
            </w:pPr>
            <w:r>
              <w:rPr>
                <w:rFonts w:ascii="Arial" w:cs="Arial" w:eastAsia="Arial" w:hAnsi="Arial"/>
                <w:sz w:val="14"/>
                <w:szCs w:val="14"/>
                <w:color w:val="auto"/>
                <w:w w:val="84"/>
              </w:rPr>
              <w:t>-</w:t>
            </w:r>
          </w:p>
        </w:tc>
        <w:tc>
          <w:tcPr>
            <w:tcW w:w="2940" w:type="dxa"/>
            <w:vAlign w:val="bottom"/>
            <w:tcBorders>
              <w:bottom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w w:val="84"/>
              </w:rPr>
              <w:t>-</w:t>
            </w:r>
          </w:p>
        </w:tc>
      </w:tr>
      <w:tr>
        <w:trPr>
          <w:trHeight w:val="18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auto"/>
            </w:tcBorders>
          </w:tcPr>
          <w:p>
            <w:pPr>
              <w:jc w:val="center"/>
              <w:ind w:right="268"/>
              <w:spacing w:after="0" w:line="183" w:lineRule="exact"/>
              <w:rPr>
                <w:sz w:val="20"/>
                <w:szCs w:val="20"/>
                <w:color w:val="auto"/>
              </w:rPr>
            </w:pPr>
            <w:r>
              <w:rPr>
                <w:rFonts w:ascii="Arial" w:cs="Arial" w:eastAsia="Arial" w:hAnsi="Arial"/>
                <w:sz w:val="13"/>
                <w:szCs w:val="13"/>
                <w:color w:val="auto"/>
              </w:rPr>
              <w:t xml:space="preserve">88,773 </w:t>
            </w:r>
            <w:r>
              <w:rPr>
                <w:rFonts w:ascii="Arial" w:cs="Arial" w:eastAsia="Arial" w:hAnsi="Arial"/>
                <w:sz w:val="21"/>
                <w:szCs w:val="21"/>
                <w:color w:val="auto"/>
                <w:vertAlign w:val="superscript"/>
              </w:rPr>
              <w:t>1</w:t>
            </w:r>
          </w:p>
        </w:tc>
        <w:tc>
          <w:tcPr>
            <w:tcW w:w="23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rPr>
              <w:t>$18.67</w:t>
            </w:r>
          </w:p>
        </w:tc>
        <w:tc>
          <w:tcPr>
            <w:tcW w:w="2940" w:type="dxa"/>
            <w:vAlign w:val="bottom"/>
            <w:tcBorders>
              <w:bottom w:val="single" w:sz="8" w:color="auto"/>
            </w:tcBorders>
          </w:tcPr>
          <w:p>
            <w:pPr>
              <w:jc w:val="center"/>
              <w:ind w:right="68"/>
              <w:spacing w:after="0" w:line="183" w:lineRule="exact"/>
              <w:rPr>
                <w:sz w:val="20"/>
                <w:szCs w:val="20"/>
                <w:color w:val="auto"/>
              </w:rPr>
            </w:pPr>
            <w:r>
              <w:rPr>
                <w:rFonts w:ascii="Arial" w:cs="Arial" w:eastAsia="Arial" w:hAnsi="Arial"/>
                <w:sz w:val="13"/>
                <w:szCs w:val="13"/>
                <w:color w:val="auto"/>
              </w:rPr>
              <w:t xml:space="preserve">288,219 </w:t>
            </w:r>
            <w:r>
              <w:rPr>
                <w:rFonts w:ascii="Arial" w:cs="Arial" w:eastAsia="Arial" w:hAnsi="Arial"/>
                <w:sz w:val="21"/>
                <w:szCs w:val="21"/>
                <w:color w:val="auto"/>
                <w:vertAlign w:val="superscript"/>
              </w:rPr>
              <w:t>2,3,4</w:t>
            </w:r>
          </w:p>
        </w:tc>
      </w:tr>
    </w:tbl>
    <w:p>
      <w:pPr>
        <w:spacing w:after="0" w:line="391" w:lineRule="exact"/>
        <w:rPr>
          <w:sz w:val="20"/>
          <w:szCs w:val="20"/>
          <w:color w:val="auto"/>
        </w:rPr>
      </w:pPr>
    </w:p>
    <w:p>
      <w:pPr>
        <w:ind w:left="1060" w:right="440" w:hanging="404"/>
        <w:spacing w:after="0" w:line="23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42,947, 37,729, and 75,471 shares that may be issued pursuant to 2013, 2014 and 2015, respectively, performance incentive awards granted to certain executive officers pursuant to the 2011 Incentive Plan. Such awards are not “exercisable,” but will be paid out to the recipients in accordance with their terms, subject to certain conditions.</w:t>
      </w:r>
    </w:p>
    <w:p>
      <w:pPr>
        <w:spacing w:after="0" w:line="2" w:lineRule="exact"/>
        <w:rPr>
          <w:rFonts w:ascii="Arial" w:cs="Arial" w:eastAsia="Arial" w:hAnsi="Arial"/>
          <w:sz w:val="18"/>
          <w:szCs w:val="18"/>
          <w:color w:val="auto"/>
        </w:rPr>
      </w:pPr>
    </w:p>
    <w:p>
      <w:pPr>
        <w:ind w:left="1040" w:right="200" w:hanging="384"/>
        <w:spacing w:after="0" w:line="23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1040" w:right="80" w:hanging="384"/>
        <w:spacing w:after="0" w:line="23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288,219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If shares are tendered to the Company in payment of any obligation in connection with an award, the number of shares tendered shall be added to the number of shares available under the 2005 Incentive Plan. Assuming full exercise by the Board of its power to increase annually the number of shares available under the 2011 Incentive Plan, the maximum number of additional shares that could yet be issued pursuant to the Plan awards (including those set forth in column (c) above) would be 3,288,219.</w:t>
      </w:r>
    </w:p>
    <w:p>
      <w:pPr>
        <w:spacing w:after="0" w:line="9" w:lineRule="exact"/>
        <w:rPr>
          <w:rFonts w:ascii="Arial" w:cs="Arial" w:eastAsia="Arial" w:hAnsi="Arial"/>
          <w:sz w:val="18"/>
          <w:szCs w:val="18"/>
          <w:color w:val="auto"/>
        </w:rPr>
      </w:pPr>
    </w:p>
    <w:p>
      <w:pPr>
        <w:ind w:left="1040" w:right="180" w:hanging="384"/>
        <w:spacing w:after="0" w:line="23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$100,000, $50,000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 composite index published for such day in the Wall Street Journal, rounded down to the nearest</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46" w:right="239" w:bottom="1440" w:gutter="0" w:footer="0" w:header="0"/>
        </w:sectPr>
      </w:pPr>
    </w:p>
    <w:bookmarkStart w:id="98" w:name="page99"/>
    <w:bookmarkEnd w:id="98"/>
    <w:p>
      <w:pPr>
        <w:ind w:left="1060" w:right="160"/>
        <w:spacing w:after="0" w:line="246" w:lineRule="auto"/>
        <w:rPr>
          <w:sz w:val="20"/>
          <w:szCs w:val="20"/>
          <w:color w:val="auto"/>
        </w:rPr>
      </w:pPr>
      <w:r>
        <w:rPr>
          <w:rFonts w:ascii="Arial" w:cs="Arial" w:eastAsia="Arial" w:hAnsi="Arial"/>
          <w:sz w:val="18"/>
          <w:szCs w:val="18"/>
          <w:color w:val="auto"/>
        </w:rPr>
        <w:t>whole share. A director who owns shares of Common Stock with a value of at least $300,000 may elect to receive, in cash, all or any portion of the retainer otherwise payable in shares of Common Stock.</w:t>
      </w:r>
    </w:p>
    <w:p>
      <w:pPr>
        <w:spacing w:after="0" w:line="183" w:lineRule="exact"/>
        <w:rPr>
          <w:sz w:val="20"/>
          <w:szCs w:val="20"/>
          <w:color w:val="auto"/>
        </w:rPr>
      </w:pPr>
    </w:p>
    <w:p>
      <w:pPr>
        <w:ind w:right="100" w:firstLine="243"/>
        <w:spacing w:after="0" w:line="239" w:lineRule="auto"/>
        <w:rPr>
          <w:sz w:val="20"/>
          <w:szCs w:val="20"/>
          <w:color w:val="auto"/>
        </w:rPr>
      </w:pPr>
      <w:r>
        <w:rPr>
          <w:rFonts w:ascii="Arial" w:cs="Arial" w:eastAsia="Arial" w:hAnsi="Arial"/>
          <w:sz w:val="18"/>
          <w:szCs w:val="18"/>
          <w:color w:val="auto"/>
        </w:rPr>
        <w:t>The following graph compares the cumulative 5-year total return to shareholders on Albany International Corp.'s common stock relative to the cumulative total returns of the S&amp;P 500 index and the Dow Jones US Paper index. An investment of $100 (with reinvestment of all dividends) is assumed to have been made in the Company's common stock and in each of the indexes on December 31, 2010, and its relative performance is tracked 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111760</wp:posOffset>
            </wp:positionV>
            <wp:extent cx="4931410" cy="4751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31410"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RELATED TRANSACTIONS AND DIRECTOR INDEPENDENCE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3700" w:type="dxa"/>
            <w:vAlign w:val="bottom"/>
          </w:tcPr>
          <w:p>
            <w:pPr>
              <w:ind w:left="620"/>
              <w:spacing w:after="0"/>
              <w:rPr>
                <w:sz w:val="20"/>
                <w:szCs w:val="20"/>
                <w:color w:val="auto"/>
              </w:rPr>
            </w:pPr>
            <w:r>
              <w:rPr>
                <w:rFonts w:ascii="Arial" w:cs="Arial" w:eastAsia="Arial" w:hAnsi="Arial"/>
                <w:sz w:val="18"/>
                <w:szCs w:val="18"/>
                <w:b w:val="1"/>
                <w:bCs w:val="1"/>
                <w:color w:val="auto"/>
              </w:rPr>
              <w:t>PART IV Item 15.</w:t>
            </w:r>
          </w:p>
        </w:tc>
        <w:tc>
          <w:tcPr>
            <w:tcW w:w="5320" w:type="dxa"/>
            <w:vAlign w:val="bottom"/>
            <w:gridSpan w:val="3"/>
          </w:tcPr>
          <w:p>
            <w:pPr>
              <w:ind w:left="380"/>
              <w:spacing w:after="0"/>
              <w:rPr>
                <w:sz w:val="20"/>
                <w:szCs w:val="20"/>
                <w:color w:val="auto"/>
              </w:rPr>
            </w:pPr>
            <w:r>
              <w:rPr>
                <w:rFonts w:ascii="Arial" w:cs="Arial" w:eastAsia="Arial" w:hAnsi="Arial"/>
                <w:sz w:val="18"/>
                <w:szCs w:val="18"/>
                <w:b w:val="1"/>
                <w:bCs w:val="1"/>
                <w:color w:val="auto"/>
              </w:rPr>
              <w:t>EXHIBITS AND FINANCIAL STATEMENT SCHEDULES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3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86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80"/>
              <w:spacing w:after="0" w:line="160" w:lineRule="exact"/>
              <w:rPr>
                <w:sz w:val="20"/>
                <w:szCs w:val="20"/>
                <w:color w:val="auto"/>
              </w:rPr>
            </w:pPr>
            <w:r>
              <w:rPr>
                <w:rFonts w:ascii="Arial" w:cs="Arial" w:eastAsia="Arial" w:hAnsi="Arial"/>
                <w:sz w:val="18"/>
                <w:szCs w:val="18"/>
                <w:b w:val="1"/>
                <w:bCs w:val="1"/>
                <w:color w:val="auto"/>
              </w:rPr>
              <w:t>Period</w:t>
            </w:r>
          </w:p>
        </w:tc>
        <w:tc>
          <w:tcPr>
            <w:tcW w:w="8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Exhibit Description</w:t>
            </w:r>
          </w:p>
        </w:tc>
        <w:tc>
          <w:tcPr>
            <w:tcW w:w="2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9"/>
              </w:rPr>
              <w:t>Herewith</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Ending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3 (a)</w:t>
            </w:r>
          </w:p>
        </w:tc>
        <w:tc>
          <w:tcPr>
            <w:tcW w:w="638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Amended and Restated Certificate of Incorporation of Company</w:t>
            </w:r>
          </w:p>
        </w:tc>
        <w:tc>
          <w:tcPr>
            <w:tcW w:w="1260" w:type="dxa"/>
            <w:vAlign w:val="bottom"/>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3 (b)</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Bylaws of Company</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4 (a)</w:t>
            </w:r>
          </w:p>
        </w:tc>
        <w:tc>
          <w:tcPr>
            <w:tcW w:w="63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Article IV of Certificate of Incorporation of Company</w:t>
            </w: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4 (b)</w:t>
            </w:r>
          </w:p>
        </w:tc>
        <w:tc>
          <w:tcPr>
            <w:tcW w:w="6380" w:type="dxa"/>
            <w:vAlign w:val="bottom"/>
            <w:tcBorders>
              <w:bottom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Specimen Stock Certificate for Class A Common Stock</w:t>
            </w:r>
          </w:p>
        </w:tc>
        <w:tc>
          <w:tcPr>
            <w:tcW w:w="2640" w:type="dxa"/>
            <w:vAlign w:val="bottom"/>
            <w:tcBorders>
              <w:bottom w:val="single" w:sz="8" w:color="auto"/>
            </w:tcBorders>
            <w:gridSpan w:val="2"/>
          </w:tcPr>
          <w:p>
            <w:pPr>
              <w:ind w:left="1140"/>
              <w:spacing w:after="0" w:line="203" w:lineRule="exact"/>
              <w:rPr>
                <w:sz w:val="20"/>
                <w:szCs w:val="20"/>
                <w:color w:val="auto"/>
              </w:rPr>
            </w:pPr>
            <w:r>
              <w:rPr>
                <w:rFonts w:ascii="Arial" w:cs="Arial" w:eastAsia="Arial" w:hAnsi="Arial"/>
                <w:sz w:val="18"/>
                <w:szCs w:val="18"/>
                <w:color w:val="auto"/>
              </w:rPr>
              <w:t>S-1, No. 33-16254</w:t>
            </w: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196"/>
        </w:trPr>
        <w:tc>
          <w:tcPr>
            <w:tcW w:w="456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Credit Agreement</w:t>
            </w:r>
          </w:p>
        </w:tc>
        <w:tc>
          <w:tcPr>
            <w:tcW w:w="2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10(k)(xv)</w:t>
            </w:r>
          </w:p>
        </w:tc>
        <w:tc>
          <w:tcPr>
            <w:tcW w:w="764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$400 Million Five-Year Revolving Credit Facility Agreement among Albany International Corp.,</w:t>
            </w: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6/24/15</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spacing w:after="0"/>
              <w:rPr>
                <w:sz w:val="17"/>
                <w:szCs w:val="17"/>
                <w:color w:val="auto"/>
              </w:rPr>
            </w:pPr>
          </w:p>
        </w:tc>
        <w:tc>
          <w:tcPr>
            <w:tcW w:w="76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the other Borrowers named therein, the Lenders Party thereto, JPMorgan Chase Bank, N.A.,</w:t>
            </w: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spacing w:after="0"/>
              <w:rPr>
                <w:sz w:val="17"/>
                <w:szCs w:val="17"/>
                <w:color w:val="auto"/>
              </w:rPr>
            </w:pPr>
          </w:p>
        </w:tc>
        <w:tc>
          <w:tcPr>
            <w:tcW w:w="63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as Administrative Agent, dated as of June 18, 2015</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10(k)(xii)</w:t>
            </w:r>
          </w:p>
        </w:tc>
        <w:tc>
          <w:tcPr>
            <w:tcW w:w="76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Amended and Restated Note Agreement and Guaranty, dated as of July 16, 2010, among the</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9/23/10</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spacing w:after="0"/>
              <w:rPr>
                <w:sz w:val="17"/>
                <w:szCs w:val="17"/>
                <w:color w:val="auto"/>
              </w:rPr>
            </w:pPr>
          </w:p>
        </w:tc>
        <w:tc>
          <w:tcPr>
            <w:tcW w:w="76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Company, the Guarantors named therein, and the holders of the Notes from time to time party</w:t>
            </w: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spacing w:after="0"/>
              <w:rPr>
                <w:sz w:val="17"/>
                <w:szCs w:val="17"/>
                <w:color w:val="auto"/>
              </w:rPr>
            </w:pPr>
          </w:p>
        </w:tc>
        <w:tc>
          <w:tcPr>
            <w:tcW w:w="63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thereto ("Amended and Restated Note Agreement")</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10(k)(xiii)</w:t>
            </w:r>
          </w:p>
        </w:tc>
        <w:tc>
          <w:tcPr>
            <w:tcW w:w="76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First Amendment, dated as of February 17, 2012, to Amended and Restated Note Agreement</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2/22/12</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10(k)(iv)</w:t>
            </w:r>
          </w:p>
        </w:tc>
        <w:tc>
          <w:tcPr>
            <w:tcW w:w="76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Second Amendment, dated as of March 26, 2013, to Amended and Restated Note Agreement</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10(k)(xvi)</w:t>
            </w:r>
          </w:p>
        </w:tc>
        <w:tc>
          <w:tcPr>
            <w:tcW w:w="7640" w:type="dxa"/>
            <w:vAlign w:val="bottom"/>
            <w:tcBorders>
              <w:bottom w:val="single" w:sz="8" w:color="auto"/>
            </w:tcBorders>
            <w:gridSpan w:val="3"/>
          </w:tcPr>
          <w:p>
            <w:pPr>
              <w:ind w:left="60"/>
              <w:spacing w:after="0" w:line="203" w:lineRule="exact"/>
              <w:rPr>
                <w:sz w:val="20"/>
                <w:szCs w:val="20"/>
                <w:color w:val="auto"/>
              </w:rPr>
            </w:pPr>
            <w:r>
              <w:rPr>
                <w:rFonts w:ascii="Arial" w:cs="Arial" w:eastAsia="Arial" w:hAnsi="Arial"/>
                <w:sz w:val="18"/>
                <w:szCs w:val="18"/>
                <w:color w:val="auto"/>
              </w:rPr>
              <w:t>Third Amendment, dated as of June 18, 2015, to Amended and Restated Note Agreement</w:t>
            </w:r>
          </w:p>
        </w:tc>
        <w:tc>
          <w:tcPr>
            <w:tcW w:w="13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6/24/15</w:t>
            </w:r>
          </w:p>
        </w:tc>
        <w:tc>
          <w:tcPr>
            <w:tcW w:w="0" w:type="dxa"/>
            <w:vAlign w:val="bottom"/>
          </w:tcPr>
          <w:p>
            <w:pPr>
              <w:spacing w:after="0"/>
              <w:rPr>
                <w:sz w:val="1"/>
                <w:szCs w:val="1"/>
                <w:color w:val="auto"/>
              </w:rPr>
            </w:pPr>
          </w:p>
        </w:tc>
      </w:tr>
      <w:tr>
        <w:trPr>
          <w:trHeight w:val="196"/>
        </w:trPr>
        <w:tc>
          <w:tcPr>
            <w:tcW w:w="456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Restricted Stock Units</w:t>
            </w:r>
          </w:p>
        </w:tc>
        <w:tc>
          <w:tcPr>
            <w:tcW w:w="2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10(l)(viii)</w:t>
            </w:r>
          </w:p>
        </w:tc>
        <w:tc>
          <w:tcPr>
            <w:tcW w:w="638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2011 Performance Phantom Stock Plan as adopted on May 26, 2011 (42)</w:t>
            </w: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10-Q</w:t>
            </w: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6/30/11</w:t>
            </w:r>
          </w:p>
        </w:tc>
        <w:tc>
          <w:tcPr>
            <w:tcW w:w="8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8/9/11</w:t>
            </w:r>
          </w:p>
        </w:tc>
        <w:tc>
          <w:tcPr>
            <w:tcW w:w="0" w:type="dxa"/>
            <w:vAlign w:val="bottom"/>
          </w:tcPr>
          <w:p>
            <w:pPr>
              <w:spacing w:after="0"/>
              <w:rPr>
                <w:sz w:val="1"/>
                <w:szCs w:val="1"/>
                <w:color w:val="auto"/>
              </w:rPr>
            </w:pPr>
          </w:p>
        </w:tc>
      </w:tr>
      <w:tr>
        <w:trPr>
          <w:trHeight w:val="196"/>
        </w:trPr>
        <w:tc>
          <w:tcPr>
            <w:tcW w:w="456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Stock Options</w:t>
            </w:r>
          </w:p>
        </w:tc>
        <w:tc>
          <w:tcPr>
            <w:tcW w:w="2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10(m)(i)</w:t>
            </w:r>
          </w:p>
        </w:tc>
        <w:tc>
          <w:tcPr>
            <w:tcW w:w="3700" w:type="dxa"/>
            <w:vAlign w:val="bottom"/>
          </w:tcPr>
          <w:p>
            <w:pPr>
              <w:ind w:left="60"/>
              <w:spacing w:after="0" w:line="195" w:lineRule="exact"/>
              <w:rPr>
                <w:sz w:val="20"/>
                <w:szCs w:val="20"/>
                <w:color w:val="auto"/>
              </w:rPr>
            </w:pPr>
            <w:r>
              <w:rPr>
                <w:rFonts w:ascii="Arial" w:cs="Arial" w:eastAsia="Arial" w:hAnsi="Arial"/>
                <w:sz w:val="18"/>
                <w:szCs w:val="18"/>
                <w:color w:val="auto"/>
              </w:rPr>
              <w:t>1992 Stock Option Plan</w:t>
            </w:r>
          </w:p>
        </w:tc>
        <w:tc>
          <w:tcPr>
            <w:tcW w:w="2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10(m)(ii)</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1997 Executive Stock Option Agreement</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9"/>
              </w:rPr>
              <w:t>12/31/97</w:t>
            </w: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3/16/98</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10(m)(iii)</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2011 Incentive Plan</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6/1/11</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10(m)(iv)</w:t>
            </w:r>
          </w:p>
        </w:tc>
        <w:tc>
          <w:tcPr>
            <w:tcW w:w="63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Form of 2011 Annual Performance Bonus Agreement</w:t>
            </w: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10(m)(v)</w:t>
            </w:r>
          </w:p>
        </w:tc>
        <w:tc>
          <w:tcPr>
            <w:tcW w:w="6380" w:type="dxa"/>
            <w:vAlign w:val="bottom"/>
            <w:tcBorders>
              <w:bottom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Form of 2011 Multi-Year Performance Bonus Agreement</w:t>
            </w: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696"/>
        </w:trPr>
        <w:tc>
          <w:tcPr>
            <w:tcW w:w="8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54" w:right="219" w:bottom="1440" w:gutter="0" w:footer="0" w:header="0"/>
        </w:sectPr>
      </w:pPr>
    </w:p>
    <w:bookmarkStart w:id="100" w:name="page101"/>
    <w:bookmarkEnd w:id="1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5840" w:type="dxa"/>
            <w:vAlign w:val="bottom"/>
          </w:tcPr>
          <w:p>
            <w:pPr>
              <w:spacing w:after="0"/>
              <w:rPr>
                <w:sz w:val="19"/>
                <w:szCs w:val="19"/>
                <w:color w:val="auto"/>
              </w:rPr>
            </w:pPr>
          </w:p>
        </w:tc>
        <w:tc>
          <w:tcPr>
            <w:tcW w:w="12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9"/>
              </w:rPr>
              <w:t>Filed</w:t>
            </w:r>
          </w:p>
        </w:tc>
        <w:tc>
          <w:tcPr>
            <w:tcW w:w="33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1040" w:type="dxa"/>
            <w:vAlign w:val="bottom"/>
            <w:vMerge w:val="continue"/>
          </w:tcPr>
          <w:p>
            <w:pPr>
              <w:spacing w:after="0"/>
              <w:rPr>
                <w:sz w:val="13"/>
                <w:szCs w:val="13"/>
                <w:color w:val="auto"/>
              </w:rPr>
            </w:pPr>
          </w:p>
        </w:tc>
        <w:tc>
          <w:tcPr>
            <w:tcW w:w="58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ind w:left="160"/>
              <w:spacing w:after="0" w:line="160" w:lineRule="exact"/>
              <w:rPr>
                <w:sz w:val="20"/>
                <w:szCs w:val="20"/>
                <w:color w:val="auto"/>
              </w:rPr>
            </w:pPr>
            <w:r>
              <w:rPr>
                <w:rFonts w:ascii="Arial" w:cs="Arial" w:eastAsia="Arial" w:hAnsi="Arial"/>
                <w:sz w:val="18"/>
                <w:szCs w:val="18"/>
                <w:b w:val="1"/>
                <w:bCs w:val="1"/>
                <w:color w:val="auto"/>
              </w:rPr>
              <w:t>Period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 Description</w:t>
            </w:r>
          </w:p>
        </w:tc>
        <w:tc>
          <w:tcPr>
            <w:tcW w:w="12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Ending</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96"/>
        </w:trPr>
        <w:tc>
          <w:tcPr>
            <w:tcW w:w="688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Executive Compensation</w:t>
            </w: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10(n)(i)</w:t>
            </w:r>
          </w:p>
        </w:tc>
        <w:tc>
          <w:tcPr>
            <w:tcW w:w="7080" w:type="dxa"/>
            <w:vAlign w:val="bottom"/>
            <w:gridSpan w:val="2"/>
          </w:tcPr>
          <w:p>
            <w:pPr>
              <w:ind w:left="260"/>
              <w:spacing w:after="0" w:line="195" w:lineRule="exact"/>
              <w:rPr>
                <w:sz w:val="20"/>
                <w:szCs w:val="20"/>
                <w:color w:val="auto"/>
              </w:rPr>
            </w:pPr>
            <w:r>
              <w:rPr>
                <w:rFonts w:ascii="Arial" w:cs="Arial" w:eastAsia="Arial" w:hAnsi="Arial"/>
                <w:sz w:val="18"/>
                <w:szCs w:val="18"/>
                <w:color w:val="auto"/>
              </w:rPr>
              <w:t>Supplemental Executive Retirement Plan, adopted as of January 1, 1994, as</w:t>
            </w: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6"/>
                <w:szCs w:val="16"/>
                <w:color w:val="auto"/>
              </w:rPr>
            </w:pP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January 1, 2008</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10(n)(ii)</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Annual Bonus Program</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S-1, No. 33-</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16254</w:t>
            </w: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10(n)(iii)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Executive Deferred Compensation Plan adopted September 1, 1985, as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Directors’ Deferred Compensation Plan adopted September 1, 1985, as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Deferred Compensation Plan of Albany International Corp., as amended and restated</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12/31/02</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3/21/03</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Centennial Deferred Compensation Plan, as amended and restated as of August 8,</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10(o)(iv)</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Directors’ Annual Retainer Plan, as amended and restated as of December 8, 2009</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12/23/09</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10(o)(viii)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Severance Agreement between Albany International Corp. and certain</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1/4/16</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corporate officers or key executives</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10(p)</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Code of Ethics</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10(q)</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Directors Pension Plan, amendment dated as of January 12, 2005</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10(r)</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Employment agreement, dated May 12, 2005, between the Company and Joseph G.</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Morone</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10(s)</w:t>
            </w:r>
          </w:p>
        </w:tc>
        <w:tc>
          <w:tcPr>
            <w:tcW w:w="5840" w:type="dxa"/>
            <w:vAlign w:val="bottom"/>
            <w:tcBorders>
              <w:bottom w:val="single" w:sz="8" w:color="auto"/>
            </w:tcBorders>
          </w:tcPr>
          <w:p>
            <w:pPr>
              <w:ind w:left="260"/>
              <w:spacing w:after="0" w:line="203" w:lineRule="exact"/>
              <w:rPr>
                <w:sz w:val="20"/>
                <w:szCs w:val="20"/>
                <w:color w:val="auto"/>
              </w:rPr>
            </w:pPr>
            <w:r>
              <w:rPr>
                <w:rFonts w:ascii="Arial" w:cs="Arial" w:eastAsia="Arial" w:hAnsi="Arial"/>
                <w:sz w:val="18"/>
                <w:szCs w:val="18"/>
                <w:color w:val="auto"/>
              </w:rPr>
              <w:t>Form of Indemnification Agreement</w:t>
            </w: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346"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5"/>
        </w:trPr>
        <w:tc>
          <w:tcPr>
            <w:tcW w:w="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6620" w:type="dxa"/>
            <w:vAlign w:val="bottom"/>
          </w:tcPr>
          <w:p>
            <w:pPr>
              <w:spacing w:after="0"/>
              <w:rPr>
                <w:sz w:val="19"/>
                <w:szCs w:val="19"/>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4"/>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940" w:type="dxa"/>
            <w:vAlign w:val="bottom"/>
            <w:vMerge w:val="continue"/>
          </w:tcPr>
          <w:p>
            <w:pPr>
              <w:spacing w:after="0"/>
              <w:rPr>
                <w:sz w:val="13"/>
                <w:szCs w:val="13"/>
                <w:color w:val="auto"/>
              </w:rPr>
            </w:pPr>
          </w:p>
        </w:tc>
        <w:tc>
          <w:tcPr>
            <w:tcW w:w="66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w w:val="99"/>
              </w:rPr>
              <w:t>Period</w:t>
            </w: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66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Ending</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95"/>
        </w:trPr>
        <w:tc>
          <w:tcPr>
            <w:tcW w:w="940" w:type="dxa"/>
            <w:vAlign w:val="bottom"/>
          </w:tcPr>
          <w:p>
            <w:pPr>
              <w:ind w:left="40"/>
              <w:spacing w:after="0" w:line="195" w:lineRule="exact"/>
              <w:rPr>
                <w:sz w:val="20"/>
                <w:szCs w:val="20"/>
                <w:color w:val="auto"/>
              </w:rPr>
            </w:pPr>
            <w:r>
              <w:rPr>
                <w:rFonts w:ascii="Arial" w:cs="Arial" w:eastAsia="Arial" w:hAnsi="Arial"/>
                <w:sz w:val="18"/>
                <w:szCs w:val="18"/>
                <w:color w:val="auto"/>
              </w:rPr>
              <w:t>10.1</w:t>
            </w:r>
          </w:p>
        </w:tc>
        <w:tc>
          <w:tcPr>
            <w:tcW w:w="6620" w:type="dxa"/>
            <w:vAlign w:val="bottom"/>
          </w:tcPr>
          <w:p>
            <w:pPr>
              <w:ind w:left="240"/>
              <w:spacing w:after="0" w:line="195" w:lineRule="exact"/>
              <w:rPr>
                <w:sz w:val="20"/>
                <w:szCs w:val="20"/>
                <w:color w:val="auto"/>
              </w:rPr>
            </w:pPr>
            <w:r>
              <w:rPr>
                <w:rFonts w:ascii="Arial" w:cs="Arial" w:eastAsia="Arial" w:hAnsi="Arial"/>
                <w:sz w:val="18"/>
                <w:szCs w:val="18"/>
                <w:color w:val="auto"/>
              </w:rPr>
              <w:t>Stock and Asset Purchase Agreement by and between Albany International</w:t>
            </w:r>
          </w:p>
        </w:tc>
        <w:tc>
          <w:tcPr>
            <w:tcW w:w="92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9"/>
              </w:rPr>
              <w:t>11/1/11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Corp. and ASSA ABLOY AB, dated as of October 27, 2011</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Amended and restated LLC operating agreement by and between Albany</w:t>
            </w:r>
          </w:p>
        </w:tc>
        <w:tc>
          <w:tcPr>
            <w:tcW w:w="9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2/26/14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Engineered Composites and Safran Aerospace Composites, Inc. 10% equity</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interest in ASC for $28 million</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11</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Statement of Computation of Earnings per share (provided in Footnote 8 to the</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Consolidated Financial Statements)</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Subsidiaries of Company</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23</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Consent of Independent Registered Public Accounting Firms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24</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Powers of Attorney</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31(a)</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required pursuant to Rule 13a-14(a) or Rule</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31(b)</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John B. Cozzolino required pursuant to Rule 13a-14(a) or Rule</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32(a)</w:t>
            </w: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and John B. Cozzolino required pursuant to</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Rule 13a-14(b) or Rule 15d-14(b) and Section 1350 of Chapter 63 of Title 18 of</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the United States Code</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-2202815</wp:posOffset>
            </wp:positionV>
            <wp:extent cx="7254875" cy="3764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3764915"/>
                    </a:xfrm>
                    <a:prstGeom prst="rect">
                      <a:avLst/>
                    </a:prstGeom>
                    <a:noFill/>
                  </pic:spPr>
                </pic:pic>
              </a:graphicData>
            </a:graphic>
          </wp:anchor>
        </w:drawing>
      </w:r>
    </w:p>
    <w:p>
      <w:pPr>
        <w:ind w:left="40" w:right="420"/>
        <w:spacing w:after="0" w:line="235" w:lineRule="auto"/>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2015, formatted in eXtensible Business Reporting Language (XBRL), filed herewith: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101(i)</w:t>
            </w:r>
          </w:p>
        </w:tc>
        <w:tc>
          <w:tcPr>
            <w:tcW w:w="682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Consolidated Statements of Income for the years ended December 31, 2015,</w:t>
            </w:r>
          </w:p>
        </w:tc>
        <w:tc>
          <w:tcPr>
            <w:tcW w:w="372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2014 and 2013</w:t>
            </w:r>
          </w:p>
        </w:tc>
        <w:tc>
          <w:tcPr>
            <w:tcW w:w="372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101(ii)</w:t>
            </w: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Consolidated Statements of Comprehensive Income/(Loss) for the years ended</w:t>
            </w:r>
          </w:p>
        </w:tc>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December 31, 2015, 2014, and 2013</w:t>
            </w:r>
          </w:p>
        </w:tc>
        <w:tc>
          <w:tcPr>
            <w:tcW w:w="372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101(iii)</w:t>
            </w: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Consolidated Balance Sheets as of December 31, 2015 and 2014</w:t>
            </w:r>
          </w:p>
        </w:tc>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101(iv)</w:t>
            </w: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Consolidated Statements of Cash Flows for the years ended December 31,</w:t>
            </w:r>
          </w:p>
        </w:tc>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2015, 2014, and 2013</w:t>
            </w:r>
          </w:p>
        </w:tc>
        <w:tc>
          <w:tcPr>
            <w:tcW w:w="372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101(v)</w:t>
            </w:r>
          </w:p>
        </w:tc>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X</w:t>
            </w:r>
          </w:p>
        </w:tc>
      </w:tr>
    </w:tbl>
    <w:p>
      <w:pPr>
        <w:ind w:left="40" w:right="140"/>
        <w:spacing w:after="0" w:line="246" w:lineRule="auto"/>
        <w:rPr>
          <w:sz w:val="20"/>
          <w:szCs w:val="20"/>
          <w:color w:val="auto"/>
        </w:rPr>
      </w:pPr>
      <w:r>
        <w:rPr>
          <w:rFonts w:ascii="Arial" w:cs="Arial" w:eastAsia="Arial" w:hAnsi="Arial"/>
          <w:sz w:val="18"/>
          <w:szCs w:val="18"/>
          <w:color w:val="auto"/>
        </w:rPr>
        <w:t>* 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81"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346"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26th day of February, 2016.</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ALBANY INTERNATIONAL CORP.</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John B. Cozzolino</w:t>
      </w:r>
    </w:p>
    <w:p>
      <w:pPr>
        <w:ind w:left="686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pacing w:after="0" w:line="37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72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Joseph G. Morone</w:t>
            </w:r>
          </w:p>
        </w:tc>
        <w:tc>
          <w:tcPr>
            <w:tcW w:w="240" w:type="dxa"/>
            <w:vAlign w:val="bottom"/>
          </w:tcPr>
          <w:p>
            <w:pPr>
              <w:spacing w:after="0"/>
              <w:rPr>
                <w:sz w:val="18"/>
                <w:szCs w:val="18"/>
                <w:color w:val="auto"/>
              </w:rPr>
            </w:pPr>
          </w:p>
        </w:tc>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B. Cozzolino</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3200" w:type="dxa"/>
            <w:vAlign w:val="bottom"/>
            <w:gridSpan w:val="3"/>
          </w:tcPr>
          <w:p>
            <w:pPr>
              <w:spacing w:after="0"/>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8"/>
                <w:szCs w:val="18"/>
                <w:color w:val="auto"/>
              </w:rPr>
            </w:pPr>
          </w:p>
        </w:tc>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M. Pawlick</w:t>
            </w:r>
          </w:p>
        </w:tc>
        <w:tc>
          <w:tcPr>
            <w:tcW w:w="240" w:type="dxa"/>
            <w:vAlign w:val="bottom"/>
          </w:tcPr>
          <w:p>
            <w:pPr>
              <w:spacing w:after="0"/>
              <w:rPr>
                <w:sz w:val="18"/>
                <w:szCs w:val="18"/>
                <w:color w:val="auto"/>
              </w:rPr>
            </w:pPr>
          </w:p>
        </w:tc>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(Principal Accounting Officer)</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Erland E. Kailbourne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C.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F. Cassidy, Jr.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Katharine Plourde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Edgar G. Hotard</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Scannell</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February 26, 2016</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Christine L.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*By /s/ John B. Cozzolino</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7"/>
        </w:trPr>
        <w:tc>
          <w:tcPr>
            <w:tcW w:w="32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129"/>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9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954" w:right="239" w:bottom="1440" w:gutter="0" w:footer="0" w:header="0"/>
        </w:sectPr>
      </w:pPr>
    </w:p>
    <w:bookmarkStart w:id="103" w:name="page104"/>
    <w:bookmarkEnd w:id="103"/>
    <w:p>
      <w:pPr>
        <w:ind w:left="5140"/>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ALBANY INTERNATIONAL CORP.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8"/>
              </w:rPr>
              <w:t>Column 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8"/>
              </w:rPr>
              <w:t>Column B</w:t>
            </w:r>
          </w:p>
        </w:tc>
        <w:tc>
          <w:tcPr>
            <w:tcW w:w="220" w:type="dxa"/>
            <w:vAlign w:val="bottom"/>
          </w:tcPr>
          <w:p>
            <w:pPr>
              <w:spacing w:after="0"/>
              <w:rPr>
                <w:sz w:val="17"/>
                <w:szCs w:val="17"/>
                <w:color w:val="auto"/>
              </w:rPr>
            </w:pPr>
          </w:p>
        </w:tc>
        <w:tc>
          <w:tcPr>
            <w:tcW w:w="150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8"/>
              </w:rPr>
              <w:t>Column C</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Column 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228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Description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9"/>
              </w:rPr>
              <w:t>Balance at</w:t>
            </w:r>
          </w:p>
        </w:tc>
        <w:tc>
          <w:tcPr>
            <w:tcW w:w="17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Charge to</w:t>
            </w: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Other (A)</w:t>
            </w:r>
          </w:p>
        </w:tc>
        <w:tc>
          <w:tcPr>
            <w:tcW w:w="16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gridSpan w:val="5"/>
          </w:tcPr>
          <w:p>
            <w:pPr>
              <w:jc w:val="center"/>
              <w:spacing w:after="0" w:line="182" w:lineRule="exact"/>
              <w:rPr>
                <w:sz w:val="20"/>
                <w:szCs w:val="20"/>
                <w:color w:val="auto"/>
              </w:rPr>
            </w:pPr>
            <w:r>
              <w:rPr>
                <w:rFonts w:ascii="Arial" w:cs="Arial" w:eastAsia="Arial" w:hAnsi="Arial"/>
                <w:sz w:val="18"/>
                <w:szCs w:val="18"/>
                <w:b w:val="1"/>
                <w:bCs w:val="1"/>
                <w:color w:val="auto"/>
                <w:w w:val="88"/>
              </w:rPr>
              <w:t>beginning of</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80"/>
              <w:spacing w:after="0" w:line="182" w:lineRule="exact"/>
              <w:rPr>
                <w:sz w:val="20"/>
                <w:szCs w:val="20"/>
                <w:color w:val="auto"/>
              </w:rPr>
            </w:pPr>
            <w:r>
              <w:rPr>
                <w:rFonts w:ascii="Arial" w:cs="Arial" w:eastAsia="Arial" w:hAnsi="Arial"/>
                <w:sz w:val="18"/>
                <w:szCs w:val="18"/>
                <w:b w:val="1"/>
                <w:bCs w:val="1"/>
                <w:color w:val="auto"/>
                <w:w w:val="99"/>
              </w:rPr>
              <w:t>expense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gridSpan w:val="5"/>
          </w:tcPr>
          <w:p>
            <w:pPr>
              <w:jc w:val="center"/>
              <w:spacing w:after="0" w:line="182" w:lineRule="exact"/>
              <w:rPr>
                <w:sz w:val="20"/>
                <w:szCs w:val="20"/>
                <w:color w:val="auto"/>
              </w:rPr>
            </w:pPr>
            <w:r>
              <w:rPr>
                <w:rFonts w:ascii="Arial" w:cs="Arial" w:eastAsia="Arial" w:hAnsi="Arial"/>
                <w:sz w:val="18"/>
                <w:szCs w:val="18"/>
                <w:b w:val="1"/>
                <w:bCs w:val="1"/>
                <w:color w:val="auto"/>
              </w:rPr>
              <w:t>of the period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Allowance for doubtful accounts</w:t>
            </w:r>
          </w:p>
        </w:tc>
        <w:tc>
          <w:tcPr>
            <w:tcW w:w="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280"/>
              <w:spacing w:after="0" w:line="182" w:lineRule="exact"/>
              <w:rPr>
                <w:sz w:val="20"/>
                <w:szCs w:val="20"/>
                <w:color w:val="auto"/>
              </w:rPr>
            </w:pPr>
            <w:r>
              <w:rPr>
                <w:rFonts w:ascii="Arial" w:cs="Arial" w:eastAsia="Arial" w:hAnsi="Arial"/>
                <w:sz w:val="18"/>
                <w:szCs w:val="18"/>
                <w:b w:val="1"/>
                <w:bCs w:val="1"/>
                <w:color w:val="auto"/>
              </w:rPr>
              <w:t>period</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gridSpan w:val="5"/>
            <w:vMerge w:val="continue"/>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$8,713</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$744</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($927)</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11,274</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(341)</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(2,220)</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gridSpan w:val="9"/>
          </w:tcPr>
          <w:p>
            <w:pPr>
              <w:jc w:val="right"/>
              <w:ind w:right="220"/>
              <w:spacing w:after="0"/>
              <w:rPr>
                <w:sz w:val="20"/>
                <w:szCs w:val="20"/>
                <w:color w:val="auto"/>
              </w:rPr>
            </w:pPr>
            <w:r>
              <w:rPr>
                <w:rFonts w:ascii="Arial" w:cs="Arial" w:eastAsia="Arial" w:hAnsi="Arial"/>
                <w:sz w:val="18"/>
                <w:szCs w:val="18"/>
                <w:color w:val="auto"/>
              </w:rPr>
              <w:t>11,862</w:t>
            </w:r>
          </w:p>
        </w:tc>
        <w:tc>
          <w:tcPr>
            <w:tcW w:w="1720" w:type="dxa"/>
            <w:vAlign w:val="bottom"/>
            <w:gridSpan w:val="5"/>
          </w:tcPr>
          <w:p>
            <w:pPr>
              <w:jc w:val="right"/>
              <w:ind w:right="240"/>
              <w:spacing w:after="0"/>
              <w:rPr>
                <w:sz w:val="20"/>
                <w:szCs w:val="20"/>
                <w:color w:val="auto"/>
              </w:rPr>
            </w:pPr>
            <w:r>
              <w:rPr>
                <w:rFonts w:ascii="Arial" w:cs="Arial" w:eastAsia="Arial" w:hAnsi="Arial"/>
                <w:sz w:val="18"/>
                <w:szCs w:val="18"/>
                <w:color w:val="auto"/>
              </w:rPr>
              <w:t>235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1600" w:type="dxa"/>
            <w:vAlign w:val="bottom"/>
            <w:gridSpan w:val="7"/>
          </w:tcPr>
          <w:p>
            <w:pPr>
              <w:jc w:val="right"/>
              <w:spacing w:after="0"/>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391"/>
        </w:trPr>
        <w:tc>
          <w:tcPr>
            <w:tcW w:w="3980" w:type="dxa"/>
            <w:vAlign w:val="bottom"/>
            <w:gridSpan w:val="5"/>
          </w:tcPr>
          <w:p>
            <w:pPr>
              <w:spacing w:after="0"/>
              <w:rPr>
                <w:sz w:val="20"/>
                <w:szCs w:val="20"/>
                <w:color w:val="auto"/>
              </w:rPr>
            </w:pPr>
            <w:r>
              <w:rPr>
                <w:rFonts w:ascii="Arial" w:cs="Arial" w:eastAsia="Arial" w:hAnsi="Arial"/>
                <w:sz w:val="18"/>
                <w:szCs w:val="18"/>
                <w:color w:val="auto"/>
              </w:rPr>
              <w:t>Allowance for sales returns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$17,265</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$10,640</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($13,881)</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$14,024</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22,428</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13,879</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(19,042)</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gridSpan w:val="9"/>
          </w:tcPr>
          <w:p>
            <w:pPr>
              <w:jc w:val="right"/>
              <w:ind w:right="220"/>
              <w:spacing w:after="0"/>
              <w:rPr>
                <w:sz w:val="20"/>
                <w:szCs w:val="20"/>
                <w:color w:val="auto"/>
              </w:rPr>
            </w:pPr>
            <w:r>
              <w:rPr>
                <w:rFonts w:ascii="Arial" w:cs="Arial" w:eastAsia="Arial" w:hAnsi="Arial"/>
                <w:sz w:val="18"/>
                <w:szCs w:val="18"/>
                <w:color w:val="auto"/>
              </w:rPr>
              <w:t>19,536</w:t>
            </w:r>
          </w:p>
        </w:tc>
        <w:tc>
          <w:tcPr>
            <w:tcW w:w="1720" w:type="dxa"/>
            <w:vAlign w:val="bottom"/>
            <w:gridSpan w:val="5"/>
          </w:tcPr>
          <w:p>
            <w:pPr>
              <w:jc w:val="right"/>
              <w:ind w:right="240"/>
              <w:spacing w:after="0"/>
              <w:rPr>
                <w:sz w:val="20"/>
                <w:szCs w:val="20"/>
                <w:color w:val="auto"/>
              </w:rPr>
            </w:pPr>
            <w:r>
              <w:rPr>
                <w:rFonts w:ascii="Arial" w:cs="Arial" w:eastAsia="Arial" w:hAnsi="Arial"/>
                <w:sz w:val="18"/>
                <w:szCs w:val="18"/>
                <w:color w:val="auto"/>
              </w:rPr>
              <w:t>25,013</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(22,121)</w:t>
            </w:r>
          </w:p>
        </w:tc>
        <w:tc>
          <w:tcPr>
            <w:tcW w:w="1600" w:type="dxa"/>
            <w:vAlign w:val="bottom"/>
            <w:gridSpan w:val="7"/>
          </w:tcPr>
          <w:p>
            <w:pPr>
              <w:jc w:val="right"/>
              <w:spacing w:after="0"/>
              <w:rPr>
                <w:sz w:val="20"/>
                <w:szCs w:val="20"/>
                <w:color w:val="auto"/>
              </w:rPr>
            </w:pPr>
            <w:r>
              <w:rPr>
                <w:rFonts w:ascii="Arial" w:cs="Arial" w:eastAsia="Arial" w:hAnsi="Arial"/>
                <w:sz w:val="18"/>
                <w:szCs w:val="18"/>
                <w:color w:val="auto"/>
              </w:rPr>
              <w:t>22,428</w:t>
            </w:r>
          </w:p>
        </w:tc>
        <w:tc>
          <w:tcPr>
            <w:tcW w:w="0" w:type="dxa"/>
            <w:vAlign w:val="bottom"/>
          </w:tcPr>
          <w:p>
            <w:pPr>
              <w:spacing w:after="0"/>
              <w:rPr>
                <w:sz w:val="1"/>
                <w:szCs w:val="1"/>
                <w:color w:val="auto"/>
              </w:rPr>
            </w:pPr>
          </w:p>
        </w:tc>
      </w:tr>
      <w:tr>
        <w:trPr>
          <w:trHeight w:val="391"/>
        </w:trPr>
        <w:tc>
          <w:tcPr>
            <w:tcW w:w="3980" w:type="dxa"/>
            <w:vAlign w:val="bottom"/>
            <w:gridSpan w:val="5"/>
          </w:tcPr>
          <w:p>
            <w:pPr>
              <w:spacing w:after="0"/>
              <w:rPr>
                <w:sz w:val="20"/>
                <w:szCs w:val="20"/>
                <w:color w:val="auto"/>
              </w:rPr>
            </w:pPr>
            <w:r>
              <w:rPr>
                <w:rFonts w:ascii="Arial" w:cs="Arial" w:eastAsia="Arial" w:hAnsi="Arial"/>
                <w:sz w:val="18"/>
                <w:szCs w:val="18"/>
                <w:color w:val="auto"/>
              </w:rPr>
              <w:t>Valuation allowance deferred tax assets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$21,860</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$75</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$2,504</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9"/>
          </w:tcPr>
          <w:p>
            <w:pPr>
              <w:jc w:val="right"/>
              <w:ind w:right="220"/>
              <w:spacing w:after="0" w:line="202" w:lineRule="exact"/>
              <w:rPr>
                <w:sz w:val="20"/>
                <w:szCs w:val="20"/>
                <w:color w:val="auto"/>
              </w:rPr>
            </w:pPr>
            <w:r>
              <w:rPr>
                <w:rFonts w:ascii="Arial" w:cs="Arial" w:eastAsia="Arial" w:hAnsi="Arial"/>
                <w:sz w:val="18"/>
                <w:szCs w:val="18"/>
                <w:color w:val="auto"/>
              </w:rPr>
              <w:t>49,987</w:t>
            </w:r>
          </w:p>
        </w:tc>
        <w:tc>
          <w:tcPr>
            <w:tcW w:w="17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(3,347)</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(24,780)</w:t>
            </w:r>
          </w:p>
        </w:tc>
        <w:tc>
          <w:tcPr>
            <w:tcW w:w="160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gridSpan w:val="9"/>
          </w:tcPr>
          <w:p>
            <w:pPr>
              <w:jc w:val="right"/>
              <w:ind w:right="220"/>
              <w:spacing w:after="0"/>
              <w:rPr>
                <w:sz w:val="20"/>
                <w:szCs w:val="20"/>
                <w:color w:val="auto"/>
              </w:rPr>
            </w:pPr>
            <w:r>
              <w:rPr>
                <w:rFonts w:ascii="Arial" w:cs="Arial" w:eastAsia="Arial" w:hAnsi="Arial"/>
                <w:sz w:val="18"/>
                <w:szCs w:val="18"/>
                <w:color w:val="auto"/>
              </w:rPr>
              <w:t>60,348</w:t>
            </w:r>
          </w:p>
        </w:tc>
        <w:tc>
          <w:tcPr>
            <w:tcW w:w="1720" w:type="dxa"/>
            <w:vAlign w:val="bottom"/>
            <w:gridSpan w:val="5"/>
          </w:tcPr>
          <w:p>
            <w:pPr>
              <w:jc w:val="right"/>
              <w:ind w:right="240"/>
              <w:spacing w:after="0"/>
              <w:rPr>
                <w:sz w:val="20"/>
                <w:szCs w:val="20"/>
                <w:color w:val="auto"/>
              </w:rPr>
            </w:pPr>
            <w:r>
              <w:rPr>
                <w:rFonts w:ascii="Arial" w:cs="Arial" w:eastAsia="Arial" w:hAnsi="Arial"/>
                <w:sz w:val="18"/>
                <w:szCs w:val="18"/>
                <w:color w:val="auto"/>
              </w:rPr>
              <w:t>(8,795)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(1,566)</w:t>
            </w:r>
          </w:p>
        </w:tc>
        <w:tc>
          <w:tcPr>
            <w:tcW w:w="1600" w:type="dxa"/>
            <w:vAlign w:val="bottom"/>
            <w:gridSpan w:val="7"/>
          </w:tcPr>
          <w:p>
            <w:pPr>
              <w:jc w:val="right"/>
              <w:spacing w:after="0"/>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 Department</w:t>
      </w:r>
    </w:p>
    <w:p>
      <w:pPr>
        <w:ind w:left="660"/>
        <w:spacing w:after="0" w:line="234" w:lineRule="auto"/>
        <w:rPr>
          <w:sz w:val="20"/>
          <w:szCs w:val="20"/>
          <w:color w:val="auto"/>
        </w:rPr>
      </w:pPr>
      <w:r>
        <w:rPr>
          <w:rFonts w:ascii="Arial" w:cs="Arial" w:eastAsia="Arial" w:hAnsi="Arial"/>
          <w:sz w:val="18"/>
          <w:szCs w:val="18"/>
          <w:color w:val="auto"/>
        </w:rPr>
        <w:t>Albany International Corp.</w:t>
      </w:r>
    </w:p>
    <w:p>
      <w:pPr>
        <w:ind w:left="660"/>
        <w:spacing w:after="0" w:line="235" w:lineRule="auto"/>
        <w:rPr>
          <w:sz w:val="20"/>
          <w:szCs w:val="20"/>
          <w:color w:val="auto"/>
        </w:rPr>
      </w:pPr>
      <w:r>
        <w:rPr>
          <w:rFonts w:ascii="Arial" w:cs="Arial" w:eastAsia="Arial" w:hAnsi="Arial"/>
          <w:sz w:val="18"/>
          <w:szCs w:val="18"/>
          <w:color w:val="auto"/>
        </w:rPr>
        <w:t>216 Airport Drive</w:t>
      </w:r>
    </w:p>
    <w:p>
      <w:pPr>
        <w:ind w:left="660"/>
        <w:spacing w:after="0" w:line="235" w:lineRule="auto"/>
        <w:rPr>
          <w:sz w:val="20"/>
          <w:szCs w:val="20"/>
          <w:color w:val="auto"/>
        </w:rPr>
      </w:pPr>
      <w:r>
        <w:rPr>
          <w:rFonts w:ascii="Arial" w:cs="Arial" w:eastAsia="Arial" w:hAnsi="Arial"/>
          <w:sz w:val="18"/>
          <w:szCs w:val="18"/>
          <w:color w:val="auto"/>
        </w:rPr>
        <w:t>Rochester, NH 03867</w:t>
      </w:r>
    </w:p>
    <w:p>
      <w:pPr>
        <w:ind w:left="660"/>
        <w:spacing w:after="0" w:line="235" w:lineRule="auto"/>
        <w:rPr>
          <w:sz w:val="20"/>
          <w:szCs w:val="20"/>
          <w:color w:val="auto"/>
        </w:rPr>
      </w:pPr>
      <w:r>
        <w:rPr>
          <w:rFonts w:ascii="Arial" w:cs="Arial" w:eastAsia="Arial" w:hAnsi="Arial"/>
          <w:sz w:val="18"/>
          <w:szCs w:val="18"/>
          <w:color w:val="auto"/>
        </w:rPr>
        <w:t>Telephone: (603) 330-5850</w:t>
      </w:r>
    </w:p>
    <w:p>
      <w:pPr>
        <w:ind w:left="660"/>
        <w:spacing w:after="0" w:line="235" w:lineRule="auto"/>
        <w:rPr>
          <w:sz w:val="20"/>
          <w:szCs w:val="20"/>
          <w:color w:val="auto"/>
        </w:rPr>
      </w:pPr>
      <w:r>
        <w:rPr>
          <w:rFonts w:ascii="Arial" w:cs="Arial" w:eastAsia="Arial" w:hAnsi="Arial"/>
          <w:sz w:val="18"/>
          <w:szCs w:val="18"/>
          <w:color w:val="auto"/>
        </w:rPr>
        <w:t>Fax: (603) 994-3974</w:t>
      </w:r>
    </w:p>
    <w:p>
      <w:pPr>
        <w:ind w:left="660"/>
        <w:spacing w:after="0"/>
        <w:rPr>
          <w:sz w:val="20"/>
          <w:szCs w:val="20"/>
          <w:color w:val="auto"/>
        </w:rPr>
      </w:pPr>
      <w:r>
        <w:rPr>
          <w:rFonts w:ascii="Arial" w:cs="Arial" w:eastAsia="Arial" w:hAnsi="Arial"/>
          <w:sz w:val="18"/>
          <w:szCs w:val="18"/>
          <w:color w:val="auto"/>
        </w:rPr>
        <w:t>E-mail: investor.relations@albint.com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ind w:left="660"/>
        <w:spacing w:after="0" w:line="234" w:lineRule="auto"/>
        <w:rPr>
          <w:sz w:val="20"/>
          <w:szCs w:val="20"/>
          <w:color w:val="auto"/>
        </w:rPr>
      </w:pPr>
      <w:r>
        <w:rPr>
          <w:rFonts w:ascii="Arial" w:cs="Arial" w:eastAsia="Arial" w:hAnsi="Arial"/>
          <w:sz w:val="18"/>
          <w:szCs w:val="18"/>
          <w:color w:val="auto"/>
        </w:rPr>
        <w:t>P.O. Box 30170</w:t>
      </w:r>
    </w:p>
    <w:p>
      <w:pPr>
        <w:ind w:left="660"/>
        <w:spacing w:after="0" w:line="235" w:lineRule="auto"/>
        <w:rPr>
          <w:sz w:val="20"/>
          <w:szCs w:val="20"/>
          <w:color w:val="auto"/>
        </w:rPr>
      </w:pPr>
      <w:r>
        <w:rPr>
          <w:rFonts w:ascii="Arial" w:cs="Arial" w:eastAsia="Arial" w:hAnsi="Arial"/>
          <w:sz w:val="18"/>
          <w:szCs w:val="18"/>
          <w:color w:val="auto"/>
        </w:rPr>
        <w:t>College Station, TX 77842-3170</w:t>
      </w:r>
    </w:p>
    <w:p>
      <w:pPr>
        <w:ind w:left="66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71"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70"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of name and/or address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Consolidation of accounts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Duplicate mailings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reinvestment enrollment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Lost stock certificates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of stock to another person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administrative services</w:t>
      </w:r>
    </w:p>
    <w:p>
      <w:pPr>
        <w:spacing w:after="0" w:line="167" w:lineRule="exact"/>
        <w:rPr>
          <w:sz w:val="20"/>
          <w:szCs w:val="20"/>
          <w:color w:val="auto"/>
        </w:rPr>
      </w:pPr>
    </w:p>
    <w:p>
      <w:pPr>
        <w:ind w:right="1720" w:firstLine="648"/>
        <w:spacing w:after="0" w:line="267" w:lineRule="auto"/>
        <w:rPr>
          <w:sz w:val="20"/>
          <w:szCs w:val="20"/>
          <w:color w:val="auto"/>
        </w:rPr>
      </w:pPr>
      <w:r>
        <w:rPr>
          <w:rFonts w:ascii="Arial" w:cs="Arial" w:eastAsia="Arial" w:hAnsi="Arial"/>
          <w:sz w:val="18"/>
          <w:szCs w:val="18"/>
          <w:i w:val="1"/>
          <w:iCs w:val="1"/>
          <w:color w:val="auto"/>
        </w:rPr>
        <w:t xml:space="preserve">Access your investor statements online 24 hours a day, 7 days a week with MLinkSM. For more information, go to </w:t>
      </w:r>
      <w:r>
        <w:rPr>
          <w:rFonts w:ascii="Arial" w:cs="Arial" w:eastAsia="Arial" w:hAnsi="Arial"/>
          <w:sz w:val="18"/>
          <w:szCs w:val="18"/>
          <w:i w:val="1"/>
          <w:iCs w:val="1"/>
          <w:u w:val="single" w:color="auto"/>
          <w:color w:val="auto"/>
        </w:rPr>
        <w:t>www.computershare.com/investor</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07"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Annual Meeting of the Company’s shareholders is scheduled to be held on Friday, May 13, 2016 at 9:00 a.m. at The One Hundred Club, 100 Market Street, Suite 500, Portsmouth, New Hampshire 03801.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Equal Employment Opportunity</w:t>
      </w:r>
    </w:p>
    <w:p>
      <w:pPr>
        <w:spacing w:after="0" w:line="20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0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INLINE, KRAFTLINE, PRINTLINE, HYDROCROSS, SEAM HYDROCROSS, SEAMPLANE, Seam KMX, SPRING, VENTABELT EVM, VENTABELT XTS, TRANSBELT GX, SPIRALTOP, AEROPULSE, AEROPOINT, DURASPIRAL, TOPSTAT, SUPRASTAT and NOVALACE are all are trade names of Albany International Corp.</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5100" w:type="dxa"/>
            <w:vAlign w:val="bottom"/>
          </w:tcPr>
          <w:p>
            <w:pPr>
              <w:spacing w:after="0"/>
              <w:rPr>
                <w:sz w:val="20"/>
                <w:szCs w:val="20"/>
                <w:color w:val="auto"/>
              </w:rPr>
            </w:pPr>
          </w:p>
        </w:tc>
      </w:tr>
      <w:tr>
        <w:trPr>
          <w:trHeight w:val="404"/>
        </w:trPr>
        <w:tc>
          <w:tcPr>
            <w:tcW w:w="48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5100" w:type="dxa"/>
            <w:vAlign w:val="bottom"/>
          </w:tcPr>
          <w:p>
            <w:pPr>
              <w:spacing w:after="0"/>
              <w:rPr>
                <w:sz w:val="24"/>
                <w:szCs w:val="24"/>
                <w:color w:val="auto"/>
              </w:rPr>
            </w:pPr>
          </w:p>
        </w:tc>
      </w:tr>
      <w:tr>
        <w:trPr>
          <w:trHeight w:val="243"/>
        </w:trPr>
        <w:tc>
          <w:tcPr>
            <w:tcW w:w="4880" w:type="dxa"/>
            <w:vAlign w:val="bottom"/>
          </w:tcPr>
          <w:p>
            <w:pPr>
              <w:spacing w:after="0" w:line="243" w:lineRule="exact"/>
              <w:rPr>
                <w:sz w:val="20"/>
                <w:szCs w:val="20"/>
                <w:color w:val="auto"/>
              </w:rPr>
            </w:pPr>
            <w:r>
              <w:rPr>
                <w:rFonts w:ascii="Arial" w:cs="Arial" w:eastAsia="Arial" w:hAnsi="Arial"/>
                <w:sz w:val="17"/>
                <w:szCs w:val="17"/>
                <w:color w:val="auto"/>
              </w:rPr>
              <w:t>Erland E. Kailbourne, Chairman</w:t>
            </w:r>
            <w:r>
              <w:rPr>
                <w:rFonts w:ascii="Arial" w:cs="Arial" w:eastAsia="Arial" w:hAnsi="Arial"/>
                <w:sz w:val="28"/>
                <w:szCs w:val="28"/>
                <w:color w:val="auto"/>
                <w:vertAlign w:val="superscript"/>
              </w:rPr>
              <w:t>1</w:t>
            </w:r>
          </w:p>
        </w:tc>
        <w:tc>
          <w:tcPr>
            <w:tcW w:w="5100" w:type="dxa"/>
            <w:vAlign w:val="bottom"/>
          </w:tcPr>
          <w:p>
            <w:pPr>
              <w:ind w:left="720"/>
              <w:spacing w:after="0" w:line="243" w:lineRule="exact"/>
              <w:rPr>
                <w:sz w:val="20"/>
                <w:szCs w:val="20"/>
                <w:color w:val="auto"/>
              </w:rPr>
            </w:pPr>
            <w:r>
              <w:rPr>
                <w:rFonts w:ascii="Arial" w:cs="Arial" w:eastAsia="Arial" w:hAnsi="Arial"/>
                <w:sz w:val="17"/>
                <w:szCs w:val="17"/>
                <w:color w:val="auto"/>
              </w:rPr>
              <w:t>Edgar G. Hotard</w:t>
            </w:r>
            <w:r>
              <w:rPr>
                <w:rFonts w:ascii="Arial" w:cs="Arial" w:eastAsia="Arial" w:hAnsi="Arial"/>
                <w:sz w:val="28"/>
                <w:szCs w:val="28"/>
                <w:color w:val="auto"/>
                <w:vertAlign w:val="superscript"/>
              </w:rPr>
              <w:t>1,3</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Retired – Chairman and Chief Executive Officer,</w:t>
            </w: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rPr>
              <w:t>Operating Partner - HAO Capital</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Fleet National Bank (New York Region)</w:t>
            </w:r>
          </w:p>
        </w:tc>
        <w:tc>
          <w:tcPr>
            <w:tcW w:w="5100" w:type="dxa"/>
            <w:vAlign w:val="bottom"/>
          </w:tcPr>
          <w:p>
            <w:pPr>
              <w:spacing w:after="0"/>
              <w:rPr>
                <w:sz w:val="18"/>
                <w:szCs w:val="18"/>
                <w:color w:val="auto"/>
              </w:rPr>
            </w:pPr>
          </w:p>
        </w:tc>
      </w:tr>
      <w:tr>
        <w:trPr>
          <w:trHeight w:val="431"/>
        </w:trPr>
        <w:tc>
          <w:tcPr>
            <w:tcW w:w="4880" w:type="dxa"/>
            <w:vAlign w:val="bottom"/>
          </w:tcPr>
          <w:p>
            <w:pPr>
              <w:spacing w:after="0"/>
              <w:rPr>
                <w:sz w:val="20"/>
                <w:szCs w:val="20"/>
                <w:color w:val="auto"/>
              </w:rPr>
            </w:pPr>
            <w:r>
              <w:rPr>
                <w:rFonts w:ascii="Arial" w:cs="Arial" w:eastAsia="Arial" w:hAnsi="Arial"/>
                <w:sz w:val="18"/>
                <w:szCs w:val="18"/>
                <w:color w:val="auto"/>
              </w:rPr>
              <w:t>John C. Standish,</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Vice Chairman</w:t>
            </w:r>
          </w:p>
        </w:tc>
        <w:tc>
          <w:tcPr>
            <w:tcW w:w="5100" w:type="dxa"/>
            <w:vAlign w:val="bottom"/>
          </w:tcPr>
          <w:p>
            <w:pPr>
              <w:ind w:left="720"/>
              <w:spacing w:after="0"/>
              <w:rPr>
                <w:sz w:val="20"/>
                <w:szCs w:val="20"/>
                <w:color w:val="auto"/>
              </w:rPr>
            </w:pPr>
            <w:r>
              <w:rPr>
                <w:rFonts w:ascii="Arial" w:cs="Arial" w:eastAsia="Arial" w:hAnsi="Arial"/>
                <w:sz w:val="18"/>
                <w:szCs w:val="18"/>
                <w:color w:val="auto"/>
              </w:rPr>
              <w:t>Joseph G. Morone</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President, J.S. Standish Company</w:t>
            </w:r>
          </w:p>
        </w:tc>
        <w:tc>
          <w:tcPr>
            <w:tcW w:w="5100" w:type="dxa"/>
            <w:vAlign w:val="bottom"/>
          </w:tcPr>
          <w:p>
            <w:pPr>
              <w:ind w:left="720"/>
              <w:spacing w:after="0"/>
              <w:rPr>
                <w:sz w:val="20"/>
                <w:szCs w:val="20"/>
                <w:color w:val="auto"/>
              </w:rPr>
            </w:pPr>
            <w:r>
              <w:rPr>
                <w:rFonts w:ascii="Arial" w:cs="Arial" w:eastAsia="Arial" w:hAnsi="Arial"/>
                <w:sz w:val="18"/>
                <w:szCs w:val="18"/>
                <w:color w:val="auto"/>
              </w:rPr>
              <w:t>President and Chief Executive Officer</w:t>
            </w:r>
          </w:p>
        </w:tc>
      </w:tr>
      <w:tr>
        <w:trPr>
          <w:trHeight w:val="431"/>
        </w:trPr>
        <w:tc>
          <w:tcPr>
            <w:tcW w:w="4880" w:type="dxa"/>
            <w:vAlign w:val="bottom"/>
          </w:tcPr>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30"/>
                <w:szCs w:val="30"/>
                <w:color w:val="auto"/>
                <w:vertAlign w:val="superscript"/>
              </w:rPr>
              <w:t>2</w:t>
            </w:r>
          </w:p>
        </w:tc>
        <w:tc>
          <w:tcPr>
            <w:tcW w:w="5100" w:type="dxa"/>
            <w:vAlign w:val="bottom"/>
          </w:tcPr>
          <w:p>
            <w:pPr>
              <w:ind w:left="720"/>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30"/>
                <w:szCs w:val="30"/>
                <w:color w:val="auto"/>
                <w:vertAlign w:val="superscript"/>
              </w:rPr>
              <w:t>3</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Retired – Senior Vice President,</w:t>
            </w: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rPr>
              <w:t>Chairperson, J.S. Standish Company</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Science and Technology, United Technologies Corp.</w:t>
            </w:r>
          </w:p>
        </w:tc>
        <w:tc>
          <w:tcPr>
            <w:tcW w:w="5100" w:type="dxa"/>
            <w:vAlign w:val="bottom"/>
          </w:tcPr>
          <w:p>
            <w:pPr>
              <w:spacing w:after="0"/>
              <w:rPr>
                <w:sz w:val="18"/>
                <w:szCs w:val="18"/>
                <w:color w:val="auto"/>
              </w:rPr>
            </w:pPr>
          </w:p>
        </w:tc>
      </w:tr>
      <w:tr>
        <w:trPr>
          <w:trHeight w:val="445"/>
        </w:trPr>
        <w:tc>
          <w:tcPr>
            <w:tcW w:w="4880" w:type="dxa"/>
            <w:vAlign w:val="bottom"/>
          </w:tcPr>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30"/>
                <w:szCs w:val="30"/>
                <w:color w:val="auto"/>
                <w:vertAlign w:val="superscript"/>
              </w:rPr>
              <w:t>1,3</w:t>
            </w:r>
          </w:p>
        </w:tc>
        <w:tc>
          <w:tcPr>
            <w:tcW w:w="5100" w:type="dxa"/>
            <w:vAlign w:val="bottom"/>
          </w:tcPr>
          <w:p>
            <w:pPr>
              <w:ind w:left="720"/>
              <w:spacing w:after="0"/>
              <w:rPr>
                <w:sz w:val="20"/>
                <w:szCs w:val="20"/>
                <w:color w:val="auto"/>
              </w:rPr>
            </w:pPr>
            <w:r>
              <w:rPr>
                <w:rFonts w:ascii="Arial" w:cs="Arial" w:eastAsia="Arial" w:hAnsi="Arial"/>
                <w:sz w:val="18"/>
                <w:szCs w:val="18"/>
                <w:color w:val="auto"/>
              </w:rPr>
              <w:t>John R. Scannell</w:t>
            </w:r>
            <w:r>
              <w:rPr>
                <w:rFonts w:ascii="Arial" w:cs="Arial" w:eastAsia="Arial" w:hAnsi="Arial"/>
                <w:sz w:val="30"/>
                <w:szCs w:val="30"/>
                <w:color w:val="auto"/>
                <w:vertAlign w:val="superscript"/>
              </w:rPr>
              <w:t>2</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Retired- Principal and Analyst,</w:t>
            </w: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rPr>
              <w:t>Chairman and Chief Executive Officer, Moog Inc.</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Donaldson, Lufkin &amp; Jenrette, Inc.</w:t>
            </w:r>
          </w:p>
        </w:tc>
        <w:tc>
          <w:tcPr>
            <w:tcW w:w="5100" w:type="dxa"/>
            <w:vAlign w:val="bottom"/>
          </w:tcPr>
          <w:p>
            <w:pPr>
              <w:spacing w:after="0"/>
              <w:rPr>
                <w:sz w:val="18"/>
                <w:szCs w:val="18"/>
                <w:color w:val="auto"/>
              </w:rPr>
            </w:pPr>
          </w:p>
        </w:tc>
      </w:tr>
      <w:tr>
        <w:trPr>
          <w:trHeight w:val="404"/>
        </w:trPr>
        <w:tc>
          <w:tcPr>
            <w:tcW w:w="4880" w:type="dxa"/>
            <w:vAlign w:val="bottom"/>
          </w:tcPr>
          <w:p>
            <w:pPr>
              <w:spacing w:after="0"/>
              <w:rPr>
                <w:sz w:val="24"/>
                <w:szCs w:val="24"/>
                <w:color w:val="auto"/>
              </w:rPr>
            </w:pPr>
          </w:p>
        </w:tc>
        <w:tc>
          <w:tcPr>
            <w:tcW w:w="5100" w:type="dxa"/>
            <w:vAlign w:val="bottom"/>
          </w:tcPr>
          <w:p>
            <w:pPr>
              <w:ind w:left="720"/>
              <w:spacing w:after="0"/>
              <w:rPr>
                <w:sz w:val="20"/>
                <w:szCs w:val="20"/>
                <w:color w:val="auto"/>
              </w:rPr>
            </w:pPr>
            <w:r>
              <w:rPr>
                <w:rFonts w:ascii="Arial" w:cs="Arial" w:eastAsia="Arial" w:hAnsi="Arial"/>
                <w:sz w:val="18"/>
                <w:szCs w:val="18"/>
                <w:color w:val="auto"/>
              </w:rPr>
              <w:t>¹ Member, Audit Committee</w:t>
            </w:r>
          </w:p>
        </w:tc>
      </w:tr>
      <w:tr>
        <w:trPr>
          <w:trHeight w:val="203"/>
        </w:trPr>
        <w:tc>
          <w:tcPr>
            <w:tcW w:w="4880" w:type="dxa"/>
            <w:vAlign w:val="bottom"/>
          </w:tcPr>
          <w:p>
            <w:pPr>
              <w:spacing w:after="0"/>
              <w:rPr>
                <w:sz w:val="17"/>
                <w:szCs w:val="17"/>
                <w:color w:val="auto"/>
              </w:rPr>
            </w:pP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rPr>
              <w:t>² Member, Compensation Committee</w:t>
            </w:r>
          </w:p>
        </w:tc>
      </w:tr>
      <w:tr>
        <w:trPr>
          <w:trHeight w:val="217"/>
        </w:trPr>
        <w:tc>
          <w:tcPr>
            <w:tcW w:w="4880" w:type="dxa"/>
            <w:vAlign w:val="bottom"/>
          </w:tcPr>
          <w:p>
            <w:pPr>
              <w:spacing w:after="0"/>
              <w:rPr>
                <w:sz w:val="18"/>
                <w:szCs w:val="18"/>
                <w:color w:val="auto"/>
              </w:rPr>
            </w:pPr>
          </w:p>
        </w:tc>
        <w:tc>
          <w:tcPr>
            <w:tcW w:w="5100" w:type="dxa"/>
            <w:vAlign w:val="bottom"/>
          </w:tcPr>
          <w:p>
            <w:pPr>
              <w:ind w:left="720"/>
              <w:spacing w:after="0"/>
              <w:rPr>
                <w:sz w:val="20"/>
                <w:szCs w:val="20"/>
                <w:color w:val="auto"/>
              </w:rPr>
            </w:pPr>
            <w:r>
              <w:rPr>
                <w:rFonts w:ascii="Arial" w:cs="Arial" w:eastAsia="Arial" w:hAnsi="Arial"/>
                <w:sz w:val="18"/>
                <w:szCs w:val="18"/>
                <w:color w:val="auto"/>
              </w:rPr>
              <w:t>³ Member, Governance Committee</w:t>
            </w:r>
          </w:p>
        </w:tc>
      </w:tr>
      <w:tr>
        <w:trPr>
          <w:trHeight w:val="391"/>
        </w:trPr>
        <w:tc>
          <w:tcPr>
            <w:tcW w:w="488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5100" w:type="dxa"/>
            <w:vAlign w:val="bottom"/>
          </w:tcPr>
          <w:p>
            <w:pPr>
              <w:spacing w:after="0"/>
              <w:rPr>
                <w:sz w:val="24"/>
                <w:szCs w:val="24"/>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Joseph G. Morone</w:t>
            </w: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rPr>
              <w:t>John B. Cozzolino</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100" w:type="dxa"/>
            <w:vAlign w:val="bottom"/>
          </w:tcPr>
          <w:p>
            <w:pPr>
              <w:ind w:left="720"/>
              <w:spacing w:after="0"/>
              <w:rPr>
                <w:sz w:val="20"/>
                <w:szCs w:val="20"/>
                <w:color w:val="auto"/>
              </w:rPr>
            </w:pPr>
            <w:r>
              <w:rPr>
                <w:rFonts w:ascii="Arial" w:cs="Arial" w:eastAsia="Arial" w:hAnsi="Arial"/>
                <w:sz w:val="18"/>
                <w:szCs w:val="18"/>
                <w:color w:val="auto"/>
              </w:rPr>
              <w:t>Chief Financial Officer and Treasurer</w:t>
            </w:r>
          </w:p>
        </w:tc>
      </w:tr>
      <w:tr>
        <w:trPr>
          <w:trHeight w:val="391"/>
        </w:trPr>
        <w:tc>
          <w:tcPr>
            <w:tcW w:w="4880" w:type="dxa"/>
            <w:vAlign w:val="bottom"/>
          </w:tcPr>
          <w:p>
            <w:pPr>
              <w:spacing w:after="0"/>
              <w:rPr>
                <w:sz w:val="20"/>
                <w:szCs w:val="20"/>
                <w:color w:val="auto"/>
              </w:rPr>
            </w:pPr>
            <w:r>
              <w:rPr>
                <w:rFonts w:ascii="Arial" w:cs="Arial" w:eastAsia="Arial" w:hAnsi="Arial"/>
                <w:sz w:val="18"/>
                <w:szCs w:val="18"/>
                <w:color w:val="auto"/>
              </w:rPr>
              <w:t>Diane M. Loudon</w:t>
            </w:r>
          </w:p>
        </w:tc>
        <w:tc>
          <w:tcPr>
            <w:tcW w:w="5100" w:type="dxa"/>
            <w:vAlign w:val="bottom"/>
          </w:tcPr>
          <w:p>
            <w:pPr>
              <w:ind w:left="720"/>
              <w:spacing w:after="0"/>
              <w:rPr>
                <w:sz w:val="20"/>
                <w:szCs w:val="20"/>
                <w:color w:val="auto"/>
              </w:rPr>
            </w:pPr>
            <w:r>
              <w:rPr>
                <w:rFonts w:ascii="Arial" w:cs="Arial" w:eastAsia="Arial" w:hAnsi="Arial"/>
                <w:sz w:val="18"/>
                <w:szCs w:val="18"/>
                <w:color w:val="auto"/>
              </w:rPr>
              <w:t>David M. Pawlick</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President – Albany Engineered Composites</w:t>
            </w:r>
          </w:p>
        </w:tc>
        <w:tc>
          <w:tcPr>
            <w:tcW w:w="5100" w:type="dxa"/>
            <w:vAlign w:val="bottom"/>
          </w:tcPr>
          <w:p>
            <w:pPr>
              <w:ind w:left="720"/>
              <w:spacing w:after="0"/>
              <w:rPr>
                <w:sz w:val="20"/>
                <w:szCs w:val="20"/>
                <w:color w:val="auto"/>
              </w:rPr>
            </w:pPr>
            <w:r>
              <w:rPr>
                <w:rFonts w:ascii="Arial" w:cs="Arial" w:eastAsia="Arial" w:hAnsi="Arial"/>
                <w:sz w:val="18"/>
                <w:szCs w:val="18"/>
                <w:color w:val="auto"/>
              </w:rPr>
              <w:t>Vice President – Controller</w:t>
            </w:r>
          </w:p>
        </w:tc>
      </w:tr>
      <w:tr>
        <w:trPr>
          <w:trHeight w:val="404"/>
        </w:trPr>
        <w:tc>
          <w:tcPr>
            <w:tcW w:w="4880" w:type="dxa"/>
            <w:vAlign w:val="bottom"/>
          </w:tcPr>
          <w:p>
            <w:pPr>
              <w:spacing w:after="0"/>
              <w:rPr>
                <w:sz w:val="20"/>
                <w:szCs w:val="20"/>
                <w:color w:val="auto"/>
              </w:rPr>
            </w:pPr>
            <w:r>
              <w:rPr>
                <w:rFonts w:ascii="Arial" w:cs="Arial" w:eastAsia="Arial" w:hAnsi="Arial"/>
                <w:sz w:val="18"/>
                <w:szCs w:val="18"/>
                <w:color w:val="auto"/>
              </w:rPr>
              <w:t>Daniel A. Halftermeyer</w:t>
            </w:r>
          </w:p>
        </w:tc>
        <w:tc>
          <w:tcPr>
            <w:tcW w:w="5100" w:type="dxa"/>
            <w:vAlign w:val="bottom"/>
          </w:tcPr>
          <w:p>
            <w:pPr>
              <w:ind w:left="720"/>
              <w:spacing w:after="0"/>
              <w:rPr>
                <w:sz w:val="20"/>
                <w:szCs w:val="20"/>
                <w:color w:val="auto"/>
              </w:rPr>
            </w:pPr>
            <w:r>
              <w:rPr>
                <w:rFonts w:ascii="Arial" w:cs="Arial" w:eastAsia="Arial" w:hAnsi="Arial"/>
                <w:sz w:val="18"/>
                <w:szCs w:val="18"/>
                <w:color w:val="auto"/>
              </w:rPr>
              <w:t>Charles J. Silva, Jr.</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President – Machine Clothing</w:t>
            </w:r>
          </w:p>
        </w:tc>
        <w:tc>
          <w:tcPr>
            <w:tcW w:w="5100" w:type="dxa"/>
            <w:vAlign w:val="bottom"/>
          </w:tcPr>
          <w:p>
            <w:pPr>
              <w:ind w:left="720"/>
              <w:spacing w:after="0"/>
              <w:rPr>
                <w:sz w:val="20"/>
                <w:szCs w:val="20"/>
                <w:color w:val="auto"/>
              </w:rPr>
            </w:pPr>
            <w:r>
              <w:rPr>
                <w:rFonts w:ascii="Arial" w:cs="Arial" w:eastAsia="Arial" w:hAnsi="Arial"/>
                <w:sz w:val="18"/>
                <w:szCs w:val="18"/>
                <w:color w:val="auto"/>
              </w:rPr>
              <w:t>Vice President – General Counsel and Secretary</w:t>
            </w:r>
          </w:p>
        </w:tc>
      </w:tr>
      <w:tr>
        <w:trPr>
          <w:trHeight w:val="404"/>
        </w:trPr>
        <w:tc>
          <w:tcPr>
            <w:tcW w:w="4880" w:type="dxa"/>
            <w:vAlign w:val="bottom"/>
          </w:tcPr>
          <w:p>
            <w:pPr>
              <w:spacing w:after="0"/>
              <w:rPr>
                <w:sz w:val="20"/>
                <w:szCs w:val="20"/>
                <w:color w:val="auto"/>
              </w:rPr>
            </w:pPr>
            <w:r>
              <w:rPr>
                <w:rFonts w:ascii="Arial" w:cs="Arial" w:eastAsia="Arial" w:hAnsi="Arial"/>
                <w:sz w:val="18"/>
                <w:szCs w:val="18"/>
                <w:color w:val="auto"/>
              </w:rPr>
              <w:t>Robert A. Hansen</w:t>
            </w:r>
          </w:p>
        </w:tc>
        <w:tc>
          <w:tcPr>
            <w:tcW w:w="5100" w:type="dxa"/>
            <w:vAlign w:val="bottom"/>
          </w:tcPr>
          <w:p>
            <w:pPr>
              <w:ind w:left="720"/>
              <w:spacing w:after="0"/>
              <w:rPr>
                <w:sz w:val="20"/>
                <w:szCs w:val="20"/>
                <w:color w:val="auto"/>
              </w:rPr>
            </w:pPr>
            <w:r>
              <w:rPr>
                <w:rFonts w:ascii="Arial" w:cs="Arial" w:eastAsia="Arial" w:hAnsi="Arial"/>
                <w:sz w:val="18"/>
                <w:szCs w:val="18"/>
                <w:color w:val="auto"/>
              </w:rPr>
              <w:t>Dawne H. Wimbrow</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Technology Officer</w:t>
            </w:r>
          </w:p>
        </w:tc>
        <w:tc>
          <w:tcPr>
            <w:tcW w:w="5100" w:type="dxa"/>
            <w:vAlign w:val="bottom"/>
          </w:tcPr>
          <w:p>
            <w:pPr>
              <w:ind w:left="720"/>
              <w:spacing w:after="0" w:line="202" w:lineRule="exact"/>
              <w:rPr>
                <w:sz w:val="20"/>
                <w:szCs w:val="20"/>
                <w:color w:val="auto"/>
              </w:rPr>
            </w:pPr>
            <w:r>
              <w:rPr>
                <w:rFonts w:ascii="Arial" w:cs="Arial" w:eastAsia="Arial" w:hAnsi="Arial"/>
                <w:sz w:val="18"/>
                <w:szCs w:val="18"/>
                <w:color w:val="auto"/>
                <w:w w:val="99"/>
              </w:rPr>
              <w:t>Vice President – Global Information Services and Chief</w:t>
            </w:r>
          </w:p>
        </w:tc>
      </w:tr>
      <w:tr>
        <w:trPr>
          <w:trHeight w:val="217"/>
        </w:trPr>
        <w:tc>
          <w:tcPr>
            <w:tcW w:w="4880" w:type="dxa"/>
            <w:vAlign w:val="bottom"/>
          </w:tcPr>
          <w:p>
            <w:pPr>
              <w:spacing w:after="0"/>
              <w:rPr>
                <w:sz w:val="18"/>
                <w:szCs w:val="18"/>
                <w:color w:val="auto"/>
              </w:rPr>
            </w:pPr>
          </w:p>
        </w:tc>
        <w:tc>
          <w:tcPr>
            <w:tcW w:w="5100" w:type="dxa"/>
            <w:vAlign w:val="bottom"/>
          </w:tcPr>
          <w:p>
            <w:pPr>
              <w:ind w:left="720"/>
              <w:spacing w:after="0"/>
              <w:rPr>
                <w:sz w:val="20"/>
                <w:szCs w:val="20"/>
                <w:color w:val="auto"/>
              </w:rPr>
            </w:pPr>
            <w:r>
              <w:rPr>
                <w:rFonts w:ascii="Arial" w:cs="Arial" w:eastAsia="Arial" w:hAnsi="Arial"/>
                <w:sz w:val="18"/>
                <w:szCs w:val="18"/>
                <w:color w:val="auto"/>
              </w:rPr>
              <w:t>Information Officer</w:t>
            </w:r>
          </w:p>
        </w:tc>
      </w:tr>
      <w:tr>
        <w:trPr>
          <w:trHeight w:val="404"/>
        </w:trPr>
        <w:tc>
          <w:tcPr>
            <w:tcW w:w="4880" w:type="dxa"/>
            <w:vAlign w:val="bottom"/>
          </w:tcPr>
          <w:p>
            <w:pPr>
              <w:spacing w:after="0"/>
              <w:rPr>
                <w:sz w:val="20"/>
                <w:szCs w:val="20"/>
                <w:color w:val="auto"/>
              </w:rPr>
            </w:pPr>
            <w:r>
              <w:rPr>
                <w:rFonts w:ascii="Arial" w:cs="Arial" w:eastAsia="Arial" w:hAnsi="Arial"/>
                <w:sz w:val="18"/>
                <w:szCs w:val="18"/>
                <w:color w:val="auto"/>
              </w:rPr>
              <w:t>Joseph M. Gaug</w:t>
            </w:r>
          </w:p>
        </w:tc>
        <w:tc>
          <w:tcPr>
            <w:tcW w:w="5100" w:type="dxa"/>
            <w:vAlign w:val="bottom"/>
          </w:tcPr>
          <w:p>
            <w:pPr>
              <w:spacing w:after="0"/>
              <w:rPr>
                <w:sz w:val="24"/>
                <w:szCs w:val="24"/>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Associate General Counsel and Assistant Secretary</w:t>
            </w:r>
          </w:p>
        </w:tc>
        <w:tc>
          <w:tcPr>
            <w:tcW w:w="5100" w:type="dxa"/>
            <w:vAlign w:val="bottom"/>
          </w:tcPr>
          <w:p>
            <w:pPr>
              <w:spacing w:after="0"/>
              <w:rPr>
                <w:sz w:val="18"/>
                <w:szCs w:val="18"/>
                <w:color w:val="auto"/>
              </w:rPr>
            </w:pP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80" w:top="954"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0"/>
        </w:trPr>
        <w:tc>
          <w:tcPr>
            <w:tcW w:w="4980" w:type="dxa"/>
            <w:vAlign w:val="bottom"/>
          </w:tcPr>
          <w:p>
            <w:pPr>
              <w:ind w:left="100"/>
              <w:spacing w:after="0"/>
              <w:rPr>
                <w:sz w:val="20"/>
                <w:szCs w:val="20"/>
                <w:color w:val="auto"/>
              </w:rPr>
            </w:pPr>
            <w:r>
              <w:rPr>
                <w:rFonts w:ascii="Arial" w:cs="Arial" w:eastAsia="Arial" w:hAnsi="Arial"/>
                <w:sz w:val="14"/>
                <w:szCs w:val="14"/>
                <w:b w:val="1"/>
                <w:bCs w:val="1"/>
                <w:color w:val="auto"/>
              </w:rPr>
              <w:t>SUBSIDIARIES OF REGISTRANT</w:t>
            </w:r>
          </w:p>
        </w:tc>
        <w:tc>
          <w:tcPr>
            <w:tcW w:w="2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Arial" w:cs="Arial" w:eastAsia="Arial" w:hAnsi="Arial"/>
                <w:sz w:val="14"/>
                <w:szCs w:val="14"/>
                <w:b w:val="1"/>
                <w:bCs w:val="1"/>
                <w:color w:val="auto"/>
              </w:rPr>
              <w:t>Exhibit 21</w:t>
            </w:r>
          </w:p>
        </w:tc>
      </w:tr>
      <w:tr>
        <w:trPr>
          <w:trHeight w:val="512"/>
        </w:trPr>
        <w:tc>
          <w:tcPr>
            <w:tcW w:w="4980" w:type="dxa"/>
            <w:vAlign w:val="bottom"/>
          </w:tcPr>
          <w:p>
            <w:pPr>
              <w:spacing w:after="0"/>
              <w:rPr>
                <w:sz w:val="24"/>
                <w:szCs w:val="24"/>
                <w:color w:val="auto"/>
              </w:rPr>
            </w:pPr>
          </w:p>
        </w:tc>
        <w:tc>
          <w:tcPr>
            <w:tcW w:w="2000" w:type="dxa"/>
            <w:vAlign w:val="bottom"/>
          </w:tcPr>
          <w:p>
            <w:pPr>
              <w:jc w:val="center"/>
              <w:ind w:left="568"/>
              <w:spacing w:after="0"/>
              <w:rPr>
                <w:sz w:val="20"/>
                <w:szCs w:val="20"/>
                <w:color w:val="auto"/>
              </w:rPr>
            </w:pPr>
            <w:r>
              <w:rPr>
                <w:rFonts w:ascii="Arial" w:cs="Arial" w:eastAsia="Arial" w:hAnsi="Arial"/>
                <w:sz w:val="14"/>
                <w:szCs w:val="14"/>
                <w:b w:val="1"/>
                <w:bCs w:val="1"/>
                <w:color w:val="auto"/>
              </w:rPr>
              <w:t>Percent</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Percent</w:t>
            </w:r>
          </w:p>
        </w:tc>
        <w:tc>
          <w:tcPr>
            <w:tcW w:w="3180" w:type="dxa"/>
            <w:vAlign w:val="bottom"/>
          </w:tcPr>
          <w:p>
            <w:pPr>
              <w:spacing w:after="0"/>
              <w:rPr>
                <w:sz w:val="24"/>
                <w:szCs w:val="24"/>
                <w:color w:val="auto"/>
              </w:rPr>
            </w:pPr>
          </w:p>
        </w:tc>
      </w:tr>
      <w:tr>
        <w:trPr>
          <w:trHeight w:val="175"/>
        </w:trPr>
        <w:tc>
          <w:tcPr>
            <w:tcW w:w="498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Affiliate</w:t>
            </w:r>
          </w:p>
        </w:tc>
        <w:tc>
          <w:tcPr>
            <w:tcW w:w="20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rPr>
              <w:t>Ownership</w:t>
            </w:r>
          </w:p>
        </w:tc>
        <w:tc>
          <w:tcPr>
            <w:tcW w:w="12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Ownership</w:t>
            </w: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Country of Incorporation</w:t>
            </w:r>
          </w:p>
        </w:tc>
      </w:tr>
      <w:tr>
        <w:trPr>
          <w:trHeight w:val="184"/>
        </w:trPr>
        <w:tc>
          <w:tcPr>
            <w:tcW w:w="4980" w:type="dxa"/>
            <w:vAlign w:val="bottom"/>
          </w:tcPr>
          <w:p>
            <w:pPr>
              <w:spacing w:after="0"/>
              <w:rPr>
                <w:sz w:val="15"/>
                <w:szCs w:val="15"/>
                <w:color w:val="auto"/>
              </w:rPr>
            </w:pPr>
          </w:p>
        </w:tc>
        <w:tc>
          <w:tcPr>
            <w:tcW w:w="2000" w:type="dxa"/>
            <w:vAlign w:val="bottom"/>
          </w:tcPr>
          <w:p>
            <w:pPr>
              <w:jc w:val="center"/>
              <w:ind w:left="568"/>
              <w:spacing w:after="0"/>
              <w:rPr>
                <w:sz w:val="20"/>
                <w:szCs w:val="20"/>
                <w:color w:val="auto"/>
              </w:rPr>
            </w:pPr>
            <w:r>
              <w:rPr>
                <w:rFonts w:ascii="Arial" w:cs="Arial" w:eastAsia="Arial" w:hAnsi="Arial"/>
                <w:sz w:val="14"/>
                <w:szCs w:val="14"/>
                <w:b w:val="1"/>
                <w:bCs w:val="1"/>
                <w:color w:val="auto"/>
              </w:rPr>
              <w:t>Direct</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Indirect</w:t>
            </w:r>
          </w:p>
        </w:tc>
        <w:tc>
          <w:tcPr>
            <w:tcW w:w="3180" w:type="dxa"/>
            <w:vAlign w:val="bottom"/>
          </w:tcPr>
          <w:p>
            <w:pPr>
              <w:spacing w:after="0"/>
              <w:rPr>
                <w:sz w:val="15"/>
                <w:szCs w:val="15"/>
                <w:color w:val="auto"/>
              </w:rPr>
            </w:pPr>
          </w:p>
        </w:tc>
      </w:tr>
      <w:tr>
        <w:trPr>
          <w:trHeight w:val="301"/>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Corp.</w:t>
            </w: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Holdings Two, Inc.</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Research Co.</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Engineered Composites, Inc.</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Safran Composites, LLC</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w w:val="99"/>
              </w:rPr>
              <w:t>90%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Geschmay Corp.</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Transglobal Enterprises, Inc.</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Brandon Drying Fabrics, Inc.</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Geschmay Forming Fabrics Corp.</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Geschmay Wet Felts, Inc.</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States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Pty.,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Australia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Tecidos Tecnicos Ltda.</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Brazil</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Canada Corp.</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Canada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(China) Co.,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China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Engineered Textiles (Hangzhou) Co.,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China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OY</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Finland</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France, S.A.S.</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France</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Safran Composites, S.A.S</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France</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Germany Holding GmbH</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Germany</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GmbH</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Germany</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Wurttembergische Filztuchfabrik D. Geschmay GmbH</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Germany</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Italia S.r.l.</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Italy</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Japan Kabushiki Kaisha</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Japan</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Korea, Inc.</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Korea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de Mexico S.A. de C.V.</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Mexico</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Safran Composites Mexico, S. de R.I. de C.V.</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w w:val="99"/>
              </w:rPr>
              <w:t>90%</w:t>
            </w:r>
          </w:p>
        </w:tc>
        <w:tc>
          <w:tcPr>
            <w:tcW w:w="3180" w:type="dxa"/>
            <w:vAlign w:val="bottom"/>
          </w:tcPr>
          <w:p>
            <w:pPr>
              <w:ind w:left="200"/>
              <w:spacing w:after="0"/>
              <w:rPr>
                <w:sz w:val="20"/>
                <w:szCs w:val="20"/>
                <w:color w:val="auto"/>
              </w:rPr>
            </w:pPr>
            <w:r>
              <w:rPr>
                <w:rFonts w:ascii="Arial" w:cs="Arial" w:eastAsia="Arial" w:hAnsi="Arial"/>
                <w:sz w:val="14"/>
                <w:szCs w:val="14"/>
                <w:color w:val="auto"/>
              </w:rPr>
              <w:t>Mexico</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Mexico Services, S. de R.I. de C.V.</w:t>
            </w:r>
          </w:p>
        </w:tc>
        <w:tc>
          <w:tcPr>
            <w:tcW w:w="2000" w:type="dxa"/>
            <w:vAlign w:val="bottom"/>
          </w:tcPr>
          <w:p>
            <w:pPr>
              <w:jc w:val="center"/>
              <w:ind w:left="568"/>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Mexico</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B.V.</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Netherlands</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Nevo-Cloth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w w:val="99"/>
              </w:rPr>
              <w:t>50%</w:t>
            </w:r>
          </w:p>
        </w:tc>
        <w:tc>
          <w:tcPr>
            <w:tcW w:w="3180" w:type="dxa"/>
            <w:vAlign w:val="bottom"/>
          </w:tcPr>
          <w:p>
            <w:pPr>
              <w:ind w:left="200"/>
              <w:spacing w:after="0"/>
              <w:rPr>
                <w:sz w:val="20"/>
                <w:szCs w:val="20"/>
                <w:color w:val="auto"/>
              </w:rPr>
            </w:pPr>
            <w:r>
              <w:rPr>
                <w:rFonts w:ascii="Arial" w:cs="Arial" w:eastAsia="Arial" w:hAnsi="Arial"/>
                <w:sz w:val="14"/>
                <w:szCs w:val="14"/>
                <w:color w:val="auto"/>
              </w:rPr>
              <w:t>Russia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S.A. Pty.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South Africa</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AB</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Sweden</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Holding AB</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Sweden</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AI (Switzerland) GmbH</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Switzerland</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Holding (Switzerland) AG</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Switzerland</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Europe GmbH</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Switzerland</w:t>
            </w:r>
          </w:p>
        </w:tc>
      </w:tr>
      <w:tr>
        <w:trPr>
          <w:trHeight w:val="162"/>
        </w:trPr>
        <w:tc>
          <w:tcPr>
            <w:tcW w:w="4980" w:type="dxa"/>
            <w:vAlign w:val="bottom"/>
          </w:tcPr>
          <w:p>
            <w:pPr>
              <w:ind w:left="100"/>
              <w:spacing w:after="0"/>
              <w:rPr>
                <w:sz w:val="20"/>
                <w:szCs w:val="20"/>
                <w:color w:val="auto"/>
              </w:rPr>
            </w:pPr>
            <w:r>
              <w:rPr>
                <w:rFonts w:ascii="Arial" w:cs="Arial" w:eastAsia="Arial" w:hAnsi="Arial"/>
                <w:sz w:val="14"/>
                <w:szCs w:val="14"/>
                <w:color w:val="auto"/>
              </w:rPr>
              <w:t>Albany International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Kingdom</w:t>
            </w:r>
          </w:p>
        </w:tc>
      </w:tr>
      <w:tr>
        <w:trPr>
          <w:trHeight w:val="172"/>
        </w:trPr>
        <w:tc>
          <w:tcPr>
            <w:tcW w:w="4980" w:type="dxa"/>
            <w:vAlign w:val="bottom"/>
          </w:tcPr>
          <w:p>
            <w:pPr>
              <w:ind w:left="100"/>
              <w:spacing w:after="0"/>
              <w:rPr>
                <w:sz w:val="20"/>
                <w:szCs w:val="20"/>
                <w:color w:val="auto"/>
              </w:rPr>
            </w:pPr>
            <w:r>
              <w:rPr>
                <w:rFonts w:ascii="Arial" w:cs="Arial" w:eastAsia="Arial" w:hAnsi="Arial"/>
                <w:sz w:val="14"/>
                <w:szCs w:val="14"/>
                <w:color w:val="auto"/>
              </w:rPr>
              <w:t>Albany Engineered Composites, Ltd.</w:t>
            </w:r>
          </w:p>
        </w:tc>
        <w:tc>
          <w:tcPr>
            <w:tcW w:w="200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3180" w:type="dxa"/>
            <w:vAlign w:val="bottom"/>
          </w:tcPr>
          <w:p>
            <w:pPr>
              <w:ind w:left="200"/>
              <w:spacing w:after="0"/>
              <w:rPr>
                <w:sz w:val="20"/>
                <w:szCs w:val="20"/>
                <w:color w:val="auto"/>
              </w:rPr>
            </w:pPr>
            <w:r>
              <w:rPr>
                <w:rFonts w:ascii="Arial" w:cs="Arial" w:eastAsia="Arial" w:hAnsi="Arial"/>
                <w:sz w:val="14"/>
                <w:szCs w:val="14"/>
                <w:color w:val="auto"/>
              </w:rPr>
              <w:t>United Kingdom</w:t>
            </w:r>
          </w:p>
        </w:tc>
      </w:tr>
      <w:tr>
        <w:trPr>
          <w:trHeight w:val="559"/>
        </w:trPr>
        <w:tc>
          <w:tcPr>
            <w:tcW w:w="4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0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w:t>
      </w:r>
      <w:r>
        <w:rPr>
          <w:rFonts w:ascii="Arial" w:cs="Arial" w:eastAsia="Arial" w:hAnsi="Arial"/>
          <w:sz w:val="18"/>
          <w:szCs w:val="18"/>
          <w:b w:val="1"/>
          <w:bCs w:val="1"/>
          <w:color w:val="auto"/>
        </w:rPr>
        <w:t>r</w:t>
      </w:r>
      <w:r>
        <w:rPr>
          <w:rFonts w:ascii="Arial" w:cs="Arial" w:eastAsia="Arial" w:hAnsi="Arial"/>
          <w:sz w:val="18"/>
          <w:szCs w:val="18"/>
          <w:color w:val="auto"/>
        </w:rPr>
        <w: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200" w:lineRule="exact"/>
        <w:rPr>
          <w:sz w:val="20"/>
          <w:szCs w:val="20"/>
          <w:color w:val="auto"/>
        </w:rPr>
      </w:pPr>
    </w:p>
    <w:p>
      <w:pPr>
        <w:spacing w:after="0" w:line="214"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(Nos. 333-195269, 333-140995, 333-76078, 333-90069, 033-60767, 333-190774) on Form S-8 of Albany International Corp. of our report dated February 26, 2016, with respect to the consolidated balance sheets of Albany International Corp. as of December 31, 2015 and 2014, and the related consolidated statements of income, comprehensive income/(loss), and cash flows for the years then ended, and the related financial statement schedule for the years ended December 31, 2015 and 2014, and the effectiveness of internal control over financial reporting as of December 31, 2015, which report appears in the December 31, 2015 annual report on Form 10-K of Albany International Corp.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February 26, 2016</w:t>
      </w:r>
    </w:p>
    <w:p>
      <w:pPr>
        <w:spacing w:after="0" w:line="195" w:lineRule="exact"/>
        <w:rPr>
          <w:sz w:val="20"/>
          <w:szCs w:val="20"/>
          <w:color w:val="auto"/>
        </w:rPr>
      </w:pPr>
    </w:p>
    <w:p>
      <w:pPr>
        <w:ind w:right="160" w:firstLine="441"/>
        <w:spacing w:after="0" w:line="238" w:lineRule="auto"/>
        <w:rPr>
          <w:sz w:val="20"/>
          <w:szCs w:val="20"/>
          <w:color w:val="auto"/>
        </w:rPr>
      </w:pPr>
      <w:r>
        <w:rPr>
          <w:rFonts w:ascii="Arial" w:cs="Arial" w:eastAsia="Arial" w:hAnsi="Arial"/>
          <w:sz w:val="19"/>
          <w:szCs w:val="19"/>
          <w:color w:val="auto"/>
        </w:rPr>
        <w:t>We hereby consent to the incorporation by reference in the Registration Statement on Form S-8 (No. File Nos. 333-140995, 333-76078, 033-28028, 333-90069, 033-60767, 333-190774) of Albany International Corp. of our report dated February 26, 2014</w:t>
      </w:r>
    </w:p>
    <w:p>
      <w:pPr>
        <w:spacing w:after="0" w:line="2" w:lineRule="exact"/>
        <w:rPr>
          <w:sz w:val="20"/>
          <w:szCs w:val="20"/>
          <w:color w:val="auto"/>
        </w:rPr>
      </w:pPr>
    </w:p>
    <w:p>
      <w:pPr>
        <w:ind w:right="320"/>
        <w:spacing w:after="0" w:line="206" w:lineRule="auto"/>
        <w:rPr>
          <w:sz w:val="20"/>
          <w:szCs w:val="20"/>
          <w:color w:val="auto"/>
        </w:rPr>
      </w:pPr>
      <w:r>
        <w:rPr>
          <w:rFonts w:ascii="Arial" w:cs="Arial" w:eastAsia="Arial" w:hAnsi="Arial"/>
          <w:sz w:val="20"/>
          <w:szCs w:val="20"/>
          <w:color w:val="auto"/>
        </w:rPr>
        <w:t>relating to the financial statements, which appears in this Form 10-K</w:t>
      </w:r>
      <w:r>
        <w:rPr>
          <w:rFonts w:ascii="Arial" w:cs="Arial" w:eastAsia="Arial" w:hAnsi="Arial"/>
          <w:sz w:val="33"/>
          <w:szCs w:val="33"/>
          <w:color w:val="FF0000"/>
          <w:vertAlign w:val="superscript"/>
        </w:rPr>
        <w:t>,</w:t>
      </w:r>
      <w:r>
        <w:rPr>
          <w:rFonts w:ascii="Arial" w:cs="Arial" w:eastAsia="Arial" w:hAnsi="Arial"/>
          <w:sz w:val="20"/>
          <w:szCs w:val="20"/>
          <w:color w:val="auto"/>
        </w:rPr>
        <w:t xml:space="preserve"> except for the effects of the revisions discussed in Note 8, Note 11 and Note 5 (not presented herein) to the consolidated financial statements appearing under Item 8 of the Company's 2014 annual report on Form 10-K, as to which the date is February 27,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2015 (such report, together with any amendments, supplements, and exhibits thereto, is collectively hereinafter referred to as “Form 10-K”), hereby constitutes and appoints Joseph G. Morone,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duly executed this Power of Attorney this 26th day of February,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4"/>
          </w:tcPr>
          <w:p>
            <w:pPr>
              <w:spacing w:after="0"/>
              <w:rPr>
                <w:sz w:val="20"/>
                <w:szCs w:val="20"/>
                <w:color w:val="auto"/>
              </w:rPr>
            </w:pPr>
            <w:r>
              <w:rPr>
                <w:rFonts w:ascii="Arial" w:cs="Arial" w:eastAsia="Arial" w:hAnsi="Arial"/>
                <w:sz w:val="18"/>
                <w:szCs w:val="18"/>
                <w:color w:val="auto"/>
                <w:w w:val="99"/>
              </w:rPr>
              <w:t>/s/ Erland E. Kailbourne</w:t>
            </w:r>
          </w:p>
        </w:tc>
        <w:tc>
          <w:tcPr>
            <w:tcW w:w="2640" w:type="dxa"/>
            <w:vAlign w:val="bottom"/>
          </w:tcPr>
          <w:p>
            <w:pPr>
              <w:spacing w:after="0"/>
              <w:rPr>
                <w:sz w:val="17"/>
                <w:szCs w:val="17"/>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/s/ Joseph G. Morone</w:t>
            </w:r>
          </w:p>
        </w:tc>
      </w:tr>
      <w:tr>
        <w:trPr>
          <w:trHeight w:val="20"/>
        </w:trPr>
        <w:tc>
          <w:tcPr>
            <w:tcW w:w="1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9"/>
        </w:trPr>
        <w:tc>
          <w:tcPr>
            <w:tcW w:w="1900" w:type="dxa"/>
            <w:vAlign w:val="bottom"/>
            <w:gridSpan w:val="4"/>
          </w:tcPr>
          <w:p>
            <w:pPr>
              <w:spacing w:after="0"/>
              <w:rPr>
                <w:sz w:val="20"/>
                <w:szCs w:val="20"/>
                <w:color w:val="auto"/>
              </w:rPr>
            </w:pPr>
            <w:r>
              <w:rPr>
                <w:rFonts w:ascii="Arial" w:cs="Arial" w:eastAsia="Arial" w:hAnsi="Arial"/>
                <w:sz w:val="18"/>
                <w:szCs w:val="18"/>
                <w:color w:val="auto"/>
              </w:rPr>
              <w:t>Erland E. Kailbourne</w:t>
            </w:r>
          </w:p>
        </w:tc>
        <w:tc>
          <w:tcPr>
            <w:tcW w:w="2640" w:type="dxa"/>
            <w:vAlign w:val="bottom"/>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Joseph G. Morone</w:t>
            </w:r>
          </w:p>
        </w:tc>
      </w:tr>
      <w:tr>
        <w:trPr>
          <w:trHeight w:val="203"/>
        </w:trPr>
        <w:tc>
          <w:tcPr>
            <w:tcW w:w="4540" w:type="dxa"/>
            <w:vAlign w:val="bottom"/>
            <w:gridSpan w:val="5"/>
          </w:tcPr>
          <w:p>
            <w:pPr>
              <w:spacing w:after="0" w:line="202" w:lineRule="exact"/>
              <w:rPr>
                <w:sz w:val="20"/>
                <w:szCs w:val="20"/>
                <w:color w:val="auto"/>
              </w:rPr>
            </w:pPr>
            <w:r>
              <w:rPr>
                <w:rFonts w:ascii="Arial" w:cs="Arial" w:eastAsia="Arial" w:hAnsi="Arial"/>
                <w:sz w:val="18"/>
                <w:szCs w:val="18"/>
                <w:color w:val="auto"/>
              </w:rPr>
              <w:t>Chairman of the Board and Director</w:t>
            </w:r>
          </w:p>
        </w:tc>
        <w:tc>
          <w:tcPr>
            <w:tcW w:w="6880" w:type="dxa"/>
            <w:vAlign w:val="bottom"/>
            <w:gridSpan w:val="5"/>
          </w:tcPr>
          <w:p>
            <w:pPr>
              <w:ind w:left="1280"/>
              <w:spacing w:after="0" w:line="202" w:lineRule="exact"/>
              <w:rPr>
                <w:sz w:val="20"/>
                <w:szCs w:val="20"/>
                <w:color w:val="auto"/>
              </w:rPr>
            </w:pPr>
            <w:r>
              <w:rPr>
                <w:rFonts w:ascii="Arial" w:cs="Arial" w:eastAsia="Arial" w:hAnsi="Arial"/>
                <w:sz w:val="18"/>
                <w:szCs w:val="18"/>
                <w:color w:val="auto"/>
              </w:rPr>
              <w:t>President and Chief Executive</w:t>
            </w:r>
          </w:p>
        </w:tc>
      </w:tr>
      <w:tr>
        <w:trPr>
          <w:trHeight w:val="203"/>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880" w:type="dxa"/>
            <w:vAlign w:val="bottom"/>
            <w:gridSpan w:val="5"/>
          </w:tcPr>
          <w:p>
            <w:pPr>
              <w:ind w:left="1280"/>
              <w:spacing w:after="0" w:line="202" w:lineRule="exact"/>
              <w:rPr>
                <w:sz w:val="20"/>
                <w:szCs w:val="20"/>
                <w:color w:val="auto"/>
              </w:rPr>
            </w:pPr>
            <w:r>
              <w:rPr>
                <w:rFonts w:ascii="Arial" w:cs="Arial" w:eastAsia="Arial" w:hAnsi="Arial"/>
                <w:sz w:val="18"/>
                <w:szCs w:val="18"/>
                <w:color w:val="auto"/>
              </w:rPr>
              <w:t>Officer and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(Principal Executive Officer)</w:t>
            </w:r>
          </w:p>
        </w:tc>
      </w:tr>
      <w:tr>
        <w:trPr>
          <w:trHeight w:val="365"/>
        </w:trPr>
        <w:tc>
          <w:tcPr>
            <w:tcW w:w="1700" w:type="dxa"/>
            <w:vAlign w:val="bottom"/>
            <w:gridSpan w:val="2"/>
          </w:tcPr>
          <w:p>
            <w:pPr>
              <w:spacing w:after="0"/>
              <w:rPr>
                <w:sz w:val="20"/>
                <w:szCs w:val="20"/>
                <w:color w:val="auto"/>
              </w:rPr>
            </w:pPr>
            <w:r>
              <w:rPr>
                <w:rFonts w:ascii="Arial" w:cs="Arial" w:eastAsia="Arial" w:hAnsi="Arial"/>
                <w:sz w:val="18"/>
                <w:szCs w:val="18"/>
                <w:color w:val="auto"/>
                <w:w w:val="99"/>
              </w:rPr>
              <w:t>/s/ John B. Cozzolino</w:t>
            </w:r>
          </w:p>
        </w:tc>
        <w:tc>
          <w:tcPr>
            <w:tcW w:w="2840" w:type="dxa"/>
            <w:vAlign w:val="bottom"/>
            <w:gridSpan w:val="3"/>
          </w:tcPr>
          <w:p>
            <w:pPr>
              <w:spacing w:after="0"/>
              <w:rPr>
                <w:sz w:val="24"/>
                <w:szCs w:val="24"/>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/s/ David M. Pawlick</w:t>
            </w:r>
          </w:p>
        </w:tc>
      </w:tr>
      <w:tr>
        <w:trPr>
          <w:trHeight w:val="20"/>
        </w:trPr>
        <w:tc>
          <w:tcPr>
            <w:tcW w:w="1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9"/>
        </w:trPr>
        <w:tc>
          <w:tcPr>
            <w:tcW w:w="1700" w:type="dxa"/>
            <w:vAlign w:val="bottom"/>
            <w:gridSpan w:val="2"/>
          </w:tcPr>
          <w:p>
            <w:pPr>
              <w:spacing w:after="0"/>
              <w:rPr>
                <w:sz w:val="20"/>
                <w:szCs w:val="20"/>
                <w:color w:val="auto"/>
              </w:rPr>
            </w:pPr>
            <w:r>
              <w:rPr>
                <w:rFonts w:ascii="Arial" w:cs="Arial" w:eastAsia="Arial" w:hAnsi="Arial"/>
                <w:sz w:val="18"/>
                <w:szCs w:val="18"/>
                <w:color w:val="auto"/>
              </w:rPr>
              <w:t>John B. Cozzolino</w:t>
            </w:r>
          </w:p>
        </w:tc>
        <w:tc>
          <w:tcPr>
            <w:tcW w:w="2840" w:type="dxa"/>
            <w:vAlign w:val="bottom"/>
            <w:gridSpan w:val="3"/>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David M. Pawlick</w:t>
            </w:r>
          </w:p>
        </w:tc>
      </w:tr>
      <w:tr>
        <w:trPr>
          <w:trHeight w:val="203"/>
        </w:trPr>
        <w:tc>
          <w:tcPr>
            <w:tcW w:w="4540" w:type="dxa"/>
            <w:vAlign w:val="bottom"/>
            <w:gridSpan w:val="5"/>
          </w:tcPr>
          <w:p>
            <w:pPr>
              <w:spacing w:after="0" w:line="202" w:lineRule="exact"/>
              <w:rPr>
                <w:sz w:val="20"/>
                <w:szCs w:val="20"/>
                <w:color w:val="auto"/>
              </w:rPr>
            </w:pPr>
            <w:r>
              <w:rPr>
                <w:rFonts w:ascii="Arial" w:cs="Arial" w:eastAsia="Arial" w:hAnsi="Arial"/>
                <w:sz w:val="18"/>
                <w:szCs w:val="18"/>
                <w:color w:val="auto"/>
              </w:rPr>
              <w:t>Chief Financial Officer and Treasurer</w:t>
            </w:r>
          </w:p>
        </w:tc>
        <w:tc>
          <w:tcPr>
            <w:tcW w:w="6880" w:type="dxa"/>
            <w:vAlign w:val="bottom"/>
            <w:gridSpan w:val="5"/>
          </w:tcPr>
          <w:p>
            <w:pPr>
              <w:ind w:left="1280"/>
              <w:spacing w:after="0" w:line="202" w:lineRule="exact"/>
              <w:rPr>
                <w:sz w:val="20"/>
                <w:szCs w:val="20"/>
                <w:color w:val="auto"/>
              </w:rPr>
            </w:pPr>
            <w:r>
              <w:rPr>
                <w:rFonts w:ascii="Arial" w:cs="Arial" w:eastAsia="Arial" w:hAnsi="Arial"/>
                <w:sz w:val="18"/>
                <w:szCs w:val="18"/>
                <w:color w:val="auto"/>
              </w:rPr>
              <w:t>Vice President - Controller</w:t>
            </w:r>
          </w:p>
        </w:tc>
      </w:tr>
      <w:tr>
        <w:trPr>
          <w:trHeight w:val="217"/>
        </w:trPr>
        <w:tc>
          <w:tcPr>
            <w:tcW w:w="4540" w:type="dxa"/>
            <w:vAlign w:val="bottom"/>
            <w:gridSpan w:val="5"/>
          </w:tcPr>
          <w:p>
            <w:pPr>
              <w:spacing w:after="0"/>
              <w:rPr>
                <w:sz w:val="20"/>
                <w:szCs w:val="20"/>
                <w:color w:val="auto"/>
              </w:rPr>
            </w:pPr>
            <w:r>
              <w:rPr>
                <w:rFonts w:ascii="Arial" w:cs="Arial" w:eastAsia="Arial" w:hAnsi="Arial"/>
                <w:sz w:val="18"/>
                <w:szCs w:val="18"/>
                <w:color w:val="auto"/>
              </w:rPr>
              <w:t>(Principal Financial Officer)</w:t>
            </w: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600" w:type="dxa"/>
            <w:vAlign w:val="bottom"/>
          </w:tcPr>
          <w:p>
            <w:pPr>
              <w:spacing w:after="0"/>
              <w:rPr>
                <w:sz w:val="20"/>
                <w:szCs w:val="20"/>
                <w:color w:val="auto"/>
              </w:rPr>
            </w:pPr>
            <w:r>
              <w:rPr>
                <w:rFonts w:ascii="Arial" w:cs="Arial" w:eastAsia="Arial" w:hAnsi="Arial"/>
                <w:sz w:val="18"/>
                <w:szCs w:val="18"/>
                <w:color w:val="auto"/>
                <w:w w:val="96"/>
              </w:rPr>
              <w:t>/s/ John C. Standish</w:t>
            </w:r>
          </w:p>
        </w:tc>
        <w:tc>
          <w:tcPr>
            <w:tcW w:w="2940" w:type="dxa"/>
            <w:vAlign w:val="bottom"/>
            <w:gridSpan w:val="4"/>
          </w:tcPr>
          <w:p>
            <w:pPr>
              <w:spacing w:after="0"/>
              <w:rPr>
                <w:sz w:val="24"/>
                <w:szCs w:val="24"/>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/s/ Christine L. Standish</w:t>
            </w:r>
          </w:p>
        </w:tc>
      </w:tr>
      <w:tr>
        <w:trPr>
          <w:trHeight w:val="20"/>
        </w:trPr>
        <w:tc>
          <w:tcPr>
            <w:tcW w:w="1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3720" w:type="dxa"/>
            <w:vAlign w:val="bottom"/>
            <w:tcBorders>
              <w:left w:val="single" w:sz="8" w:color="auto"/>
            </w:tcBorders>
          </w:tcPr>
          <w:p>
            <w:pPr>
              <w:spacing w:after="0" w:line="20" w:lineRule="exact"/>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John C. Standish</w:t>
            </w:r>
          </w:p>
        </w:tc>
        <w:tc>
          <w:tcPr>
            <w:tcW w:w="2940" w:type="dxa"/>
            <w:vAlign w:val="bottom"/>
            <w:gridSpan w:val="4"/>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Christine L. Standish</w:t>
            </w:r>
          </w:p>
        </w:tc>
      </w:tr>
      <w:tr>
        <w:trPr>
          <w:trHeight w:val="217"/>
        </w:trPr>
        <w:tc>
          <w:tcPr>
            <w:tcW w:w="4540" w:type="dxa"/>
            <w:vAlign w:val="bottom"/>
            <w:gridSpan w:val="5"/>
          </w:tcPr>
          <w:p>
            <w:pPr>
              <w:spacing w:after="0"/>
              <w:rPr>
                <w:sz w:val="20"/>
                <w:szCs w:val="20"/>
                <w:color w:val="auto"/>
              </w:rPr>
            </w:pPr>
            <w:r>
              <w:rPr>
                <w:rFonts w:ascii="Arial" w:cs="Arial" w:eastAsia="Arial" w:hAnsi="Arial"/>
                <w:sz w:val="18"/>
                <w:szCs w:val="18"/>
                <w:color w:val="auto"/>
              </w:rPr>
              <w:t>Vice Chairman of the Board and Director</w:t>
            </w: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Director</w:t>
            </w:r>
          </w:p>
        </w:tc>
      </w:tr>
      <w:tr>
        <w:trPr>
          <w:trHeight w:val="365"/>
        </w:trPr>
        <w:tc>
          <w:tcPr>
            <w:tcW w:w="4540" w:type="dxa"/>
            <w:vAlign w:val="bottom"/>
            <w:gridSpan w:val="5"/>
          </w:tcPr>
          <w:p>
            <w:pPr>
              <w:spacing w:after="0"/>
              <w:rPr>
                <w:sz w:val="20"/>
                <w:szCs w:val="20"/>
                <w:color w:val="auto"/>
              </w:rPr>
            </w:pPr>
            <w:r>
              <w:rPr>
                <w:rFonts w:ascii="Arial" w:cs="Arial" w:eastAsia="Arial" w:hAnsi="Arial"/>
                <w:sz w:val="18"/>
                <w:szCs w:val="18"/>
                <w:color w:val="auto"/>
              </w:rPr>
              <w:t>/s/ John R. Scannell</w:t>
            </w: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/s/ Katharine L. Plourde</w:t>
            </w:r>
          </w:p>
        </w:tc>
      </w:tr>
      <w:tr>
        <w:trPr>
          <w:trHeight w:val="20"/>
        </w:trPr>
        <w:tc>
          <w:tcPr>
            <w:tcW w:w="16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John R. Scannell</w:t>
            </w:r>
          </w:p>
        </w:tc>
        <w:tc>
          <w:tcPr>
            <w:tcW w:w="2940" w:type="dxa"/>
            <w:vAlign w:val="bottom"/>
            <w:gridSpan w:val="4"/>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Katharine L. Plourde</w:t>
            </w:r>
          </w:p>
        </w:tc>
      </w:tr>
      <w:tr>
        <w:trPr>
          <w:trHeight w:val="217"/>
        </w:trPr>
        <w:tc>
          <w:tcPr>
            <w:tcW w:w="4540" w:type="dxa"/>
            <w:vAlign w:val="bottom"/>
            <w:gridSpan w:val="5"/>
          </w:tcPr>
          <w:p>
            <w:pPr>
              <w:spacing w:after="0"/>
              <w:rPr>
                <w:sz w:val="20"/>
                <w:szCs w:val="20"/>
                <w:color w:val="auto"/>
              </w:rPr>
            </w:pPr>
            <w:r>
              <w:rPr>
                <w:rFonts w:ascii="Arial" w:cs="Arial" w:eastAsia="Arial" w:hAnsi="Arial"/>
                <w:sz w:val="18"/>
                <w:szCs w:val="18"/>
                <w:color w:val="auto"/>
              </w:rPr>
              <w:t>Director</w:t>
            </w: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Director</w:t>
            </w:r>
          </w:p>
        </w:tc>
      </w:tr>
      <w:tr>
        <w:trPr>
          <w:trHeight w:val="365"/>
        </w:trPr>
        <w:tc>
          <w:tcPr>
            <w:tcW w:w="1800" w:type="dxa"/>
            <w:vAlign w:val="bottom"/>
            <w:gridSpan w:val="3"/>
          </w:tcPr>
          <w:p>
            <w:pPr>
              <w:spacing w:after="0"/>
              <w:rPr>
                <w:sz w:val="20"/>
                <w:szCs w:val="20"/>
                <w:color w:val="auto"/>
              </w:rPr>
            </w:pPr>
            <w:r>
              <w:rPr>
                <w:rFonts w:ascii="Arial" w:cs="Arial" w:eastAsia="Arial" w:hAnsi="Arial"/>
                <w:sz w:val="18"/>
                <w:szCs w:val="18"/>
                <w:color w:val="auto"/>
                <w:w w:val="97"/>
              </w:rPr>
              <w:t>/s/ John F. Cassidy, Jr.</w:t>
            </w:r>
          </w:p>
        </w:tc>
        <w:tc>
          <w:tcPr>
            <w:tcW w:w="2740" w:type="dxa"/>
            <w:vAlign w:val="bottom"/>
            <w:gridSpan w:val="2"/>
          </w:tcPr>
          <w:p>
            <w:pPr>
              <w:spacing w:after="0"/>
              <w:rPr>
                <w:sz w:val="24"/>
                <w:szCs w:val="24"/>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/s/ Edgar G. Hotard</w:t>
            </w:r>
          </w:p>
        </w:tc>
      </w:tr>
      <w:tr>
        <w:trPr>
          <w:trHeight w:val="20"/>
        </w:trPr>
        <w:tc>
          <w:tcPr>
            <w:tcW w:w="1800" w:type="dxa"/>
            <w:vAlign w:val="bottom"/>
            <w:gridSpan w:val="3"/>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209"/>
        </w:trPr>
        <w:tc>
          <w:tcPr>
            <w:tcW w:w="1800" w:type="dxa"/>
            <w:vAlign w:val="bottom"/>
            <w:gridSpan w:val="3"/>
          </w:tcPr>
          <w:p>
            <w:pPr>
              <w:spacing w:after="0"/>
              <w:rPr>
                <w:sz w:val="20"/>
                <w:szCs w:val="20"/>
                <w:color w:val="auto"/>
              </w:rPr>
            </w:pPr>
            <w:r>
              <w:rPr>
                <w:rFonts w:ascii="Arial" w:cs="Arial" w:eastAsia="Arial" w:hAnsi="Arial"/>
                <w:sz w:val="18"/>
                <w:szCs w:val="18"/>
                <w:color w:val="auto"/>
              </w:rPr>
              <w:t>John F. Cassidy, Jr.</w:t>
            </w:r>
          </w:p>
        </w:tc>
        <w:tc>
          <w:tcPr>
            <w:tcW w:w="2740" w:type="dxa"/>
            <w:vAlign w:val="bottom"/>
            <w:gridSpan w:val="2"/>
          </w:tcPr>
          <w:p>
            <w:pPr>
              <w:spacing w:after="0"/>
              <w:rPr>
                <w:sz w:val="18"/>
                <w:szCs w:val="18"/>
                <w:color w:val="auto"/>
              </w:rPr>
            </w:pP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Edgar G. Hotard</w:t>
            </w:r>
          </w:p>
        </w:tc>
      </w:tr>
      <w:tr>
        <w:trPr>
          <w:trHeight w:val="217"/>
        </w:trPr>
        <w:tc>
          <w:tcPr>
            <w:tcW w:w="4540" w:type="dxa"/>
            <w:vAlign w:val="bottom"/>
            <w:gridSpan w:val="5"/>
          </w:tcPr>
          <w:p>
            <w:pPr>
              <w:spacing w:after="0"/>
              <w:rPr>
                <w:sz w:val="20"/>
                <w:szCs w:val="20"/>
                <w:color w:val="auto"/>
              </w:rPr>
            </w:pPr>
            <w:r>
              <w:rPr>
                <w:rFonts w:ascii="Arial" w:cs="Arial" w:eastAsia="Arial" w:hAnsi="Arial"/>
                <w:sz w:val="18"/>
                <w:szCs w:val="18"/>
                <w:color w:val="auto"/>
              </w:rPr>
              <w:t>Director</w:t>
            </w:r>
          </w:p>
        </w:tc>
        <w:tc>
          <w:tcPr>
            <w:tcW w:w="6880" w:type="dxa"/>
            <w:vAlign w:val="bottom"/>
            <w:gridSpan w:val="5"/>
          </w:tcPr>
          <w:p>
            <w:pPr>
              <w:ind w:left="1280"/>
              <w:spacing w:after="0"/>
              <w:rPr>
                <w:sz w:val="20"/>
                <w:szCs w:val="20"/>
                <w:color w:val="auto"/>
              </w:rPr>
            </w:pPr>
            <w:r>
              <w:rPr>
                <w:rFonts w:ascii="Arial" w:cs="Arial" w:eastAsia="Arial" w:hAnsi="Arial"/>
                <w:sz w:val="18"/>
                <w:szCs w:val="18"/>
                <w:color w:val="auto"/>
              </w:rPr>
              <w:t>Director</w:t>
            </w:r>
          </w:p>
        </w:tc>
      </w:tr>
      <w:tr>
        <w:trPr>
          <w:trHeight w:val="561"/>
        </w:trPr>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left="1300" w:right="34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1620" w:right="38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left="1300" w:right="36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1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6080"/>
        <w:spacing w:after="0" w:line="234" w:lineRule="auto"/>
        <w:rPr>
          <w:sz w:val="20"/>
          <w:szCs w:val="20"/>
          <w:color w:val="auto"/>
        </w:rPr>
      </w:pPr>
      <w:r>
        <w:rPr>
          <w:rFonts w:ascii="Arial" w:cs="Arial" w:eastAsia="Arial" w:hAnsi="Arial"/>
          <w:sz w:val="18"/>
          <w:szCs w:val="18"/>
          <w:color w:val="auto"/>
        </w:rPr>
        <w:t>Joseph G. Morone</w:t>
      </w:r>
    </w:p>
    <w:p>
      <w:pPr>
        <w:ind w:left="608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84" w:lineRule="exact"/>
        <w:rPr>
          <w:rFonts w:ascii="Arial" w:cs="Arial" w:eastAsia="Arial" w:hAnsi="Arial"/>
          <w:sz w:val="18"/>
          <w:szCs w:val="18"/>
          <w:color w:val="auto"/>
        </w:rPr>
      </w:pPr>
    </w:p>
    <w:p>
      <w:pPr>
        <w:ind w:left="1300" w:right="34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1300" w:right="34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620" w:right="14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620" w:right="22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300" w:right="36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ind w:left="5760"/>
        <w:spacing w:after="0" w:line="23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080"/>
        <w:spacing w:after="0" w:line="235" w:lineRule="auto"/>
        <w:rPr>
          <w:sz w:val="20"/>
          <w:szCs w:val="20"/>
          <w:color w:val="auto"/>
        </w:rPr>
      </w:pPr>
      <w:r>
        <w:rPr>
          <w:rFonts w:ascii="Arial" w:cs="Arial" w:eastAsia="Arial" w:hAnsi="Arial"/>
          <w:sz w:val="18"/>
          <w:szCs w:val="18"/>
          <w:color w:val="auto"/>
        </w:rPr>
        <w:t>John B. Cozzolino</w:t>
      </w:r>
    </w:p>
    <w:p>
      <w:pPr>
        <w:ind w:left="608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9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Joseph G. Morone,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2015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ind w:left="5720"/>
        <w:spacing w:after="0" w:line="234" w:lineRule="auto"/>
        <w:rPr>
          <w:sz w:val="20"/>
          <w:szCs w:val="20"/>
          <w:color w:val="auto"/>
        </w:rPr>
      </w:pPr>
      <w:r>
        <w:rPr>
          <w:rFonts w:ascii="Arial" w:cs="Arial" w:eastAsia="Arial" w:hAnsi="Arial"/>
          <w:sz w:val="18"/>
          <w:szCs w:val="18"/>
          <w:u w:val="single" w:color="auto"/>
          <w:color w:val="auto"/>
        </w:rPr>
        <w:t>/s/ Joseph G. Morone</w:t>
      </w:r>
    </w:p>
    <w:p>
      <w:pPr>
        <w:ind w:left="5720"/>
        <w:spacing w:after="0" w:line="235" w:lineRule="auto"/>
        <w:rPr>
          <w:sz w:val="20"/>
          <w:szCs w:val="20"/>
          <w:color w:val="auto"/>
        </w:rPr>
      </w:pPr>
      <w:r>
        <w:rPr>
          <w:rFonts w:ascii="Arial" w:cs="Arial" w:eastAsia="Arial" w:hAnsi="Arial"/>
          <w:sz w:val="18"/>
          <w:szCs w:val="18"/>
          <w:color w:val="auto"/>
        </w:rPr>
        <w:t>Joseph G. Morone</w:t>
      </w:r>
    </w:p>
    <w:p>
      <w:pPr>
        <w:ind w:left="57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John B. Cozzolino</w:t>
      </w:r>
    </w:p>
    <w:p>
      <w:pPr>
        <w:ind w:left="5720"/>
        <w:spacing w:after="0" w:line="234" w:lineRule="auto"/>
        <w:rPr>
          <w:sz w:val="20"/>
          <w:szCs w:val="20"/>
          <w:color w:val="auto"/>
        </w:rPr>
      </w:pPr>
      <w:r>
        <w:rPr>
          <w:rFonts w:ascii="Arial" w:cs="Arial" w:eastAsia="Arial" w:hAnsi="Arial"/>
          <w:sz w:val="18"/>
          <w:szCs w:val="18"/>
          <w:color w:val="auto"/>
        </w:rPr>
        <w:t>John B. Cozzolino</w:t>
      </w:r>
    </w:p>
    <w:p>
      <w:pPr>
        <w:ind w:left="57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lvl w:ilvl="1">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lvl w:ilvl="1">
      <w:lvlJc w:val="left"/>
      <w:lvlText w:val="%2."/>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upperLetter"/>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2019-12-29T12:03:23Z</dcterms:created>
  <dcterms:modified xsi:type="dcterms:W3CDTF">2019-12-29T12:03:23Z</dcterms:modified>
</cp:coreProperties>
</file>