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jc w:val="center"/>
        <w:ind w:left="3640" w:right="960" w:hanging="2676"/>
        <w:spacing w:after="0" w:line="498" w:lineRule="auto"/>
        <w:tabs>
          <w:tab w:leader="none" w:pos="123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2016</w:t>
      </w:r>
    </w:p>
    <w:p>
      <w:pPr>
        <w:jc w:val="center"/>
        <w:spacing w:after="0"/>
        <w:rPr>
          <w:sz w:val="20"/>
          <w:szCs w:val="20"/>
          <w:color w:val="auto"/>
        </w:rPr>
      </w:pPr>
      <w:r>
        <w:rPr>
          <w:rFonts w:ascii="Arial" w:cs="Arial" w:eastAsia="Arial" w:hAnsi="Arial"/>
          <w:sz w:val="18"/>
          <w:szCs w:val="18"/>
          <w:color w:val="auto"/>
        </w:rPr>
        <w:t>OR</w:t>
      </w:r>
    </w:p>
    <w:p>
      <w:pPr>
        <w:spacing w:after="0" w:line="190" w:lineRule="exact"/>
        <w:rPr>
          <w:sz w:val="24"/>
          <w:szCs w:val="24"/>
          <w:color w:val="auto"/>
        </w:rPr>
      </w:pPr>
    </w:p>
    <w:p>
      <w:pPr>
        <w:jc w:val="center"/>
        <w:ind w:left="3400" w:right="960" w:hanging="2435"/>
        <w:spacing w:after="0" w:line="498" w:lineRule="auto"/>
        <w:tabs>
          <w:tab w:leader="none" w:pos="111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ind w:left="4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ALBANY INTERNATIONAL CORP.</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Delaware</w:t>
            </w:r>
          </w:p>
        </w:tc>
        <w:tc>
          <w:tcPr>
            <w:tcW w:w="4780" w:type="dxa"/>
            <w:vAlign w:val="bottom"/>
          </w:tcPr>
          <w:p>
            <w:pPr>
              <w:jc w:val="right"/>
              <w:ind w:right="1790"/>
              <w:spacing w:after="0"/>
              <w:rPr>
                <w:sz w:val="20"/>
                <w:szCs w:val="20"/>
                <w:color w:val="auto"/>
              </w:rPr>
            </w:pPr>
            <w:r>
              <w:rPr>
                <w:rFonts w:ascii="Arial" w:cs="Arial" w:eastAsia="Arial" w:hAnsi="Arial"/>
                <w:sz w:val="18"/>
                <w:szCs w:val="18"/>
                <w:color w:val="auto"/>
              </w:rPr>
              <w:t>14-0462060</w:t>
            </w:r>
          </w:p>
        </w:tc>
      </w:tr>
      <w:tr>
        <w:trPr>
          <w:trHeight w:val="195"/>
        </w:trPr>
        <w:tc>
          <w:tcPr>
            <w:tcW w:w="5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(State or other jurisdiction of</w:t>
            </w:r>
          </w:p>
        </w:tc>
        <w:tc>
          <w:tcPr>
            <w:tcW w:w="1380" w:type="dxa"/>
            <w:vAlign w:val="bottom"/>
          </w:tcPr>
          <w:p>
            <w:pPr>
              <w:spacing w:after="0"/>
              <w:rPr>
                <w:sz w:val="16"/>
                <w:szCs w:val="16"/>
                <w:color w:val="auto"/>
              </w:rPr>
            </w:pPr>
          </w:p>
        </w:tc>
        <w:tc>
          <w:tcPr>
            <w:tcW w:w="4780" w:type="dxa"/>
            <w:vAlign w:val="bottom"/>
            <w:tcBorders>
              <w:top w:val="single" w:sz="8" w:color="auto"/>
            </w:tcBorders>
          </w:tcPr>
          <w:p>
            <w:pPr>
              <w:ind w:left="110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17"/>
        </w:trPr>
        <w:tc>
          <w:tcPr>
            <w:tcW w:w="6640" w:type="dxa"/>
            <w:vAlign w:val="bottom"/>
            <w:gridSpan w:val="2"/>
          </w:tcPr>
          <w:p>
            <w:pPr>
              <w:ind w:left="1440"/>
              <w:spacing w:after="0"/>
              <w:rPr>
                <w:sz w:val="20"/>
                <w:szCs w:val="20"/>
                <w:color w:val="auto"/>
              </w:rPr>
            </w:pPr>
            <w:r>
              <w:rPr>
                <w:rFonts w:ascii="Arial" w:cs="Arial" w:eastAsia="Arial" w:hAnsi="Arial"/>
                <w:sz w:val="18"/>
                <w:szCs w:val="18"/>
                <w:color w:val="auto"/>
              </w:rPr>
              <w:t>incorporation or organization)</w:t>
            </w:r>
          </w:p>
        </w:tc>
        <w:tc>
          <w:tcPr>
            <w:tcW w:w="4780" w:type="dxa"/>
            <w:vAlign w:val="bottom"/>
          </w:tcPr>
          <w:p>
            <w:pPr>
              <w:spacing w:after="0"/>
              <w:rPr>
                <w:sz w:val="18"/>
                <w:szCs w:val="18"/>
                <w:color w:val="auto"/>
              </w:rPr>
            </w:pPr>
          </w:p>
        </w:tc>
      </w:tr>
      <w:tr>
        <w:trPr>
          <w:trHeight w:val="392"/>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216 Airport Drive, Rochester, New Hampshire</w:t>
            </w:r>
          </w:p>
        </w:tc>
        <w:tc>
          <w:tcPr>
            <w:tcW w:w="4780" w:type="dxa"/>
            <w:vAlign w:val="bottom"/>
          </w:tcPr>
          <w:p>
            <w:pPr>
              <w:jc w:val="right"/>
              <w:ind w:right="2030"/>
              <w:spacing w:after="0"/>
              <w:rPr>
                <w:sz w:val="20"/>
                <w:szCs w:val="20"/>
                <w:color w:val="auto"/>
              </w:rPr>
            </w:pPr>
            <w:r>
              <w:rPr>
                <w:rFonts w:ascii="Arial" w:cs="Arial" w:eastAsia="Arial" w:hAnsi="Arial"/>
                <w:sz w:val="18"/>
                <w:szCs w:val="18"/>
                <w:color w:val="auto"/>
              </w:rPr>
              <w:t>03867</w:t>
            </w:r>
          </w:p>
        </w:tc>
      </w:tr>
      <w:tr>
        <w:trPr>
          <w:trHeight w:val="210"/>
        </w:trPr>
        <w:tc>
          <w:tcPr>
            <w:tcW w:w="5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380" w:type="dxa"/>
            <w:vAlign w:val="bottom"/>
          </w:tcPr>
          <w:p>
            <w:pPr>
              <w:spacing w:after="0"/>
              <w:rPr>
                <w:sz w:val="18"/>
                <w:szCs w:val="18"/>
                <w:color w:val="auto"/>
              </w:rPr>
            </w:pPr>
          </w:p>
        </w:tc>
        <w:tc>
          <w:tcPr>
            <w:tcW w:w="478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04" w:lineRule="exact"/>
        <w:rPr>
          <w:sz w:val="24"/>
          <w:szCs w:val="24"/>
          <w:color w:val="auto"/>
        </w:rPr>
      </w:pPr>
    </w:p>
    <w:p>
      <w:pPr>
        <w:ind w:right="8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203" w:lineRule="exact"/>
        <w:rPr>
          <w:sz w:val="24"/>
          <w:szCs w:val="24"/>
          <w:color w:val="auto"/>
        </w:rPr>
      </w:pPr>
    </w:p>
    <w:p>
      <w:pPr>
        <w:ind w:right="60"/>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203" w:lineRule="exact"/>
        <w:rPr>
          <w:sz w:val="24"/>
          <w:szCs w:val="24"/>
          <w:color w:val="auto"/>
        </w:rPr>
      </w:pPr>
    </w:p>
    <w:p>
      <w:pPr>
        <w:ind w:right="400"/>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25" w:right="239" w:bottom="1440" w:gutter="0" w:footer="0" w:header="0"/>
        </w:sectPr>
      </w:pPr>
    </w:p>
    <w:p>
      <w:pPr>
        <w:spacing w:after="0" w:line="183" w:lineRule="exact"/>
        <w:rPr>
          <w:sz w:val="24"/>
          <w:szCs w:val="24"/>
          <w:color w:val="auto"/>
        </w:rPr>
      </w:pPr>
    </w:p>
    <w:p>
      <w:pPr>
        <w:ind w:right="380"/>
        <w:spacing w:after="0" w:line="275"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 √ ]</w:t>
      </w:r>
    </w:p>
    <w:p>
      <w:pPr>
        <w:spacing w:after="0"/>
        <w:tabs>
          <w:tab w:leader="none" w:pos="22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198" w:lineRule="exact"/>
        <w:rPr>
          <w:sz w:val="24"/>
          <w:szCs w:val="24"/>
          <w:color w:val="auto"/>
        </w:rPr>
      </w:pPr>
    </w:p>
    <w:p>
      <w:pPr>
        <w:sectPr>
          <w:pgSz w:w="11900" w:h="16838" w:orient="portrait"/>
          <w:cols w:equalWidth="0" w:num="5">
            <w:col w:w="2160" w:space="720"/>
            <w:col w:w="2120" w:space="720"/>
            <w:col w:w="2700" w:space="720"/>
            <w:col w:w="40" w:space="200"/>
            <w:col w:w="2040"/>
          </w:cols>
          <w:pgMar w:left="240" w:top="225" w:right="239" w:bottom="1440" w:gutter="0" w:footer="0" w:header="0"/>
          <w:type w:val="continuous"/>
        </w:sectPr>
      </w:pPr>
    </w:p>
    <w:p>
      <w:pPr>
        <w:spacing w:after="0"/>
        <w:tabs>
          <w:tab w:leader="none" w:pos="9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tab/>
        <w:t>] No [ √ ]</w:t>
      </w:r>
    </w:p>
    <w:p>
      <w:pPr>
        <w:spacing w:after="0" w:line="198"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The registrant had 28.9 million shares of Class A Common Stock and 3.2 million shares of Class B Common Stock outstanding as of October 24, 2016.</w:t>
      </w:r>
    </w:p>
    <w:p>
      <w:pPr>
        <w:spacing w:after="0" w:line="40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5"/>
              </w:rPr>
              <w:t>Page</w:t>
            </w:r>
          </w:p>
        </w:tc>
      </w:tr>
      <w:tr>
        <w:trPr>
          <w:trHeight w:val="203"/>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No.</w:t>
            </w:r>
          </w:p>
        </w:tc>
      </w:tr>
      <w:tr>
        <w:trPr>
          <w:trHeight w:val="412"/>
        </w:trPr>
        <w:tc>
          <w:tcPr>
            <w:tcW w:w="10980" w:type="dxa"/>
            <w:vAlign w:val="bottom"/>
            <w:gridSpan w:val="20"/>
          </w:tcPr>
          <w:p>
            <w:pPr>
              <w:ind w:left="100"/>
              <w:spacing w:after="0"/>
              <w:rPr>
                <w:sz w:val="20"/>
                <w:szCs w:val="20"/>
                <w:color w:val="auto"/>
              </w:rPr>
            </w:pPr>
            <w:r>
              <w:rPr>
                <w:rFonts w:ascii="Arial" w:cs="Arial" w:eastAsia="Arial" w:hAnsi="Arial"/>
                <w:sz w:val="18"/>
                <w:szCs w:val="18"/>
                <w:b w:val="1"/>
                <w:bCs w:val="1"/>
                <w:color w:val="auto"/>
              </w:rPr>
              <w:t>Part I Financial information</w:t>
            </w:r>
          </w:p>
        </w:tc>
        <w:tc>
          <w:tcPr>
            <w:tcW w:w="440" w:type="dxa"/>
            <w:vAlign w:val="bottom"/>
          </w:tcPr>
          <w:p>
            <w:pPr>
              <w:spacing w:after="0"/>
              <w:rPr>
                <w:sz w:val="24"/>
                <w:szCs w:val="24"/>
                <w:color w:val="auto"/>
              </w:rPr>
            </w:pPr>
          </w:p>
        </w:tc>
      </w:tr>
      <w:tr>
        <w:trPr>
          <w:trHeight w:val="39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w:t>
              </w:r>
            </w:hyperlink>
          </w:p>
        </w:tc>
        <w:tc>
          <w:tcPr>
            <w:tcW w:w="824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8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 three and nine months ended September 30, 2016 and 2015</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8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income/(loss) – three and nine months ended September 30, 2016 and 2015</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sheets – September 30, 2016 and December 31, 2015</w:t>
              </w:r>
            </w:hyperlink>
          </w:p>
        </w:tc>
        <w:tc>
          <w:tcPr>
            <w:tcW w:w="3460" w:type="dxa"/>
            <w:vAlign w:val="bottom"/>
            <w:tcBorders>
              <w:top w:val="single" w:sz="8" w:color="0000EE"/>
            </w:tcBorders>
            <w:gridSpan w:val="4"/>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8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and nine months ended September 30, 2016 and 2015</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consolidated financial statements</w:t>
              </w:r>
            </w:hyperlink>
          </w:p>
        </w:tc>
        <w:tc>
          <w:tcPr>
            <w:tcW w:w="4720" w:type="dxa"/>
            <w:vAlign w:val="bottom"/>
            <w:tcBorders>
              <w:top w:val="single" w:sz="8" w:color="0000EE"/>
            </w:tcBorders>
            <w:gridSpan w:val="6"/>
          </w:tcPr>
          <w:p>
            <w:pPr>
              <w:spacing w:after="0"/>
              <w:rPr>
                <w:sz w:val="17"/>
                <w:szCs w:val="17"/>
                <w:color w:val="auto"/>
              </w:rPr>
            </w:pPr>
          </w:p>
        </w:tc>
        <w:tc>
          <w:tcPr>
            <w:tcW w:w="228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768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Item 2. Management’s Discussion and Analysis of Financial Condition and Results of Operations</w:t>
              </w:r>
            </w:hyperlink>
          </w:p>
        </w:tc>
        <w:tc>
          <w:tcPr>
            <w:tcW w:w="284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4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222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Forward-looking statements</w:t>
              </w:r>
            </w:hyperlink>
          </w:p>
        </w:tc>
        <w:tc>
          <w:tcPr>
            <w:tcW w:w="830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20" w:type="dxa"/>
            <w:vAlign w:val="bottom"/>
            <w:gridSpan w:val="1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3. Quantitative and Qualitative Disclosures about Market Risk</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4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4. Controls and Procedures</w:t>
              </w:r>
            </w:hyperlink>
          </w:p>
        </w:tc>
        <w:tc>
          <w:tcPr>
            <w:tcW w:w="524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9"/>
        </w:trPr>
        <w:tc>
          <w:tcPr>
            <w:tcW w:w="10980" w:type="dxa"/>
            <w:vAlign w:val="bottom"/>
            <w:gridSpan w:val="20"/>
          </w:tcPr>
          <w:p>
            <w:pPr>
              <w:ind w:left="100"/>
              <w:spacing w:after="0"/>
              <w:rPr>
                <w:sz w:val="20"/>
                <w:szCs w:val="20"/>
                <w:color w:val="auto"/>
              </w:rPr>
            </w:pPr>
            <w:r>
              <w:rPr>
                <w:rFonts w:ascii="Arial" w:cs="Arial" w:eastAsia="Arial" w:hAnsi="Arial"/>
                <w:sz w:val="18"/>
                <w:szCs w:val="18"/>
                <w:b w:val="1"/>
                <w:bCs w:val="1"/>
                <w:color w:val="auto"/>
              </w:rPr>
              <w:t>Part II Other Information</w:t>
            </w:r>
          </w:p>
        </w:tc>
        <w:tc>
          <w:tcPr>
            <w:tcW w:w="440" w:type="dxa"/>
            <w:vAlign w:val="bottom"/>
          </w:tcPr>
          <w:p>
            <w:pPr>
              <w:spacing w:after="0"/>
              <w:rPr>
                <w:sz w:val="24"/>
                <w:szCs w:val="24"/>
                <w:color w:val="auto"/>
              </w:rPr>
            </w:pPr>
          </w:p>
        </w:tc>
      </w:tr>
      <w:tr>
        <w:trPr>
          <w:trHeight w:val="392"/>
        </w:trPr>
        <w:tc>
          <w:tcPr>
            <w:tcW w:w="10980" w:type="dxa"/>
            <w:vAlign w:val="bottom"/>
            <w:gridSpan w:val="20"/>
          </w:tcPr>
          <w:p>
            <w:pPr>
              <w:ind w:left="440"/>
              <w:spacing w:after="0"/>
              <w:rPr>
                <w:rFonts w:ascii="Arial" w:cs="Arial" w:eastAsia="Arial" w:hAnsi="Arial"/>
                <w:sz w:val="18"/>
                <w:szCs w:val="18"/>
                <w:color w:val="0000EE"/>
              </w:rPr>
            </w:pPr>
            <w:hyperlink w:anchor="page49">
              <w:r>
                <w:rPr>
                  <w:rFonts w:ascii="Arial" w:cs="Arial" w:eastAsia="Arial" w:hAnsi="Arial"/>
                  <w:sz w:val="18"/>
                  <w:szCs w:val="18"/>
                  <w:color w:val="0000EE"/>
                </w:rPr>
                <w:t>Item 1. 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196"/>
        </w:trPr>
        <w:tc>
          <w:tcPr>
            <w:tcW w:w="440" w:type="dxa"/>
            <w:vAlign w:val="bottom"/>
          </w:tcPr>
          <w:p>
            <w:pPr>
              <w:spacing w:after="0"/>
              <w:rPr>
                <w:sz w:val="17"/>
                <w:szCs w:val="17"/>
                <w:color w:val="auto"/>
              </w:rPr>
            </w:pPr>
          </w:p>
        </w:tc>
        <w:tc>
          <w:tcPr>
            <w:tcW w:w="20" w:type="dxa"/>
            <w:vAlign w:val="bottom"/>
            <w:tcBorders>
              <w:top w:val="single" w:sz="8" w:color="0000EE"/>
              <w:bottom w:val="single" w:sz="8" w:color="0000EE"/>
            </w:tcBorders>
          </w:tcPr>
          <w:p>
            <w:pPr>
              <w:spacing w:after="0"/>
              <w:rPr>
                <w:sz w:val="17"/>
                <w:szCs w:val="17"/>
                <w:color w:val="auto"/>
              </w:rPr>
            </w:pPr>
          </w:p>
        </w:tc>
        <w:tc>
          <w:tcPr>
            <w:tcW w:w="1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8"/>
              </w:rPr>
            </w:pPr>
            <w:hyperlink w:anchor="page49">
              <w:r>
                <w:rPr>
                  <w:rFonts w:ascii="Arial" w:cs="Arial" w:eastAsia="Arial" w:hAnsi="Arial"/>
                  <w:sz w:val="18"/>
                  <w:szCs w:val="18"/>
                  <w:color w:val="0000EE"/>
                  <w:w w:val="98"/>
                </w:rPr>
                <w:t>Item 1A. Risk Factors</w:t>
              </w:r>
            </w:hyperlink>
          </w:p>
        </w:tc>
        <w:tc>
          <w:tcPr>
            <w:tcW w:w="340" w:type="dxa"/>
            <w:vAlign w:val="bottom"/>
            <w:tcBorders>
              <w:top w:val="single" w:sz="8" w:color="0000EE"/>
            </w:tcBorders>
            <w:gridSpan w:val="2"/>
          </w:tcPr>
          <w:p>
            <w:pPr>
              <w:spacing w:after="0"/>
              <w:rPr>
                <w:sz w:val="17"/>
                <w:szCs w:val="17"/>
                <w:color w:val="auto"/>
              </w:rPr>
            </w:pPr>
          </w:p>
        </w:tc>
        <w:tc>
          <w:tcPr>
            <w:tcW w:w="846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20" w:type="dxa"/>
            <w:vAlign w:val="bottom"/>
            <w:gridSpan w:val="1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2. Unregistered Sales of Equity Securities and Use of Proceeds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440" w:type="dxa"/>
            <w:vAlign w:val="bottom"/>
          </w:tcPr>
          <w:p>
            <w:pPr>
              <w:spacing w:after="0"/>
              <w:rPr>
                <w:sz w:val="17"/>
                <w:szCs w:val="17"/>
                <w:color w:val="auto"/>
              </w:rPr>
            </w:pPr>
          </w:p>
        </w:tc>
        <w:tc>
          <w:tcPr>
            <w:tcW w:w="20" w:type="dxa"/>
            <w:vAlign w:val="bottom"/>
            <w:tcBorders>
              <w:top w:val="single" w:sz="8" w:color="0000EE"/>
              <w:bottom w:val="single" w:sz="8" w:color="0000EE"/>
            </w:tcBorders>
          </w:tcPr>
          <w:p>
            <w:pPr>
              <w:spacing w:after="0"/>
              <w:rPr>
                <w:sz w:val="17"/>
                <w:szCs w:val="17"/>
                <w:color w:val="auto"/>
              </w:rPr>
            </w:pPr>
          </w:p>
        </w:tc>
        <w:tc>
          <w:tcPr>
            <w:tcW w:w="31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Item 3. Defaults upon Senior Securities</w:t>
              </w:r>
            </w:hyperlink>
          </w:p>
        </w:tc>
        <w:tc>
          <w:tcPr>
            <w:tcW w:w="2320" w:type="dxa"/>
            <w:vAlign w:val="bottom"/>
            <w:tcBorders>
              <w:top w:val="single" w:sz="8" w:color="0000EE"/>
            </w:tcBorders>
            <w:gridSpan w:val="3"/>
          </w:tcPr>
          <w:p>
            <w:pPr>
              <w:spacing w:after="0"/>
              <w:rPr>
                <w:sz w:val="17"/>
                <w:szCs w:val="17"/>
                <w:color w:val="auto"/>
              </w:rPr>
            </w:pPr>
          </w:p>
        </w:tc>
        <w:tc>
          <w:tcPr>
            <w:tcW w:w="508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20" w:type="dxa"/>
            <w:vAlign w:val="bottom"/>
            <w:gridSpan w:val="1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4. Mine Safety Disclosures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440" w:type="dxa"/>
            <w:vAlign w:val="bottom"/>
          </w:tcPr>
          <w:p>
            <w:pPr>
              <w:spacing w:after="0"/>
              <w:rPr>
                <w:sz w:val="17"/>
                <w:szCs w:val="17"/>
                <w:color w:val="auto"/>
              </w:rPr>
            </w:pPr>
          </w:p>
        </w:tc>
        <w:tc>
          <w:tcPr>
            <w:tcW w:w="20" w:type="dxa"/>
            <w:vAlign w:val="bottom"/>
            <w:tcBorders>
              <w:top w:val="single" w:sz="8" w:color="0000EE"/>
              <w:bottom w:val="single" w:sz="8" w:color="0000EE"/>
            </w:tcBorders>
          </w:tcPr>
          <w:p>
            <w:pPr>
              <w:spacing w:after="0"/>
              <w:rPr>
                <w:sz w:val="17"/>
                <w:szCs w:val="17"/>
                <w:color w:val="auto"/>
              </w:rPr>
            </w:pPr>
          </w:p>
        </w:tc>
        <w:tc>
          <w:tcPr>
            <w:tcW w:w="2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8"/>
              </w:rPr>
            </w:pPr>
            <w:hyperlink w:anchor="page49">
              <w:r>
                <w:rPr>
                  <w:rFonts w:ascii="Arial" w:cs="Arial" w:eastAsia="Arial" w:hAnsi="Arial"/>
                  <w:sz w:val="18"/>
                  <w:szCs w:val="18"/>
                  <w:color w:val="0000EE"/>
                  <w:w w:val="98"/>
                </w:rPr>
                <w:t>Item 5. Other Information</w:t>
              </w:r>
            </w:hyperlink>
          </w:p>
        </w:tc>
        <w:tc>
          <w:tcPr>
            <w:tcW w:w="580" w:type="dxa"/>
            <w:vAlign w:val="bottom"/>
            <w:tcBorders>
              <w:top w:val="single" w:sz="8" w:color="0000EE"/>
            </w:tcBorders>
            <w:gridSpan w:val="4"/>
          </w:tcPr>
          <w:p>
            <w:pPr>
              <w:spacing w:after="0"/>
              <w:rPr>
                <w:sz w:val="17"/>
                <w:szCs w:val="17"/>
                <w:color w:val="auto"/>
              </w:rPr>
            </w:pPr>
          </w:p>
        </w:tc>
        <w:tc>
          <w:tcPr>
            <w:tcW w:w="794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520" w:type="dxa"/>
            <w:vAlign w:val="bottom"/>
            <w:gridSpan w:val="1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6. Exhibits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642"/>
        </w:trPr>
        <w:tc>
          <w:tcPr>
            <w:tcW w:w="460" w:type="dxa"/>
            <w:vAlign w:val="bottom"/>
            <w:gridSpan w:val="2"/>
          </w:tcPr>
          <w:p>
            <w:pPr>
              <w:spacing w:after="0"/>
              <w:rPr>
                <w:sz w:val="24"/>
                <w:szCs w:val="24"/>
                <w:color w:val="auto"/>
              </w:rPr>
            </w:pPr>
          </w:p>
        </w:tc>
        <w:tc>
          <w:tcPr>
            <w:tcW w:w="1220" w:type="dxa"/>
            <w:vAlign w:val="bottom"/>
            <w:tcBorders>
              <w:top w:val="single" w:sz="8" w:color="0000EE"/>
            </w:tcBorders>
            <w:gridSpan w:val="2"/>
          </w:tcPr>
          <w:p>
            <w:pPr>
              <w:spacing w:after="0"/>
              <w:rPr>
                <w:sz w:val="24"/>
                <w:szCs w:val="24"/>
                <w:color w:val="auto"/>
              </w:rPr>
            </w:pPr>
          </w:p>
        </w:tc>
        <w:tc>
          <w:tcPr>
            <w:tcW w:w="4220" w:type="dxa"/>
            <w:vAlign w:val="bottom"/>
            <w:gridSpan w:val="10"/>
          </w:tcPr>
          <w:p>
            <w:pPr>
              <w:jc w:val="right"/>
              <w:ind w:right="100"/>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65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7700" w:type="dxa"/>
            <w:vAlign w:val="bottom"/>
            <w:gridSpan w:val="6"/>
          </w:tcPr>
          <w:p>
            <w:pPr>
              <w:jc w:val="center"/>
              <w:ind w:left="3590"/>
              <w:spacing w:after="0"/>
              <w:rPr>
                <w:sz w:val="20"/>
                <w:szCs w:val="20"/>
                <w:color w:val="auto"/>
              </w:rPr>
            </w:pPr>
            <w:r>
              <w:rPr>
                <w:rFonts w:ascii="Arial" w:cs="Arial" w:eastAsia="Arial" w:hAnsi="Arial"/>
                <w:sz w:val="18"/>
                <w:szCs w:val="18"/>
                <w:color w:val="auto"/>
                <w:w w:val="98"/>
              </w:rPr>
              <w:t>ALBANY INTERNATIONAL CORP.</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gridSpan w:val="6"/>
          </w:tcPr>
          <w:p>
            <w:pPr>
              <w:jc w:val="center"/>
              <w:ind w:left="3590"/>
              <w:spacing w:after="0" w:line="202" w:lineRule="exact"/>
              <w:rPr>
                <w:sz w:val="20"/>
                <w:szCs w:val="20"/>
                <w:color w:val="auto"/>
              </w:rPr>
            </w:pPr>
            <w:r>
              <w:rPr>
                <w:rFonts w:ascii="Arial" w:cs="Arial" w:eastAsia="Arial" w:hAnsi="Arial"/>
                <w:sz w:val="18"/>
                <w:szCs w:val="18"/>
                <w:color w:val="auto"/>
                <w:w w:val="98"/>
              </w:rPr>
              <w:t>CONSOLIDATED STATEMENTS OF INCOME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00" w:type="dxa"/>
            <w:vAlign w:val="bottom"/>
            <w:gridSpan w:val="6"/>
          </w:tcPr>
          <w:p>
            <w:pPr>
              <w:jc w:val="center"/>
              <w:ind w:left="3590"/>
              <w:spacing w:after="0" w:line="202" w:lineRule="exact"/>
              <w:rPr>
                <w:sz w:val="20"/>
                <w:szCs w:val="20"/>
                <w:color w:val="auto"/>
              </w:rPr>
            </w:pPr>
            <w:r>
              <w:rPr>
                <w:rFonts w:ascii="Arial" w:cs="Arial" w:eastAsia="Arial" w:hAnsi="Arial"/>
                <w:sz w:val="18"/>
                <w:szCs w:val="18"/>
                <w:color w:val="auto"/>
                <w:w w:val="99"/>
              </w:rPr>
              <w:t>(in thousands, except per share data)</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gridSpan w:val="2"/>
          </w:tcPr>
          <w:p>
            <w:pPr>
              <w:jc w:val="center"/>
              <w:ind w:left="4990"/>
              <w:spacing w:after="0"/>
              <w:rPr>
                <w:sz w:val="20"/>
                <w:szCs w:val="20"/>
                <w:color w:val="auto"/>
              </w:rPr>
            </w:pPr>
            <w:r>
              <w:rPr>
                <w:rFonts w:ascii="Arial" w:cs="Arial" w:eastAsia="Arial" w:hAnsi="Arial"/>
                <w:sz w:val="18"/>
                <w:szCs w:val="18"/>
                <w:color w:val="auto"/>
                <w:w w:val="98"/>
              </w:rPr>
              <w:t>(unaudited)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8"/>
          </w:tcPr>
          <w:p>
            <w:pPr>
              <w:jc w:val="center"/>
              <w:ind w:right="680"/>
              <w:spacing w:after="0"/>
              <w:rPr>
                <w:sz w:val="20"/>
                <w:szCs w:val="20"/>
                <w:color w:val="auto"/>
              </w:rPr>
            </w:pPr>
            <w:r>
              <w:rPr>
                <w:rFonts w:ascii="Arial" w:cs="Arial" w:eastAsia="Arial" w:hAnsi="Arial"/>
                <w:sz w:val="18"/>
                <w:szCs w:val="18"/>
                <w:color w:val="auto"/>
                <w:w w:val="99"/>
              </w:rPr>
              <w:t>Three Months Ended</w:t>
            </w: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color w:val="auto"/>
                <w:w w:val="99"/>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8"/>
          </w:tcPr>
          <w:p>
            <w:pPr>
              <w:jc w:val="center"/>
              <w:ind w:right="700"/>
              <w:spacing w:after="0"/>
              <w:rPr>
                <w:sz w:val="20"/>
                <w:szCs w:val="20"/>
                <w:color w:val="auto"/>
              </w:rPr>
            </w:pPr>
            <w:r>
              <w:rPr>
                <w:rFonts w:ascii="Arial" w:cs="Arial" w:eastAsia="Arial" w:hAnsi="Arial"/>
                <w:sz w:val="18"/>
                <w:szCs w:val="18"/>
                <w:color w:val="auto"/>
                <w:w w:val="99"/>
              </w:rPr>
              <w:t>September 30,</w:t>
            </w: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color w:val="auto"/>
                <w:w w:val="99"/>
              </w:rPr>
              <w:t>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gridSpan w:val="2"/>
            <w:shd w:val="clear" w:color="auto" w:fill="BFBFBF"/>
          </w:tcPr>
          <w:p>
            <w:pPr>
              <w:spacing w:after="0" w:line="202" w:lineRule="exact"/>
              <w:rPr>
                <w:sz w:val="20"/>
                <w:szCs w:val="20"/>
                <w:color w:val="auto"/>
              </w:rPr>
            </w:pPr>
            <w:r>
              <w:rPr>
                <w:rFonts w:ascii="Arial" w:cs="Arial" w:eastAsia="Arial" w:hAnsi="Arial"/>
                <w:sz w:val="18"/>
                <w:szCs w:val="18"/>
                <w:color w:val="auto"/>
              </w:rPr>
              <w:t>Net sales</w:t>
            </w:r>
          </w:p>
        </w:tc>
        <w:tc>
          <w:tcPr>
            <w:tcW w:w="10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$191,272</w:t>
            </w:r>
          </w:p>
        </w:tc>
        <w:tc>
          <w:tcPr>
            <w:tcW w:w="12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10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$178,789</w:t>
            </w:r>
          </w:p>
        </w:tc>
        <w:tc>
          <w:tcPr>
            <w:tcW w:w="10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$566,793</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$532,402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900" w:type="dxa"/>
            <w:vAlign w:val="bottom"/>
          </w:tcPr>
          <w:p>
            <w:pPr>
              <w:jc w:val="right"/>
              <w:spacing w:after="0"/>
              <w:rPr>
                <w:sz w:val="20"/>
                <w:szCs w:val="20"/>
                <w:color w:val="auto"/>
              </w:rPr>
            </w:pPr>
            <w:r>
              <w:rPr>
                <w:rFonts w:ascii="Arial" w:cs="Arial" w:eastAsia="Arial" w:hAnsi="Arial"/>
                <w:sz w:val="18"/>
                <w:szCs w:val="18"/>
                <w:color w:val="auto"/>
              </w:rPr>
              <w:t>118,852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103,045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343,557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325,382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Borders>
              <w:top w:val="single" w:sz="8" w:color="BFBFBF"/>
            </w:tcBorders>
            <w:shd w:val="clear" w:color="auto" w:fill="BFBFBF"/>
          </w:tcPr>
          <w:p>
            <w:pPr>
              <w:spacing w:after="0"/>
              <w:rPr>
                <w:sz w:val="17"/>
                <w:szCs w:val="17"/>
                <w:color w:val="auto"/>
              </w:rPr>
            </w:pPr>
          </w:p>
        </w:tc>
        <w:tc>
          <w:tcPr>
            <w:tcW w:w="240" w:type="dxa"/>
            <w:vAlign w:val="bottom"/>
            <w:tcBorders>
              <w:top w:val="single" w:sz="8" w:color="auto"/>
            </w:tcBorders>
            <w:shd w:val="clear" w:color="auto" w:fill="BFBFBF"/>
          </w:tcPr>
          <w:p>
            <w:pPr>
              <w:spacing w:after="0"/>
              <w:rPr>
                <w:sz w:val="17"/>
                <w:szCs w:val="17"/>
                <w:color w:val="auto"/>
              </w:rPr>
            </w:pPr>
          </w:p>
        </w:tc>
        <w:tc>
          <w:tcPr>
            <w:tcW w:w="90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260" w:type="dxa"/>
            <w:vAlign w:val="bottom"/>
            <w:tcBorders>
              <w:top w:val="single" w:sz="8" w:color="auto"/>
            </w:tcBorders>
            <w:shd w:val="clear" w:color="auto" w:fill="BFBFBF"/>
          </w:tcPr>
          <w:p>
            <w:pPr>
              <w:spacing w:after="0"/>
              <w:rPr>
                <w:sz w:val="17"/>
                <w:szCs w:val="17"/>
                <w:color w:val="auto"/>
              </w:rPr>
            </w:pPr>
          </w:p>
        </w:tc>
        <w:tc>
          <w:tcPr>
            <w:tcW w:w="900" w:type="dxa"/>
            <w:vAlign w:val="bottom"/>
            <w:tcBorders>
              <w:top w:val="single" w:sz="8" w:color="auto"/>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340" w:type="dxa"/>
            <w:vAlign w:val="bottom"/>
            <w:tcBorders>
              <w:top w:val="single" w:sz="8" w:color="auto"/>
            </w:tcBorders>
            <w:shd w:val="clear" w:color="auto" w:fill="BFBFBF"/>
          </w:tcPr>
          <w:p>
            <w:pPr>
              <w:spacing w:after="0"/>
              <w:rPr>
                <w:sz w:val="17"/>
                <w:szCs w:val="17"/>
                <w:color w:val="auto"/>
              </w:rPr>
            </w:pPr>
          </w:p>
        </w:tc>
        <w:tc>
          <w:tcPr>
            <w:tcW w:w="800" w:type="dxa"/>
            <w:vAlign w:val="bottom"/>
            <w:tcBorders>
              <w:top w:val="single" w:sz="8" w:color="auto"/>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140" w:type="dxa"/>
            <w:vAlign w:val="bottom"/>
            <w:tcBorders>
              <w:top w:val="single" w:sz="8" w:color="auto"/>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72,420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75,744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223,236</w:t>
            </w:r>
          </w:p>
        </w:tc>
        <w:tc>
          <w:tcPr>
            <w:tcW w:w="1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207,020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2"/>
            <w:shd w:val="clear" w:color="auto" w:fill="BFBFBF"/>
          </w:tcPr>
          <w:p>
            <w:pPr>
              <w:ind w:left="1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38,042</w:t>
            </w:r>
          </w:p>
        </w:tc>
        <w:tc>
          <w:tcPr>
            <w:tcW w:w="12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10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35,509</w:t>
            </w:r>
          </w:p>
        </w:tc>
        <w:tc>
          <w:tcPr>
            <w:tcW w:w="10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120,997</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110,674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9,232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29,640</w:t>
            </w:r>
          </w:p>
        </w:tc>
        <w:tc>
          <w:tcPr>
            <w:tcW w:w="1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BFBFBF"/>
          </w:tcPr>
          <w:p>
            <w:pPr>
              <w:ind w:left="140"/>
              <w:spacing w:after="0"/>
              <w:rPr>
                <w:sz w:val="20"/>
                <w:szCs w:val="20"/>
                <w:color w:val="auto"/>
              </w:rPr>
            </w:pPr>
            <w:r>
              <w:rPr>
                <w:rFonts w:ascii="Arial" w:cs="Arial" w:eastAsia="Arial" w:hAnsi="Arial"/>
                <w:sz w:val="18"/>
                <w:szCs w:val="18"/>
                <w:color w:val="auto"/>
              </w:rPr>
              <w:t>Restructuring expenses, net</w:t>
            </w:r>
          </w:p>
        </w:tc>
        <w:tc>
          <w:tcPr>
            <w:tcW w:w="9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260" w:type="dxa"/>
            <w:vAlign w:val="bottom"/>
            <w:shd w:val="clear" w:color="auto" w:fill="BFBFBF"/>
          </w:tcPr>
          <w:p>
            <w:pPr>
              <w:spacing w:after="0"/>
              <w:rPr>
                <w:sz w:val="18"/>
                <w:szCs w:val="18"/>
                <w:color w:val="auto"/>
              </w:rPr>
            </w:pPr>
          </w:p>
        </w:tc>
        <w:tc>
          <w:tcPr>
            <w:tcW w:w="100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BFBFBF"/>
          </w:tcPr>
          <w:p>
            <w:pPr>
              <w:spacing w:after="0"/>
              <w:rPr>
                <w:sz w:val="18"/>
                <w:szCs w:val="18"/>
                <w:color w:val="auto"/>
              </w:rPr>
            </w:pPr>
          </w:p>
        </w:tc>
        <w:tc>
          <w:tcPr>
            <w:tcW w:w="340" w:type="dxa"/>
            <w:vAlign w:val="bottom"/>
            <w:shd w:val="clear" w:color="auto" w:fill="BFBFBF"/>
          </w:tcPr>
          <w:p>
            <w:pPr>
              <w:spacing w:after="0"/>
              <w:rPr>
                <w:sz w:val="18"/>
                <w:szCs w:val="18"/>
                <w:color w:val="auto"/>
              </w:rPr>
            </w:pPr>
          </w:p>
        </w:tc>
        <w:tc>
          <w:tcPr>
            <w:tcW w:w="90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7,653</w:t>
            </w:r>
          </w:p>
        </w:tc>
        <w:tc>
          <w:tcPr>
            <w:tcW w:w="120" w:type="dxa"/>
            <w:vAlign w:val="bottom"/>
            <w:shd w:val="clear" w:color="auto" w:fill="BFBFBF"/>
          </w:tcPr>
          <w:p>
            <w:pPr>
              <w:spacing w:after="0"/>
              <w:rPr>
                <w:sz w:val="18"/>
                <w:szCs w:val="18"/>
                <w:color w:val="auto"/>
              </w:rPr>
            </w:pPr>
          </w:p>
        </w:tc>
        <w:tc>
          <w:tcPr>
            <w:tcW w:w="124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13,929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gridSpan w:val="2"/>
            <w:shd w:val="clear" w:color="auto" w:fill="BFBFBF"/>
          </w:tcPr>
          <w:p>
            <w:pPr>
              <w:spacing w:after="0" w:line="202" w:lineRule="exact"/>
              <w:rPr>
                <w:sz w:val="20"/>
                <w:szCs w:val="20"/>
                <w:color w:val="auto"/>
              </w:rPr>
            </w:pPr>
            <w:r>
              <w:rPr>
                <w:rFonts w:ascii="Arial" w:cs="Arial" w:eastAsia="Arial" w:hAnsi="Arial"/>
                <w:sz w:val="18"/>
                <w:szCs w:val="18"/>
                <w:color w:val="auto"/>
              </w:rPr>
              <w:t>Operating income</w:t>
            </w:r>
          </w:p>
        </w:tc>
        <w:tc>
          <w:tcPr>
            <w:tcW w:w="10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24,820</w:t>
            </w:r>
          </w:p>
        </w:tc>
        <w:tc>
          <w:tcPr>
            <w:tcW w:w="12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10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25,843</w:t>
            </w:r>
          </w:p>
        </w:tc>
        <w:tc>
          <w:tcPr>
            <w:tcW w:w="10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64,946</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49,030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Interest expense, net</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9,610</w:t>
            </w:r>
          </w:p>
        </w:tc>
        <w:tc>
          <w:tcPr>
            <w:tcW w:w="1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BFBFBF"/>
          </w:tcPr>
          <w:p>
            <w:pPr>
              <w:ind w:left="140"/>
              <w:spacing w:after="0"/>
              <w:rPr>
                <w:sz w:val="20"/>
                <w:szCs w:val="20"/>
                <w:color w:val="auto"/>
              </w:rPr>
            </w:pPr>
            <w:r>
              <w:rPr>
                <w:rFonts w:ascii="Arial" w:cs="Arial" w:eastAsia="Arial" w:hAnsi="Arial"/>
                <w:sz w:val="18"/>
                <w:szCs w:val="18"/>
                <w:color w:val="auto"/>
              </w:rPr>
              <w:t>Other (income)/expense, net</w:t>
            </w:r>
          </w:p>
        </w:tc>
        <w:tc>
          <w:tcPr>
            <w:tcW w:w="9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260" w:type="dxa"/>
            <w:vAlign w:val="bottom"/>
            <w:shd w:val="clear" w:color="auto" w:fill="BFBFBF"/>
          </w:tcPr>
          <w:p>
            <w:pPr>
              <w:spacing w:after="0"/>
              <w:rPr>
                <w:sz w:val="18"/>
                <w:szCs w:val="18"/>
                <w:color w:val="auto"/>
              </w:rPr>
            </w:pPr>
          </w:p>
        </w:tc>
        <w:tc>
          <w:tcPr>
            <w:tcW w:w="100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BFBFBF"/>
          </w:tcPr>
          <w:p>
            <w:pPr>
              <w:spacing w:after="0"/>
              <w:rPr>
                <w:sz w:val="18"/>
                <w:szCs w:val="18"/>
                <w:color w:val="auto"/>
              </w:rPr>
            </w:pPr>
          </w:p>
        </w:tc>
        <w:tc>
          <w:tcPr>
            <w:tcW w:w="340" w:type="dxa"/>
            <w:vAlign w:val="bottom"/>
            <w:shd w:val="clear" w:color="auto" w:fill="BFBFBF"/>
          </w:tcPr>
          <w:p>
            <w:pPr>
              <w:spacing w:after="0"/>
              <w:rPr>
                <w:sz w:val="18"/>
                <w:szCs w:val="18"/>
                <w:color w:val="auto"/>
              </w:rPr>
            </w:pPr>
          </w:p>
        </w:tc>
        <w:tc>
          <w:tcPr>
            <w:tcW w:w="900" w:type="dxa"/>
            <w:vAlign w:val="bottom"/>
            <w:gridSpan w:val="2"/>
            <w:shd w:val="clear" w:color="auto" w:fill="BFBFBF"/>
          </w:tcPr>
          <w:p>
            <w:pPr>
              <w:jc w:val="right"/>
              <w:ind w:right="40"/>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BFBFBF"/>
          </w:tcPr>
          <w:p>
            <w:pPr>
              <w:spacing w:after="0"/>
              <w:rPr>
                <w:sz w:val="18"/>
                <w:szCs w:val="18"/>
                <w:color w:val="auto"/>
              </w:rPr>
            </w:pPr>
          </w:p>
        </w:tc>
        <w:tc>
          <w:tcPr>
            <w:tcW w:w="124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gridSpan w:val="2"/>
            <w:shd w:val="clear" w:color="auto" w:fill="BFBFB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0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20,897</w:t>
            </w:r>
          </w:p>
        </w:tc>
        <w:tc>
          <w:tcPr>
            <w:tcW w:w="12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10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21,923</w:t>
            </w:r>
          </w:p>
        </w:tc>
        <w:tc>
          <w:tcPr>
            <w:tcW w:w="10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57,439</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40,197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140"/>
              <w:spacing w:after="0"/>
              <w:rPr>
                <w:sz w:val="20"/>
                <w:szCs w:val="20"/>
                <w:color w:val="auto"/>
              </w:rPr>
            </w:pPr>
            <w:r>
              <w:rPr>
                <w:rFonts w:ascii="Arial" w:cs="Arial" w:eastAsia="Arial" w:hAnsi="Arial"/>
                <w:sz w:val="18"/>
                <w:szCs w:val="18"/>
                <w:color w:val="auto"/>
              </w:rPr>
              <w:t>Income tax expense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7,488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20,613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BFBFBF"/>
            </w:tcBorders>
            <w:shd w:val="clear" w:color="auto" w:fill="BFBFBF"/>
          </w:tcPr>
          <w:p>
            <w:pPr>
              <w:spacing w:after="0"/>
              <w:rPr>
                <w:sz w:val="17"/>
                <w:szCs w:val="17"/>
                <w:color w:val="auto"/>
              </w:rPr>
            </w:pPr>
          </w:p>
        </w:tc>
        <w:tc>
          <w:tcPr>
            <w:tcW w:w="240" w:type="dxa"/>
            <w:vAlign w:val="bottom"/>
            <w:tcBorders>
              <w:top w:val="single" w:sz="8" w:color="auto"/>
            </w:tcBorders>
            <w:shd w:val="clear" w:color="auto" w:fill="BFBFBF"/>
          </w:tcPr>
          <w:p>
            <w:pPr>
              <w:spacing w:after="0"/>
              <w:rPr>
                <w:sz w:val="17"/>
                <w:szCs w:val="17"/>
                <w:color w:val="auto"/>
              </w:rPr>
            </w:pPr>
          </w:p>
        </w:tc>
        <w:tc>
          <w:tcPr>
            <w:tcW w:w="900" w:type="dxa"/>
            <w:vAlign w:val="bottom"/>
            <w:tcBorders>
              <w:top w:val="single" w:sz="8" w:color="auto"/>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260" w:type="dxa"/>
            <w:vAlign w:val="bottom"/>
            <w:tcBorders>
              <w:top w:val="single" w:sz="8" w:color="auto"/>
            </w:tcBorders>
            <w:shd w:val="clear" w:color="auto" w:fill="BFBFBF"/>
          </w:tcPr>
          <w:p>
            <w:pPr>
              <w:spacing w:after="0"/>
              <w:rPr>
                <w:sz w:val="17"/>
                <w:szCs w:val="17"/>
                <w:color w:val="auto"/>
              </w:rPr>
            </w:pPr>
          </w:p>
        </w:tc>
        <w:tc>
          <w:tcPr>
            <w:tcW w:w="900" w:type="dxa"/>
            <w:vAlign w:val="bottom"/>
            <w:tcBorders>
              <w:top w:val="single" w:sz="8" w:color="auto"/>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340" w:type="dxa"/>
            <w:vAlign w:val="bottom"/>
            <w:tcBorders>
              <w:top w:val="single" w:sz="8" w:color="auto"/>
            </w:tcBorders>
            <w:shd w:val="clear" w:color="auto" w:fill="BFBFBF"/>
          </w:tcPr>
          <w:p>
            <w:pPr>
              <w:spacing w:after="0"/>
              <w:rPr>
                <w:sz w:val="17"/>
                <w:szCs w:val="17"/>
                <w:color w:val="auto"/>
              </w:rPr>
            </w:pPr>
          </w:p>
        </w:tc>
        <w:tc>
          <w:tcPr>
            <w:tcW w:w="800" w:type="dxa"/>
            <w:vAlign w:val="bottom"/>
            <w:tcBorders>
              <w:top w:val="single" w:sz="8" w:color="auto"/>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140" w:type="dxa"/>
            <w:vAlign w:val="bottom"/>
            <w:tcBorders>
              <w:top w:val="single" w:sz="8" w:color="auto"/>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13,409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36,826</w:t>
            </w:r>
          </w:p>
        </w:tc>
        <w:tc>
          <w:tcPr>
            <w:tcW w:w="1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BFBFBF"/>
          </w:tcPr>
          <w:p>
            <w:pPr>
              <w:spacing w:after="0"/>
              <w:rPr>
                <w:sz w:val="20"/>
                <w:szCs w:val="20"/>
                <w:color w:val="auto"/>
              </w:rPr>
            </w:pPr>
            <w:r>
              <w:rPr>
                <w:rFonts w:ascii="Arial" w:cs="Arial" w:eastAsia="Arial" w:hAnsi="Arial"/>
                <w:sz w:val="18"/>
                <w:szCs w:val="18"/>
                <w:color w:val="auto"/>
              </w:rPr>
              <w:t>Net (loss)/income attributable to the noncontrolling interest</w:t>
            </w:r>
          </w:p>
        </w:tc>
        <w:tc>
          <w:tcPr>
            <w:tcW w:w="240" w:type="dxa"/>
            <w:vAlign w:val="bottom"/>
            <w:shd w:val="clear" w:color="auto" w:fill="BFBFBF"/>
          </w:tcPr>
          <w:p>
            <w:pPr>
              <w:spacing w:after="0"/>
              <w:rPr>
                <w:sz w:val="18"/>
                <w:szCs w:val="18"/>
                <w:color w:val="auto"/>
              </w:rPr>
            </w:pPr>
          </w:p>
        </w:tc>
        <w:tc>
          <w:tcPr>
            <w:tcW w:w="9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260" w:type="dxa"/>
            <w:vAlign w:val="bottom"/>
            <w:shd w:val="clear" w:color="auto" w:fill="BFBFBF"/>
          </w:tcPr>
          <w:p>
            <w:pPr>
              <w:spacing w:after="0"/>
              <w:rPr>
                <w:sz w:val="18"/>
                <w:szCs w:val="18"/>
                <w:color w:val="auto"/>
              </w:rPr>
            </w:pPr>
          </w:p>
        </w:tc>
        <w:tc>
          <w:tcPr>
            <w:tcW w:w="9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340" w:type="dxa"/>
            <w:vAlign w:val="bottom"/>
            <w:shd w:val="clear" w:color="auto" w:fill="BFBFBF"/>
          </w:tcPr>
          <w:p>
            <w:pPr>
              <w:spacing w:after="0"/>
              <w:rPr>
                <w:sz w:val="18"/>
                <w:szCs w:val="18"/>
                <w:color w:val="auto"/>
              </w:rPr>
            </w:pPr>
          </w:p>
        </w:tc>
        <w:tc>
          <w:tcPr>
            <w:tcW w:w="900" w:type="dxa"/>
            <w:vAlign w:val="bottom"/>
            <w:gridSpan w:val="2"/>
            <w:shd w:val="clear" w:color="auto" w:fill="BFBFBF"/>
          </w:tcPr>
          <w:p>
            <w:pPr>
              <w:jc w:val="right"/>
              <w:ind w:right="4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BFBFBF"/>
          </w:tcPr>
          <w:p>
            <w:pPr>
              <w:spacing w:after="0"/>
              <w:rPr>
                <w:sz w:val="18"/>
                <w:szCs w:val="18"/>
                <w:color w:val="auto"/>
              </w:rPr>
            </w:pPr>
          </w:p>
        </w:tc>
        <w:tc>
          <w:tcPr>
            <w:tcW w:w="124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Net income attributable to the Company</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$36,937</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$19,699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060" w:type="dxa"/>
            <w:vAlign w:val="bottom"/>
            <w:tcBorders>
              <w:top w:val="single" w:sz="8" w:color="BFBFBF"/>
            </w:tcBorders>
            <w:shd w:val="clear" w:color="auto" w:fill="BFBFBF"/>
          </w:tcPr>
          <w:p>
            <w:pPr>
              <w:spacing w:after="0"/>
              <w:rPr>
                <w:sz w:val="15"/>
                <w:szCs w:val="15"/>
                <w:color w:val="auto"/>
              </w:rPr>
            </w:pPr>
          </w:p>
        </w:tc>
        <w:tc>
          <w:tcPr>
            <w:tcW w:w="240" w:type="dxa"/>
            <w:vAlign w:val="bottom"/>
            <w:tcBorders>
              <w:top w:val="single" w:sz="8" w:color="auto"/>
            </w:tcBorders>
            <w:shd w:val="clear" w:color="auto" w:fill="BFBFBF"/>
          </w:tcPr>
          <w:p>
            <w:pPr>
              <w:spacing w:after="0"/>
              <w:rPr>
                <w:sz w:val="15"/>
                <w:szCs w:val="15"/>
                <w:color w:val="auto"/>
              </w:rPr>
            </w:pPr>
          </w:p>
        </w:tc>
        <w:tc>
          <w:tcPr>
            <w:tcW w:w="900" w:type="dxa"/>
            <w:vAlign w:val="bottom"/>
            <w:tcBorders>
              <w:top w:val="single" w:sz="8" w:color="auto"/>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260" w:type="dxa"/>
            <w:vAlign w:val="bottom"/>
            <w:tcBorders>
              <w:top w:val="single" w:sz="8" w:color="auto"/>
            </w:tcBorders>
            <w:shd w:val="clear" w:color="auto" w:fill="BFBFBF"/>
          </w:tcPr>
          <w:p>
            <w:pPr>
              <w:spacing w:after="0"/>
              <w:rPr>
                <w:sz w:val="15"/>
                <w:szCs w:val="15"/>
                <w:color w:val="auto"/>
              </w:rPr>
            </w:pPr>
          </w:p>
        </w:tc>
        <w:tc>
          <w:tcPr>
            <w:tcW w:w="900" w:type="dxa"/>
            <w:vAlign w:val="bottom"/>
            <w:tcBorders>
              <w:top w:val="single" w:sz="8" w:color="auto"/>
            </w:tcBorders>
            <w:shd w:val="clear" w:color="auto" w:fill="BFBFBF"/>
          </w:tcPr>
          <w:p>
            <w:pPr>
              <w:spacing w:after="0"/>
              <w:rPr>
                <w:sz w:val="15"/>
                <w:szCs w:val="15"/>
                <w:color w:val="auto"/>
              </w:rPr>
            </w:pPr>
          </w:p>
        </w:tc>
        <w:tc>
          <w:tcPr>
            <w:tcW w:w="100" w:type="dxa"/>
            <w:vAlign w:val="bottom"/>
            <w:tcBorders>
              <w:top w:val="single" w:sz="8" w:color="BFBFBF"/>
            </w:tcBorders>
            <w:shd w:val="clear" w:color="auto" w:fill="BFBFBF"/>
          </w:tcPr>
          <w:p>
            <w:pPr>
              <w:spacing w:after="0"/>
              <w:rPr>
                <w:sz w:val="15"/>
                <w:szCs w:val="15"/>
                <w:color w:val="auto"/>
              </w:rPr>
            </w:pPr>
          </w:p>
        </w:tc>
        <w:tc>
          <w:tcPr>
            <w:tcW w:w="100" w:type="dxa"/>
            <w:vAlign w:val="bottom"/>
            <w:tcBorders>
              <w:top w:val="single" w:sz="8" w:color="BFBFBF"/>
            </w:tcBorders>
            <w:shd w:val="clear" w:color="auto" w:fill="BFBFBF"/>
          </w:tcPr>
          <w:p>
            <w:pPr>
              <w:spacing w:after="0"/>
              <w:rPr>
                <w:sz w:val="15"/>
                <w:szCs w:val="15"/>
                <w:color w:val="auto"/>
              </w:rPr>
            </w:pPr>
          </w:p>
        </w:tc>
        <w:tc>
          <w:tcPr>
            <w:tcW w:w="340" w:type="dxa"/>
            <w:vAlign w:val="bottom"/>
            <w:tcBorders>
              <w:top w:val="single" w:sz="8" w:color="auto"/>
            </w:tcBorders>
            <w:shd w:val="clear" w:color="auto" w:fill="BFBFBF"/>
          </w:tcPr>
          <w:p>
            <w:pPr>
              <w:spacing w:after="0"/>
              <w:rPr>
                <w:sz w:val="15"/>
                <w:szCs w:val="15"/>
                <w:color w:val="auto"/>
              </w:rPr>
            </w:pPr>
          </w:p>
        </w:tc>
        <w:tc>
          <w:tcPr>
            <w:tcW w:w="800" w:type="dxa"/>
            <w:vAlign w:val="bottom"/>
            <w:tcBorders>
              <w:top w:val="single" w:sz="8" w:color="auto"/>
            </w:tcBorders>
            <w:shd w:val="clear" w:color="auto" w:fill="BFBFBF"/>
          </w:tcPr>
          <w:p>
            <w:pPr>
              <w:spacing w:after="0"/>
              <w:rPr>
                <w:sz w:val="15"/>
                <w:szCs w:val="15"/>
                <w:color w:val="auto"/>
              </w:rPr>
            </w:pPr>
          </w:p>
        </w:tc>
        <w:tc>
          <w:tcPr>
            <w:tcW w:w="100" w:type="dxa"/>
            <w:vAlign w:val="bottom"/>
            <w:tcBorders>
              <w:top w:val="single" w:sz="8" w:color="BFBFBF"/>
            </w:tcBorders>
            <w:shd w:val="clear" w:color="auto" w:fill="BFBFBF"/>
          </w:tcPr>
          <w:p>
            <w:pPr>
              <w:spacing w:after="0"/>
              <w:rPr>
                <w:sz w:val="15"/>
                <w:szCs w:val="15"/>
                <w:color w:val="auto"/>
              </w:rPr>
            </w:pPr>
          </w:p>
        </w:tc>
        <w:tc>
          <w:tcPr>
            <w:tcW w:w="120" w:type="dxa"/>
            <w:vAlign w:val="bottom"/>
            <w:tcBorders>
              <w:top w:val="single" w:sz="8" w:color="BFBFBF"/>
            </w:tcBorders>
            <w:shd w:val="clear" w:color="auto" w:fill="BFBFBF"/>
          </w:tcPr>
          <w:p>
            <w:pPr>
              <w:spacing w:after="0"/>
              <w:rPr>
                <w:sz w:val="15"/>
                <w:szCs w:val="15"/>
                <w:color w:val="auto"/>
              </w:rPr>
            </w:pPr>
          </w:p>
        </w:tc>
        <w:tc>
          <w:tcPr>
            <w:tcW w:w="1140" w:type="dxa"/>
            <w:vAlign w:val="bottom"/>
            <w:tcBorders>
              <w:top w:val="single" w:sz="8" w:color="auto"/>
            </w:tcBorders>
            <w:shd w:val="clear" w:color="auto" w:fill="BFBFBF"/>
          </w:tcPr>
          <w:p>
            <w:pPr>
              <w:spacing w:after="0"/>
              <w:rPr>
                <w:sz w:val="15"/>
                <w:szCs w:val="15"/>
                <w:color w:val="auto"/>
              </w:rPr>
            </w:pPr>
          </w:p>
        </w:tc>
        <w:tc>
          <w:tcPr>
            <w:tcW w:w="100" w:type="dxa"/>
            <w:vAlign w:val="bottom"/>
            <w:tcBorders>
              <w:top w:val="single" w:sz="8" w:color="BFBFBF"/>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Earnings per share attributable to Company shareholders - Basic</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w:t>
            </w:r>
          </w:p>
        </w:tc>
        <w:tc>
          <w:tcPr>
            <w:tcW w:w="1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0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Earnings per share attributable to Company shareholders - Diluted</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$0.41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w:t>
            </w:r>
          </w:p>
        </w:tc>
        <w:tc>
          <w:tcPr>
            <w:tcW w:w="1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06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8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gridSpan w:val="2"/>
          </w:tcPr>
          <w:p>
            <w:pPr>
              <w:spacing w:after="0" w:line="202" w:lineRule="exact"/>
              <w:rPr>
                <w:sz w:val="20"/>
                <w:szCs w:val="20"/>
                <w:color w:val="auto"/>
              </w:rPr>
            </w:pPr>
            <w:r>
              <w:rPr>
                <w:rFonts w:ascii="Arial" w:cs="Arial" w:eastAsia="Arial" w:hAnsi="Arial"/>
                <w:sz w:val="18"/>
                <w:szCs w:val="18"/>
                <w:color w:val="auto"/>
              </w:rPr>
              <w:t>Shares of the Company used in computing earnings per share: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2"/>
            <w:shd w:val="clear" w:color="auto" w:fill="BFBFBF"/>
          </w:tcPr>
          <w:p>
            <w:pPr>
              <w:ind w:left="80"/>
              <w:spacing w:after="0" w:line="202" w:lineRule="exact"/>
              <w:rPr>
                <w:sz w:val="20"/>
                <w:szCs w:val="20"/>
                <w:color w:val="auto"/>
              </w:rPr>
            </w:pPr>
            <w:r>
              <w:rPr>
                <w:rFonts w:ascii="Arial" w:cs="Arial" w:eastAsia="Arial" w:hAnsi="Arial"/>
                <w:sz w:val="18"/>
                <w:szCs w:val="18"/>
                <w:color w:val="auto"/>
              </w:rPr>
              <w:t>Basic</w:t>
            </w:r>
          </w:p>
        </w:tc>
        <w:tc>
          <w:tcPr>
            <w:tcW w:w="10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32,104</w:t>
            </w:r>
          </w:p>
        </w:tc>
        <w:tc>
          <w:tcPr>
            <w:tcW w:w="12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10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32,012</w:t>
            </w:r>
          </w:p>
        </w:tc>
        <w:tc>
          <w:tcPr>
            <w:tcW w:w="10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32,079</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31,965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2"/>
            <w:shd w:val="clear" w:color="auto" w:fill="BFBFBF"/>
          </w:tcPr>
          <w:p>
            <w:pPr>
              <w:ind w:left="80"/>
              <w:spacing w:after="0" w:line="202" w:lineRule="exact"/>
              <w:rPr>
                <w:sz w:val="20"/>
                <w:szCs w:val="20"/>
                <w:color w:val="auto"/>
              </w:rPr>
            </w:pPr>
            <w:r>
              <w:rPr>
                <w:rFonts w:ascii="Arial" w:cs="Arial" w:eastAsia="Arial" w:hAnsi="Arial"/>
                <w:sz w:val="18"/>
                <w:szCs w:val="18"/>
                <w:color w:val="auto"/>
              </w:rPr>
              <w:t>Diluted</w:t>
            </w:r>
          </w:p>
        </w:tc>
        <w:tc>
          <w:tcPr>
            <w:tcW w:w="10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32,141</w:t>
            </w:r>
          </w:p>
        </w:tc>
        <w:tc>
          <w:tcPr>
            <w:tcW w:w="12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10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32,055</w:t>
            </w:r>
          </w:p>
        </w:tc>
        <w:tc>
          <w:tcPr>
            <w:tcW w:w="10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32,118</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32,028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gridSpan w:val="2"/>
            <w:shd w:val="clear" w:color="auto" w:fill="BFBFBF"/>
          </w:tcPr>
          <w:p>
            <w:pPr>
              <w:spacing w:after="0" w:line="202" w:lineRule="exact"/>
              <w:rPr>
                <w:sz w:val="20"/>
                <w:szCs w:val="20"/>
                <w:color w:val="auto"/>
              </w:rPr>
            </w:pPr>
            <w:r>
              <w:rPr>
                <w:rFonts w:ascii="Arial" w:cs="Arial" w:eastAsia="Arial" w:hAnsi="Arial"/>
                <w:sz w:val="18"/>
                <w:szCs w:val="18"/>
                <w:color w:val="auto"/>
              </w:rPr>
              <w:t>Dividends per share, Class A and Class B</w:t>
            </w:r>
          </w:p>
        </w:tc>
        <w:tc>
          <w:tcPr>
            <w:tcW w:w="102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$0.17</w:t>
            </w:r>
          </w:p>
        </w:tc>
        <w:tc>
          <w:tcPr>
            <w:tcW w:w="12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10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$0.17</w:t>
            </w:r>
          </w:p>
        </w:tc>
        <w:tc>
          <w:tcPr>
            <w:tcW w:w="10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90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$0.51</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140" w:type="dxa"/>
            <w:vAlign w:val="bottom"/>
            <w:gridSpan w:val="10"/>
          </w:tcPr>
          <w:p>
            <w:pPr>
              <w:jc w:val="center"/>
              <w:ind w:left="2150"/>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08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COMPREHENSIVE INCOME/(LOSS)</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740" w:type="dxa"/>
            <w:vAlign w:val="bottom"/>
            <w:gridSpan w:val="6"/>
          </w:tcPr>
          <w:p>
            <w:pPr>
              <w:jc w:val="center"/>
              <w:ind w:right="100"/>
              <w:spacing w:after="0"/>
              <w:rPr>
                <w:sz w:val="20"/>
                <w:szCs w:val="20"/>
                <w:color w:val="auto"/>
              </w:rPr>
            </w:pPr>
            <w:r>
              <w:rPr>
                <w:rFonts w:ascii="Arial" w:cs="Arial" w:eastAsia="Arial" w:hAnsi="Arial"/>
                <w:sz w:val="18"/>
                <w:szCs w:val="18"/>
                <w:color w:val="auto"/>
                <w:w w:val="99"/>
              </w:rPr>
              <w:t>Three Months Ended</w:t>
            </w:r>
          </w:p>
        </w:tc>
        <w:tc>
          <w:tcPr>
            <w:tcW w:w="2600" w:type="dxa"/>
            <w:vAlign w:val="bottom"/>
            <w:gridSpan w:val="5"/>
          </w:tcPr>
          <w:p>
            <w:pPr>
              <w:jc w:val="right"/>
              <w:ind w:right="4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6"/>
          </w:tcPr>
          <w:p>
            <w:pPr>
              <w:jc w:val="center"/>
              <w:ind w:right="120"/>
              <w:spacing w:after="0"/>
              <w:rPr>
                <w:sz w:val="20"/>
                <w:szCs w:val="20"/>
                <w:color w:val="auto"/>
              </w:rPr>
            </w:pPr>
            <w:r>
              <w:rPr>
                <w:rFonts w:ascii="Arial" w:cs="Arial" w:eastAsia="Arial" w:hAnsi="Arial"/>
                <w:sz w:val="18"/>
                <w:szCs w:val="18"/>
                <w:color w:val="auto"/>
                <w:w w:val="99"/>
              </w:rPr>
              <w:t>September 30,</w:t>
            </w:r>
          </w:p>
        </w:tc>
        <w:tc>
          <w:tcPr>
            <w:tcW w:w="2600" w:type="dxa"/>
            <w:vAlign w:val="bottom"/>
            <w:gridSpan w:val="5"/>
          </w:tcPr>
          <w:p>
            <w:pPr>
              <w:jc w:val="right"/>
              <w:ind w:right="62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1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w:t>
            </w:r>
          </w:p>
        </w:tc>
        <w:tc>
          <w:tcPr>
            <w:tcW w:w="11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$13,409</w:t>
            </w:r>
          </w:p>
        </w:tc>
        <w:tc>
          <w:tcPr>
            <w:tcW w:w="1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$9,680</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$36,826</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$19,799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Other comprehensive income/(loss), before tax:</w:t>
            </w:r>
          </w:p>
        </w:tc>
        <w:tc>
          <w:tcPr>
            <w:tcW w:w="11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1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(17,683)</w:t>
            </w:r>
          </w:p>
        </w:tc>
        <w:tc>
          <w:tcPr>
            <w:tcW w:w="10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2,651</w:t>
            </w:r>
          </w:p>
        </w:tc>
        <w:tc>
          <w:tcPr>
            <w:tcW w:w="12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(42,581)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1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1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(170)</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260"/>
              <w:spacing w:after="0" w:line="202" w:lineRule="exact"/>
              <w:rPr>
                <w:sz w:val="20"/>
                <w:szCs w:val="20"/>
                <w:color w:val="auto"/>
              </w:rPr>
            </w:pPr>
            <w:r>
              <w:rPr>
                <w:rFonts w:ascii="Arial" w:cs="Arial" w:eastAsia="Arial" w:hAnsi="Arial"/>
                <w:sz w:val="18"/>
                <w:szCs w:val="18"/>
                <w:color w:val="auto"/>
              </w:rPr>
              <w:t>Prior service credit</w:t>
            </w:r>
          </w:p>
        </w:tc>
        <w:tc>
          <w:tcPr>
            <w:tcW w:w="126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(1,113)</w:t>
            </w: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(1,110)</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(3,338)</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60"/>
              <w:spacing w:after="0" w:line="202" w:lineRule="exact"/>
              <w:rPr>
                <w:sz w:val="20"/>
                <w:szCs w:val="20"/>
                <w:color w:val="auto"/>
              </w:rPr>
            </w:pPr>
            <w:r>
              <w:rPr>
                <w:rFonts w:ascii="Arial" w:cs="Arial" w:eastAsia="Arial" w:hAnsi="Arial"/>
                <w:sz w:val="18"/>
                <w:szCs w:val="18"/>
                <w:color w:val="auto"/>
              </w:rPr>
              <w:t>Net actuarial loss</w:t>
            </w: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1,296</w:t>
            </w:r>
          </w:p>
        </w:tc>
        <w:tc>
          <w:tcPr>
            <w:tcW w:w="12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1,462</w:t>
            </w:r>
          </w:p>
        </w:tc>
        <w:tc>
          <w:tcPr>
            <w:tcW w:w="10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3,870</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1260" w:type="dxa"/>
            <w:vAlign w:val="bottom"/>
            <w:gridSpan w:val="2"/>
            <w:shd w:val="clear" w:color="auto" w:fill="BFBFBF"/>
          </w:tcPr>
          <w:p>
            <w:pPr>
              <w:jc w:val="right"/>
              <w:ind w:right="120"/>
              <w:spacing w:after="0" w:line="202" w:lineRule="exact"/>
              <w:rPr>
                <w:sz w:val="20"/>
                <w:szCs w:val="20"/>
                <w:color w:val="auto"/>
              </w:rPr>
            </w:pPr>
            <w:r>
              <w:rPr>
                <w:rFonts w:ascii="Arial" w:cs="Arial" w:eastAsia="Arial" w:hAnsi="Arial"/>
                <w:sz w:val="18"/>
                <w:szCs w:val="18"/>
                <w:color w:val="auto"/>
              </w:rPr>
              <w:t>1,100</w:t>
            </w:r>
          </w:p>
        </w:tc>
        <w:tc>
          <w:tcPr>
            <w:tcW w:w="120" w:type="dxa"/>
            <w:vAlign w:val="bottom"/>
            <w:shd w:val="clear" w:color="auto" w:fill="BFBFBF"/>
          </w:tcPr>
          <w:p>
            <w:pPr>
              <w:spacing w:after="0"/>
              <w:rPr>
                <w:sz w:val="17"/>
                <w:szCs w:val="17"/>
                <w:color w:val="auto"/>
              </w:rPr>
            </w:pPr>
          </w:p>
        </w:tc>
        <w:tc>
          <w:tcPr>
            <w:tcW w:w="11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587</w:t>
            </w:r>
          </w:p>
        </w:tc>
        <w:tc>
          <w:tcPr>
            <w:tcW w:w="1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1,686</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00"/>
              <w:spacing w:after="0" w:line="202" w:lineRule="exact"/>
              <w:rPr>
                <w:sz w:val="20"/>
                <w:szCs w:val="20"/>
                <w:color w:val="auto"/>
              </w:rPr>
            </w:pPr>
            <w:r>
              <w:rPr>
                <w:rFonts w:ascii="Arial" w:cs="Arial" w:eastAsia="Arial" w:hAnsi="Arial"/>
                <w:sz w:val="18"/>
                <w:szCs w:val="18"/>
                <w:color w:val="auto"/>
              </w:rPr>
              <w:t>Derivative valuation adjustment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(2,672)</w:t>
            </w:r>
          </w:p>
        </w:tc>
        <w:tc>
          <w:tcPr>
            <w:tcW w:w="10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(6,936)</w:t>
            </w:r>
          </w:p>
        </w:tc>
        <w:tc>
          <w:tcPr>
            <w:tcW w:w="12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06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1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Income taxes related to items of other comprehensive income/(loss):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Pension/postretirement plan remeasurement</w:t>
            </w:r>
          </w:p>
        </w:tc>
        <w:tc>
          <w:tcPr>
            <w:tcW w:w="11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1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65</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w:t>
            </w:r>
          </w:p>
        </w:tc>
        <w:tc>
          <w:tcPr>
            <w:tcW w:w="10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(160)</w:t>
            </w:r>
          </w:p>
        </w:tc>
        <w:tc>
          <w:tcPr>
            <w:tcW w:w="12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1260" w:type="dxa"/>
            <w:vAlign w:val="bottom"/>
            <w:gridSpan w:val="2"/>
            <w:shd w:val="clear" w:color="auto" w:fill="BFBFBF"/>
          </w:tcPr>
          <w:p>
            <w:pPr>
              <w:jc w:val="right"/>
              <w:ind w:right="60"/>
              <w:spacing w:after="0" w:line="202" w:lineRule="exact"/>
              <w:rPr>
                <w:sz w:val="20"/>
                <w:szCs w:val="20"/>
                <w:color w:val="auto"/>
              </w:rPr>
            </w:pPr>
            <w:r>
              <w:rPr>
                <w:rFonts w:ascii="Arial" w:cs="Arial" w:eastAsia="Arial" w:hAnsi="Arial"/>
                <w:sz w:val="18"/>
                <w:szCs w:val="18"/>
                <w:color w:val="auto"/>
              </w:rPr>
              <w:t>(418)</w:t>
            </w: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(229)</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(641)</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Derivative valuation adjustment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2,636</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BFBFBF"/>
            </w:tcBorders>
            <w:shd w:val="clear" w:color="auto" w:fill="BFBFBF"/>
          </w:tcPr>
          <w:p>
            <w:pPr>
              <w:ind w:left="100"/>
              <w:spacing w:after="0" w:line="196" w:lineRule="exact"/>
              <w:rPr>
                <w:sz w:val="20"/>
                <w:szCs w:val="20"/>
                <w:color w:val="auto"/>
              </w:rPr>
            </w:pPr>
            <w:r>
              <w:rPr>
                <w:rFonts w:ascii="Arial" w:cs="Arial" w:eastAsia="Arial" w:hAnsi="Arial"/>
                <w:sz w:val="18"/>
                <w:szCs w:val="18"/>
                <w:color w:val="auto"/>
              </w:rPr>
              <w:t>Comprehensive income/(loss)</w:t>
            </w:r>
          </w:p>
        </w:tc>
        <w:tc>
          <w:tcPr>
            <w:tcW w:w="114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14,563</w:t>
            </w:r>
          </w:p>
        </w:tc>
        <w:tc>
          <w:tcPr>
            <w:tcW w:w="120" w:type="dxa"/>
            <w:vAlign w:val="bottom"/>
            <w:tcBorders>
              <w:top w:val="single" w:sz="8" w:color="BFBFBF"/>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16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(9,046)</w:t>
            </w:r>
          </w:p>
        </w:tc>
        <w:tc>
          <w:tcPr>
            <w:tcW w:w="100" w:type="dxa"/>
            <w:vAlign w:val="bottom"/>
            <w:tcBorders>
              <w:top w:val="single" w:sz="8" w:color="BFBFBF"/>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114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36,489</w:t>
            </w:r>
          </w:p>
        </w:tc>
        <w:tc>
          <w:tcPr>
            <w:tcW w:w="100" w:type="dxa"/>
            <w:vAlign w:val="bottom"/>
            <w:tcBorders>
              <w:top w:val="single" w:sz="8" w:color="BFBFBF"/>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14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(23,503)</w:t>
            </w:r>
          </w:p>
        </w:tc>
        <w:tc>
          <w:tcPr>
            <w:tcW w:w="10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(loss)/income attributable to the noncontrolling interest</w:t>
            </w:r>
          </w:p>
        </w:tc>
        <w:tc>
          <w:tcPr>
            <w:tcW w:w="11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shd w:val="clear" w:color="auto" w:fill="BFBFBF"/>
          </w:tcPr>
          <w:p>
            <w:pPr>
              <w:spacing w:after="0"/>
              <w:rPr>
                <w:sz w:val="20"/>
                <w:szCs w:val="20"/>
                <w:color w:val="auto"/>
              </w:rPr>
            </w:pPr>
            <w:r>
              <w:rPr>
                <w:rFonts w:ascii="Arial" w:cs="Arial" w:eastAsia="Arial" w:hAnsi="Arial"/>
                <w:sz w:val="18"/>
                <w:szCs w:val="18"/>
                <w:color w:val="auto"/>
              </w:rPr>
              <w:t>Comprehensive income/(loss) attributable to the Company</w:t>
            </w: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BFBFB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shd w:val="clear" w:color="auto" w:fill="BFBFB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BFBFBF"/>
          </w:tcPr>
          <w:p>
            <w:pPr>
              <w:spacing w:after="0" w:line="20" w:lineRule="exact"/>
              <w:rPr>
                <w:sz w:val="1"/>
                <w:szCs w:val="1"/>
                <w:color w:val="auto"/>
              </w:rPr>
            </w:pPr>
          </w:p>
        </w:tc>
        <w:tc>
          <w:tcPr>
            <w:tcW w:w="120" w:type="dxa"/>
            <w:vAlign w:val="bottom"/>
            <w:shd w:val="clear" w:color="auto" w:fill="BFBFB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BFBFB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vMerge w:val="continue"/>
            <w:shd w:val="clear" w:color="auto" w:fill="BFBFBF"/>
          </w:tcPr>
          <w:p>
            <w:pPr>
              <w:spacing w:after="0"/>
              <w:rPr>
                <w:sz w:val="18"/>
                <w:szCs w:val="18"/>
                <w:color w:val="auto"/>
              </w:rPr>
            </w:pPr>
          </w:p>
        </w:tc>
        <w:tc>
          <w:tcPr>
            <w:tcW w:w="11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$14,223</w:t>
            </w:r>
          </w:p>
        </w:tc>
        <w:tc>
          <w:tcPr>
            <w:tcW w:w="120" w:type="dxa"/>
            <w:vAlign w:val="bottom"/>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1160" w:type="dxa"/>
            <w:vAlign w:val="bottom"/>
            <w:shd w:val="clear" w:color="auto" w:fill="BFBFBF"/>
          </w:tcPr>
          <w:p>
            <w:pPr>
              <w:jc w:val="right"/>
              <w:spacing w:after="0"/>
              <w:rPr>
                <w:sz w:val="20"/>
                <w:szCs w:val="20"/>
                <w:color w:val="auto"/>
              </w:rPr>
            </w:pPr>
            <w:r>
              <w:rPr>
                <w:rFonts w:ascii="Arial" w:cs="Arial" w:eastAsia="Arial" w:hAnsi="Arial"/>
                <w:sz w:val="18"/>
                <w:szCs w:val="18"/>
                <w:color w:val="auto"/>
              </w:rPr>
              <w:t>($9,068</w:t>
            </w:r>
          </w:p>
        </w:tc>
        <w:tc>
          <w:tcPr>
            <w:tcW w:w="100" w:type="dxa"/>
            <w:vAlign w:val="bottom"/>
            <w:vMerge w:val="continue"/>
            <w:shd w:val="clear" w:color="auto" w:fill="BFBFBF"/>
          </w:tcPr>
          <w:p>
            <w:pPr>
              <w:spacing w:after="0"/>
              <w:rPr>
                <w:sz w:val="18"/>
                <w:szCs w:val="18"/>
                <w:color w:val="auto"/>
              </w:rPr>
            </w:pPr>
          </w:p>
        </w:tc>
        <w:tc>
          <w:tcPr>
            <w:tcW w:w="100" w:type="dxa"/>
            <w:vAlign w:val="bottom"/>
            <w:vMerge w:val="continue"/>
            <w:shd w:val="clear" w:color="auto" w:fill="BFBFBF"/>
          </w:tcPr>
          <w:p>
            <w:pPr>
              <w:spacing w:after="0"/>
              <w:rPr>
                <w:sz w:val="18"/>
                <w:szCs w:val="18"/>
                <w:color w:val="auto"/>
              </w:rPr>
            </w:pPr>
          </w:p>
        </w:tc>
        <w:tc>
          <w:tcPr>
            <w:tcW w:w="124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$36,601</w:t>
            </w:r>
          </w:p>
        </w:tc>
        <w:tc>
          <w:tcPr>
            <w:tcW w:w="120" w:type="dxa"/>
            <w:vAlign w:val="bottom"/>
            <w:shd w:val="clear" w:color="auto" w:fill="BFBFBF"/>
          </w:tcPr>
          <w:p>
            <w:pPr>
              <w:spacing w:after="0"/>
              <w:rPr>
                <w:sz w:val="18"/>
                <w:szCs w:val="18"/>
                <w:color w:val="auto"/>
              </w:rPr>
            </w:pPr>
          </w:p>
        </w:tc>
        <w:tc>
          <w:tcPr>
            <w:tcW w:w="11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($23,604</w:t>
            </w:r>
          </w:p>
        </w:tc>
        <w:tc>
          <w:tcPr>
            <w:tcW w:w="100" w:type="dxa"/>
            <w:vAlign w:val="bottom"/>
            <w:vMerge w:val="continue"/>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BFBFB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120" w:type="dxa"/>
            <w:vAlign w:val="bottom"/>
            <w:tcBorders>
              <w:top w:val="single" w:sz="8" w:color="BFBFB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gridSpan w:val="3"/>
          </w:tcPr>
          <w:p>
            <w:pPr>
              <w:ind w:left="100"/>
              <w:spacing w:after="0"/>
              <w:rPr>
                <w:sz w:val="20"/>
                <w:szCs w:val="20"/>
                <w:color w:val="auto"/>
              </w:rPr>
            </w:pPr>
            <w:r>
              <w:rPr>
                <w:rFonts w:ascii="Arial" w:cs="Arial" w:eastAsia="Arial" w:hAnsi="Arial"/>
                <w:sz w:val="18"/>
                <w:szCs w:val="18"/>
                <w:color w:val="auto"/>
              </w:rPr>
              <w:t>September 30,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3"/>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700" w:type="dxa"/>
            <w:vAlign w:val="bottom"/>
            <w:gridSpan w:val="2"/>
          </w:tcPr>
          <w:p>
            <w:pPr>
              <w:jc w:val="right"/>
              <w:ind w:right="270"/>
              <w:spacing w:after="0" w:line="203" w:lineRule="exact"/>
              <w:rPr>
                <w:sz w:val="20"/>
                <w:szCs w:val="20"/>
                <w:color w:val="auto"/>
              </w:rPr>
            </w:pPr>
            <w:r>
              <w:rPr>
                <w:rFonts w:ascii="Arial" w:cs="Arial" w:eastAsia="Arial" w:hAnsi="Arial"/>
                <w:sz w:val="18"/>
                <w:szCs w:val="18"/>
                <w:color w:val="auto"/>
              </w:rPr>
              <w:t>2016</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1840" w:type="dxa"/>
            <w:vAlign w:val="bottom"/>
            <w:gridSpan w:val="3"/>
            <w:shd w:val="clear" w:color="auto" w:fill="BFBFBF"/>
          </w:tcPr>
          <w:p>
            <w:pPr>
              <w:jc w:val="right"/>
              <w:ind w:right="140"/>
              <w:spacing w:after="0" w:line="202" w:lineRule="exact"/>
              <w:rPr>
                <w:sz w:val="20"/>
                <w:szCs w:val="20"/>
                <w:color w:val="auto"/>
              </w:rPr>
            </w:pPr>
            <w:r>
              <w:rPr>
                <w:rFonts w:ascii="Arial" w:cs="Arial" w:eastAsia="Arial" w:hAnsi="Arial"/>
                <w:sz w:val="18"/>
                <w:szCs w:val="18"/>
                <w:color w:val="auto"/>
              </w:rPr>
              <w:t>$196,170</w:t>
            </w:r>
          </w:p>
        </w:tc>
        <w:tc>
          <w:tcPr>
            <w:tcW w:w="440" w:type="dxa"/>
            <w:vAlign w:val="bottom"/>
            <w:shd w:val="clear" w:color="auto" w:fill="BFBFBF"/>
          </w:tcPr>
          <w:p>
            <w:pPr>
              <w:spacing w:after="0"/>
              <w:rPr>
                <w:sz w:val="17"/>
                <w:szCs w:val="17"/>
                <w:color w:val="auto"/>
              </w:rPr>
            </w:pPr>
          </w:p>
        </w:tc>
        <w:tc>
          <w:tcPr>
            <w:tcW w:w="13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$185,113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80"/>
              <w:spacing w:after="0" w:line="202" w:lineRule="exact"/>
              <w:rPr>
                <w:sz w:val="20"/>
                <w:szCs w:val="20"/>
                <w:color w:val="auto"/>
              </w:rPr>
            </w:pPr>
            <w:r>
              <w:rPr>
                <w:rFonts w:ascii="Arial" w:cs="Arial" w:eastAsia="Arial" w:hAnsi="Arial"/>
                <w:sz w:val="18"/>
                <w:szCs w:val="18"/>
                <w:color w:val="auto"/>
              </w:rPr>
              <w:t>Accounts receivable, net</w:t>
            </w:r>
          </w:p>
        </w:tc>
        <w:tc>
          <w:tcPr>
            <w:tcW w:w="18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170,739</w:t>
            </w:r>
          </w:p>
        </w:tc>
        <w:tc>
          <w:tcPr>
            <w:tcW w:w="4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0C0C0"/>
          </w:tcPr>
          <w:p>
            <w:pPr>
              <w:ind w:left="80"/>
              <w:spacing w:after="0" w:line="202" w:lineRule="exact"/>
              <w:rPr>
                <w:sz w:val="20"/>
                <w:szCs w:val="20"/>
                <w:color w:val="auto"/>
              </w:rPr>
            </w:pPr>
            <w:r>
              <w:rPr>
                <w:rFonts w:ascii="Arial" w:cs="Arial" w:eastAsia="Arial" w:hAnsi="Arial"/>
                <w:sz w:val="18"/>
                <w:szCs w:val="18"/>
                <w:color w:val="auto"/>
              </w:rPr>
              <w:t>Inventories</w:t>
            </w:r>
          </w:p>
        </w:tc>
        <w:tc>
          <w:tcPr>
            <w:tcW w:w="184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138,688</w:t>
            </w:r>
          </w:p>
        </w:tc>
        <w:tc>
          <w:tcPr>
            <w:tcW w:w="440" w:type="dxa"/>
            <w:vAlign w:val="bottom"/>
            <w:shd w:val="clear" w:color="auto" w:fill="C0C0C0"/>
          </w:tcPr>
          <w:p>
            <w:pPr>
              <w:spacing w:after="0"/>
              <w:rPr>
                <w:sz w:val="17"/>
                <w:szCs w:val="17"/>
                <w:color w:val="auto"/>
              </w:rPr>
            </w:pPr>
          </w:p>
        </w:tc>
        <w:tc>
          <w:tcPr>
            <w:tcW w:w="13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106,406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80"/>
              <w:spacing w:after="0" w:line="202" w:lineRule="exact"/>
              <w:rPr>
                <w:sz w:val="20"/>
                <w:szCs w:val="20"/>
                <w:color w:val="auto"/>
              </w:rPr>
            </w:pPr>
            <w:r>
              <w:rPr>
                <w:rFonts w:ascii="Arial" w:cs="Arial" w:eastAsia="Arial" w:hAnsi="Arial"/>
                <w:sz w:val="18"/>
                <w:szCs w:val="18"/>
                <w:color w:val="auto"/>
              </w:rPr>
              <w:t>Income taxes prepaid and receivable</w:t>
            </w:r>
          </w:p>
        </w:tc>
        <w:tc>
          <w:tcPr>
            <w:tcW w:w="18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1,303</w:t>
            </w:r>
          </w:p>
        </w:tc>
        <w:tc>
          <w:tcPr>
            <w:tcW w:w="4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Asset held for sale</w:t>
            </w:r>
          </w:p>
        </w:tc>
        <w:tc>
          <w:tcPr>
            <w:tcW w:w="1840" w:type="dxa"/>
            <w:vAlign w:val="bottom"/>
            <w:gridSpan w:val="3"/>
            <w:shd w:val="clear" w:color="auto" w:fill="BFBFBF"/>
          </w:tcPr>
          <w:p>
            <w:pPr>
              <w:jc w:val="right"/>
              <w:ind w:right="140"/>
              <w:spacing w:after="0" w:line="202" w:lineRule="exact"/>
              <w:rPr>
                <w:sz w:val="20"/>
                <w:szCs w:val="20"/>
                <w:color w:val="auto"/>
              </w:rPr>
            </w:pPr>
            <w:r>
              <w:rPr>
                <w:rFonts w:ascii="Arial" w:cs="Arial" w:eastAsia="Arial" w:hAnsi="Arial"/>
                <w:sz w:val="18"/>
                <w:szCs w:val="18"/>
                <w:color w:val="auto"/>
              </w:rPr>
              <w:t>5,179</w:t>
            </w:r>
          </w:p>
        </w:tc>
        <w:tc>
          <w:tcPr>
            <w:tcW w:w="440" w:type="dxa"/>
            <w:vAlign w:val="bottom"/>
            <w:shd w:val="clear" w:color="auto" w:fill="BFBFBF"/>
          </w:tcPr>
          <w:p>
            <w:pPr>
              <w:spacing w:after="0"/>
              <w:rPr>
                <w:sz w:val="17"/>
                <w:szCs w:val="17"/>
                <w:color w:val="auto"/>
              </w:rPr>
            </w:pPr>
          </w:p>
        </w:tc>
        <w:tc>
          <w:tcPr>
            <w:tcW w:w="136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840" w:type="dxa"/>
            <w:vAlign w:val="bottom"/>
            <w:gridSpan w:val="3"/>
          </w:tcPr>
          <w:p>
            <w:pPr>
              <w:jc w:val="right"/>
              <w:ind w:right="140"/>
              <w:spacing w:after="0"/>
              <w:rPr>
                <w:sz w:val="20"/>
                <w:szCs w:val="20"/>
                <w:color w:val="auto"/>
              </w:rPr>
            </w:pPr>
            <w:r>
              <w:rPr>
                <w:rFonts w:ascii="Arial" w:cs="Arial" w:eastAsia="Arial" w:hAnsi="Arial"/>
                <w:sz w:val="18"/>
                <w:szCs w:val="18"/>
                <w:color w:val="auto"/>
              </w:rPr>
              <w:t>10,078</w:t>
            </w:r>
          </w:p>
        </w:tc>
        <w:tc>
          <w:tcPr>
            <w:tcW w:w="4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tcBorders>
              <w:top w:val="single" w:sz="8" w:color="BFBFBF"/>
            </w:tcBorders>
            <w:shd w:val="clear" w:color="auto" w:fill="BFBFBF"/>
          </w:tcPr>
          <w:p>
            <w:pPr>
              <w:ind w:left="280"/>
              <w:spacing w:after="0" w:line="196" w:lineRule="exact"/>
              <w:rPr>
                <w:sz w:val="20"/>
                <w:szCs w:val="20"/>
                <w:color w:val="auto"/>
              </w:rPr>
            </w:pPr>
            <w:r>
              <w:rPr>
                <w:rFonts w:ascii="Arial" w:cs="Arial" w:eastAsia="Arial" w:hAnsi="Arial"/>
                <w:sz w:val="18"/>
                <w:szCs w:val="18"/>
                <w:color w:val="auto"/>
              </w:rPr>
              <w:t>Total current assets</w:t>
            </w:r>
          </w:p>
        </w:tc>
        <w:tc>
          <w:tcPr>
            <w:tcW w:w="460" w:type="dxa"/>
            <w:vAlign w:val="bottom"/>
            <w:tcBorders>
              <w:top w:val="single" w:sz="8" w:color="BFBFBF"/>
            </w:tcBorders>
            <w:shd w:val="clear" w:color="auto" w:fill="BFBFBF"/>
          </w:tcPr>
          <w:p>
            <w:pPr>
              <w:spacing w:after="0"/>
              <w:rPr>
                <w:sz w:val="17"/>
                <w:szCs w:val="17"/>
                <w:color w:val="auto"/>
              </w:rPr>
            </w:pPr>
          </w:p>
        </w:tc>
        <w:tc>
          <w:tcPr>
            <w:tcW w:w="124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522,157</w:t>
            </w:r>
          </w:p>
        </w:tc>
        <w:tc>
          <w:tcPr>
            <w:tcW w:w="140" w:type="dxa"/>
            <w:vAlign w:val="bottom"/>
            <w:tcBorders>
              <w:top w:val="single" w:sz="8" w:color="BFBFBF"/>
            </w:tcBorders>
            <w:shd w:val="clear" w:color="auto" w:fill="BFBFBF"/>
          </w:tcPr>
          <w:p>
            <w:pPr>
              <w:spacing w:after="0"/>
              <w:rPr>
                <w:sz w:val="17"/>
                <w:szCs w:val="17"/>
                <w:color w:val="auto"/>
              </w:rPr>
            </w:pPr>
          </w:p>
        </w:tc>
        <w:tc>
          <w:tcPr>
            <w:tcW w:w="440" w:type="dxa"/>
            <w:vAlign w:val="bottom"/>
            <w:tcBorders>
              <w:top w:val="single" w:sz="8" w:color="BFBFBF"/>
            </w:tcBorders>
            <w:shd w:val="clear" w:color="auto" w:fill="BFBFBF"/>
          </w:tcPr>
          <w:p>
            <w:pPr>
              <w:spacing w:after="0"/>
              <w:rPr>
                <w:sz w:val="17"/>
                <w:szCs w:val="17"/>
                <w:color w:val="auto"/>
              </w:rPr>
            </w:pPr>
          </w:p>
        </w:tc>
        <w:tc>
          <w:tcPr>
            <w:tcW w:w="126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452,060</w:t>
            </w:r>
          </w:p>
        </w:tc>
        <w:tc>
          <w:tcPr>
            <w:tcW w:w="10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0C0C0"/>
          </w:tcPr>
          <w:p>
            <w:pPr>
              <w:ind w:left="80"/>
              <w:spacing w:after="0" w:line="202" w:lineRule="exact"/>
              <w:rPr>
                <w:sz w:val="20"/>
                <w:szCs w:val="20"/>
                <w:color w:val="auto"/>
              </w:rPr>
            </w:pPr>
            <w:r>
              <w:rPr>
                <w:rFonts w:ascii="Arial" w:cs="Arial" w:eastAsia="Arial" w:hAnsi="Arial"/>
                <w:sz w:val="18"/>
                <w:szCs w:val="18"/>
                <w:color w:val="auto"/>
              </w:rPr>
              <w:t>Property, plant and equipment, net</w:t>
            </w:r>
          </w:p>
        </w:tc>
        <w:tc>
          <w:tcPr>
            <w:tcW w:w="184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441,608</w:t>
            </w:r>
          </w:p>
        </w:tc>
        <w:tc>
          <w:tcPr>
            <w:tcW w:w="440" w:type="dxa"/>
            <w:vAlign w:val="bottom"/>
            <w:shd w:val="clear" w:color="auto" w:fill="C0C0C0"/>
          </w:tcPr>
          <w:p>
            <w:pPr>
              <w:spacing w:after="0"/>
              <w:rPr>
                <w:sz w:val="17"/>
                <w:szCs w:val="17"/>
                <w:color w:val="auto"/>
              </w:rPr>
            </w:pPr>
          </w:p>
        </w:tc>
        <w:tc>
          <w:tcPr>
            <w:tcW w:w="13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357,470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80"/>
              <w:spacing w:after="0" w:line="202" w:lineRule="exact"/>
              <w:rPr>
                <w:sz w:val="20"/>
                <w:szCs w:val="20"/>
                <w:color w:val="auto"/>
              </w:rPr>
            </w:pPr>
            <w:r>
              <w:rPr>
                <w:rFonts w:ascii="Arial" w:cs="Arial" w:eastAsia="Arial" w:hAnsi="Arial"/>
                <w:sz w:val="18"/>
                <w:szCs w:val="18"/>
                <w:color w:val="auto"/>
              </w:rPr>
              <w:t>Intangibles, net</w:t>
            </w:r>
          </w:p>
        </w:tc>
        <w:tc>
          <w:tcPr>
            <w:tcW w:w="18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57,044</w:t>
            </w:r>
          </w:p>
        </w:tc>
        <w:tc>
          <w:tcPr>
            <w:tcW w:w="4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0C0C0"/>
          </w:tcPr>
          <w:p>
            <w:pPr>
              <w:ind w:left="80"/>
              <w:spacing w:after="0" w:line="202" w:lineRule="exact"/>
              <w:rPr>
                <w:sz w:val="20"/>
                <w:szCs w:val="20"/>
                <w:color w:val="auto"/>
              </w:rPr>
            </w:pPr>
            <w:r>
              <w:rPr>
                <w:rFonts w:ascii="Arial" w:cs="Arial" w:eastAsia="Arial" w:hAnsi="Arial"/>
                <w:sz w:val="18"/>
                <w:szCs w:val="18"/>
                <w:color w:val="auto"/>
              </w:rPr>
              <w:t>Goodwill</w:t>
            </w:r>
          </w:p>
        </w:tc>
        <w:tc>
          <w:tcPr>
            <w:tcW w:w="1840" w:type="dxa"/>
            <w:vAlign w:val="bottom"/>
            <w:gridSpan w:val="3"/>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134,724</w:t>
            </w:r>
          </w:p>
        </w:tc>
        <w:tc>
          <w:tcPr>
            <w:tcW w:w="440" w:type="dxa"/>
            <w:vAlign w:val="bottom"/>
            <w:shd w:val="clear" w:color="auto" w:fill="C0C0C0"/>
          </w:tcPr>
          <w:p>
            <w:pPr>
              <w:spacing w:after="0"/>
              <w:rPr>
                <w:sz w:val="17"/>
                <w:szCs w:val="17"/>
                <w:color w:val="auto"/>
              </w:rPr>
            </w:pPr>
          </w:p>
        </w:tc>
        <w:tc>
          <w:tcPr>
            <w:tcW w:w="13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66,373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80"/>
              <w:spacing w:after="0" w:line="202" w:lineRule="exact"/>
              <w:rPr>
                <w:sz w:val="20"/>
                <w:szCs w:val="20"/>
                <w:color w:val="auto"/>
              </w:rPr>
            </w:pPr>
            <w:r>
              <w:rPr>
                <w:rFonts w:ascii="Arial" w:cs="Arial" w:eastAsia="Arial" w:hAnsi="Arial"/>
                <w:sz w:val="18"/>
                <w:szCs w:val="18"/>
                <w:color w:val="auto"/>
              </w:rPr>
              <w:t>Income taxes receivable and deferred</w:t>
            </w:r>
          </w:p>
        </w:tc>
        <w:tc>
          <w:tcPr>
            <w:tcW w:w="18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78,689</w:t>
            </w:r>
          </w:p>
        </w:tc>
        <w:tc>
          <w:tcPr>
            <w:tcW w:w="4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BFBFBF"/>
          </w:tcPr>
          <w:p>
            <w:pPr>
              <w:ind w:left="80"/>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BFBFBF"/>
          </w:tcPr>
          <w:p>
            <w:pPr>
              <w:spacing w:after="0"/>
              <w:rPr>
                <w:sz w:val="18"/>
                <w:szCs w:val="18"/>
                <w:color w:val="auto"/>
              </w:rPr>
            </w:pPr>
          </w:p>
        </w:tc>
        <w:tc>
          <w:tcPr>
            <w:tcW w:w="13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31,400</w:t>
            </w:r>
          </w:p>
        </w:tc>
        <w:tc>
          <w:tcPr>
            <w:tcW w:w="440" w:type="dxa"/>
            <w:vAlign w:val="bottom"/>
            <w:shd w:val="clear" w:color="auto" w:fill="BFBFBF"/>
          </w:tcPr>
          <w:p>
            <w:pPr>
              <w:spacing w:after="0"/>
              <w:rPr>
                <w:sz w:val="18"/>
                <w:szCs w:val="18"/>
                <w:color w:val="auto"/>
              </w:rPr>
            </w:pPr>
          </w:p>
        </w:tc>
        <w:tc>
          <w:tcPr>
            <w:tcW w:w="13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24,560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280"/>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6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$1,265,622</w:t>
            </w:r>
          </w:p>
        </w:tc>
        <w:tc>
          <w:tcPr>
            <w:tcW w:w="4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$1,009,562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760" w:type="dxa"/>
            <w:vAlign w:val="bottom"/>
            <w:tcBorders>
              <w:top w:val="single" w:sz="8" w:color="BFBFBF"/>
            </w:tcBorders>
            <w:shd w:val="clear" w:color="auto" w:fill="BFBFBF"/>
          </w:tcPr>
          <w:p>
            <w:pPr>
              <w:spacing w:after="0"/>
              <w:rPr>
                <w:sz w:val="15"/>
                <w:szCs w:val="15"/>
                <w:color w:val="auto"/>
              </w:rPr>
            </w:pPr>
          </w:p>
        </w:tc>
        <w:tc>
          <w:tcPr>
            <w:tcW w:w="460" w:type="dxa"/>
            <w:vAlign w:val="bottom"/>
            <w:tcBorders>
              <w:top w:val="single" w:sz="8" w:color="BFBFBF"/>
            </w:tcBorders>
            <w:shd w:val="clear" w:color="auto" w:fill="BFBFBF"/>
          </w:tcPr>
          <w:p>
            <w:pPr>
              <w:spacing w:after="0"/>
              <w:rPr>
                <w:sz w:val="15"/>
                <w:szCs w:val="15"/>
                <w:color w:val="auto"/>
              </w:rPr>
            </w:pPr>
          </w:p>
        </w:tc>
        <w:tc>
          <w:tcPr>
            <w:tcW w:w="1240" w:type="dxa"/>
            <w:vAlign w:val="bottom"/>
            <w:tcBorders>
              <w:top w:val="single" w:sz="8" w:color="auto"/>
            </w:tcBorders>
            <w:shd w:val="clear" w:color="auto" w:fill="BFBFBF"/>
          </w:tcPr>
          <w:p>
            <w:pPr>
              <w:spacing w:after="0"/>
              <w:rPr>
                <w:sz w:val="15"/>
                <w:szCs w:val="15"/>
                <w:color w:val="auto"/>
              </w:rPr>
            </w:pPr>
          </w:p>
        </w:tc>
        <w:tc>
          <w:tcPr>
            <w:tcW w:w="140" w:type="dxa"/>
            <w:vAlign w:val="bottom"/>
            <w:tcBorders>
              <w:top w:val="single" w:sz="8" w:color="BFBFBF"/>
            </w:tcBorders>
            <w:shd w:val="clear" w:color="auto" w:fill="BFBFBF"/>
          </w:tcPr>
          <w:p>
            <w:pPr>
              <w:spacing w:after="0"/>
              <w:rPr>
                <w:sz w:val="15"/>
                <w:szCs w:val="15"/>
                <w:color w:val="auto"/>
              </w:rPr>
            </w:pPr>
          </w:p>
        </w:tc>
        <w:tc>
          <w:tcPr>
            <w:tcW w:w="440" w:type="dxa"/>
            <w:vAlign w:val="bottom"/>
            <w:tcBorders>
              <w:top w:val="single" w:sz="8" w:color="BFBFBF"/>
            </w:tcBorders>
            <w:shd w:val="clear" w:color="auto" w:fill="BFBFBF"/>
          </w:tcPr>
          <w:p>
            <w:pPr>
              <w:spacing w:after="0"/>
              <w:rPr>
                <w:sz w:val="15"/>
                <w:szCs w:val="15"/>
                <w:color w:val="auto"/>
              </w:rPr>
            </w:pPr>
          </w:p>
        </w:tc>
        <w:tc>
          <w:tcPr>
            <w:tcW w:w="1260" w:type="dxa"/>
            <w:vAlign w:val="bottom"/>
            <w:tcBorders>
              <w:top w:val="single" w:sz="8" w:color="auto"/>
            </w:tcBorders>
            <w:shd w:val="clear" w:color="auto" w:fill="BFBFBF"/>
          </w:tcPr>
          <w:p>
            <w:pPr>
              <w:spacing w:after="0"/>
              <w:rPr>
                <w:sz w:val="15"/>
                <w:szCs w:val="15"/>
                <w:color w:val="auto"/>
              </w:rPr>
            </w:pPr>
          </w:p>
        </w:tc>
        <w:tc>
          <w:tcPr>
            <w:tcW w:w="100" w:type="dxa"/>
            <w:vAlign w:val="bottom"/>
            <w:tcBorders>
              <w:top w:val="single" w:sz="8" w:color="BFBFBF"/>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Notes and loans payable</w:t>
            </w:r>
          </w:p>
        </w:tc>
        <w:tc>
          <w:tcPr>
            <w:tcW w:w="1840" w:type="dxa"/>
            <w:vAlign w:val="bottom"/>
            <w:gridSpan w:val="3"/>
            <w:shd w:val="clear" w:color="auto" w:fill="BFBFBF"/>
          </w:tcPr>
          <w:p>
            <w:pPr>
              <w:jc w:val="right"/>
              <w:ind w:right="140"/>
              <w:spacing w:after="0" w:line="202" w:lineRule="exact"/>
              <w:rPr>
                <w:sz w:val="20"/>
                <w:szCs w:val="20"/>
                <w:color w:val="auto"/>
              </w:rPr>
            </w:pPr>
            <w:r>
              <w:rPr>
                <w:rFonts w:ascii="Arial" w:cs="Arial" w:eastAsia="Arial" w:hAnsi="Arial"/>
                <w:sz w:val="18"/>
                <w:szCs w:val="18"/>
                <w:color w:val="auto"/>
              </w:rPr>
              <w:t>$343</w:t>
            </w:r>
          </w:p>
        </w:tc>
        <w:tc>
          <w:tcPr>
            <w:tcW w:w="440" w:type="dxa"/>
            <w:vAlign w:val="bottom"/>
            <w:shd w:val="clear" w:color="auto" w:fill="BFBFBF"/>
          </w:tcPr>
          <w:p>
            <w:pPr>
              <w:spacing w:after="0"/>
              <w:rPr>
                <w:sz w:val="17"/>
                <w:szCs w:val="17"/>
                <w:color w:val="auto"/>
              </w:rPr>
            </w:pPr>
          </w:p>
        </w:tc>
        <w:tc>
          <w:tcPr>
            <w:tcW w:w="136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18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36,653</w:t>
            </w:r>
          </w:p>
        </w:tc>
        <w:tc>
          <w:tcPr>
            <w:tcW w:w="4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26,753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Accrued liabilities</w:t>
            </w:r>
          </w:p>
        </w:tc>
        <w:tc>
          <w:tcPr>
            <w:tcW w:w="460" w:type="dxa"/>
            <w:vAlign w:val="bottom"/>
            <w:shd w:val="clear" w:color="auto" w:fill="BFBFBF"/>
          </w:tcPr>
          <w:p>
            <w:pPr>
              <w:spacing w:after="0"/>
              <w:rPr>
                <w:sz w:val="17"/>
                <w:szCs w:val="17"/>
                <w:color w:val="auto"/>
              </w:rPr>
            </w:pPr>
          </w:p>
        </w:tc>
        <w:tc>
          <w:tcPr>
            <w:tcW w:w="1380" w:type="dxa"/>
            <w:vAlign w:val="bottom"/>
            <w:gridSpan w:val="2"/>
            <w:shd w:val="clear" w:color="auto" w:fill="C0C0C0"/>
          </w:tcPr>
          <w:p>
            <w:pPr>
              <w:jc w:val="right"/>
              <w:ind w:right="140"/>
              <w:spacing w:after="0" w:line="202" w:lineRule="exact"/>
              <w:rPr>
                <w:sz w:val="20"/>
                <w:szCs w:val="20"/>
                <w:color w:val="auto"/>
              </w:rPr>
            </w:pPr>
            <w:r>
              <w:rPr>
                <w:rFonts w:ascii="Arial" w:cs="Arial" w:eastAsia="Arial" w:hAnsi="Arial"/>
                <w:sz w:val="18"/>
                <w:szCs w:val="18"/>
                <w:color w:val="auto"/>
              </w:rPr>
              <w:t>96,483</w:t>
            </w:r>
          </w:p>
        </w:tc>
        <w:tc>
          <w:tcPr>
            <w:tcW w:w="440" w:type="dxa"/>
            <w:vAlign w:val="bottom"/>
            <w:shd w:val="clear" w:color="auto" w:fill="BFBFBF"/>
          </w:tcPr>
          <w:p>
            <w:pPr>
              <w:spacing w:after="0"/>
              <w:rPr>
                <w:sz w:val="17"/>
                <w:szCs w:val="17"/>
                <w:color w:val="auto"/>
              </w:rPr>
            </w:pPr>
          </w:p>
        </w:tc>
        <w:tc>
          <w:tcPr>
            <w:tcW w:w="1360" w:type="dxa"/>
            <w:vAlign w:val="bottom"/>
            <w:gridSpan w:val="2"/>
            <w:shd w:val="clear" w:color="auto" w:fill="C0C0C0"/>
          </w:tcPr>
          <w:p>
            <w:pPr>
              <w:jc w:val="right"/>
              <w:ind w:right="100"/>
              <w:spacing w:after="0" w:line="202" w:lineRule="exact"/>
              <w:rPr>
                <w:sz w:val="20"/>
                <w:szCs w:val="20"/>
                <w:color w:val="auto"/>
              </w:rPr>
            </w:pPr>
            <w:r>
              <w:rPr>
                <w:rFonts w:ascii="Arial" w:cs="Arial" w:eastAsia="Arial" w:hAnsi="Arial"/>
                <w:sz w:val="18"/>
                <w:szCs w:val="18"/>
                <w:color w:val="auto"/>
              </w:rPr>
              <w:t>91,785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80"/>
              <w:spacing w:after="0" w:line="202" w:lineRule="exact"/>
              <w:rPr>
                <w:sz w:val="20"/>
                <w:szCs w:val="20"/>
                <w:color w:val="auto"/>
              </w:rPr>
            </w:pPr>
            <w:r>
              <w:rPr>
                <w:rFonts w:ascii="Arial" w:cs="Arial" w:eastAsia="Arial" w:hAnsi="Arial"/>
                <w:sz w:val="18"/>
                <w:szCs w:val="18"/>
                <w:color w:val="auto"/>
              </w:rPr>
              <w:t>Current maturities of long-term debt</w:t>
            </w:r>
          </w:p>
        </w:tc>
        <w:tc>
          <w:tcPr>
            <w:tcW w:w="460" w:type="dxa"/>
            <w:vAlign w:val="bottom"/>
          </w:tcPr>
          <w:p>
            <w:pPr>
              <w:spacing w:after="0"/>
              <w:rPr>
                <w:sz w:val="17"/>
                <w:szCs w:val="17"/>
                <w:color w:val="auto"/>
              </w:rPr>
            </w:pP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1,462</w:t>
            </w:r>
          </w:p>
        </w:tc>
        <w:tc>
          <w:tcPr>
            <w:tcW w:w="4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BFBFBF"/>
          </w:tcPr>
          <w:p>
            <w:pPr>
              <w:ind w:left="80"/>
              <w:spacing w:after="0"/>
              <w:rPr>
                <w:sz w:val="20"/>
                <w:szCs w:val="20"/>
                <w:color w:val="auto"/>
              </w:rPr>
            </w:pPr>
            <w:r>
              <w:rPr>
                <w:rFonts w:ascii="Arial" w:cs="Arial" w:eastAsia="Arial" w:hAnsi="Arial"/>
                <w:sz w:val="18"/>
                <w:szCs w:val="18"/>
                <w:color w:val="auto"/>
              </w:rPr>
              <w:t>Income taxes payable</w:t>
            </w:r>
          </w:p>
        </w:tc>
        <w:tc>
          <w:tcPr>
            <w:tcW w:w="460" w:type="dxa"/>
            <w:vAlign w:val="bottom"/>
            <w:shd w:val="clear" w:color="auto" w:fill="BFBFBF"/>
          </w:tcPr>
          <w:p>
            <w:pPr>
              <w:spacing w:after="0"/>
              <w:rPr>
                <w:sz w:val="18"/>
                <w:szCs w:val="18"/>
                <w:color w:val="auto"/>
              </w:rPr>
            </w:pPr>
          </w:p>
        </w:tc>
        <w:tc>
          <w:tcPr>
            <w:tcW w:w="13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12,176</w:t>
            </w:r>
          </w:p>
        </w:tc>
        <w:tc>
          <w:tcPr>
            <w:tcW w:w="440" w:type="dxa"/>
            <w:vAlign w:val="bottom"/>
            <w:shd w:val="clear" w:color="auto" w:fill="BFBFBF"/>
          </w:tcPr>
          <w:p>
            <w:pPr>
              <w:spacing w:after="0"/>
              <w:rPr>
                <w:sz w:val="18"/>
                <w:szCs w:val="18"/>
                <w:color w:val="auto"/>
              </w:rPr>
            </w:pPr>
          </w:p>
        </w:tc>
        <w:tc>
          <w:tcPr>
            <w:tcW w:w="13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tcPr>
          <w:p>
            <w:pPr>
              <w:ind w:left="280"/>
              <w:spacing w:after="0" w:line="196" w:lineRule="exact"/>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147,117</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126,231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BFBFBF"/>
          </w:tcPr>
          <w:p>
            <w:pPr>
              <w:spacing w:after="0"/>
              <w:rPr>
                <w:sz w:val="17"/>
                <w:szCs w:val="17"/>
                <w:color w:val="auto"/>
              </w:rPr>
            </w:pPr>
          </w:p>
        </w:tc>
        <w:tc>
          <w:tcPr>
            <w:tcW w:w="46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2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80"/>
              <w:spacing w:after="0" w:line="202" w:lineRule="exact"/>
              <w:rPr>
                <w:sz w:val="20"/>
                <w:szCs w:val="20"/>
                <w:color w:val="auto"/>
              </w:rPr>
            </w:pPr>
            <w:r>
              <w:rPr>
                <w:rFonts w:ascii="Arial" w:cs="Arial" w:eastAsia="Arial" w:hAnsi="Arial"/>
                <w:sz w:val="18"/>
                <w:szCs w:val="18"/>
                <w:color w:val="auto"/>
              </w:rPr>
              <w:t>Long-term debt</w:t>
            </w:r>
          </w:p>
        </w:tc>
        <w:tc>
          <w:tcPr>
            <w:tcW w:w="18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490,003</w:t>
            </w:r>
          </w:p>
        </w:tc>
        <w:tc>
          <w:tcPr>
            <w:tcW w:w="4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265,080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Other noncurrent liabilities</w:t>
            </w:r>
          </w:p>
        </w:tc>
        <w:tc>
          <w:tcPr>
            <w:tcW w:w="1840" w:type="dxa"/>
            <w:vAlign w:val="bottom"/>
            <w:gridSpan w:val="3"/>
            <w:shd w:val="clear" w:color="auto" w:fill="BFBFBF"/>
          </w:tcPr>
          <w:p>
            <w:pPr>
              <w:jc w:val="right"/>
              <w:ind w:right="140"/>
              <w:spacing w:after="0" w:line="202" w:lineRule="exact"/>
              <w:rPr>
                <w:sz w:val="20"/>
                <w:szCs w:val="20"/>
                <w:color w:val="auto"/>
              </w:rPr>
            </w:pPr>
            <w:r>
              <w:rPr>
                <w:rFonts w:ascii="Arial" w:cs="Arial" w:eastAsia="Arial" w:hAnsi="Arial"/>
                <w:sz w:val="18"/>
                <w:szCs w:val="18"/>
                <w:color w:val="auto"/>
              </w:rPr>
              <w:t>98,123</w:t>
            </w:r>
          </w:p>
        </w:tc>
        <w:tc>
          <w:tcPr>
            <w:tcW w:w="440" w:type="dxa"/>
            <w:vAlign w:val="bottom"/>
            <w:shd w:val="clear" w:color="auto" w:fill="BFBFBF"/>
          </w:tcPr>
          <w:p>
            <w:pPr>
              <w:spacing w:after="0"/>
              <w:rPr>
                <w:sz w:val="17"/>
                <w:szCs w:val="17"/>
                <w:color w:val="auto"/>
              </w:rPr>
            </w:pPr>
          </w:p>
        </w:tc>
        <w:tc>
          <w:tcPr>
            <w:tcW w:w="136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101,544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Deferred taxes and other liabilities</w:t>
            </w:r>
          </w:p>
        </w:tc>
        <w:tc>
          <w:tcPr>
            <w:tcW w:w="1840" w:type="dxa"/>
            <w:vAlign w:val="bottom"/>
            <w:gridSpan w:val="3"/>
          </w:tcPr>
          <w:p>
            <w:pPr>
              <w:jc w:val="right"/>
              <w:ind w:right="140"/>
              <w:spacing w:after="0"/>
              <w:rPr>
                <w:sz w:val="20"/>
                <w:szCs w:val="20"/>
                <w:color w:val="auto"/>
              </w:rPr>
            </w:pPr>
            <w:r>
              <w:rPr>
                <w:rFonts w:ascii="Arial" w:cs="Arial" w:eastAsia="Arial" w:hAnsi="Arial"/>
                <w:sz w:val="18"/>
                <w:szCs w:val="18"/>
                <w:color w:val="auto"/>
              </w:rPr>
              <w:t>5,256</w:t>
            </w:r>
          </w:p>
        </w:tc>
        <w:tc>
          <w:tcPr>
            <w:tcW w:w="4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14,154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tcBorders>
              <w:top w:val="single" w:sz="8" w:color="BFBFBF"/>
            </w:tcBorders>
            <w:shd w:val="clear" w:color="auto" w:fill="BFBFBF"/>
          </w:tcPr>
          <w:p>
            <w:pPr>
              <w:ind w:left="280"/>
              <w:spacing w:after="0" w:line="196" w:lineRule="exact"/>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BFBFBF"/>
            </w:tcBorders>
            <w:shd w:val="clear" w:color="auto" w:fill="BFBFBF"/>
          </w:tcPr>
          <w:p>
            <w:pPr>
              <w:spacing w:after="0"/>
              <w:rPr>
                <w:sz w:val="17"/>
                <w:szCs w:val="17"/>
                <w:color w:val="auto"/>
              </w:rPr>
            </w:pPr>
          </w:p>
        </w:tc>
        <w:tc>
          <w:tcPr>
            <w:tcW w:w="12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740,499</w:t>
            </w:r>
          </w:p>
        </w:tc>
        <w:tc>
          <w:tcPr>
            <w:tcW w:w="140" w:type="dxa"/>
            <w:vAlign w:val="bottom"/>
            <w:tcBorders>
              <w:top w:val="single" w:sz="8" w:color="BFBFBF"/>
            </w:tcBorders>
            <w:shd w:val="clear" w:color="auto" w:fill="BFBFBF"/>
          </w:tcPr>
          <w:p>
            <w:pPr>
              <w:spacing w:after="0"/>
              <w:rPr>
                <w:sz w:val="17"/>
                <w:szCs w:val="17"/>
                <w:color w:val="auto"/>
              </w:rPr>
            </w:pPr>
          </w:p>
        </w:tc>
        <w:tc>
          <w:tcPr>
            <w:tcW w:w="440" w:type="dxa"/>
            <w:vAlign w:val="bottom"/>
            <w:tcBorders>
              <w:top w:val="single" w:sz="8" w:color="BFBFBF"/>
            </w:tcBorders>
            <w:shd w:val="clear" w:color="auto" w:fill="BFBFBF"/>
          </w:tcPr>
          <w:p>
            <w:pPr>
              <w:spacing w:after="0"/>
              <w:rPr>
                <w:sz w:val="17"/>
                <w:szCs w:val="17"/>
                <w:color w:val="auto"/>
              </w:rPr>
            </w:pPr>
          </w:p>
        </w:tc>
        <w:tc>
          <w:tcPr>
            <w:tcW w:w="126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507,009</w:t>
            </w:r>
          </w:p>
        </w:tc>
        <w:tc>
          <w:tcPr>
            <w:tcW w:w="10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SHAREHOLDERS' EQUITY</w:t>
            </w:r>
          </w:p>
        </w:tc>
        <w:tc>
          <w:tcPr>
            <w:tcW w:w="46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2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Preferred stock, par value $5.00 per share;</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180"/>
              <w:spacing w:after="0" w:line="203" w:lineRule="exact"/>
              <w:rPr>
                <w:sz w:val="20"/>
                <w:szCs w:val="20"/>
                <w:color w:val="auto"/>
              </w:rPr>
            </w:pPr>
            <w:r>
              <w:rPr>
                <w:rFonts w:ascii="Arial" w:cs="Arial" w:eastAsia="Arial" w:hAnsi="Arial"/>
                <w:sz w:val="18"/>
                <w:szCs w:val="18"/>
                <w:color w:val="auto"/>
              </w:rPr>
              <w:t>authorized 2,000,000 shares; none issued</w:t>
            </w:r>
          </w:p>
        </w:tc>
        <w:tc>
          <w:tcPr>
            <w:tcW w:w="18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3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BFBFBF"/>
          </w:tcPr>
          <w:p>
            <w:pPr>
              <w:ind w:left="8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46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2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authorized 100,000,000 shares; issued 37,315,016</w:t>
            </w:r>
          </w:p>
        </w:tc>
        <w:tc>
          <w:tcPr>
            <w:tcW w:w="46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2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BFBFBF"/>
          </w:tcPr>
          <w:p>
            <w:pPr>
              <w:ind w:left="240"/>
              <w:spacing w:after="0" w:line="203" w:lineRule="exact"/>
              <w:rPr>
                <w:sz w:val="20"/>
                <w:szCs w:val="20"/>
                <w:color w:val="auto"/>
              </w:rPr>
            </w:pPr>
            <w:r>
              <w:rPr>
                <w:rFonts w:ascii="Arial" w:cs="Arial" w:eastAsia="Arial" w:hAnsi="Arial"/>
                <w:sz w:val="18"/>
                <w:szCs w:val="18"/>
                <w:color w:val="auto"/>
              </w:rPr>
              <w:t>in 2016 and 37,238,913 in 2015</w:t>
            </w:r>
          </w:p>
        </w:tc>
        <w:tc>
          <w:tcPr>
            <w:tcW w:w="460" w:type="dxa"/>
            <w:vAlign w:val="bottom"/>
            <w:shd w:val="clear" w:color="auto" w:fill="BFBFBF"/>
          </w:tcPr>
          <w:p>
            <w:pPr>
              <w:spacing w:after="0"/>
              <w:rPr>
                <w:sz w:val="17"/>
                <w:szCs w:val="17"/>
                <w:color w:val="auto"/>
              </w:rPr>
            </w:pPr>
          </w:p>
        </w:tc>
        <w:tc>
          <w:tcPr>
            <w:tcW w:w="1380" w:type="dxa"/>
            <w:vAlign w:val="bottom"/>
            <w:gridSpan w:val="2"/>
            <w:shd w:val="clear" w:color="auto" w:fill="BFBFBF"/>
          </w:tcPr>
          <w:p>
            <w:pPr>
              <w:jc w:val="right"/>
              <w:ind w:right="140"/>
              <w:spacing w:after="0" w:line="203" w:lineRule="exact"/>
              <w:rPr>
                <w:sz w:val="20"/>
                <w:szCs w:val="20"/>
                <w:color w:val="auto"/>
              </w:rPr>
            </w:pPr>
            <w:r>
              <w:rPr>
                <w:rFonts w:ascii="Arial" w:cs="Arial" w:eastAsia="Arial" w:hAnsi="Arial"/>
                <w:sz w:val="18"/>
                <w:szCs w:val="18"/>
                <w:color w:val="auto"/>
              </w:rPr>
              <w:t>37</w:t>
            </w:r>
          </w:p>
        </w:tc>
        <w:tc>
          <w:tcPr>
            <w:tcW w:w="440" w:type="dxa"/>
            <w:vAlign w:val="bottom"/>
            <w:shd w:val="clear" w:color="auto" w:fill="BFBFBF"/>
          </w:tcPr>
          <w:p>
            <w:pPr>
              <w:spacing w:after="0"/>
              <w:rPr>
                <w:sz w:val="17"/>
                <w:szCs w:val="17"/>
                <w:color w:val="auto"/>
              </w:rPr>
            </w:pPr>
          </w:p>
        </w:tc>
        <w:tc>
          <w:tcPr>
            <w:tcW w:w="1360" w:type="dxa"/>
            <w:vAlign w:val="bottom"/>
            <w:gridSpan w:val="2"/>
            <w:shd w:val="clear" w:color="auto" w:fill="BFBFBF"/>
          </w:tcPr>
          <w:p>
            <w:pPr>
              <w:jc w:val="right"/>
              <w:ind w:right="10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ind w:left="80"/>
              <w:spacing w:after="0" w:line="201" w:lineRule="exact"/>
              <w:rPr>
                <w:sz w:val="20"/>
                <w:szCs w:val="20"/>
                <w:color w:val="auto"/>
              </w:rPr>
            </w:pPr>
            <w:r>
              <w:rPr>
                <w:rFonts w:ascii="Arial" w:cs="Arial" w:eastAsia="Arial" w:hAnsi="Arial"/>
                <w:sz w:val="18"/>
                <w:szCs w:val="18"/>
                <w:color w:val="auto"/>
              </w:rPr>
              <w:t>Class B Common Stock, par value $.001 per share;</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authorized 25,000,000 shares; issued and</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180"/>
              <w:spacing w:after="0" w:line="203" w:lineRule="exact"/>
              <w:rPr>
                <w:sz w:val="20"/>
                <w:szCs w:val="20"/>
                <w:color w:val="auto"/>
              </w:rPr>
            </w:pPr>
            <w:r>
              <w:rPr>
                <w:rFonts w:ascii="Arial" w:cs="Arial" w:eastAsia="Arial" w:hAnsi="Arial"/>
                <w:sz w:val="18"/>
                <w:szCs w:val="18"/>
                <w:color w:val="auto"/>
              </w:rPr>
              <w:t>outstanding 3,235,048 in 2016 and 2015</w:t>
            </w:r>
          </w:p>
        </w:tc>
        <w:tc>
          <w:tcPr>
            <w:tcW w:w="184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3</w:t>
            </w:r>
          </w:p>
        </w:tc>
        <w:tc>
          <w:tcPr>
            <w:tcW w:w="440" w:type="dxa"/>
            <w:vAlign w:val="bottom"/>
          </w:tcPr>
          <w:p>
            <w:pPr>
              <w:spacing w:after="0"/>
              <w:rPr>
                <w:sz w:val="17"/>
                <w:szCs w:val="17"/>
                <w:color w:val="auto"/>
              </w:rPr>
            </w:pPr>
          </w:p>
        </w:tc>
        <w:tc>
          <w:tcPr>
            <w:tcW w:w="13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Additional paid in capital</w:t>
            </w:r>
          </w:p>
        </w:tc>
        <w:tc>
          <w:tcPr>
            <w:tcW w:w="1840" w:type="dxa"/>
            <w:vAlign w:val="bottom"/>
            <w:gridSpan w:val="3"/>
            <w:shd w:val="clear" w:color="auto" w:fill="BFBFBF"/>
          </w:tcPr>
          <w:p>
            <w:pPr>
              <w:jc w:val="right"/>
              <w:ind w:right="140"/>
              <w:spacing w:after="0" w:line="202" w:lineRule="exact"/>
              <w:rPr>
                <w:sz w:val="20"/>
                <w:szCs w:val="20"/>
                <w:color w:val="auto"/>
              </w:rPr>
            </w:pPr>
            <w:r>
              <w:rPr>
                <w:rFonts w:ascii="Arial" w:cs="Arial" w:eastAsia="Arial" w:hAnsi="Arial"/>
                <w:sz w:val="18"/>
                <w:szCs w:val="18"/>
                <w:color w:val="auto"/>
              </w:rPr>
              <w:t>425,315</w:t>
            </w:r>
          </w:p>
        </w:tc>
        <w:tc>
          <w:tcPr>
            <w:tcW w:w="440" w:type="dxa"/>
            <w:vAlign w:val="bottom"/>
            <w:shd w:val="clear" w:color="auto" w:fill="BFBFBF"/>
          </w:tcPr>
          <w:p>
            <w:pPr>
              <w:spacing w:after="0"/>
              <w:rPr>
                <w:sz w:val="17"/>
                <w:szCs w:val="17"/>
                <w:color w:val="auto"/>
              </w:rPr>
            </w:pPr>
          </w:p>
        </w:tc>
        <w:tc>
          <w:tcPr>
            <w:tcW w:w="1360" w:type="dxa"/>
            <w:vAlign w:val="bottom"/>
            <w:gridSpan w:val="2"/>
            <w:shd w:val="clear" w:color="auto" w:fill="BFBFBF"/>
          </w:tcPr>
          <w:p>
            <w:pPr>
              <w:jc w:val="right"/>
              <w:ind w:right="100"/>
              <w:spacing w:after="0" w:line="202" w:lineRule="exact"/>
              <w:rPr>
                <w:sz w:val="20"/>
                <w:szCs w:val="20"/>
                <w:color w:val="auto"/>
              </w:rPr>
            </w:pPr>
            <w:r>
              <w:rPr>
                <w:rFonts w:ascii="Arial" w:cs="Arial" w:eastAsia="Arial" w:hAnsi="Arial"/>
                <w:sz w:val="18"/>
                <w:szCs w:val="18"/>
                <w:color w:val="auto"/>
              </w:rPr>
              <w:t>423,108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80"/>
              <w:spacing w:after="0" w:line="202" w:lineRule="exact"/>
              <w:rPr>
                <w:sz w:val="20"/>
                <w:szCs w:val="20"/>
                <w:color w:val="auto"/>
              </w:rPr>
            </w:pPr>
            <w:r>
              <w:rPr>
                <w:rFonts w:ascii="Arial" w:cs="Arial" w:eastAsia="Arial" w:hAnsi="Arial"/>
                <w:sz w:val="18"/>
                <w:szCs w:val="18"/>
                <w:color w:val="auto"/>
              </w:rPr>
              <w:t>Retained earnings</w:t>
            </w:r>
          </w:p>
        </w:tc>
        <w:tc>
          <w:tcPr>
            <w:tcW w:w="18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512,517</w:t>
            </w:r>
          </w:p>
        </w:tc>
        <w:tc>
          <w:tcPr>
            <w:tcW w:w="4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491,950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Accumulated items of other comprehensive income:</w:t>
            </w:r>
          </w:p>
        </w:tc>
        <w:tc>
          <w:tcPr>
            <w:tcW w:w="46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2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Translation adjustments</w:t>
            </w:r>
          </w:p>
        </w:tc>
        <w:tc>
          <w:tcPr>
            <w:tcW w:w="18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(106,439)</w:t>
            </w:r>
          </w:p>
        </w:tc>
        <w:tc>
          <w:tcPr>
            <w:tcW w:w="44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(108,655)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840" w:type="dxa"/>
            <w:vAlign w:val="bottom"/>
            <w:gridSpan w:val="3"/>
            <w:shd w:val="clear" w:color="auto" w:fill="BFBFBF"/>
          </w:tcPr>
          <w:p>
            <w:pPr>
              <w:jc w:val="right"/>
              <w:ind w:right="80"/>
              <w:spacing w:after="0" w:line="202" w:lineRule="exact"/>
              <w:rPr>
                <w:sz w:val="20"/>
                <w:szCs w:val="20"/>
                <w:color w:val="auto"/>
              </w:rPr>
            </w:pPr>
            <w:r>
              <w:rPr>
                <w:rFonts w:ascii="Arial" w:cs="Arial" w:eastAsia="Arial" w:hAnsi="Arial"/>
                <w:sz w:val="18"/>
                <w:szCs w:val="18"/>
                <w:color w:val="auto"/>
              </w:rPr>
              <w:t>(48,023)</w:t>
            </w:r>
          </w:p>
        </w:tc>
        <w:tc>
          <w:tcPr>
            <w:tcW w:w="440" w:type="dxa"/>
            <w:vAlign w:val="bottom"/>
            <w:shd w:val="clear" w:color="auto" w:fill="BFBFBF"/>
          </w:tcPr>
          <w:p>
            <w:pPr>
              <w:spacing w:after="0"/>
              <w:rPr>
                <w:sz w:val="17"/>
                <w:szCs w:val="17"/>
                <w:color w:val="auto"/>
              </w:rPr>
            </w:pPr>
          </w:p>
        </w:tc>
        <w:tc>
          <w:tcPr>
            <w:tcW w:w="136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(48,725)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ind w:left="180"/>
              <w:spacing w:after="0" w:line="202" w:lineRule="exact"/>
              <w:rPr>
                <w:sz w:val="20"/>
                <w:szCs w:val="20"/>
                <w:color w:val="auto"/>
              </w:rPr>
            </w:pPr>
            <w:r>
              <w:rPr>
                <w:rFonts w:ascii="Arial" w:cs="Arial" w:eastAsia="Arial" w:hAnsi="Arial"/>
                <w:sz w:val="18"/>
                <w:szCs w:val="18"/>
                <w:color w:val="auto"/>
              </w:rPr>
              <w:t>Derivative valuation adjustment</w:t>
            </w:r>
          </w:p>
        </w:tc>
        <w:tc>
          <w:tcPr>
            <w:tcW w:w="18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(4,719)</w:t>
            </w:r>
          </w:p>
        </w:tc>
        <w:tc>
          <w:tcPr>
            <w:tcW w:w="44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BFBFBF"/>
          </w:tcPr>
          <w:p>
            <w:pPr>
              <w:ind w:left="80"/>
              <w:spacing w:after="0" w:line="201" w:lineRule="exact"/>
              <w:rPr>
                <w:sz w:val="20"/>
                <w:szCs w:val="20"/>
                <w:color w:val="auto"/>
              </w:rPr>
            </w:pPr>
            <w:r>
              <w:rPr>
                <w:rFonts w:ascii="Arial" w:cs="Arial" w:eastAsia="Arial" w:hAnsi="Arial"/>
                <w:sz w:val="18"/>
                <w:szCs w:val="18"/>
                <w:color w:val="auto"/>
              </w:rPr>
              <w:t>Treasury stock (Class A), at cost 8,443,902 shares</w:t>
            </w:r>
          </w:p>
        </w:tc>
        <w:tc>
          <w:tcPr>
            <w:tcW w:w="46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12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BFBFBF"/>
          </w:tcPr>
          <w:p>
            <w:pPr>
              <w:ind w:left="180"/>
              <w:spacing w:after="0"/>
              <w:rPr>
                <w:sz w:val="20"/>
                <w:szCs w:val="20"/>
                <w:color w:val="auto"/>
              </w:rPr>
            </w:pPr>
            <w:r>
              <w:rPr>
                <w:rFonts w:ascii="Arial" w:cs="Arial" w:eastAsia="Arial" w:hAnsi="Arial"/>
                <w:sz w:val="18"/>
                <w:szCs w:val="18"/>
                <w:color w:val="auto"/>
              </w:rPr>
              <w:t>in 2016 and 8,455,293 shares in 2015</w:t>
            </w:r>
          </w:p>
        </w:tc>
        <w:tc>
          <w:tcPr>
            <w:tcW w:w="1840" w:type="dxa"/>
            <w:vAlign w:val="bottom"/>
            <w:gridSpan w:val="3"/>
            <w:shd w:val="clear" w:color="auto" w:fill="BFBFBF"/>
          </w:tcPr>
          <w:p>
            <w:pPr>
              <w:jc w:val="right"/>
              <w:ind w:right="80"/>
              <w:spacing w:after="0"/>
              <w:rPr>
                <w:sz w:val="20"/>
                <w:szCs w:val="20"/>
                <w:color w:val="auto"/>
              </w:rPr>
            </w:pPr>
            <w:r>
              <w:rPr>
                <w:rFonts w:ascii="Arial" w:cs="Arial" w:eastAsia="Arial" w:hAnsi="Arial"/>
                <w:sz w:val="18"/>
                <w:szCs w:val="18"/>
                <w:color w:val="auto"/>
              </w:rPr>
              <w:t>(257,146)</w:t>
            </w:r>
          </w:p>
        </w:tc>
        <w:tc>
          <w:tcPr>
            <w:tcW w:w="440" w:type="dxa"/>
            <w:vAlign w:val="bottom"/>
            <w:shd w:val="clear" w:color="auto" w:fill="BFBFBF"/>
          </w:tcPr>
          <w:p>
            <w:pPr>
              <w:spacing w:after="0"/>
              <w:rPr>
                <w:sz w:val="18"/>
                <w:szCs w:val="18"/>
                <w:color w:val="auto"/>
              </w:rPr>
            </w:pPr>
          </w:p>
        </w:tc>
        <w:tc>
          <w:tcPr>
            <w:tcW w:w="1360" w:type="dxa"/>
            <w:vAlign w:val="bottom"/>
            <w:gridSpan w:val="2"/>
            <w:shd w:val="clear" w:color="auto" w:fill="BFBFBF"/>
          </w:tcPr>
          <w:p>
            <w:pPr>
              <w:jc w:val="right"/>
              <w:ind w:right="40"/>
              <w:spacing w:after="0"/>
              <w:rPr>
                <w:sz w:val="20"/>
                <w:szCs w:val="20"/>
                <w:color w:val="auto"/>
              </w:rPr>
            </w:pPr>
            <w:r>
              <w:rPr>
                <w:rFonts w:ascii="Arial" w:cs="Arial" w:eastAsia="Arial" w:hAnsi="Arial"/>
                <w:sz w:val="18"/>
                <w:szCs w:val="18"/>
                <w:color w:val="auto"/>
              </w:rPr>
              <w:t>(257,391)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tcPr>
          <w:p>
            <w:pPr>
              <w:ind w:left="280"/>
              <w:spacing w:after="0" w:line="196" w:lineRule="exact"/>
              <w:rPr>
                <w:sz w:val="20"/>
                <w:szCs w:val="20"/>
                <w:color w:val="auto"/>
              </w:rPr>
            </w:pPr>
            <w:r>
              <w:rPr>
                <w:rFonts w:ascii="Arial" w:cs="Arial" w:eastAsia="Arial" w:hAnsi="Arial"/>
                <w:sz w:val="18"/>
                <w:szCs w:val="18"/>
                <w:color w:val="auto"/>
              </w:rPr>
              <w:t>Total Company shareholders' equity</w:t>
            </w:r>
          </w:p>
        </w:tc>
        <w:tc>
          <w:tcPr>
            <w:tcW w:w="460" w:type="dxa"/>
            <w:vAlign w:val="bottom"/>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521,545</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498,863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BFBFBF"/>
          </w:tcPr>
          <w:p>
            <w:pPr>
              <w:ind w:left="80"/>
              <w:spacing w:after="0"/>
              <w:rPr>
                <w:sz w:val="20"/>
                <w:szCs w:val="20"/>
                <w:color w:val="auto"/>
              </w:rPr>
            </w:pPr>
            <w:r>
              <w:rPr>
                <w:rFonts w:ascii="Arial" w:cs="Arial" w:eastAsia="Arial" w:hAnsi="Arial"/>
                <w:sz w:val="18"/>
                <w:szCs w:val="18"/>
                <w:color w:val="auto"/>
              </w:rPr>
              <w:t>Noncontrolling interest</w:t>
            </w:r>
          </w:p>
        </w:tc>
        <w:tc>
          <w:tcPr>
            <w:tcW w:w="1840" w:type="dxa"/>
            <w:vAlign w:val="bottom"/>
            <w:gridSpan w:val="3"/>
            <w:shd w:val="clear" w:color="auto" w:fill="BFBFBF"/>
          </w:tcPr>
          <w:p>
            <w:pPr>
              <w:jc w:val="right"/>
              <w:ind w:right="140"/>
              <w:spacing w:after="0"/>
              <w:rPr>
                <w:sz w:val="20"/>
                <w:szCs w:val="20"/>
                <w:color w:val="auto"/>
              </w:rPr>
            </w:pPr>
            <w:r>
              <w:rPr>
                <w:rFonts w:ascii="Arial" w:cs="Arial" w:eastAsia="Arial" w:hAnsi="Arial"/>
                <w:sz w:val="18"/>
                <w:szCs w:val="18"/>
                <w:color w:val="auto"/>
              </w:rPr>
              <w:t>3,578</w:t>
            </w:r>
          </w:p>
        </w:tc>
        <w:tc>
          <w:tcPr>
            <w:tcW w:w="440" w:type="dxa"/>
            <w:vAlign w:val="bottom"/>
            <w:shd w:val="clear" w:color="auto" w:fill="BFBFBF"/>
          </w:tcPr>
          <w:p>
            <w:pPr>
              <w:spacing w:after="0"/>
              <w:rPr>
                <w:sz w:val="18"/>
                <w:szCs w:val="18"/>
                <w:color w:val="auto"/>
              </w:rPr>
            </w:pPr>
          </w:p>
        </w:tc>
        <w:tc>
          <w:tcPr>
            <w:tcW w:w="136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tcBorders>
              <w:bottom w:val="single" w:sz="8" w:color="BFBFBF"/>
            </w:tcBorders>
          </w:tcPr>
          <w:p>
            <w:pPr>
              <w:ind w:left="40"/>
              <w:spacing w:after="0" w:line="196" w:lineRule="exact"/>
              <w:rPr>
                <w:sz w:val="20"/>
                <w:szCs w:val="20"/>
                <w:color w:val="auto"/>
              </w:rPr>
            </w:pPr>
            <w:r>
              <w:rPr>
                <w:rFonts w:ascii="Arial" w:cs="Arial" w:eastAsia="Arial" w:hAnsi="Arial"/>
                <w:sz w:val="18"/>
                <w:szCs w:val="18"/>
                <w:color w:val="auto"/>
              </w:rPr>
              <w:t>Total equity</w:t>
            </w:r>
          </w:p>
        </w:tc>
        <w:tc>
          <w:tcPr>
            <w:tcW w:w="460" w:type="dxa"/>
            <w:vAlign w:val="bottom"/>
            <w:tcBorders>
              <w:bottom w:val="single" w:sz="8" w:color="BFBFB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525,123</w:t>
            </w:r>
          </w:p>
        </w:tc>
        <w:tc>
          <w:tcPr>
            <w:tcW w:w="140" w:type="dxa"/>
            <w:vAlign w:val="bottom"/>
            <w:tcBorders>
              <w:bottom w:val="single" w:sz="8" w:color="BFBFBF"/>
            </w:tcBorders>
          </w:tcPr>
          <w:p>
            <w:pPr>
              <w:spacing w:after="0"/>
              <w:rPr>
                <w:sz w:val="17"/>
                <w:szCs w:val="17"/>
                <w:color w:val="auto"/>
              </w:rPr>
            </w:pPr>
          </w:p>
        </w:tc>
        <w:tc>
          <w:tcPr>
            <w:tcW w:w="440" w:type="dxa"/>
            <w:vAlign w:val="bottom"/>
            <w:tcBorders>
              <w:bottom w:val="single" w:sz="8" w:color="BFBFB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502,553</w:t>
            </w:r>
          </w:p>
        </w:tc>
        <w:tc>
          <w:tcPr>
            <w:tcW w:w="100" w:type="dxa"/>
            <w:vAlign w:val="bottom"/>
            <w:tcBorders>
              <w:bottom w:val="single" w:sz="8" w:color="BFBFB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BFBFBF"/>
          </w:tcPr>
          <w:p>
            <w:pPr>
              <w:ind w:left="280"/>
              <w:spacing w:after="0" w:line="197" w:lineRule="exact"/>
              <w:rPr>
                <w:sz w:val="20"/>
                <w:szCs w:val="20"/>
                <w:color w:val="auto"/>
              </w:rPr>
            </w:pPr>
            <w:r>
              <w:rPr>
                <w:rFonts w:ascii="Arial" w:cs="Arial" w:eastAsia="Arial" w:hAnsi="Arial"/>
                <w:sz w:val="18"/>
                <w:szCs w:val="18"/>
                <w:color w:val="auto"/>
              </w:rPr>
              <w:t>Total liabilities and shareholders' equity</w:t>
            </w:r>
          </w:p>
        </w:tc>
        <w:tc>
          <w:tcPr>
            <w:tcW w:w="1840" w:type="dxa"/>
            <w:vAlign w:val="bottom"/>
            <w:gridSpan w:val="3"/>
            <w:shd w:val="clear" w:color="auto" w:fill="BFBFBF"/>
          </w:tcPr>
          <w:p>
            <w:pPr>
              <w:jc w:val="right"/>
              <w:ind w:right="140"/>
              <w:spacing w:after="0"/>
              <w:rPr>
                <w:sz w:val="20"/>
                <w:szCs w:val="20"/>
                <w:color w:val="auto"/>
              </w:rPr>
            </w:pPr>
            <w:r>
              <w:rPr>
                <w:rFonts w:ascii="Arial" w:cs="Arial" w:eastAsia="Arial" w:hAnsi="Arial"/>
                <w:sz w:val="18"/>
                <w:szCs w:val="18"/>
                <w:color w:val="auto"/>
              </w:rPr>
              <w:t>$1,265,622</w:t>
            </w:r>
          </w:p>
        </w:tc>
        <w:tc>
          <w:tcPr>
            <w:tcW w:w="440" w:type="dxa"/>
            <w:vAlign w:val="bottom"/>
            <w:shd w:val="clear" w:color="auto" w:fill="BFBFBF"/>
          </w:tcPr>
          <w:p>
            <w:pPr>
              <w:spacing w:after="0"/>
              <w:rPr>
                <w:sz w:val="18"/>
                <w:szCs w:val="18"/>
                <w:color w:val="auto"/>
              </w:rPr>
            </w:pPr>
          </w:p>
        </w:tc>
        <w:tc>
          <w:tcPr>
            <w:tcW w:w="1360" w:type="dxa"/>
            <w:vAlign w:val="bottom"/>
            <w:gridSpan w:val="2"/>
            <w:shd w:val="clear" w:color="auto" w:fill="BFBFBF"/>
          </w:tcPr>
          <w:p>
            <w:pPr>
              <w:jc w:val="right"/>
              <w:ind w:right="100"/>
              <w:spacing w:after="0"/>
              <w:rPr>
                <w:sz w:val="20"/>
                <w:szCs w:val="20"/>
                <w:color w:val="auto"/>
              </w:rPr>
            </w:pPr>
            <w:r>
              <w:rPr>
                <w:rFonts w:ascii="Arial" w:cs="Arial" w:eastAsia="Arial" w:hAnsi="Arial"/>
                <w:sz w:val="18"/>
                <w:szCs w:val="18"/>
                <w:color w:val="auto"/>
              </w:rPr>
              <w:t>$1,009,562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BFBFBF"/>
            </w:tcBorders>
          </w:tcPr>
          <w:p>
            <w:pPr>
              <w:spacing w:after="0" w:line="20" w:lineRule="exact"/>
              <w:rPr>
                <w:sz w:val="1"/>
                <w:szCs w:val="1"/>
                <w:color w:val="auto"/>
              </w:rPr>
            </w:pPr>
          </w:p>
        </w:tc>
        <w:tc>
          <w:tcPr>
            <w:tcW w:w="460" w:type="dxa"/>
            <w:vAlign w:val="bottom"/>
            <w:tcBorders>
              <w:top w:val="single" w:sz="8" w:color="BFBFB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BFBFBF"/>
            </w:tcBorders>
          </w:tcPr>
          <w:p>
            <w:pPr>
              <w:spacing w:after="0" w:line="20" w:lineRule="exact"/>
              <w:rPr>
                <w:sz w:val="1"/>
                <w:szCs w:val="1"/>
                <w:color w:val="auto"/>
              </w:rPr>
            </w:pPr>
          </w:p>
        </w:tc>
        <w:tc>
          <w:tcPr>
            <w:tcW w:w="440" w:type="dxa"/>
            <w:vAlign w:val="bottom"/>
            <w:tcBorders>
              <w:top w:val="single" w:sz="8" w:color="BFBFB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BFB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CASH FLOW</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740" w:type="dxa"/>
            <w:vAlign w:val="bottom"/>
            <w:gridSpan w:val="6"/>
          </w:tcPr>
          <w:p>
            <w:pPr>
              <w:jc w:val="center"/>
              <w:ind w:right="100"/>
              <w:spacing w:after="0"/>
              <w:rPr>
                <w:sz w:val="20"/>
                <w:szCs w:val="20"/>
                <w:color w:val="auto"/>
              </w:rPr>
            </w:pPr>
            <w:r>
              <w:rPr>
                <w:rFonts w:ascii="Arial" w:cs="Arial" w:eastAsia="Arial" w:hAnsi="Arial"/>
                <w:sz w:val="18"/>
                <w:szCs w:val="18"/>
                <w:color w:val="auto"/>
                <w:w w:val="99"/>
              </w:rPr>
              <w:t>Three Months Ended</w:t>
            </w:r>
          </w:p>
        </w:tc>
        <w:tc>
          <w:tcPr>
            <w:tcW w:w="2600" w:type="dxa"/>
            <w:vAlign w:val="bottom"/>
            <w:gridSpan w:val="5"/>
          </w:tcPr>
          <w:p>
            <w:pPr>
              <w:jc w:val="right"/>
              <w:ind w:right="4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6"/>
          </w:tcPr>
          <w:p>
            <w:pPr>
              <w:jc w:val="center"/>
              <w:ind w:right="120"/>
              <w:spacing w:after="0"/>
              <w:rPr>
                <w:sz w:val="20"/>
                <w:szCs w:val="20"/>
                <w:color w:val="auto"/>
              </w:rPr>
            </w:pPr>
            <w:r>
              <w:rPr>
                <w:rFonts w:ascii="Arial" w:cs="Arial" w:eastAsia="Arial" w:hAnsi="Arial"/>
                <w:sz w:val="18"/>
                <w:szCs w:val="18"/>
                <w:color w:val="auto"/>
                <w:w w:val="99"/>
              </w:rPr>
              <w:t>September 30,</w:t>
            </w:r>
          </w:p>
        </w:tc>
        <w:tc>
          <w:tcPr>
            <w:tcW w:w="2600" w:type="dxa"/>
            <w:vAlign w:val="bottom"/>
            <w:gridSpan w:val="5"/>
          </w:tcPr>
          <w:p>
            <w:pPr>
              <w:jc w:val="right"/>
              <w:ind w:right="68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11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w:t>
            </w:r>
          </w:p>
        </w:tc>
        <w:tc>
          <w:tcPr>
            <w:tcW w:w="11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$13,409</w:t>
            </w:r>
          </w:p>
        </w:tc>
        <w:tc>
          <w:tcPr>
            <w:tcW w:w="1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$9,680</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$36,826</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$19,799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line="203" w:lineRule="exact"/>
              <w:rPr>
                <w:sz w:val="20"/>
                <w:szCs w:val="20"/>
                <w:color w:val="auto"/>
              </w:rPr>
            </w:pPr>
            <w:r>
              <w:rPr>
                <w:rFonts w:ascii="Arial" w:cs="Arial" w:eastAsia="Arial" w:hAnsi="Arial"/>
                <w:sz w:val="18"/>
                <w:szCs w:val="18"/>
                <w:color w:val="auto"/>
              </w:rPr>
              <w:t>activities: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Depreciation</w:t>
            </w:r>
          </w:p>
        </w:tc>
        <w:tc>
          <w:tcPr>
            <w:tcW w:w="126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16,470</w:t>
            </w: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12,953</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44,736</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39,850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Amortization</w:t>
            </w: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1,975</w:t>
            </w:r>
          </w:p>
        </w:tc>
        <w:tc>
          <w:tcPr>
            <w:tcW w:w="12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1,790</w:t>
            </w:r>
          </w:p>
        </w:tc>
        <w:tc>
          <w:tcPr>
            <w:tcW w:w="10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6,488</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Change in other noncurrent liabilities</w:t>
            </w:r>
          </w:p>
        </w:tc>
        <w:tc>
          <w:tcPr>
            <w:tcW w:w="12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(275)</w:t>
            </w: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(188)</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(6,282)</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Change in deferred taxes and other liabilities</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(1,712)</w:t>
            </w:r>
          </w:p>
        </w:tc>
        <w:tc>
          <w:tcPr>
            <w:tcW w:w="12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7,322</w:t>
            </w:r>
          </w:p>
        </w:tc>
        <w:tc>
          <w:tcPr>
            <w:tcW w:w="1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(640)</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1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333</w:t>
            </w:r>
          </w:p>
        </w:tc>
        <w:tc>
          <w:tcPr>
            <w:tcW w:w="1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1,409</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Gain on disposition of assets</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Excess tax benefit of options exercised</w:t>
            </w:r>
          </w:p>
        </w:tc>
        <w:tc>
          <w:tcPr>
            <w:tcW w:w="12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BFBFBF"/>
          </w:tcPr>
          <w:p>
            <w:pPr>
              <w:spacing w:after="0"/>
              <w:rPr>
                <w:sz w:val="17"/>
                <w:szCs w:val="17"/>
                <w:color w:val="auto"/>
              </w:rPr>
            </w:pPr>
          </w:p>
        </w:tc>
        <w:tc>
          <w:tcPr>
            <w:tcW w:w="11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(116)</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Compensation and benefits paid or payable in Class A Common Stock</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1,882</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Fair value adjustment on available-for-sale assets</w:t>
            </w:r>
          </w:p>
        </w:tc>
        <w:tc>
          <w:tcPr>
            <w:tcW w:w="11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3,225</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rPr>
              <w:t>Changes in operating assets and liabilities that provide/(use) cash, net of</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line="203" w:lineRule="exact"/>
              <w:rPr>
                <w:sz w:val="20"/>
                <w:szCs w:val="20"/>
                <w:color w:val="auto"/>
              </w:rPr>
            </w:pPr>
            <w:r>
              <w:rPr>
                <w:rFonts w:ascii="Arial" w:cs="Arial" w:eastAsia="Arial" w:hAnsi="Arial"/>
                <w:sz w:val="18"/>
                <w:szCs w:val="18"/>
                <w:color w:val="auto"/>
              </w:rPr>
              <w:t>impact of business acquisition:</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Accounts receivable</w:t>
            </w:r>
          </w:p>
        </w:tc>
        <w:tc>
          <w:tcPr>
            <w:tcW w:w="126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4,794</w:t>
            </w: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5,100</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(6,492)</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(5,511)</w:t>
            </w: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(3,626)</w:t>
            </w:r>
          </w:p>
        </w:tc>
        <w:tc>
          <w:tcPr>
            <w:tcW w:w="1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(12,886)</w:t>
            </w:r>
          </w:p>
        </w:tc>
        <w:tc>
          <w:tcPr>
            <w:tcW w:w="12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(481)</w:t>
            </w:r>
          </w:p>
        </w:tc>
        <w:tc>
          <w:tcPr>
            <w:tcW w:w="120" w:type="dxa"/>
            <w:vAlign w:val="bottom"/>
            <w:shd w:val="clear" w:color="auto" w:fill="BFBFBF"/>
          </w:tcPr>
          <w:p>
            <w:pPr>
              <w:spacing w:after="0"/>
              <w:rPr>
                <w:sz w:val="17"/>
                <w:szCs w:val="17"/>
                <w:color w:val="auto"/>
              </w:rPr>
            </w:pPr>
          </w:p>
        </w:tc>
        <w:tc>
          <w:tcPr>
            <w:tcW w:w="11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(3,302)</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Income taxes prepaid and receivable</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(518)</w:t>
            </w:r>
          </w:p>
        </w:tc>
        <w:tc>
          <w:tcPr>
            <w:tcW w:w="10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1,737</w:t>
            </w:r>
          </w:p>
        </w:tc>
        <w:tc>
          <w:tcPr>
            <w:tcW w:w="12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12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(4,443)</w:t>
            </w: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(3,126)</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(1,544)</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4,418</w:t>
            </w:r>
          </w:p>
        </w:tc>
        <w:tc>
          <w:tcPr>
            <w:tcW w:w="12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3,381</w:t>
            </w:r>
          </w:p>
        </w:tc>
        <w:tc>
          <w:tcPr>
            <w:tcW w:w="1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(3,736)</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Income taxes payable</w:t>
            </w:r>
          </w:p>
        </w:tc>
        <w:tc>
          <w:tcPr>
            <w:tcW w:w="126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4,932</w:t>
            </w: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3,910</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3,999</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(4,974)</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(10,252)</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BFBFBF"/>
            </w:tcBorders>
            <w:shd w:val="clear" w:color="auto" w:fill="BFBFBF"/>
          </w:tcPr>
          <w:p>
            <w:pPr>
              <w:ind w:left="16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29,174</w:t>
            </w:r>
          </w:p>
        </w:tc>
        <w:tc>
          <w:tcPr>
            <w:tcW w:w="120" w:type="dxa"/>
            <w:vAlign w:val="bottom"/>
            <w:tcBorders>
              <w:top w:val="single" w:sz="8" w:color="BFBFBF"/>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16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41,893</w:t>
            </w:r>
          </w:p>
        </w:tc>
        <w:tc>
          <w:tcPr>
            <w:tcW w:w="100" w:type="dxa"/>
            <w:vAlign w:val="bottom"/>
            <w:tcBorders>
              <w:top w:val="single" w:sz="8" w:color="BFBFBF"/>
            </w:tcBorders>
            <w:shd w:val="clear" w:color="auto" w:fill="BFBFBF"/>
          </w:tcPr>
          <w:p>
            <w:pPr>
              <w:spacing w:after="0"/>
              <w:rPr>
                <w:sz w:val="17"/>
                <w:szCs w:val="17"/>
                <w:color w:val="auto"/>
              </w:rPr>
            </w:pPr>
          </w:p>
        </w:tc>
        <w:tc>
          <w:tcPr>
            <w:tcW w:w="100" w:type="dxa"/>
            <w:vAlign w:val="bottom"/>
            <w:tcBorders>
              <w:top w:val="single" w:sz="8" w:color="BFBFBF"/>
            </w:tcBorders>
            <w:shd w:val="clear" w:color="auto" w:fill="BFBFBF"/>
          </w:tcPr>
          <w:p>
            <w:pPr>
              <w:spacing w:after="0"/>
              <w:rPr>
                <w:sz w:val="17"/>
                <w:szCs w:val="17"/>
                <w:color w:val="auto"/>
              </w:rPr>
            </w:pPr>
          </w:p>
        </w:tc>
        <w:tc>
          <w:tcPr>
            <w:tcW w:w="11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51,827</w:t>
            </w:r>
          </w:p>
        </w:tc>
        <w:tc>
          <w:tcPr>
            <w:tcW w:w="100" w:type="dxa"/>
            <w:vAlign w:val="bottom"/>
            <w:tcBorders>
              <w:top w:val="single" w:sz="8" w:color="BFBFBF"/>
            </w:tcBorders>
            <w:shd w:val="clear" w:color="auto" w:fill="BFBFBF"/>
          </w:tcPr>
          <w:p>
            <w:pPr>
              <w:spacing w:after="0"/>
              <w:rPr>
                <w:sz w:val="17"/>
                <w:szCs w:val="17"/>
                <w:color w:val="auto"/>
              </w:rPr>
            </w:pPr>
          </w:p>
        </w:tc>
        <w:tc>
          <w:tcPr>
            <w:tcW w:w="120" w:type="dxa"/>
            <w:vAlign w:val="bottom"/>
            <w:tcBorders>
              <w:top w:val="single" w:sz="8" w:color="BFBFBF"/>
            </w:tcBorders>
            <w:shd w:val="clear" w:color="auto" w:fill="BFBFBF"/>
          </w:tcPr>
          <w:p>
            <w:pPr>
              <w:spacing w:after="0"/>
              <w:rPr>
                <w:sz w:val="17"/>
                <w:szCs w:val="17"/>
                <w:color w:val="auto"/>
              </w:rPr>
            </w:pPr>
          </w:p>
        </w:tc>
        <w:tc>
          <w:tcPr>
            <w:tcW w:w="11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59,245</w:t>
            </w:r>
          </w:p>
        </w:tc>
        <w:tc>
          <w:tcPr>
            <w:tcW w:w="100" w:type="dxa"/>
            <w:vAlign w:val="bottom"/>
            <w:tcBorders>
              <w:top w:val="single" w:sz="8" w:color="BFBFBF"/>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INVESTING ACTIVITIES</w:t>
            </w:r>
          </w:p>
        </w:tc>
        <w:tc>
          <w:tcPr>
            <w:tcW w:w="11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1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Purchase of business, net of cash acquired</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(187,000)</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2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(21,924)</w:t>
            </w: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(9,023)</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(50,029)</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(39,689)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Purchased software</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(591)</w:t>
            </w: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(252)</w:t>
            </w:r>
          </w:p>
        </w:tc>
        <w:tc>
          <w:tcPr>
            <w:tcW w:w="1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(1,262)</w:t>
            </w:r>
          </w:p>
        </w:tc>
        <w:tc>
          <w:tcPr>
            <w:tcW w:w="12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BFBFBF"/>
          </w:tcPr>
          <w:p>
            <w:pPr>
              <w:ind w:left="160"/>
              <w:spacing w:after="0"/>
              <w:rPr>
                <w:sz w:val="20"/>
                <w:szCs w:val="20"/>
                <w:color w:val="auto"/>
              </w:rPr>
            </w:pPr>
            <w:r>
              <w:rPr>
                <w:rFonts w:ascii="Arial" w:cs="Arial" w:eastAsia="Arial" w:hAnsi="Arial"/>
                <w:sz w:val="18"/>
                <w:szCs w:val="18"/>
                <w:color w:val="auto"/>
              </w:rPr>
              <w:t>Proceeds from sale or involuntary conversion of assets</w:t>
            </w:r>
          </w:p>
        </w:tc>
        <w:tc>
          <w:tcPr>
            <w:tcW w:w="1260" w:type="dxa"/>
            <w:vAlign w:val="bottom"/>
            <w:gridSpan w:val="2"/>
            <w:shd w:val="clear" w:color="auto" w:fill="BFBFBF"/>
          </w:tcPr>
          <w:p>
            <w:pPr>
              <w:jc w:val="right"/>
              <w:ind w:right="40"/>
              <w:spacing w:after="0"/>
              <w:rPr>
                <w:sz w:val="20"/>
                <w:szCs w:val="20"/>
                <w:color w:val="auto"/>
              </w:rPr>
            </w:pPr>
            <w:r>
              <w:rPr>
                <w:rFonts w:ascii="Arial" w:cs="Arial" w:eastAsia="Arial" w:hAnsi="Arial"/>
                <w:sz w:val="18"/>
                <w:szCs w:val="18"/>
                <w:color w:val="auto"/>
              </w:rPr>
              <w:t>4,686</w:t>
            </w:r>
          </w:p>
        </w:tc>
        <w:tc>
          <w:tcPr>
            <w:tcW w:w="120" w:type="dxa"/>
            <w:vAlign w:val="bottom"/>
            <w:shd w:val="clear" w:color="auto" w:fill="BFBFBF"/>
          </w:tcPr>
          <w:p>
            <w:pPr>
              <w:spacing w:after="0"/>
              <w:rPr>
                <w:sz w:val="18"/>
                <w:szCs w:val="18"/>
                <w:color w:val="auto"/>
              </w:rPr>
            </w:pPr>
          </w:p>
        </w:tc>
        <w:tc>
          <w:tcPr>
            <w:tcW w:w="1160" w:type="dxa"/>
            <w:vAlign w:val="bottom"/>
            <w:shd w:val="clear" w:color="auto" w:fill="BFBFB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240" w:type="dxa"/>
            <w:vAlign w:val="bottom"/>
            <w:gridSpan w:val="2"/>
            <w:shd w:val="clear" w:color="auto" w:fill="BFBFBF"/>
          </w:tcPr>
          <w:p>
            <w:pPr>
              <w:jc w:val="right"/>
              <w:ind w:right="20"/>
              <w:spacing w:after="0"/>
              <w:rPr>
                <w:sz w:val="20"/>
                <w:szCs w:val="20"/>
                <w:color w:val="auto"/>
              </w:rPr>
            </w:pPr>
            <w:r>
              <w:rPr>
                <w:rFonts w:ascii="Arial" w:cs="Arial" w:eastAsia="Arial" w:hAnsi="Arial"/>
                <w:sz w:val="18"/>
                <w:szCs w:val="18"/>
                <w:color w:val="auto"/>
              </w:rPr>
              <w:t>6,422</w:t>
            </w:r>
          </w:p>
        </w:tc>
        <w:tc>
          <w:tcPr>
            <w:tcW w:w="120" w:type="dxa"/>
            <w:vAlign w:val="bottom"/>
            <w:shd w:val="clear" w:color="auto" w:fill="BFBFBF"/>
          </w:tcPr>
          <w:p>
            <w:pPr>
              <w:spacing w:after="0"/>
              <w:rPr>
                <w:sz w:val="18"/>
                <w:szCs w:val="18"/>
                <w:color w:val="auto"/>
              </w:rPr>
            </w:pPr>
          </w:p>
        </w:tc>
        <w:tc>
          <w:tcPr>
            <w:tcW w:w="1240" w:type="dxa"/>
            <w:vAlign w:val="bottom"/>
            <w:gridSpan w:val="2"/>
            <w:shd w:val="clear" w:color="auto" w:fill="BFBFBF"/>
          </w:tcPr>
          <w:p>
            <w:pPr>
              <w:jc w:val="right"/>
              <w:ind w:right="2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bottom w:val="single" w:sz="8" w:color="BFBFBF"/>
            </w:tcBorders>
          </w:tcPr>
          <w:p>
            <w:pPr>
              <w:ind w:left="160"/>
              <w:spacing w:after="0" w:line="196" w:lineRule="exact"/>
              <w:rPr>
                <w:sz w:val="20"/>
                <w:szCs w:val="20"/>
                <w:color w:val="auto"/>
              </w:rPr>
            </w:pPr>
            <w:r>
              <w:rPr>
                <w:rFonts w:ascii="Arial" w:cs="Arial" w:eastAsia="Arial" w:hAnsi="Arial"/>
                <w:sz w:val="18"/>
                <w:szCs w:val="18"/>
                <w:color w:val="auto"/>
              </w:rPr>
              <w:t>Net cash used in investing activities</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(17,829</w:t>
            </w:r>
          </w:p>
        </w:tc>
        <w:tc>
          <w:tcPr>
            <w:tcW w:w="12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BFBFBF"/>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(9,275</w:t>
            </w:r>
          </w:p>
        </w:tc>
        <w:tc>
          <w:tcPr>
            <w:tcW w:w="10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BFBFB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(231,869</w:t>
            </w:r>
          </w:p>
        </w:tc>
        <w:tc>
          <w:tcPr>
            <w:tcW w:w="10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BFBFB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(37,481</w:t>
            </w:r>
          </w:p>
        </w:tc>
        <w:tc>
          <w:tcPr>
            <w:tcW w:w="100" w:type="dxa"/>
            <w:vAlign w:val="bottom"/>
            <w:tcBorders>
              <w:bottom w:val="single" w:sz="8" w:color="BFBFB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16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140" w:type="dxa"/>
            <w:vAlign w:val="bottom"/>
            <w:shd w:val="clear" w:color="auto" w:fill="BFBFBF"/>
          </w:tcPr>
          <w:p>
            <w:pPr>
              <w:spacing w:after="0"/>
              <w:rPr>
                <w:sz w:val="17"/>
                <w:szCs w:val="17"/>
                <w:color w:val="auto"/>
              </w:rPr>
            </w:pPr>
          </w:p>
        </w:tc>
        <w:tc>
          <w:tcPr>
            <w:tcW w:w="1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FINANCING ACTIVITIES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Proceeds from borrowings</w:t>
            </w:r>
          </w:p>
        </w:tc>
        <w:tc>
          <w:tcPr>
            <w:tcW w:w="126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13,265</w:t>
            </w: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5,198</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232,795</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44,818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Principal payments on debt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(871)</w:t>
            </w:r>
          </w:p>
        </w:tc>
        <w:tc>
          <w:tcPr>
            <w:tcW w:w="1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(37,354)</w:t>
            </w:r>
          </w:p>
        </w:tc>
        <w:tc>
          <w:tcPr>
            <w:tcW w:w="1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(23,695)</w:t>
            </w:r>
          </w:p>
        </w:tc>
        <w:tc>
          <w:tcPr>
            <w:tcW w:w="12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Debt acquisition costs</w:t>
            </w:r>
          </w:p>
        </w:tc>
        <w:tc>
          <w:tcPr>
            <w:tcW w:w="114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(1,771)</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Swap termination payment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(5,175)</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Proceeds from options exercised</w:t>
            </w:r>
          </w:p>
        </w:tc>
        <w:tc>
          <w:tcPr>
            <w:tcW w:w="126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64</w:t>
            </w:r>
          </w:p>
        </w:tc>
        <w:tc>
          <w:tcPr>
            <w:tcW w:w="120" w:type="dxa"/>
            <w:vAlign w:val="bottom"/>
            <w:shd w:val="clear" w:color="auto" w:fill="BFBFBF"/>
          </w:tcPr>
          <w:p>
            <w:pPr>
              <w:spacing w:after="0"/>
              <w:rPr>
                <w:sz w:val="17"/>
                <w:szCs w:val="17"/>
                <w:color w:val="auto"/>
              </w:rPr>
            </w:pPr>
          </w:p>
        </w:tc>
        <w:tc>
          <w:tcPr>
            <w:tcW w:w="126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75</w:t>
            </w:r>
          </w:p>
        </w:tc>
        <w:tc>
          <w:tcPr>
            <w:tcW w:w="10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454</w:t>
            </w:r>
          </w:p>
        </w:tc>
        <w:tc>
          <w:tcPr>
            <w:tcW w:w="120" w:type="dxa"/>
            <w:vAlign w:val="bottom"/>
            <w:shd w:val="clear" w:color="auto" w:fill="BFBFBF"/>
          </w:tcPr>
          <w:p>
            <w:pPr>
              <w:spacing w:after="0"/>
              <w:rPr>
                <w:sz w:val="17"/>
                <w:szCs w:val="17"/>
                <w:color w:val="auto"/>
              </w:rPr>
            </w:pPr>
          </w:p>
        </w:tc>
        <w:tc>
          <w:tcPr>
            <w:tcW w:w="12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Excess tax benefit of options exercised</w:t>
            </w: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w:t>
            </w:r>
          </w:p>
        </w:tc>
        <w:tc>
          <w:tcPr>
            <w:tcW w:w="120" w:type="dxa"/>
            <w:vAlign w:val="bottom"/>
          </w:tcPr>
          <w:p>
            <w:pPr>
              <w:spacing w:after="0"/>
              <w:rPr>
                <w:sz w:val="17"/>
                <w:szCs w:val="17"/>
                <w:color w:val="auto"/>
              </w:rPr>
            </w:pP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BFBFBF"/>
          </w:tcPr>
          <w:p>
            <w:pPr>
              <w:ind w:left="160"/>
              <w:spacing w:after="0"/>
              <w:rPr>
                <w:sz w:val="20"/>
                <w:szCs w:val="20"/>
                <w:color w:val="auto"/>
              </w:rPr>
            </w:pPr>
            <w:r>
              <w:rPr>
                <w:rFonts w:ascii="Arial" w:cs="Arial" w:eastAsia="Arial" w:hAnsi="Arial"/>
                <w:sz w:val="18"/>
                <w:szCs w:val="18"/>
                <w:color w:val="auto"/>
              </w:rPr>
              <w:t>Dividends paid</w:t>
            </w:r>
          </w:p>
        </w:tc>
        <w:tc>
          <w:tcPr>
            <w:tcW w:w="126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(5,457)</w:t>
            </w:r>
          </w:p>
        </w:tc>
        <w:tc>
          <w:tcPr>
            <w:tcW w:w="120" w:type="dxa"/>
            <w:vAlign w:val="bottom"/>
            <w:shd w:val="clear" w:color="auto" w:fill="BFBFBF"/>
          </w:tcPr>
          <w:p>
            <w:pPr>
              <w:spacing w:after="0"/>
              <w:rPr>
                <w:sz w:val="18"/>
                <w:szCs w:val="18"/>
                <w:color w:val="auto"/>
              </w:rPr>
            </w:pPr>
          </w:p>
        </w:tc>
        <w:tc>
          <w:tcPr>
            <w:tcW w:w="126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(5,441)</w:t>
            </w:r>
          </w:p>
        </w:tc>
        <w:tc>
          <w:tcPr>
            <w:tcW w:w="100" w:type="dxa"/>
            <w:vAlign w:val="bottom"/>
            <w:shd w:val="clear" w:color="auto" w:fill="BFBFBF"/>
          </w:tcPr>
          <w:p>
            <w:pPr>
              <w:spacing w:after="0"/>
              <w:rPr>
                <w:sz w:val="18"/>
                <w:szCs w:val="18"/>
                <w:color w:val="auto"/>
              </w:rPr>
            </w:pPr>
          </w:p>
        </w:tc>
        <w:tc>
          <w:tcPr>
            <w:tcW w:w="124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(16,354)</w:t>
            </w:r>
          </w:p>
        </w:tc>
        <w:tc>
          <w:tcPr>
            <w:tcW w:w="120" w:type="dxa"/>
            <w:vAlign w:val="bottom"/>
            <w:shd w:val="clear" w:color="auto" w:fill="BFBFBF"/>
          </w:tcPr>
          <w:p>
            <w:pPr>
              <w:spacing w:after="0"/>
              <w:rPr>
                <w:sz w:val="18"/>
                <w:szCs w:val="18"/>
                <w:color w:val="auto"/>
              </w:rPr>
            </w:pPr>
          </w:p>
        </w:tc>
        <w:tc>
          <w:tcPr>
            <w:tcW w:w="124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(15,646)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ind w:left="160"/>
              <w:spacing w:after="0" w:line="196" w:lineRule="exact"/>
              <w:rPr>
                <w:sz w:val="20"/>
                <w:szCs w:val="20"/>
                <w:color w:val="auto"/>
              </w:rPr>
            </w:pPr>
            <w:r>
              <w:rPr>
                <w:rFonts w:ascii="Arial" w:cs="Arial" w:eastAsia="Arial" w:hAnsi="Arial"/>
                <w:sz w:val="18"/>
                <w:szCs w:val="18"/>
                <w:color w:val="auto"/>
              </w:rPr>
              <w:t>Net cash provided by/(used in) financing activities</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(37,563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186,370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(17,197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BFBFB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1,788</w:t>
            </w:r>
          </w:p>
        </w:tc>
        <w:tc>
          <w:tcPr>
            <w:tcW w:w="120" w:type="dxa"/>
            <w:vAlign w:val="bottom"/>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126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(5,749)</w:t>
            </w:r>
          </w:p>
        </w:tc>
        <w:tc>
          <w:tcPr>
            <w:tcW w:w="100" w:type="dxa"/>
            <w:vAlign w:val="bottom"/>
            <w:shd w:val="clear" w:color="auto" w:fill="BFBFBF"/>
          </w:tcPr>
          <w:p>
            <w:pPr>
              <w:spacing w:after="0"/>
              <w:rPr>
                <w:sz w:val="18"/>
                <w:szCs w:val="18"/>
                <w:color w:val="auto"/>
              </w:rPr>
            </w:pPr>
          </w:p>
        </w:tc>
        <w:tc>
          <w:tcPr>
            <w:tcW w:w="1240" w:type="dxa"/>
            <w:vAlign w:val="bottom"/>
            <w:gridSpan w:val="2"/>
            <w:shd w:val="clear" w:color="auto" w:fill="BFBFBF"/>
          </w:tcPr>
          <w:p>
            <w:pPr>
              <w:jc w:val="right"/>
              <w:ind w:right="20"/>
              <w:spacing w:after="0"/>
              <w:rPr>
                <w:sz w:val="20"/>
                <w:szCs w:val="20"/>
                <w:color w:val="auto"/>
              </w:rPr>
            </w:pPr>
            <w:r>
              <w:rPr>
                <w:rFonts w:ascii="Arial" w:cs="Arial" w:eastAsia="Arial" w:hAnsi="Arial"/>
                <w:sz w:val="18"/>
                <w:szCs w:val="18"/>
                <w:color w:val="auto"/>
              </w:rPr>
              <w:t>4,729</w:t>
            </w:r>
          </w:p>
        </w:tc>
        <w:tc>
          <w:tcPr>
            <w:tcW w:w="120" w:type="dxa"/>
            <w:vAlign w:val="bottom"/>
            <w:shd w:val="clear" w:color="auto" w:fill="BFBFBF"/>
          </w:tcPr>
          <w:p>
            <w:pPr>
              <w:spacing w:after="0"/>
              <w:rPr>
                <w:sz w:val="18"/>
                <w:szCs w:val="18"/>
                <w:color w:val="auto"/>
              </w:rPr>
            </w:pPr>
          </w:p>
        </w:tc>
        <w:tc>
          <w:tcPr>
            <w:tcW w:w="124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(12,589)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420"/>
          </w:cols>
          <w:pgMar w:left="240" w:top="458" w:right="239" w:bottom="1440" w:gutter="0" w:footer="0" w:header="0"/>
        </w:sectPr>
      </w:pPr>
    </w:p>
    <w:p>
      <w:pPr>
        <w:spacing w:after="0"/>
        <w:rPr>
          <w:sz w:val="20"/>
          <w:szCs w:val="20"/>
          <w:color w:val="auto"/>
        </w:rPr>
      </w:pPr>
      <w:r>
        <w:rPr>
          <w:rFonts w:ascii="Arial" w:cs="Arial" w:eastAsia="Arial" w:hAnsi="Arial"/>
          <w:sz w:val="18"/>
          <w:szCs w:val="18"/>
          <w:color w:val="auto"/>
        </w:rPr>
        <w:t>Increase/(decrease) in cash and cash equivalents</w:t>
      </w: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20,145</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(10,694)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11,057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(8,022)</w:t>
            </w:r>
          </w:p>
        </w:tc>
      </w:tr>
      <w:tr>
        <w:trPr>
          <w:trHeight w:val="203"/>
        </w:trPr>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176,025</w:t>
            </w:r>
          </w:p>
        </w:tc>
        <w:tc>
          <w:tcPr>
            <w:tcW w:w="2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182,474</w:t>
            </w:r>
          </w:p>
        </w:tc>
        <w:tc>
          <w:tcPr>
            <w:tcW w:w="200" w:type="dxa"/>
            <w:vAlign w:val="bottom"/>
          </w:tcPr>
          <w:p>
            <w:pPr>
              <w:spacing w:after="0"/>
              <w:rPr>
                <w:sz w:val="17"/>
                <w:szCs w:val="17"/>
                <w:color w:val="auto"/>
              </w:rPr>
            </w:pPr>
          </w:p>
        </w:tc>
        <w:tc>
          <w:tcPr>
            <w:tcW w:w="13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185,113</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179,802</w:t>
            </w:r>
          </w:p>
        </w:tc>
        <w:tc>
          <w:tcPr>
            <w:tcW w:w="60" w:type="dxa"/>
            <w:vAlign w:val="bottom"/>
          </w:tcPr>
          <w:p>
            <w:pPr>
              <w:spacing w:after="0"/>
              <w:rPr>
                <w:sz w:val="17"/>
                <w:szCs w:val="17"/>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140" w:type="dxa"/>
            <w:vAlign w:val="bottom"/>
          </w:tcPr>
          <w:p>
            <w:pPr>
              <w:jc w:val="right"/>
              <w:spacing w:after="0"/>
              <w:rPr>
                <w:sz w:val="20"/>
                <w:szCs w:val="20"/>
                <w:color w:val="auto"/>
              </w:rPr>
            </w:pPr>
            <w:r>
              <w:rPr>
                <w:rFonts w:ascii="Arial" w:cs="Arial" w:eastAsia="Arial" w:hAnsi="Arial"/>
                <w:sz w:val="18"/>
                <w:szCs w:val="18"/>
                <w:color w:val="auto"/>
              </w:rPr>
              <w:t>$196,170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$171,780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$196,170</w:t>
            </w:r>
          </w:p>
        </w:tc>
        <w:tc>
          <w:tcPr>
            <w:tcW w:w="1140" w:type="dxa"/>
            <w:vAlign w:val="bottom"/>
          </w:tcPr>
          <w:p>
            <w:pPr>
              <w:jc w:val="right"/>
              <w:spacing w:after="0"/>
              <w:rPr>
                <w:sz w:val="20"/>
                <w:szCs w:val="20"/>
                <w:color w:val="auto"/>
              </w:rPr>
            </w:pPr>
            <w:r>
              <w:rPr>
                <w:rFonts w:ascii="Arial" w:cs="Arial" w:eastAsia="Arial" w:hAnsi="Arial"/>
                <w:sz w:val="18"/>
                <w:szCs w:val="18"/>
                <w:color w:val="auto"/>
              </w:rPr>
              <w:t>$171,780</w:t>
            </w:r>
          </w:p>
        </w:tc>
        <w:tc>
          <w:tcPr>
            <w:tcW w:w="60" w:type="dxa"/>
            <w:vAlign w:val="bottom"/>
          </w:tcPr>
          <w:p>
            <w:pPr>
              <w:spacing w:after="0"/>
              <w:rPr>
                <w:sz w:val="18"/>
                <w:szCs w:val="18"/>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-436880</wp:posOffset>
            </wp:positionV>
            <wp:extent cx="724662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-170815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458" w:right="239" w:bottom="1440" w:gutter="0" w:footer="0" w:header="0"/>
          <w:type w:val="continuous"/>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t>ALBANY INTERNATIONAL CORP.</w:t>
      </w:r>
    </w:p>
    <w:p>
      <w:pPr>
        <w:jc w:val="center"/>
        <w:ind w:right="-39"/>
        <w:spacing w:after="0" w:line="234"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49" w:lineRule="exact"/>
        <w:rPr>
          <w:sz w:val="20"/>
          <w:szCs w:val="20"/>
          <w:color w:val="auto"/>
        </w:rPr>
      </w:pPr>
    </w:p>
    <w:p>
      <w:pPr>
        <w:ind w:right="8500" w:firstLine="8"/>
        <w:spacing w:after="0" w:line="459" w:lineRule="auto"/>
        <w:tabs>
          <w:tab w:leader="none" w:pos="2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 Basis of Presentation</w:t>
      </w:r>
    </w:p>
    <w:p>
      <w:pPr>
        <w:jc w:val="both"/>
        <w:ind w:right="240" w:firstLine="648"/>
        <w:spacing w:after="0" w:line="239"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only normal recurring adjustments and elimination of intercompany transactions necessary for a fair presentation of results for such periods. Albany International Corp. (“Albany”) consolidates the financial results of its subsidiaries for all periods presented. The results for any interim period are not necessarily indicative of results for the full year.</w:t>
      </w:r>
    </w:p>
    <w:p>
      <w:pPr>
        <w:spacing w:after="0" w:line="161" w:lineRule="exact"/>
        <w:rPr>
          <w:sz w:val="20"/>
          <w:szCs w:val="20"/>
          <w:color w:val="auto"/>
        </w:rPr>
      </w:pPr>
    </w:p>
    <w:p>
      <w:pPr>
        <w:ind w:right="500" w:firstLine="648"/>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17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information included in this Quarterly Report on Form 10-Q should be read in conjunction with “Risk Factors,”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year ended December 31, 2015.</w:t>
      </w:r>
    </w:p>
    <w:p>
      <w:pPr>
        <w:spacing w:after="0" w:line="161"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Except as described herein, there has been no material change to the accounting policies applied to our consolidated results and footnote disclosures. In accordance with the accounting guidance for business combinations, we use the acquisition method of accounting to allocate costs of acquired businesses to the assets acquired and liabilities assumed based on their estimated fair values at the dates of acquisition. The excess costs of acquired businesses over the fair values of the assets acquired and liabilities assumed are recognized as goodwill. The valuations of acquired assets and liabilities will impact the determination of future operating results. In addition to using management estimates and negotiated amounts, we use a variety of information sources to determine the estimated fair values of the assets and liabilities, including third-party appraisals for the estimated value and lives of identifiable intangible assets and property and equipment. The business and technical judgment of management is used in determining the useful lives of finite-lived intangible assets in accordance with the accounting guidance for goodwill and intangible assets.</w:t>
      </w:r>
    </w:p>
    <w:p>
      <w:pPr>
        <w:spacing w:after="0" w:line="145"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Business Acquisition</w:t>
      </w:r>
    </w:p>
    <w:p>
      <w:pPr>
        <w:spacing w:after="0" w:line="207"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for cash of $187 million, plus the assumption of certain liabilities. The Company funded the cash payable at closing by utilizing proceeds from a $550 million, unsecured credit facility agreement that was completed April 8, 2016 (see Note 14). The acquired entity has been renamed Albany Aerostructures Composites LLC (“AAC”), and is part of the Albany Engineered Composites (“AEC”) segment.</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74" w:right="259" w:bottom="1440" w:gutter="0" w:footer="0" w:header="0"/>
        </w:sectPr>
      </w:pPr>
    </w:p>
    <w:bookmarkStart w:id="7" w:name="page8"/>
    <w:bookmarkEnd w:id="7"/>
    <w:p>
      <w:pPr>
        <w:ind w:right="360" w:firstLine="648"/>
        <w:spacing w:after="0" w:line="246" w:lineRule="auto"/>
        <w:rPr>
          <w:sz w:val="20"/>
          <w:szCs w:val="20"/>
          <w:color w:val="auto"/>
        </w:rPr>
      </w:pPr>
      <w:r>
        <w:rPr>
          <w:rFonts w:ascii="Arial" w:cs="Arial" w:eastAsia="Arial" w:hAnsi="Arial"/>
          <w:sz w:val="18"/>
          <w:szCs w:val="18"/>
          <w:color w:val="auto"/>
        </w:rPr>
        <w:t>The following table summarizes the provisional allocation of the purchase price of AAC to the fair value of the assets and liabilities acquired:</w:t>
      </w:r>
    </w:p>
    <w:p>
      <w:pPr>
        <w:spacing w:after="0" w:line="1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8, 2016</w:t>
            </w:r>
          </w:p>
        </w:tc>
        <w:tc>
          <w:tcPr>
            <w:tcW w:w="0" w:type="dxa"/>
            <w:vAlign w:val="bottom"/>
          </w:tcPr>
          <w:p>
            <w:pPr>
              <w:spacing w:after="0"/>
              <w:rPr>
                <w:sz w:val="1"/>
                <w:szCs w:val="1"/>
                <w:color w:val="auto"/>
              </w:rPr>
            </w:pPr>
          </w:p>
        </w:tc>
      </w:tr>
      <w:tr>
        <w:trPr>
          <w:trHeight w:val="195"/>
        </w:trPr>
        <w:tc>
          <w:tcPr>
            <w:tcW w:w="4600" w:type="dxa"/>
            <w:vAlign w:val="bottom"/>
          </w:tcPr>
          <w:p>
            <w:pPr>
              <w:spacing w:after="0" w:line="195" w:lineRule="exact"/>
              <w:rPr>
                <w:sz w:val="20"/>
                <w:szCs w:val="20"/>
                <w:color w:val="auto"/>
              </w:rPr>
            </w:pPr>
            <w:r>
              <w:rPr>
                <w:rFonts w:ascii="Arial" w:cs="Arial" w:eastAsia="Arial" w:hAnsi="Arial"/>
                <w:sz w:val="18"/>
                <w:szCs w:val="18"/>
                <w:b w:val="1"/>
                <w:bCs w:val="1"/>
                <w:color w:val="auto"/>
              </w:rPr>
              <w:t>Assets acquired</w:t>
            </w:r>
          </w:p>
        </w:tc>
        <w:tc>
          <w:tcPr>
            <w:tcW w:w="2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$15,688</w:t>
            </w:r>
          </w:p>
        </w:tc>
        <w:tc>
          <w:tcPr>
            <w:tcW w:w="0" w:type="dxa"/>
            <w:vAlign w:val="bottom"/>
          </w:tcPr>
          <w:p>
            <w:pPr>
              <w:spacing w:after="0"/>
              <w:rPr>
                <w:sz w:val="1"/>
                <w:szCs w:val="1"/>
                <w:color w:val="auto"/>
              </w:rPr>
            </w:pPr>
          </w:p>
        </w:tc>
      </w:tr>
      <w:tr>
        <w:trPr>
          <w:trHeight w:val="181"/>
        </w:trPr>
        <w:tc>
          <w:tcPr>
            <w:tcW w:w="4600" w:type="dxa"/>
            <w:vAlign w:val="bottom"/>
          </w:tcPr>
          <w:p>
            <w:pPr>
              <w:spacing w:after="0" w:line="181" w:lineRule="exact"/>
              <w:rPr>
                <w:sz w:val="20"/>
                <w:szCs w:val="20"/>
                <w:color w:val="auto"/>
              </w:rPr>
            </w:pPr>
            <w:r>
              <w:rPr>
                <w:rFonts w:ascii="Arial" w:cs="Arial" w:eastAsia="Arial" w:hAnsi="Arial"/>
                <w:sz w:val="18"/>
                <w:szCs w:val="18"/>
                <w:color w:val="auto"/>
              </w:rPr>
              <w:t>Accounts receivable</w:t>
            </w: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2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17,715</w:t>
            </w: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402</w:t>
            </w: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81,701</w:t>
            </w: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Intangibles</w:t>
            </w:r>
          </w:p>
        </w:tc>
        <w:tc>
          <w:tcPr>
            <w:tcW w:w="2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59,360</w:t>
            </w:r>
          </w:p>
        </w:tc>
        <w:tc>
          <w:tcPr>
            <w:tcW w:w="0" w:type="dxa"/>
            <w:vAlign w:val="bottom"/>
          </w:tcPr>
          <w:p>
            <w:pPr>
              <w:spacing w:after="0"/>
              <w:rPr>
                <w:sz w:val="1"/>
                <w:szCs w:val="1"/>
                <w:color w:val="auto"/>
              </w:rPr>
            </w:pPr>
          </w:p>
        </w:tc>
      </w:tr>
      <w:tr>
        <w:trPr>
          <w:trHeight w:val="225"/>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67,034</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assets acquired</w:t>
            </w:r>
          </w:p>
        </w:tc>
        <w:tc>
          <w:tcPr>
            <w:tcW w:w="2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$241,900</w:t>
            </w:r>
          </w:p>
        </w:tc>
        <w:tc>
          <w:tcPr>
            <w:tcW w:w="0" w:type="dxa"/>
            <w:vAlign w:val="bottom"/>
          </w:tcPr>
          <w:p>
            <w:pPr>
              <w:spacing w:after="0"/>
              <w:rPr>
                <w:sz w:val="1"/>
                <w:szCs w:val="1"/>
                <w:color w:val="auto"/>
              </w:rPr>
            </w:pPr>
          </w:p>
        </w:tc>
      </w:tr>
      <w:tr>
        <w:trPr>
          <w:trHeight w:val="398"/>
        </w:trPr>
        <w:tc>
          <w:tcPr>
            <w:tcW w:w="460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2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$8,745</w:t>
            </w:r>
          </w:p>
        </w:tc>
        <w:tc>
          <w:tcPr>
            <w:tcW w:w="0" w:type="dxa"/>
            <w:vAlign w:val="bottom"/>
          </w:tcPr>
          <w:p>
            <w:pPr>
              <w:spacing w:after="0"/>
              <w:rPr>
                <w:sz w:val="1"/>
                <w:szCs w:val="1"/>
                <w:color w:val="auto"/>
              </w:rPr>
            </w:pPr>
          </w:p>
        </w:tc>
      </w:tr>
      <w:tr>
        <w:trPr>
          <w:trHeight w:val="181"/>
        </w:trPr>
        <w:tc>
          <w:tcPr>
            <w:tcW w:w="4600" w:type="dxa"/>
            <w:vAlign w:val="bottom"/>
          </w:tcPr>
          <w:p>
            <w:pPr>
              <w:spacing w:after="0" w:line="181" w:lineRule="exact"/>
              <w:rPr>
                <w:sz w:val="20"/>
                <w:szCs w:val="20"/>
                <w:color w:val="auto"/>
              </w:rPr>
            </w:pPr>
            <w:r>
              <w:rPr>
                <w:rFonts w:ascii="Arial" w:cs="Arial" w:eastAsia="Arial" w:hAnsi="Arial"/>
                <w:sz w:val="18"/>
                <w:szCs w:val="18"/>
                <w:color w:val="auto"/>
              </w:rPr>
              <w:t>Accounts payable</w:t>
            </w: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2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2,364</w:t>
            </w: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Capital lease obligation</w:t>
            </w:r>
          </w:p>
        </w:tc>
        <w:tc>
          <w:tcPr>
            <w:tcW w:w="2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16,927</w:t>
            </w: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25,318</w:t>
            </w:r>
          </w:p>
        </w:tc>
        <w:tc>
          <w:tcPr>
            <w:tcW w:w="0" w:type="dxa"/>
            <w:vAlign w:val="bottom"/>
          </w:tcPr>
          <w:p>
            <w:pPr>
              <w:spacing w:after="0"/>
              <w:rPr>
                <w:sz w:val="1"/>
                <w:szCs w:val="1"/>
                <w:color w:val="auto"/>
              </w:rPr>
            </w:pPr>
          </w:p>
        </w:tc>
      </w:tr>
      <w:tr>
        <w:trPr>
          <w:trHeight w:val="225"/>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liabilities</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1,546</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liabilities assumed</w:t>
            </w:r>
          </w:p>
        </w:tc>
        <w:tc>
          <w:tcPr>
            <w:tcW w:w="2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$54,900</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assets acquired</w:t>
            </w:r>
          </w:p>
        </w:tc>
        <w:tc>
          <w:tcPr>
            <w:tcW w:w="2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$187,000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60" w:firstLine="648"/>
        <w:spacing w:after="0" w:line="239" w:lineRule="auto"/>
        <w:rPr>
          <w:sz w:val="20"/>
          <w:szCs w:val="20"/>
          <w:color w:val="auto"/>
        </w:rPr>
      </w:pPr>
      <w:r>
        <w:rPr>
          <w:rFonts w:ascii="Arial" w:cs="Arial" w:eastAsia="Arial" w:hAnsi="Arial"/>
          <w:sz w:val="18"/>
          <w:szCs w:val="18"/>
          <w:color w:val="auto"/>
        </w:rPr>
        <w:t>The Company is continuing to perform procedures to verify the value of assets and liabilities acquired, and the useful lives of amortizable assets. Accordingly, adjustments to the values in the above table may be required in future periods. Goodwill of $67.0 million reflects that the acquisition broadens and deepens AEC’s products, experience and manufacturing capabilities, and significantly increases opportunities for future growth. The goodwill is non-deductible for tax purposes.</w:t>
      </w:r>
    </w:p>
    <w:p>
      <w:pPr>
        <w:spacing w:after="0" w:line="161"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seller has provided representations, warranties and indemnities customary for acquisition transactions, including indemnities for certain customer claims identified before closing. As of September 30, 2016, Accounts receivable includes $3.2 million which is expected to be recovered from the seller under the terms of the indemnity arrangement.</w:t>
      </w:r>
    </w:p>
    <w:p>
      <w:pPr>
        <w:spacing w:after="0" w:line="162"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In the course of performing its ongoing opening balance sheet procedures during the third quarter of 2016, management identified certain adjustments to the provisional value of assets and liabilities acquired reported in the Form 10-Q for the period ended June 30, 2016. The Consolidated Statement of Income for the third quarter of 2016 includes the cumulative effect of adjusting the provisional amounts, as illustrated in the table below:</w:t>
      </w: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3"/>
        </w:trPr>
        <w:tc>
          <w:tcPr>
            <w:tcW w:w="43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w w:val="99"/>
              </w:rPr>
              <w:t>Expense /</w:t>
            </w:r>
          </w:p>
        </w:tc>
        <w:tc>
          <w:tcPr>
            <w:tcW w:w="2160" w:type="dxa"/>
            <w:vAlign w:val="bottom"/>
            <w:tcBorders>
              <w:top w:val="single" w:sz="8" w:color="auto"/>
            </w:tcBorders>
          </w:tcPr>
          <w:p>
            <w:pPr>
              <w:spacing w:after="0"/>
              <w:rPr>
                <w:sz w:val="16"/>
                <w:szCs w:val="16"/>
                <w:color w:val="auto"/>
              </w:rPr>
            </w:pPr>
          </w:p>
        </w:tc>
      </w:tr>
      <w:tr>
        <w:trPr>
          <w:trHeight w:val="203"/>
        </w:trPr>
        <w:tc>
          <w:tcPr>
            <w:tcW w:w="43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(income)</w:t>
            </w:r>
          </w:p>
        </w:tc>
        <w:tc>
          <w:tcPr>
            <w:tcW w:w="216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recognized in</w:t>
            </w:r>
          </w:p>
        </w:tc>
        <w:tc>
          <w:tcPr>
            <w:tcW w:w="216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2020" w:type="dxa"/>
            <w:vAlign w:val="bottom"/>
          </w:tcPr>
          <w:p>
            <w:pPr>
              <w:jc w:val="center"/>
              <w:ind w:left="590"/>
              <w:spacing w:after="0" w:line="202" w:lineRule="exact"/>
              <w:rPr>
                <w:sz w:val="20"/>
                <w:szCs w:val="20"/>
                <w:color w:val="auto"/>
              </w:rPr>
            </w:pPr>
            <w:r>
              <w:rPr>
                <w:rFonts w:ascii="Arial" w:cs="Arial" w:eastAsia="Arial" w:hAnsi="Arial"/>
                <w:sz w:val="18"/>
                <w:szCs w:val="18"/>
                <w:b w:val="1"/>
                <w:bCs w:val="1"/>
                <w:color w:val="auto"/>
                <w:w w:val="98"/>
              </w:rPr>
              <w:t>Increase /</w:t>
            </w: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Additional</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third quarter</w:t>
            </w:r>
          </w:p>
        </w:tc>
        <w:tc>
          <w:tcPr>
            <w:tcW w:w="216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2020" w:type="dxa"/>
            <w:vAlign w:val="bottom"/>
          </w:tcPr>
          <w:p>
            <w:pPr>
              <w:jc w:val="center"/>
              <w:ind w:left="570"/>
              <w:spacing w:after="0" w:line="202" w:lineRule="exact"/>
              <w:rPr>
                <w:sz w:val="20"/>
                <w:szCs w:val="20"/>
                <w:color w:val="auto"/>
              </w:rPr>
            </w:pPr>
            <w:r>
              <w:rPr>
                <w:rFonts w:ascii="Arial" w:cs="Arial" w:eastAsia="Arial" w:hAnsi="Arial"/>
                <w:sz w:val="18"/>
                <w:szCs w:val="18"/>
                <w:b w:val="1"/>
                <w:bCs w:val="1"/>
                <w:color w:val="auto"/>
                <w:w w:val="99"/>
              </w:rPr>
              <w:t>(decrease) to</w:t>
            </w: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expense /</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which relates</w:t>
            </w:r>
          </w:p>
        </w:tc>
        <w:tc>
          <w:tcPr>
            <w:tcW w:w="2160" w:type="dxa"/>
            <w:vAlign w:val="bottom"/>
          </w:tcPr>
          <w:p>
            <w:pPr>
              <w:jc w:val="center"/>
              <w:ind w:left="30"/>
              <w:spacing w:after="0" w:line="202" w:lineRule="exact"/>
              <w:rPr>
                <w:sz w:val="20"/>
                <w:szCs w:val="20"/>
                <w:color w:val="auto"/>
              </w:rPr>
            </w:pPr>
            <w:r>
              <w:rPr>
                <w:rFonts w:ascii="Arial" w:cs="Arial" w:eastAsia="Arial" w:hAnsi="Arial"/>
                <w:sz w:val="18"/>
                <w:szCs w:val="18"/>
                <w:b w:val="1"/>
                <w:bCs w:val="1"/>
                <w:color w:val="auto"/>
                <w:w w:val="99"/>
              </w:rPr>
              <w:t>Line item in the</w:t>
            </w:r>
          </w:p>
        </w:tc>
      </w:tr>
      <w:tr>
        <w:trPr>
          <w:trHeight w:val="203"/>
        </w:trPr>
        <w:tc>
          <w:tcPr>
            <w:tcW w:w="4320" w:type="dxa"/>
            <w:vAlign w:val="bottom"/>
          </w:tcPr>
          <w:p>
            <w:pPr>
              <w:spacing w:after="0"/>
              <w:rPr>
                <w:sz w:val="17"/>
                <w:szCs w:val="17"/>
                <w:color w:val="auto"/>
              </w:rPr>
            </w:pPr>
          </w:p>
        </w:tc>
        <w:tc>
          <w:tcPr>
            <w:tcW w:w="2020" w:type="dxa"/>
            <w:vAlign w:val="bottom"/>
          </w:tcPr>
          <w:p>
            <w:pPr>
              <w:jc w:val="center"/>
              <w:ind w:left="570"/>
              <w:spacing w:after="0" w:line="202" w:lineRule="exact"/>
              <w:rPr>
                <w:sz w:val="20"/>
                <w:szCs w:val="20"/>
                <w:color w:val="auto"/>
              </w:rPr>
            </w:pPr>
            <w:r>
              <w:rPr>
                <w:rFonts w:ascii="Arial" w:cs="Arial" w:eastAsia="Arial" w:hAnsi="Arial"/>
                <w:sz w:val="18"/>
                <w:szCs w:val="18"/>
                <w:b w:val="1"/>
                <w:bCs w:val="1"/>
                <w:color w:val="auto"/>
                <w:w w:val="99"/>
              </w:rPr>
              <w:t>provisional</w:t>
            </w: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(income) in</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to second</w:t>
            </w:r>
          </w:p>
        </w:tc>
        <w:tc>
          <w:tcPr>
            <w:tcW w:w="2160" w:type="dxa"/>
            <w:vAlign w:val="bottom"/>
          </w:tcPr>
          <w:p>
            <w:pPr>
              <w:jc w:val="center"/>
              <w:ind w:left="10"/>
              <w:spacing w:after="0" w:line="202" w:lineRule="exact"/>
              <w:rPr>
                <w:sz w:val="20"/>
                <w:szCs w:val="20"/>
                <w:color w:val="auto"/>
              </w:rPr>
            </w:pPr>
            <w:r>
              <w:rPr>
                <w:rFonts w:ascii="Arial" w:cs="Arial" w:eastAsia="Arial" w:hAnsi="Arial"/>
                <w:sz w:val="18"/>
                <w:szCs w:val="18"/>
                <w:b w:val="1"/>
                <w:bCs w:val="1"/>
                <w:color w:val="auto"/>
              </w:rPr>
              <w:t>Statement of income</w:t>
            </w:r>
          </w:p>
        </w:tc>
      </w:tr>
      <w:tr>
        <w:trPr>
          <w:trHeight w:val="225"/>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rPr>
              <w:t>amount</w:t>
            </w: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third quarter</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quarter</w:t>
            </w:r>
          </w:p>
        </w:tc>
        <w:tc>
          <w:tcPr>
            <w:tcW w:w="21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rPr>
              <w:t>affected</w:t>
            </w:r>
          </w:p>
        </w:tc>
      </w:tr>
      <w:tr>
        <w:trPr>
          <w:trHeight w:val="195"/>
        </w:trPr>
        <w:tc>
          <w:tcPr>
            <w:tcW w:w="4320" w:type="dxa"/>
            <w:vAlign w:val="bottom"/>
          </w:tcPr>
          <w:p>
            <w:pPr>
              <w:spacing w:after="0" w:line="195" w:lineRule="exact"/>
              <w:rPr>
                <w:sz w:val="20"/>
                <w:szCs w:val="20"/>
                <w:color w:val="auto"/>
              </w:rPr>
            </w:pPr>
            <w:r>
              <w:rPr>
                <w:rFonts w:ascii="Arial" w:cs="Arial" w:eastAsia="Arial" w:hAnsi="Arial"/>
                <w:sz w:val="18"/>
                <w:szCs w:val="18"/>
                <w:color w:val="auto"/>
              </w:rPr>
              <w:t>Assets:</w:t>
            </w:r>
          </w:p>
        </w:tc>
        <w:tc>
          <w:tcPr>
            <w:tcW w:w="2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($576)</w:t>
            </w:r>
          </w:p>
        </w:tc>
        <w:tc>
          <w:tcPr>
            <w:tcW w:w="840" w:type="dxa"/>
            <w:vAlign w:val="bottom"/>
          </w:tcPr>
          <w:p>
            <w:pPr>
              <w:jc w:val="center"/>
              <w:ind w:left="65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center"/>
              <w:ind w:left="57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160" w:type="dxa"/>
            <w:vAlign w:val="bottom"/>
          </w:tcPr>
          <w:p>
            <w:pPr>
              <w:spacing w:after="0"/>
              <w:rPr>
                <w:sz w:val="17"/>
                <w:szCs w:val="17"/>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Inventories, net</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(12,024)</w:t>
            </w:r>
          </w:p>
        </w:tc>
        <w:tc>
          <w:tcPr>
            <w:tcW w:w="840" w:type="dxa"/>
            <w:vAlign w:val="bottom"/>
          </w:tcPr>
          <w:p>
            <w:pPr>
              <w:spacing w:after="0"/>
              <w:rPr>
                <w:sz w:val="17"/>
                <w:szCs w:val="17"/>
                <w:color w:val="auto"/>
              </w:rPr>
            </w:pPr>
          </w:p>
        </w:tc>
        <w:tc>
          <w:tcPr>
            <w:tcW w:w="70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8"/>
              </w:rPr>
              <w:t>(2,291)</w:t>
            </w:r>
          </w:p>
        </w:tc>
        <w:tc>
          <w:tcPr>
            <w:tcW w:w="7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(1,282)</w:t>
            </w:r>
          </w:p>
        </w:tc>
        <w:tc>
          <w:tcPr>
            <w:tcW w:w="2160" w:type="dxa"/>
            <w:vAlign w:val="bottom"/>
          </w:tcPr>
          <w:p>
            <w:pPr>
              <w:jc w:val="center"/>
              <w:ind w:left="10"/>
              <w:spacing w:after="0" w:line="202" w:lineRule="exact"/>
              <w:rPr>
                <w:sz w:val="20"/>
                <w:szCs w:val="20"/>
                <w:color w:val="auto"/>
              </w:rPr>
            </w:pPr>
            <w:r>
              <w:rPr>
                <w:rFonts w:ascii="Arial" w:cs="Arial" w:eastAsia="Arial" w:hAnsi="Arial"/>
                <w:sz w:val="18"/>
                <w:szCs w:val="18"/>
                <w:color w:val="auto"/>
              </w:rPr>
              <w:t>Cost of goods sold</w:t>
            </w: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20" w:type="dxa"/>
            <w:vAlign w:val="bottom"/>
          </w:tcPr>
          <w:p>
            <w:pPr>
              <w:jc w:val="right"/>
              <w:spacing w:after="0"/>
              <w:rPr>
                <w:sz w:val="20"/>
                <w:szCs w:val="20"/>
                <w:color w:val="auto"/>
              </w:rPr>
            </w:pPr>
            <w:r>
              <w:rPr>
                <w:rFonts w:ascii="Arial" w:cs="Arial" w:eastAsia="Arial" w:hAnsi="Arial"/>
                <w:sz w:val="18"/>
                <w:szCs w:val="18"/>
                <w:color w:val="auto"/>
              </w:rPr>
              <w:t>(4,101)</w:t>
            </w:r>
          </w:p>
        </w:tc>
        <w:tc>
          <w:tcPr>
            <w:tcW w:w="84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1,096</w:t>
            </w:r>
          </w:p>
        </w:tc>
        <w:tc>
          <w:tcPr>
            <w:tcW w:w="7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548</w:t>
            </w:r>
          </w:p>
        </w:tc>
        <w:tc>
          <w:tcPr>
            <w:tcW w:w="2160" w:type="dxa"/>
            <w:vAlign w:val="bottom"/>
          </w:tcPr>
          <w:p>
            <w:pPr>
              <w:jc w:val="center"/>
              <w:ind w:left="10"/>
              <w:spacing w:after="0"/>
              <w:rPr>
                <w:sz w:val="20"/>
                <w:szCs w:val="20"/>
                <w:color w:val="auto"/>
              </w:rPr>
            </w:pPr>
            <w:r>
              <w:rPr>
                <w:rFonts w:ascii="Arial" w:cs="Arial" w:eastAsia="Arial" w:hAnsi="Arial"/>
                <w:sz w:val="18"/>
                <w:szCs w:val="18"/>
                <w:color w:val="auto"/>
              </w:rPr>
              <w:t>Cost of goods sold</w:t>
            </w:r>
          </w:p>
        </w:tc>
      </w:tr>
      <w:tr>
        <w:trPr>
          <w:trHeight w:val="593"/>
        </w:trPr>
        <w:tc>
          <w:tcPr>
            <w:tcW w:w="4320" w:type="dxa"/>
            <w:vAlign w:val="bottom"/>
          </w:tcPr>
          <w:p>
            <w:pPr>
              <w:spacing w:after="0"/>
              <w:rPr>
                <w:sz w:val="20"/>
                <w:szCs w:val="20"/>
                <w:color w:val="auto"/>
              </w:rPr>
            </w:pPr>
            <w:r>
              <w:rPr>
                <w:rFonts w:ascii="Arial" w:cs="Arial" w:eastAsia="Arial" w:hAnsi="Arial"/>
                <w:sz w:val="18"/>
                <w:szCs w:val="18"/>
                <w:color w:val="auto"/>
              </w:rPr>
              <w:t>Liabilities:</w:t>
            </w:r>
          </w:p>
        </w:tc>
        <w:tc>
          <w:tcPr>
            <w:tcW w:w="2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Obligation under capital lease</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(6,888)</w:t>
            </w:r>
          </w:p>
        </w:tc>
        <w:tc>
          <w:tcPr>
            <w:tcW w:w="840" w:type="dxa"/>
            <w:vAlign w:val="bottom"/>
          </w:tcPr>
          <w:p>
            <w:pPr>
              <w:spacing w:after="0"/>
              <w:rPr>
                <w:sz w:val="17"/>
                <w:szCs w:val="17"/>
                <w:color w:val="auto"/>
              </w:rPr>
            </w:pPr>
          </w:p>
        </w:tc>
        <w:tc>
          <w:tcPr>
            <w:tcW w:w="7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(325)</w:t>
            </w:r>
          </w:p>
        </w:tc>
        <w:tc>
          <w:tcPr>
            <w:tcW w:w="7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2160" w:type="dxa"/>
            <w:vAlign w:val="bottom"/>
          </w:tcPr>
          <w:p>
            <w:pPr>
              <w:jc w:val="center"/>
              <w:ind w:left="10"/>
              <w:spacing w:after="0" w:line="202" w:lineRule="exact"/>
              <w:rPr>
                <w:sz w:val="20"/>
                <w:szCs w:val="20"/>
                <w:color w:val="auto"/>
              </w:rPr>
            </w:pPr>
            <w:r>
              <w:rPr>
                <w:rFonts w:ascii="Arial" w:cs="Arial" w:eastAsia="Arial" w:hAnsi="Arial"/>
                <w:sz w:val="18"/>
                <w:szCs w:val="18"/>
                <w:color w:val="auto"/>
              </w:rPr>
              <w:t>Interest expense</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Deferred income tax liabilities</w:t>
            </w:r>
          </w:p>
        </w:tc>
        <w:tc>
          <w:tcPr>
            <w:tcW w:w="2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25,318</w:t>
            </w:r>
          </w:p>
        </w:tc>
        <w:tc>
          <w:tcPr>
            <w:tcW w:w="840" w:type="dxa"/>
            <w:vAlign w:val="bottom"/>
          </w:tcPr>
          <w:p>
            <w:pPr>
              <w:spacing w:after="0"/>
              <w:rPr>
                <w:sz w:val="17"/>
                <w:szCs w:val="17"/>
                <w:color w:val="auto"/>
              </w:rPr>
            </w:pPr>
          </w:p>
        </w:tc>
        <w:tc>
          <w:tcPr>
            <w:tcW w:w="7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160" w:type="dxa"/>
            <w:vAlign w:val="bottom"/>
          </w:tcPr>
          <w:p>
            <w:pPr>
              <w:spacing w:after="0"/>
              <w:rPr>
                <w:sz w:val="17"/>
                <w:szCs w:val="17"/>
                <w:color w:val="auto"/>
              </w:rPr>
            </w:pPr>
          </w:p>
        </w:tc>
      </w:tr>
      <w:tr>
        <w:trPr>
          <w:trHeight w:val="203"/>
        </w:trPr>
        <w:tc>
          <w:tcPr>
            <w:tcW w:w="43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Other noncurrent liabilities</w:t>
            </w:r>
          </w:p>
        </w:tc>
        <w:tc>
          <w:tcPr>
            <w:tcW w:w="20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577</w:t>
            </w:r>
          </w:p>
        </w:tc>
        <w:tc>
          <w:tcPr>
            <w:tcW w:w="8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18</w:t>
            </w:r>
          </w:p>
        </w:tc>
        <w:tc>
          <w:tcPr>
            <w:tcW w:w="7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w:t>
            </w:r>
          </w:p>
        </w:tc>
        <w:tc>
          <w:tcPr>
            <w:tcW w:w="2160" w:type="dxa"/>
            <w:vAlign w:val="bottom"/>
            <w:tcBorders>
              <w:bottom w:val="single" w:sz="8" w:color="auto"/>
            </w:tcBorders>
          </w:tcPr>
          <w:p>
            <w:pPr>
              <w:jc w:val="center"/>
              <w:ind w:left="10"/>
              <w:spacing w:after="0" w:line="203" w:lineRule="exact"/>
              <w:rPr>
                <w:sz w:val="20"/>
                <w:szCs w:val="20"/>
                <w:color w:val="auto"/>
              </w:rPr>
            </w:pPr>
            <w:r>
              <w:rPr>
                <w:rFonts w:ascii="Arial" w:cs="Arial" w:eastAsia="Arial" w:hAnsi="Arial"/>
                <w:sz w:val="18"/>
                <w:szCs w:val="18"/>
                <w:color w:val="auto"/>
              </w:rPr>
              <w:t>Interest expense</w:t>
            </w:r>
          </w:p>
        </w:tc>
      </w:tr>
      <w:tr>
        <w:trPr>
          <w:trHeight w:val="196"/>
        </w:trPr>
        <w:tc>
          <w:tcPr>
            <w:tcW w:w="43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196"/>
        </w:trPr>
        <w:tc>
          <w:tcPr>
            <w:tcW w:w="4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increase to goodwill</w:t>
            </w:r>
          </w:p>
        </w:tc>
        <w:tc>
          <w:tcPr>
            <w:tcW w:w="2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$35,708</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196"/>
        </w:trPr>
        <w:tc>
          <w:tcPr>
            <w:tcW w:w="43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160" w:type="dxa"/>
            <w:vAlign w:val="bottom"/>
          </w:tcPr>
          <w:p>
            <w:pPr>
              <w:spacing w:after="0"/>
              <w:rPr>
                <w:sz w:val="17"/>
                <w:szCs w:val="17"/>
                <w:color w:val="auto"/>
              </w:rPr>
            </w:pPr>
          </w:p>
        </w:tc>
      </w:tr>
      <w:tr>
        <w:trPr>
          <w:trHeight w:val="196"/>
        </w:trPr>
        <w:tc>
          <w:tcPr>
            <w:tcW w:w="4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increase to income before income taxes</w:t>
            </w:r>
          </w:p>
        </w:tc>
        <w:tc>
          <w:tcPr>
            <w:tcW w:w="20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left="650"/>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8"/>
              </w:rPr>
              <w:t>(1,502)</w:t>
            </w:r>
          </w:p>
        </w:tc>
        <w:tc>
          <w:tcPr>
            <w:tcW w:w="7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$(841)</w:t>
            </w:r>
          </w:p>
        </w:tc>
        <w:tc>
          <w:tcPr>
            <w:tcW w:w="2160" w:type="dxa"/>
            <w:vAlign w:val="bottom"/>
          </w:tcPr>
          <w:p>
            <w:pPr>
              <w:spacing w:after="0"/>
              <w:rPr>
                <w:sz w:val="17"/>
                <w:szCs w:val="17"/>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operational results of AAC that are included in the Consolidated Statements of Income: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8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Three months ended</w:t>
            </w:r>
          </w:p>
        </w:tc>
        <w:tc>
          <w:tcPr>
            <w:tcW w:w="1880" w:type="dxa"/>
            <w:vAlign w:val="bottom"/>
            <w:tcBorders>
              <w:top w:val="single" w:sz="8" w:color="auto"/>
            </w:tcBorders>
          </w:tcPr>
          <w:p>
            <w:pPr>
              <w:jc w:val="center"/>
              <w:ind w:left="50"/>
              <w:spacing w:after="0" w:line="194" w:lineRule="exact"/>
              <w:rPr>
                <w:sz w:val="20"/>
                <w:szCs w:val="20"/>
                <w:color w:val="auto"/>
              </w:rPr>
            </w:pPr>
            <w:r>
              <w:rPr>
                <w:rFonts w:ascii="Arial" w:cs="Arial" w:eastAsia="Arial" w:hAnsi="Arial"/>
                <w:sz w:val="18"/>
                <w:szCs w:val="18"/>
                <w:b w:val="1"/>
                <w:bCs w:val="1"/>
                <w:color w:val="auto"/>
                <w:w w:val="99"/>
              </w:rPr>
              <w:t>April 8 to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580" w:type="dxa"/>
            <w:vAlign w:val="bottom"/>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396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 2016</w:t>
            </w:r>
          </w:p>
        </w:tc>
        <w:tc>
          <w:tcPr>
            <w:tcW w:w="19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9"/>
              </w:rPr>
              <w:t>September 30, 2016</w:t>
            </w:r>
          </w:p>
        </w:tc>
        <w:tc>
          <w:tcPr>
            <w:tcW w:w="0" w:type="dxa"/>
            <w:vAlign w:val="bottom"/>
          </w:tcPr>
          <w:p>
            <w:pPr>
              <w:spacing w:after="0"/>
              <w:rPr>
                <w:sz w:val="1"/>
                <w:szCs w:val="1"/>
                <w:color w:val="auto"/>
              </w:rPr>
            </w:pPr>
          </w:p>
        </w:tc>
      </w:tr>
      <w:tr>
        <w:trPr>
          <w:trHeight w:val="173"/>
        </w:trPr>
        <w:tc>
          <w:tcPr>
            <w:tcW w:w="55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Net sales</w:t>
            </w:r>
          </w:p>
        </w:tc>
        <w:tc>
          <w:tcPr>
            <w:tcW w:w="3960" w:type="dxa"/>
            <w:vAlign w:val="bottom"/>
            <w:tcBorders>
              <w:top w:val="single" w:sz="8" w:color="auto"/>
            </w:tcBorders>
          </w:tcPr>
          <w:p>
            <w:pPr>
              <w:jc w:val="right"/>
              <w:ind w:right="250"/>
              <w:spacing w:after="0" w:line="173" w:lineRule="exact"/>
              <w:rPr>
                <w:sz w:val="20"/>
                <w:szCs w:val="20"/>
                <w:color w:val="auto"/>
              </w:rPr>
            </w:pPr>
            <w:r>
              <w:rPr>
                <w:rFonts w:ascii="Arial" w:cs="Arial" w:eastAsia="Arial" w:hAnsi="Arial"/>
                <w:sz w:val="18"/>
                <w:szCs w:val="18"/>
                <w:b w:val="1"/>
                <w:bCs w:val="1"/>
                <w:color w:val="auto"/>
              </w:rPr>
              <w:t>$20,354</w:t>
            </w:r>
          </w:p>
        </w:tc>
        <w:tc>
          <w:tcPr>
            <w:tcW w:w="1880" w:type="dxa"/>
            <w:vAlign w:val="bottom"/>
            <w:tcBorders>
              <w:top w:val="single" w:sz="8" w:color="auto"/>
            </w:tcBorders>
          </w:tcPr>
          <w:p>
            <w:pPr>
              <w:jc w:val="right"/>
              <w:ind w:right="50"/>
              <w:spacing w:after="0" w:line="173" w:lineRule="exact"/>
              <w:rPr>
                <w:sz w:val="20"/>
                <w:szCs w:val="20"/>
                <w:color w:val="auto"/>
              </w:rPr>
            </w:pPr>
            <w:r>
              <w:rPr>
                <w:rFonts w:ascii="Arial" w:cs="Arial" w:eastAsia="Arial" w:hAnsi="Arial"/>
                <w:sz w:val="18"/>
                <w:szCs w:val="18"/>
                <w:b w:val="1"/>
                <w:bCs w:val="1"/>
                <w:color w:val="auto"/>
              </w:rPr>
              <w:t>$45,990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Operating income/(loss)</w:t>
            </w:r>
          </w:p>
        </w:tc>
        <w:tc>
          <w:tcPr>
            <w:tcW w:w="39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(1,460)</w:t>
            </w:r>
          </w:p>
        </w:tc>
        <w:tc>
          <w:tcPr>
            <w:tcW w:w="18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Income/(loss) before income taxes</w:t>
            </w:r>
          </w:p>
        </w:tc>
        <w:tc>
          <w:tcPr>
            <w:tcW w:w="39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(1,642)</w:t>
            </w:r>
          </w:p>
        </w:tc>
        <w:tc>
          <w:tcPr>
            <w:tcW w:w="1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80" w:type="dxa"/>
            <w:vAlign w:val="bottom"/>
          </w:tcPr>
          <w:p>
            <w:pPr>
              <w:spacing w:after="0"/>
              <w:rPr>
                <w:sz w:val="20"/>
                <w:szCs w:val="20"/>
                <w:color w:val="auto"/>
              </w:rPr>
            </w:pPr>
            <w:r>
              <w:rPr>
                <w:rFonts w:ascii="Arial" w:cs="Arial" w:eastAsia="Arial" w:hAnsi="Arial"/>
                <w:sz w:val="18"/>
                <w:szCs w:val="18"/>
                <w:color w:val="auto"/>
              </w:rPr>
              <w:t>Net loss attributable to the Company</w:t>
            </w:r>
          </w:p>
        </w:tc>
        <w:tc>
          <w:tcPr>
            <w:tcW w:w="3960" w:type="dxa"/>
            <w:vAlign w:val="bottom"/>
          </w:tcPr>
          <w:p>
            <w:pPr>
              <w:jc w:val="right"/>
              <w:ind w:right="190"/>
              <w:spacing w:after="0"/>
              <w:rPr>
                <w:sz w:val="20"/>
                <w:szCs w:val="20"/>
                <w:color w:val="auto"/>
              </w:rPr>
            </w:pPr>
            <w:r>
              <w:rPr>
                <w:rFonts w:ascii="Arial" w:cs="Arial" w:eastAsia="Arial" w:hAnsi="Arial"/>
                <w:sz w:val="18"/>
                <w:szCs w:val="18"/>
                <w:b w:val="1"/>
                <w:bCs w:val="1"/>
                <w:color w:val="auto"/>
              </w:rPr>
              <w:t>(985)</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580" w:type="dxa"/>
            <w:vAlign w:val="bottom"/>
          </w:tcPr>
          <w:p>
            <w:pPr>
              <w:spacing w:after="0"/>
              <w:rPr>
                <w:sz w:val="20"/>
                <w:szCs w:val="20"/>
                <w:color w:val="auto"/>
              </w:rPr>
            </w:pPr>
            <w:r>
              <w:rPr>
                <w:rFonts w:ascii="Arial" w:cs="Arial" w:eastAsia="Arial" w:hAnsi="Arial"/>
                <w:sz w:val="18"/>
                <w:szCs w:val="18"/>
                <w:color w:val="auto"/>
              </w:rPr>
              <w:t>Loss per share:</w:t>
            </w:r>
          </w:p>
        </w:tc>
        <w:tc>
          <w:tcPr>
            <w:tcW w:w="39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($0.03)</w:t>
            </w:r>
          </w:p>
        </w:tc>
        <w:tc>
          <w:tcPr>
            <w:tcW w:w="1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580" w:type="dxa"/>
            <w:vAlign w:val="bottom"/>
          </w:tcPr>
          <w:p>
            <w:pPr>
              <w:spacing w:after="0" w:line="181" w:lineRule="exact"/>
              <w:rPr>
                <w:sz w:val="20"/>
                <w:szCs w:val="20"/>
                <w:color w:val="auto"/>
              </w:rPr>
            </w:pPr>
            <w:r>
              <w:rPr>
                <w:rFonts w:ascii="Arial" w:cs="Arial" w:eastAsia="Arial" w:hAnsi="Arial"/>
                <w:sz w:val="18"/>
                <w:szCs w:val="18"/>
                <w:color w:val="auto"/>
              </w:rPr>
              <w:t>Basic</w:t>
            </w:r>
          </w:p>
        </w:tc>
        <w:tc>
          <w:tcPr>
            <w:tcW w:w="396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580" w:type="dxa"/>
            <w:vAlign w:val="bottom"/>
          </w:tcPr>
          <w:p>
            <w:pPr>
              <w:spacing w:after="0"/>
              <w:rPr>
                <w:sz w:val="20"/>
                <w:szCs w:val="20"/>
                <w:color w:val="auto"/>
              </w:rPr>
            </w:pPr>
            <w:r>
              <w:rPr>
                <w:rFonts w:ascii="Arial" w:cs="Arial" w:eastAsia="Arial" w:hAnsi="Arial"/>
                <w:sz w:val="18"/>
                <w:szCs w:val="18"/>
                <w:color w:val="auto"/>
              </w:rPr>
              <w:t>Diluted</w:t>
            </w:r>
          </w:p>
        </w:tc>
        <w:tc>
          <w:tcPr>
            <w:tcW w:w="3960" w:type="dxa"/>
            <w:vAlign w:val="bottom"/>
          </w:tcPr>
          <w:p>
            <w:pPr>
              <w:jc w:val="right"/>
              <w:ind w:right="190"/>
              <w:spacing w:after="0"/>
              <w:rPr>
                <w:sz w:val="20"/>
                <w:szCs w:val="20"/>
                <w:color w:val="auto"/>
              </w:rPr>
            </w:pPr>
            <w:r>
              <w:rPr>
                <w:rFonts w:ascii="Arial" w:cs="Arial" w:eastAsia="Arial" w:hAnsi="Arial"/>
                <w:sz w:val="18"/>
                <w:szCs w:val="18"/>
                <w:b w:val="1"/>
                <w:bCs w:val="1"/>
                <w:color w:val="auto"/>
              </w:rPr>
              <w:t>($0.03)</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The Consolidated Statements of Income reflect operational activity of AAC for only the period subsequent to the closing, which affects comparability of results. The following table shows total Company pro forma statements of operations for the three- and nine-month periods ended September 30, 2016 and 2015, as if the acquisition had occurred on January 1, 2015. This pro forma information does not purport to represent what the Company’s actual results would have been if the acquisitions had occurred as of the date indicated, or what such results would be for any future periods.</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0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2"/>
          </w:tcPr>
          <w:p>
            <w:pPr>
              <w:jc w:val="right"/>
              <w:ind w:right="130"/>
              <w:spacing w:after="0" w:line="194" w:lineRule="exact"/>
              <w:rPr>
                <w:sz w:val="20"/>
                <w:szCs w:val="20"/>
                <w:color w:val="auto"/>
              </w:rPr>
            </w:pPr>
            <w:r>
              <w:rPr>
                <w:rFonts w:ascii="Arial" w:cs="Arial" w:eastAsia="Arial" w:hAnsi="Arial"/>
                <w:sz w:val="18"/>
                <w:szCs w:val="18"/>
                <w:b w:val="1"/>
                <w:bCs w:val="1"/>
                <w:color w:val="auto"/>
              </w:rPr>
              <w:t>Unaudited - Pro forma</w:t>
            </w: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240" w:type="dxa"/>
            <w:vAlign w:val="bottom"/>
            <w:gridSpan w:val="2"/>
          </w:tcPr>
          <w:p>
            <w:pPr>
              <w:jc w:val="right"/>
              <w:ind w:right="190"/>
              <w:spacing w:after="0" w:line="202" w:lineRule="exact"/>
              <w:rPr>
                <w:sz w:val="20"/>
                <w:szCs w:val="20"/>
                <w:color w:val="auto"/>
              </w:rPr>
            </w:pPr>
            <w:r>
              <w:rPr>
                <w:rFonts w:ascii="Arial" w:cs="Arial" w:eastAsia="Arial" w:hAnsi="Arial"/>
                <w:sz w:val="18"/>
                <w:szCs w:val="18"/>
                <w:b w:val="1"/>
                <w:bCs w:val="1"/>
                <w:color w:val="auto"/>
              </w:rPr>
              <w:t>Three months ended</w:t>
            </w:r>
          </w:p>
        </w:tc>
        <w:tc>
          <w:tcPr>
            <w:tcW w:w="2140" w:type="dxa"/>
            <w:vAlign w:val="bottom"/>
            <w:gridSpan w:val="2"/>
          </w:tcPr>
          <w:p>
            <w:pPr>
              <w:jc w:val="right"/>
              <w:ind w:right="170"/>
              <w:spacing w:after="0" w:line="202"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1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 except per share amounts)</w:t>
            </w:r>
          </w:p>
        </w:tc>
        <w:tc>
          <w:tcPr>
            <w:tcW w:w="11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2016</w:t>
            </w:r>
          </w:p>
        </w:tc>
        <w:tc>
          <w:tcPr>
            <w:tcW w:w="11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99"/>
        </w:trPr>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Combined Net sales</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$191,272</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$198,193</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$588,978</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$591,181</w:t>
            </w:r>
          </w:p>
        </w:tc>
        <w:tc>
          <w:tcPr>
            <w:tcW w:w="0" w:type="dxa"/>
            <w:vAlign w:val="bottom"/>
          </w:tcPr>
          <w:p>
            <w:pPr>
              <w:spacing w:after="0"/>
              <w:rPr>
                <w:sz w:val="1"/>
                <w:szCs w:val="1"/>
                <w:color w:val="auto"/>
              </w:rPr>
            </w:pPr>
          </w:p>
        </w:tc>
      </w:tr>
      <w:tr>
        <w:trPr>
          <w:trHeight w:val="412"/>
        </w:trPr>
        <w:tc>
          <w:tcPr>
            <w:tcW w:w="7040" w:type="dxa"/>
            <w:vAlign w:val="bottom"/>
            <w:gridSpan w:val="2"/>
          </w:tcPr>
          <w:p>
            <w:pPr>
              <w:spacing w:after="0"/>
              <w:rPr>
                <w:sz w:val="20"/>
                <w:szCs w:val="20"/>
                <w:color w:val="auto"/>
              </w:rPr>
            </w:pPr>
            <w:r>
              <w:rPr>
                <w:rFonts w:ascii="Arial" w:cs="Arial" w:eastAsia="Arial" w:hAnsi="Arial"/>
                <w:sz w:val="18"/>
                <w:szCs w:val="18"/>
                <w:color w:val="auto"/>
              </w:rPr>
              <w:t>Combined Income before income taxes</w:t>
            </w: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$20,897</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$23,552</w:t>
            </w: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$59,812</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$42,909</w:t>
            </w:r>
          </w:p>
        </w:tc>
        <w:tc>
          <w:tcPr>
            <w:tcW w:w="0" w:type="dxa"/>
            <w:vAlign w:val="bottom"/>
          </w:tcPr>
          <w:p>
            <w:pPr>
              <w:spacing w:after="0"/>
              <w:rPr>
                <w:sz w:val="1"/>
                <w:szCs w:val="1"/>
                <w:color w:val="auto"/>
              </w:rPr>
            </w:pPr>
          </w:p>
        </w:tc>
      </w:tr>
      <w:tr>
        <w:trPr>
          <w:trHeight w:val="391"/>
        </w:trPr>
        <w:tc>
          <w:tcPr>
            <w:tcW w:w="7040" w:type="dxa"/>
            <w:vAlign w:val="bottom"/>
            <w:gridSpan w:val="2"/>
          </w:tcPr>
          <w:p>
            <w:pPr>
              <w:spacing w:after="0"/>
              <w:rPr>
                <w:sz w:val="20"/>
                <w:szCs w:val="20"/>
                <w:color w:val="auto"/>
              </w:rPr>
            </w:pPr>
            <w:r>
              <w:rPr>
                <w:rFonts w:ascii="Arial" w:cs="Arial" w:eastAsia="Arial" w:hAnsi="Arial"/>
                <w:sz w:val="18"/>
                <w:szCs w:val="18"/>
                <w:color w:val="auto"/>
              </w:rPr>
              <w:t>Pro forma increase/(decrease) to income before income taxes:</w:t>
            </w: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spacing w:after="0"/>
              <w:rPr>
                <w:sz w:val="24"/>
                <w:szCs w:val="24"/>
                <w:color w:val="auto"/>
              </w:rPr>
            </w:pPr>
          </w:p>
        </w:tc>
        <w:tc>
          <w:tcPr>
            <w:tcW w:w="11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5,367</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040" w:type="dxa"/>
            <w:vAlign w:val="bottom"/>
            <w:gridSpan w:val="2"/>
          </w:tcPr>
          <w:p>
            <w:pPr>
              <w:spacing w:after="0" w:line="181" w:lineRule="exact"/>
              <w:rPr>
                <w:sz w:val="20"/>
                <w:szCs w:val="20"/>
                <w:color w:val="auto"/>
              </w:rPr>
            </w:pPr>
            <w:r>
              <w:rPr>
                <w:rFonts w:ascii="Arial" w:cs="Arial" w:eastAsia="Arial" w:hAnsi="Arial"/>
                <w:sz w:val="18"/>
                <w:szCs w:val="18"/>
                <w:color w:val="auto"/>
              </w:rPr>
              <w:t>Acquisition expenses</w:t>
            </w:r>
          </w:p>
        </w:tc>
        <w:tc>
          <w:tcPr>
            <w:tcW w:w="1100" w:type="dxa"/>
            <w:vAlign w:val="bottom"/>
            <w:vMerge w:val="continue"/>
          </w:tcPr>
          <w:p>
            <w:pPr>
              <w:spacing w:after="0"/>
              <w:rPr>
                <w:sz w:val="15"/>
                <w:szCs w:val="15"/>
                <w:color w:val="auto"/>
              </w:rPr>
            </w:pPr>
          </w:p>
        </w:tc>
        <w:tc>
          <w:tcPr>
            <w:tcW w:w="114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w:t>
            </w:r>
          </w:p>
        </w:tc>
        <w:tc>
          <w:tcPr>
            <w:tcW w:w="1120" w:type="dxa"/>
            <w:vAlign w:val="bottom"/>
            <w:vMerge w:val="continue"/>
          </w:tcPr>
          <w:p>
            <w:pPr>
              <w:spacing w:after="0"/>
              <w:rPr>
                <w:sz w:val="15"/>
                <w:szCs w:val="15"/>
                <w:color w:val="auto"/>
              </w:rPr>
            </w:pPr>
          </w:p>
        </w:tc>
        <w:tc>
          <w:tcPr>
            <w:tcW w:w="10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7040" w:type="dxa"/>
            <w:vAlign w:val="bottom"/>
            <w:gridSpan w:val="2"/>
          </w:tcPr>
          <w:p>
            <w:pPr>
              <w:spacing w:after="0"/>
              <w:rPr>
                <w:sz w:val="20"/>
                <w:szCs w:val="20"/>
                <w:color w:val="auto"/>
              </w:rPr>
            </w:pPr>
            <w:r>
              <w:rPr>
                <w:rFonts w:ascii="Arial" w:cs="Arial" w:eastAsia="Arial" w:hAnsi="Arial"/>
                <w:sz w:val="18"/>
                <w:szCs w:val="18"/>
                <w:color w:val="auto"/>
              </w:rPr>
              <w:t>Interest expense related to purchase price</w:t>
            </w: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(1,283)</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(1,382)</w:t>
            </w:r>
          </w:p>
        </w:tc>
        <w:tc>
          <w:tcPr>
            <w:tcW w:w="1020" w:type="dxa"/>
            <w:vAlign w:val="bottom"/>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391"/>
        </w:trPr>
        <w:tc>
          <w:tcPr>
            <w:tcW w:w="7040" w:type="dxa"/>
            <w:vAlign w:val="bottom"/>
            <w:gridSpan w:val="2"/>
          </w:tcPr>
          <w:p>
            <w:pPr>
              <w:spacing w:after="0"/>
              <w:rPr>
                <w:sz w:val="20"/>
                <w:szCs w:val="20"/>
                <w:color w:val="auto"/>
              </w:rPr>
            </w:pPr>
            <w:r>
              <w:rPr>
                <w:rFonts w:ascii="Arial" w:cs="Arial" w:eastAsia="Arial" w:hAnsi="Arial"/>
                <w:sz w:val="18"/>
                <w:szCs w:val="18"/>
                <w:color w:val="auto"/>
              </w:rPr>
              <w:t>Purchase accounting adjustments:</w:t>
            </w: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548</w:t>
            </w:r>
          </w:p>
        </w:tc>
        <w:tc>
          <w:tcPr>
            <w:tcW w:w="1140" w:type="dxa"/>
            <w:vAlign w:val="bottom"/>
          </w:tcPr>
          <w:p>
            <w:pPr>
              <w:spacing w:after="0"/>
              <w:rPr>
                <w:sz w:val="24"/>
                <w:szCs w:val="24"/>
                <w:color w:val="auto"/>
              </w:rPr>
            </w:pP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(1,919)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040" w:type="dxa"/>
            <w:vAlign w:val="bottom"/>
            <w:gridSpan w:val="2"/>
          </w:tcPr>
          <w:p>
            <w:pPr>
              <w:spacing w:after="0" w:line="181" w:lineRule="exact"/>
              <w:rPr>
                <w:sz w:val="20"/>
                <w:szCs w:val="20"/>
                <w:color w:val="auto"/>
              </w:rPr>
            </w:pPr>
            <w:r>
              <w:rPr>
                <w:rFonts w:ascii="Arial" w:cs="Arial" w:eastAsia="Arial" w:hAnsi="Arial"/>
                <w:sz w:val="18"/>
                <w:szCs w:val="18"/>
                <w:color w:val="auto"/>
              </w:rPr>
              <w:t>Depreciation and amortization on property, plant and equipment, and intangible assets</w:t>
            </w:r>
          </w:p>
        </w:tc>
        <w:tc>
          <w:tcPr>
            <w:tcW w:w="1100" w:type="dxa"/>
            <w:vAlign w:val="bottom"/>
            <w:vMerge w:val="continue"/>
          </w:tcPr>
          <w:p>
            <w:pPr>
              <w:spacing w:after="0"/>
              <w:rPr>
                <w:sz w:val="15"/>
                <w:szCs w:val="15"/>
                <w:color w:val="auto"/>
              </w:rPr>
            </w:pPr>
          </w:p>
        </w:tc>
        <w:tc>
          <w:tcPr>
            <w:tcW w:w="1140" w:type="dxa"/>
            <w:vAlign w:val="bottom"/>
          </w:tcPr>
          <w:p>
            <w:pPr>
              <w:jc w:val="right"/>
              <w:ind w:right="50"/>
              <w:spacing w:after="0" w:line="181" w:lineRule="exact"/>
              <w:rPr>
                <w:sz w:val="20"/>
                <w:szCs w:val="20"/>
                <w:color w:val="auto"/>
              </w:rPr>
            </w:pPr>
            <w:r>
              <w:rPr>
                <w:rFonts w:ascii="Arial" w:cs="Arial" w:eastAsia="Arial" w:hAnsi="Arial"/>
                <w:sz w:val="18"/>
                <w:szCs w:val="18"/>
                <w:color w:val="auto"/>
              </w:rPr>
              <w:t>(1,821)</w:t>
            </w:r>
          </w:p>
        </w:tc>
        <w:tc>
          <w:tcPr>
            <w:tcW w:w="1120" w:type="dxa"/>
            <w:vAlign w:val="bottom"/>
            <w:vMerge w:val="continue"/>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Valuation of contract inventories</w:t>
            </w:r>
          </w:p>
        </w:tc>
        <w:tc>
          <w:tcPr>
            <w:tcW w:w="11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(1,282)</w:t>
            </w:r>
          </w:p>
        </w:tc>
        <w:tc>
          <w:tcPr>
            <w:tcW w:w="11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970</w:t>
            </w:r>
          </w:p>
        </w:tc>
        <w:tc>
          <w:tcPr>
            <w:tcW w:w="11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1,109</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03"/>
        </w:trPr>
        <w:tc>
          <w:tcPr>
            <w:tcW w:w="70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on asset retirement obligation</w:t>
            </w:r>
          </w:p>
        </w:tc>
        <w:tc>
          <w:tcPr>
            <w:tcW w:w="11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8</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expense on capital lease obligation</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(115)</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115</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339</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2"/>
        </w:trPr>
        <w:tc>
          <w:tcPr>
            <w:tcW w:w="7040" w:type="dxa"/>
            <w:vAlign w:val="bottom"/>
            <w:gridSpan w:val="2"/>
          </w:tcPr>
          <w:p>
            <w:pPr>
              <w:spacing w:after="0"/>
              <w:rPr>
                <w:sz w:val="20"/>
                <w:szCs w:val="20"/>
                <w:color w:val="auto"/>
              </w:rPr>
            </w:pPr>
            <w:r>
              <w:rPr>
                <w:rFonts w:ascii="Arial" w:cs="Arial" w:eastAsia="Arial" w:hAnsi="Arial"/>
                <w:sz w:val="18"/>
                <w:szCs w:val="18"/>
                <w:color w:val="auto"/>
              </w:rPr>
              <w:t>Pro forma Income before income taxes</w:t>
            </w: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20,056</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21,525</w:t>
            </w: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63,318</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37,952</w:t>
            </w:r>
          </w:p>
        </w:tc>
        <w:tc>
          <w:tcPr>
            <w:tcW w:w="0" w:type="dxa"/>
            <w:vAlign w:val="bottom"/>
          </w:tcPr>
          <w:p>
            <w:pPr>
              <w:spacing w:after="0"/>
              <w:rPr>
                <w:sz w:val="1"/>
                <w:szCs w:val="1"/>
                <w:color w:val="auto"/>
              </w:rPr>
            </w:pPr>
          </w:p>
        </w:tc>
      </w:tr>
      <w:tr>
        <w:trPr>
          <w:trHeight w:val="166"/>
        </w:trPr>
        <w:tc>
          <w:tcPr>
            <w:tcW w:w="20" w:type="dxa"/>
            <w:vAlign w:val="bottom"/>
            <w:tcBorders>
              <w:bottom w:val="single" w:sz="8" w:color="auto"/>
            </w:tcBorders>
          </w:tcPr>
          <w:p>
            <w:pPr>
              <w:spacing w:after="0"/>
              <w:rPr>
                <w:sz w:val="14"/>
                <w:szCs w:val="14"/>
                <w:color w:val="auto"/>
              </w:rPr>
            </w:pPr>
          </w:p>
        </w:tc>
        <w:tc>
          <w:tcPr>
            <w:tcW w:w="70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Pro forma Net Income attributable to the Company</w:t>
            </w:r>
          </w:p>
        </w:tc>
        <w:tc>
          <w:tcPr>
            <w:tcW w:w="11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$12,461</w:t>
            </w:r>
          </w:p>
        </w:tc>
        <w:tc>
          <w:tcPr>
            <w:tcW w:w="11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$8,432</w:t>
            </w:r>
          </w:p>
        </w:tc>
        <w:tc>
          <w:tcPr>
            <w:tcW w:w="11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$40,506</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$18,417</w:t>
            </w:r>
          </w:p>
        </w:tc>
        <w:tc>
          <w:tcPr>
            <w:tcW w:w="0" w:type="dxa"/>
            <w:vAlign w:val="bottom"/>
          </w:tcPr>
          <w:p>
            <w:pPr>
              <w:spacing w:after="0"/>
              <w:rPr>
                <w:sz w:val="1"/>
                <w:szCs w:val="1"/>
                <w:color w:val="auto"/>
              </w:rPr>
            </w:pPr>
          </w:p>
        </w:tc>
      </w:tr>
      <w:tr>
        <w:trPr>
          <w:trHeight w:val="385"/>
        </w:trPr>
        <w:tc>
          <w:tcPr>
            <w:tcW w:w="7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3. Reportable Segments</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060" w:type="dxa"/>
            <w:vAlign w:val="bottom"/>
            <w:tcBorders>
              <w:top w:val="single" w:sz="8" w:color="auto"/>
            </w:tcBorders>
          </w:tcPr>
          <w:p>
            <w:pPr>
              <w:spacing w:after="0"/>
              <w:rPr>
                <w:sz w:val="16"/>
                <w:szCs w:val="16"/>
                <w:color w:val="auto"/>
              </w:rPr>
            </w:pPr>
          </w:p>
        </w:tc>
        <w:tc>
          <w:tcPr>
            <w:tcW w:w="4860" w:type="dxa"/>
            <w:vAlign w:val="bottom"/>
            <w:tcBorders>
              <w:top w:val="single" w:sz="8" w:color="auto"/>
            </w:tcBorders>
            <w:gridSpan w:val="2"/>
          </w:tcPr>
          <w:p>
            <w:pPr>
              <w:ind w:left="2440"/>
              <w:spacing w:after="0" w:line="194" w:lineRule="exact"/>
              <w:rPr>
                <w:sz w:val="20"/>
                <w:szCs w:val="20"/>
                <w:color w:val="auto"/>
              </w:rPr>
            </w:pPr>
            <w:r>
              <w:rPr>
                <w:rFonts w:ascii="Arial" w:cs="Arial" w:eastAsia="Arial" w:hAnsi="Arial"/>
                <w:sz w:val="18"/>
                <w:szCs w:val="18"/>
                <w:b w:val="1"/>
                <w:bCs w:val="1"/>
                <w:color w:val="auto"/>
              </w:rPr>
              <w:t>Three months ended</w:t>
            </w:r>
          </w:p>
        </w:tc>
        <w:tc>
          <w:tcPr>
            <w:tcW w:w="2480" w:type="dxa"/>
            <w:vAlign w:val="bottom"/>
            <w:tcBorders>
              <w:top w:val="single" w:sz="8" w:color="auto"/>
            </w:tcBorders>
            <w:gridSpan w:val="2"/>
          </w:tcPr>
          <w:p>
            <w:pPr>
              <w:jc w:val="right"/>
              <w:ind w:right="370"/>
              <w:spacing w:after="0" w:line="194"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860" w:type="dxa"/>
            <w:vAlign w:val="bottom"/>
            <w:gridSpan w:val="2"/>
          </w:tcPr>
          <w:p>
            <w:pPr>
              <w:jc w:val="right"/>
              <w:ind w:right="830"/>
              <w:spacing w:after="0" w:line="202" w:lineRule="exact"/>
              <w:rPr>
                <w:sz w:val="20"/>
                <w:szCs w:val="20"/>
                <w:color w:val="auto"/>
              </w:rPr>
            </w:pPr>
            <w:r>
              <w:rPr>
                <w:rFonts w:ascii="Arial" w:cs="Arial" w:eastAsia="Arial" w:hAnsi="Arial"/>
                <w:sz w:val="18"/>
                <w:szCs w:val="18"/>
                <w:b w:val="1"/>
                <w:bCs w:val="1"/>
                <w:color w:val="auto"/>
              </w:rPr>
              <w:t>September 30,</w:t>
            </w:r>
          </w:p>
        </w:tc>
        <w:tc>
          <w:tcPr>
            <w:tcW w:w="2480" w:type="dxa"/>
            <w:vAlign w:val="bottom"/>
            <w:gridSpan w:val="2"/>
          </w:tcPr>
          <w:p>
            <w:pPr>
              <w:jc w:val="right"/>
              <w:ind w:right="59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50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40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35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$143,248</w:t>
            </w:r>
          </w:p>
        </w:tc>
        <w:tc>
          <w:tcPr>
            <w:tcW w:w="1360" w:type="dxa"/>
            <w:vAlign w:val="bottom"/>
          </w:tcPr>
          <w:p>
            <w:pPr>
              <w:spacing w:after="0"/>
              <w:rPr>
                <w:sz w:val="16"/>
                <w:szCs w:val="16"/>
                <w:color w:val="auto"/>
              </w:rPr>
            </w:pPr>
          </w:p>
        </w:tc>
        <w:tc>
          <w:tcPr>
            <w:tcW w:w="13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$437,445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8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500" w:type="dxa"/>
            <w:vAlign w:val="bottom"/>
            <w:vMerge w:val="continue"/>
          </w:tcPr>
          <w:p>
            <w:pPr>
              <w:spacing w:after="0"/>
              <w:rPr>
                <w:sz w:val="15"/>
                <w:szCs w:val="15"/>
                <w:color w:val="auto"/>
              </w:rPr>
            </w:pPr>
          </w:p>
        </w:tc>
        <w:tc>
          <w:tcPr>
            <w:tcW w:w="136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$154,522</w:t>
            </w:r>
          </w:p>
        </w:tc>
        <w:tc>
          <w:tcPr>
            <w:tcW w:w="1360" w:type="dxa"/>
            <w:vAlign w:val="bottom"/>
            <w:vMerge w:val="continue"/>
          </w:tcPr>
          <w:p>
            <w:pPr>
              <w:spacing w:after="0"/>
              <w:rPr>
                <w:sz w:val="15"/>
                <w:szCs w:val="15"/>
                <w:color w:val="auto"/>
              </w:rPr>
            </w:pPr>
          </w:p>
        </w:tc>
        <w:tc>
          <w:tcPr>
            <w:tcW w:w="1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463,577</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3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48,024</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24,267</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129,348</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68,625</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35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$191,272</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$178,789</w:t>
            </w:r>
          </w:p>
        </w:tc>
        <w:tc>
          <w:tcPr>
            <w:tcW w:w="13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$566,793</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$532,202</w:t>
            </w:r>
          </w:p>
        </w:tc>
        <w:tc>
          <w:tcPr>
            <w:tcW w:w="0" w:type="dxa"/>
            <w:vAlign w:val="bottom"/>
          </w:tcPr>
          <w:p>
            <w:pPr>
              <w:spacing w:after="0"/>
              <w:rPr>
                <w:sz w:val="1"/>
                <w:szCs w:val="1"/>
                <w:color w:val="auto"/>
              </w:rPr>
            </w:pPr>
          </w:p>
        </w:tc>
      </w:tr>
      <w:tr>
        <w:trPr>
          <w:trHeight w:val="195"/>
        </w:trPr>
        <w:tc>
          <w:tcPr>
            <w:tcW w:w="40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income/(loss)</w:t>
            </w:r>
          </w:p>
        </w:tc>
        <w:tc>
          <w:tcPr>
            <w:tcW w:w="35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$40,039</w:t>
            </w:r>
          </w:p>
        </w:tc>
        <w:tc>
          <w:tcPr>
            <w:tcW w:w="1360" w:type="dxa"/>
            <w:vAlign w:val="bottom"/>
          </w:tcPr>
          <w:p>
            <w:pPr>
              <w:spacing w:after="0"/>
              <w:rPr>
                <w:sz w:val="16"/>
                <w:szCs w:val="16"/>
                <w:color w:val="auto"/>
              </w:rPr>
            </w:pPr>
          </w:p>
        </w:tc>
        <w:tc>
          <w:tcPr>
            <w:tcW w:w="13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$112,583</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8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500" w:type="dxa"/>
            <w:vAlign w:val="bottom"/>
            <w:vMerge w:val="continue"/>
          </w:tcPr>
          <w:p>
            <w:pPr>
              <w:spacing w:after="0"/>
              <w:rPr>
                <w:sz w:val="15"/>
                <w:szCs w:val="15"/>
                <w:color w:val="auto"/>
              </w:rPr>
            </w:pPr>
          </w:p>
        </w:tc>
        <w:tc>
          <w:tcPr>
            <w:tcW w:w="1360" w:type="dxa"/>
            <w:vAlign w:val="bottom"/>
          </w:tcPr>
          <w:p>
            <w:pPr>
              <w:jc w:val="right"/>
              <w:ind w:right="230"/>
              <w:spacing w:after="0" w:line="181" w:lineRule="exact"/>
              <w:rPr>
                <w:sz w:val="20"/>
                <w:szCs w:val="20"/>
                <w:color w:val="auto"/>
              </w:rPr>
            </w:pPr>
            <w:r>
              <w:rPr>
                <w:rFonts w:ascii="Arial" w:cs="Arial" w:eastAsia="Arial" w:hAnsi="Arial"/>
                <w:sz w:val="18"/>
                <w:szCs w:val="18"/>
                <w:color w:val="auto"/>
              </w:rPr>
              <w:t>$41,956</w:t>
            </w:r>
          </w:p>
        </w:tc>
        <w:tc>
          <w:tcPr>
            <w:tcW w:w="1360" w:type="dxa"/>
            <w:vAlign w:val="bottom"/>
            <w:vMerge w:val="continue"/>
          </w:tcPr>
          <w:p>
            <w:pPr>
              <w:spacing w:after="0"/>
              <w:rPr>
                <w:sz w:val="15"/>
                <w:szCs w:val="15"/>
                <w:color w:val="auto"/>
              </w:rPr>
            </w:pPr>
          </w:p>
        </w:tc>
        <w:tc>
          <w:tcPr>
            <w:tcW w:w="1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$110,969</w:t>
            </w: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5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(4,529)</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(4,191)</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(14,083)</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(26,635)</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3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(10,690)</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(11,922)</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(33,554)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195"/>
        </w:trPr>
        <w:tc>
          <w:tcPr>
            <w:tcW w:w="4080" w:type="dxa"/>
            <w:vAlign w:val="bottom"/>
            <w:gridSpan w:val="2"/>
          </w:tcPr>
          <w:p>
            <w:pPr>
              <w:spacing w:after="0" w:line="195" w:lineRule="exact"/>
              <w:rPr>
                <w:sz w:val="20"/>
                <w:szCs w:val="20"/>
                <w:color w:val="auto"/>
              </w:rPr>
            </w:pPr>
            <w:r>
              <w:rPr>
                <w:rFonts w:ascii="Arial" w:cs="Arial" w:eastAsia="Arial" w:hAnsi="Arial"/>
                <w:sz w:val="18"/>
                <w:szCs w:val="18"/>
                <w:color w:val="auto"/>
              </w:rPr>
              <w:t>Operating income</w:t>
            </w:r>
          </w:p>
        </w:tc>
        <w:tc>
          <w:tcPr>
            <w:tcW w:w="3500" w:type="dxa"/>
            <w:vAlign w:val="bottom"/>
          </w:tcPr>
          <w:p>
            <w:pPr>
              <w:jc w:val="right"/>
              <w:ind w:right="270"/>
              <w:spacing w:after="0" w:line="195" w:lineRule="exact"/>
              <w:rPr>
                <w:sz w:val="20"/>
                <w:szCs w:val="20"/>
                <w:color w:val="auto"/>
              </w:rPr>
            </w:pPr>
            <w:r>
              <w:rPr>
                <w:rFonts w:ascii="Arial" w:cs="Arial" w:eastAsia="Arial" w:hAnsi="Arial"/>
                <w:sz w:val="18"/>
                <w:szCs w:val="18"/>
                <w:b w:val="1"/>
                <w:bCs w:val="1"/>
                <w:color w:val="auto"/>
              </w:rPr>
              <w:t>24,820</w:t>
            </w:r>
          </w:p>
        </w:tc>
        <w:tc>
          <w:tcPr>
            <w:tcW w:w="136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25,843</w:t>
            </w:r>
          </w:p>
        </w:tc>
        <w:tc>
          <w:tcPr>
            <w:tcW w:w="1360" w:type="dxa"/>
            <w:vAlign w:val="bottom"/>
          </w:tcPr>
          <w:p>
            <w:pPr>
              <w:jc w:val="right"/>
              <w:ind w:right="250"/>
              <w:spacing w:after="0" w:line="195" w:lineRule="exact"/>
              <w:rPr>
                <w:sz w:val="20"/>
                <w:szCs w:val="20"/>
                <w:color w:val="auto"/>
              </w:rPr>
            </w:pPr>
            <w:r>
              <w:rPr>
                <w:rFonts w:ascii="Arial" w:cs="Arial" w:eastAsia="Arial" w:hAnsi="Arial"/>
                <w:sz w:val="18"/>
                <w:szCs w:val="18"/>
                <w:b w:val="1"/>
                <w:bCs w:val="1"/>
                <w:color w:val="auto"/>
              </w:rPr>
              <w:t>64,946</w:t>
            </w: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49,030</w:t>
            </w:r>
          </w:p>
        </w:tc>
        <w:tc>
          <w:tcPr>
            <w:tcW w:w="0" w:type="dxa"/>
            <w:vAlign w:val="bottom"/>
          </w:tcPr>
          <w:p>
            <w:pPr>
              <w:spacing w:after="0"/>
              <w:rPr>
                <w:sz w:val="1"/>
                <w:szCs w:val="1"/>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35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(675)</w:t>
            </w:r>
          </w:p>
        </w:tc>
        <w:tc>
          <w:tcPr>
            <w:tcW w:w="1360" w:type="dxa"/>
            <w:vAlign w:val="bottom"/>
          </w:tcPr>
          <w:p>
            <w:pPr>
              <w:spacing w:after="0"/>
              <w:rPr>
                <w:sz w:val="17"/>
                <w:szCs w:val="17"/>
                <w:color w:val="auto"/>
              </w:rPr>
            </w:pP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(1,347)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60" w:type="dxa"/>
            <w:vAlign w:val="bottom"/>
          </w:tcPr>
          <w:p>
            <w:pPr>
              <w:ind w:left="340"/>
              <w:spacing w:after="0" w:line="181" w:lineRule="exact"/>
              <w:rPr>
                <w:sz w:val="20"/>
                <w:szCs w:val="20"/>
                <w:color w:val="auto"/>
              </w:rPr>
            </w:pPr>
            <w:r>
              <w:rPr>
                <w:rFonts w:ascii="Arial" w:cs="Arial" w:eastAsia="Arial" w:hAnsi="Arial"/>
                <w:sz w:val="18"/>
                <w:szCs w:val="18"/>
                <w:color w:val="auto"/>
              </w:rPr>
              <w:t>Interest income</w:t>
            </w:r>
          </w:p>
        </w:tc>
        <w:tc>
          <w:tcPr>
            <w:tcW w:w="3500" w:type="dxa"/>
            <w:vAlign w:val="bottom"/>
            <w:vMerge w:val="continue"/>
          </w:tcPr>
          <w:p>
            <w:pPr>
              <w:spacing w:after="0"/>
              <w:rPr>
                <w:sz w:val="15"/>
                <w:szCs w:val="15"/>
                <w:color w:val="auto"/>
              </w:rPr>
            </w:pPr>
          </w:p>
        </w:tc>
        <w:tc>
          <w:tcPr>
            <w:tcW w:w="136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(428)</w:t>
            </w:r>
          </w:p>
        </w:tc>
        <w:tc>
          <w:tcPr>
            <w:tcW w:w="1360" w:type="dxa"/>
            <w:vAlign w:val="bottom"/>
            <w:vMerge w:val="continue"/>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350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4,356</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3,099</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10,957</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income, net</w:t>
            </w:r>
          </w:p>
        </w:tc>
        <w:tc>
          <w:tcPr>
            <w:tcW w:w="3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242</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1,249</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(2,103)</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 before income taxes</w:t>
            </w:r>
          </w:p>
        </w:tc>
        <w:tc>
          <w:tcPr>
            <w:tcW w:w="35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$20,897</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$21,923</w:t>
            </w:r>
          </w:p>
        </w:tc>
        <w:tc>
          <w:tcPr>
            <w:tcW w:w="13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$57,439</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$40,197</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500" w:type="dxa"/>
            <w:vAlign w:val="bottom"/>
          </w:tcPr>
          <w:p>
            <w:pPr>
              <w:jc w:val="right"/>
              <w:ind w:right="1650"/>
              <w:spacing w:after="0"/>
              <w:rPr>
                <w:sz w:val="20"/>
                <w:szCs w:val="20"/>
                <w:color w:val="auto"/>
              </w:rPr>
            </w:pPr>
            <w:r>
              <w:rPr>
                <w:rFonts w:ascii="Arial" w:cs="Arial" w:eastAsia="Arial" w:hAnsi="Arial"/>
                <w:sz w:val="18"/>
                <w:szCs w:val="18"/>
                <w:color w:val="auto"/>
              </w:rPr>
              <w:t>10</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Total assets of the AEC segment increased by approximately $242 million during 2016 due to the acquisition of AAC.</w:t>
      </w:r>
    </w:p>
    <w:p>
      <w:pPr>
        <w:spacing w:after="0" w:line="17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Total capital expenditures for the nine months of 2016 were $53.8 million, including amounts that were included in Accounts payable. In the Consolidated Statements of Cash Flows, capital expenditures and accounts payable were each adjusted by $2.5 million to reflect the non-cash nature of the transactions.</w:t>
      </w:r>
    </w:p>
    <w:p>
      <w:pPr>
        <w:spacing w:after="0" w:line="176"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During the first nine months of 2016, the Company recorded expense of $5.4 million for costs directly related to the acquisition. These costs are included in Selling, general and administrative expenses of the AEC segment.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4400" w:type="dxa"/>
            <w:vAlign w:val="bottom"/>
            <w:gridSpan w:val="2"/>
          </w:tcPr>
          <w:p>
            <w:pPr>
              <w:ind w:left="2000"/>
              <w:spacing w:after="0"/>
              <w:rPr>
                <w:sz w:val="20"/>
                <w:szCs w:val="20"/>
                <w:color w:val="auto"/>
              </w:rPr>
            </w:pPr>
            <w:r>
              <w:rPr>
                <w:rFonts w:ascii="Arial" w:cs="Arial" w:eastAsia="Arial" w:hAnsi="Arial"/>
                <w:sz w:val="18"/>
                <w:szCs w:val="18"/>
                <w:b w:val="1"/>
                <w:bCs w:val="1"/>
                <w:color w:val="auto"/>
              </w:rPr>
              <w:t>Three months ended</w:t>
            </w:r>
          </w:p>
        </w:tc>
        <w:tc>
          <w:tcPr>
            <w:tcW w:w="25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September 30,</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3060" w:type="dxa"/>
            <w:vAlign w:val="bottom"/>
            <w:tcBorders>
              <w:bottom w:val="single" w:sz="8" w:color="auto"/>
            </w:tcBorders>
          </w:tcPr>
          <w:p>
            <w:pPr>
              <w:ind w:left="1980"/>
              <w:spacing w:after="0" w:line="196" w:lineRule="exact"/>
              <w:rPr>
                <w:sz w:val="20"/>
                <w:szCs w:val="20"/>
                <w:color w:val="auto"/>
              </w:rPr>
            </w:pPr>
            <w:r>
              <w:rPr>
                <w:rFonts w:ascii="Arial" w:cs="Arial" w:eastAsia="Arial" w:hAnsi="Arial"/>
                <w:sz w:val="18"/>
                <w:szCs w:val="18"/>
                <w:b w:val="1"/>
                <w:bCs w:val="1"/>
                <w:color w:val="auto"/>
              </w:rPr>
              <w:t>2016</w:t>
            </w:r>
          </w:p>
        </w:tc>
        <w:tc>
          <w:tcPr>
            <w:tcW w:w="13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2015</w:t>
            </w:r>
          </w:p>
        </w:tc>
        <w:tc>
          <w:tcPr>
            <w:tcW w:w="162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2016</w:t>
            </w:r>
          </w:p>
        </w:tc>
        <w:tc>
          <w:tcPr>
            <w:tcW w:w="8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45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Restructuring expenses, net</w:t>
            </w:r>
          </w:p>
        </w:tc>
        <w:tc>
          <w:tcPr>
            <w:tcW w:w="30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($212)</w:t>
            </w:r>
          </w:p>
        </w:tc>
        <w:tc>
          <w:tcPr>
            <w:tcW w:w="1340" w:type="dxa"/>
            <w:vAlign w:val="bottom"/>
          </w:tcPr>
          <w:p>
            <w:pPr>
              <w:spacing w:after="0"/>
              <w:rPr>
                <w:sz w:val="16"/>
                <w:szCs w:val="16"/>
                <w:color w:val="auto"/>
              </w:rPr>
            </w:pPr>
          </w:p>
        </w:tc>
        <w:tc>
          <w:tcPr>
            <w:tcW w:w="16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$5,921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2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060" w:type="dxa"/>
            <w:vAlign w:val="bottom"/>
            <w:vMerge w:val="continue"/>
          </w:tcPr>
          <w:p>
            <w:pPr>
              <w:spacing w:after="0"/>
              <w:rPr>
                <w:sz w:val="15"/>
                <w:szCs w:val="15"/>
                <w:color w:val="auto"/>
              </w:rPr>
            </w:pPr>
          </w:p>
        </w:tc>
        <w:tc>
          <w:tcPr>
            <w:tcW w:w="134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$3,717</w:t>
            </w:r>
          </w:p>
        </w:tc>
        <w:tc>
          <w:tcPr>
            <w:tcW w:w="1620" w:type="dxa"/>
            <w:vAlign w:val="bottom"/>
            <w:vMerge w:val="continue"/>
          </w:tcPr>
          <w:p>
            <w:pPr>
              <w:spacing w:after="0"/>
              <w:rPr>
                <w:sz w:val="15"/>
                <w:szCs w:val="15"/>
                <w:color w:val="auto"/>
              </w:rPr>
            </w:pPr>
          </w:p>
        </w:tc>
        <w:tc>
          <w:tcPr>
            <w:tcW w:w="8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$13,929</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0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640</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1,787</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3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(102)</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(55)</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30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$326</w:t>
            </w:r>
          </w:p>
        </w:tc>
        <w:tc>
          <w:tcPr>
            <w:tcW w:w="1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$3,717</w:t>
            </w:r>
          </w:p>
        </w:tc>
        <w:tc>
          <w:tcPr>
            <w:tcW w:w="16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$7,653</w:t>
            </w:r>
          </w:p>
        </w:tc>
        <w:tc>
          <w:tcPr>
            <w:tcW w:w="8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$13,929</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89"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only those benefits accrued through February 2009. Benefit accruals under the U.S. Supplemental Executive Retirement Plan ("SERP") were similarly frozen. The eligibility, benefit formulas, and contribution requirements for plans outside of the U.S. vary by location.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89"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The Company accrues the cost of providing postretirement benefits during the active service period of the employees. The Company currently funds the plan as claims are paid.</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center"/>
        <w:ind w:right="60"/>
        <w:spacing w:after="0"/>
        <w:rPr>
          <w:sz w:val="20"/>
          <w:szCs w:val="20"/>
          <w:color w:val="auto"/>
        </w:rPr>
      </w:pPr>
      <w:r>
        <w:rPr>
          <w:rFonts w:ascii="Arial" w:cs="Arial" w:eastAsia="Arial" w:hAnsi="Arial"/>
          <w:sz w:val="18"/>
          <w:szCs w:val="18"/>
          <w:color w:val="auto"/>
        </w:rPr>
        <w:t>The composition of the net periodic benefit plan cost for the nine months ended September 30, 2016 and 2015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6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gridSpan w:val="2"/>
          </w:tcPr>
          <w:p>
            <w:pPr>
              <w:jc w:val="right"/>
              <w:ind w:right="670"/>
              <w:spacing w:after="0" w:line="194" w:lineRule="exact"/>
              <w:rPr>
                <w:sz w:val="20"/>
                <w:szCs w:val="20"/>
                <w:color w:val="auto"/>
              </w:rPr>
            </w:pPr>
            <w:r>
              <w:rPr>
                <w:rFonts w:ascii="Arial" w:cs="Arial" w:eastAsia="Arial" w:hAnsi="Arial"/>
                <w:sz w:val="18"/>
                <w:szCs w:val="18"/>
                <w:b w:val="1"/>
                <w:bCs w:val="1"/>
                <w:color w:val="auto"/>
              </w:rPr>
              <w:t>Pension plans</w:t>
            </w:r>
          </w:p>
        </w:tc>
        <w:tc>
          <w:tcPr>
            <w:tcW w:w="2660" w:type="dxa"/>
            <w:vAlign w:val="bottom"/>
            <w:tcBorders>
              <w:top w:val="single" w:sz="8" w:color="auto"/>
            </w:tcBorders>
            <w:gridSpan w:val="2"/>
          </w:tcPr>
          <w:p>
            <w:pPr>
              <w:jc w:val="right"/>
              <w:spacing w:after="0" w:line="194" w:lineRule="exact"/>
              <w:rPr>
                <w:sz w:val="20"/>
                <w:szCs w:val="20"/>
                <w:color w:val="auto"/>
              </w:rPr>
            </w:pPr>
            <w:r>
              <w:rPr>
                <w:rFonts w:ascii="Arial" w:cs="Arial" w:eastAsia="Arial" w:hAnsi="Arial"/>
                <w:sz w:val="18"/>
                <w:szCs w:val="18"/>
                <w:b w:val="1"/>
                <w:bCs w:val="1"/>
                <w:color w:val="auto"/>
              </w:rPr>
              <w:t>Other postretirement benefits</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7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4860" w:type="dxa"/>
            <w:vAlign w:val="bottom"/>
          </w:tcPr>
          <w:p>
            <w:pPr>
              <w:spacing w:after="0" w:line="195" w:lineRule="exact"/>
              <w:rPr>
                <w:sz w:val="20"/>
                <w:szCs w:val="20"/>
                <w:color w:val="auto"/>
              </w:rPr>
            </w:pPr>
            <w:r>
              <w:rPr>
                <w:rFonts w:ascii="Arial" w:cs="Arial" w:eastAsia="Arial" w:hAnsi="Arial"/>
                <w:sz w:val="18"/>
                <w:szCs w:val="18"/>
                <w:color w:val="auto"/>
              </w:rPr>
              <w:t>Components of net periodic benefit cost:</w:t>
            </w:r>
          </w:p>
        </w:tc>
        <w:tc>
          <w:tcPr>
            <w:tcW w:w="27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$1,991</w:t>
            </w:r>
          </w:p>
        </w:tc>
        <w:tc>
          <w:tcPr>
            <w:tcW w:w="1180" w:type="dxa"/>
            <w:vAlign w:val="bottom"/>
          </w:tcPr>
          <w:p>
            <w:pPr>
              <w:spacing w:after="0"/>
              <w:rPr>
                <w:sz w:val="16"/>
                <w:szCs w:val="16"/>
                <w:color w:val="auto"/>
              </w:rPr>
            </w:pPr>
          </w:p>
        </w:tc>
        <w:tc>
          <w:tcPr>
            <w:tcW w:w="15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$190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860" w:type="dxa"/>
            <w:vAlign w:val="bottom"/>
          </w:tcPr>
          <w:p>
            <w:pPr>
              <w:spacing w:after="0" w:line="181" w:lineRule="exact"/>
              <w:rPr>
                <w:sz w:val="20"/>
                <w:szCs w:val="20"/>
                <w:color w:val="auto"/>
              </w:rPr>
            </w:pPr>
            <w:r>
              <w:rPr>
                <w:rFonts w:ascii="Arial" w:cs="Arial" w:eastAsia="Arial" w:hAnsi="Arial"/>
                <w:sz w:val="18"/>
                <w:szCs w:val="18"/>
                <w:color w:val="auto"/>
              </w:rPr>
              <w:t>Service cost</w:t>
            </w:r>
          </w:p>
        </w:tc>
        <w:tc>
          <w:tcPr>
            <w:tcW w:w="2720" w:type="dxa"/>
            <w:vAlign w:val="bottom"/>
            <w:vMerge w:val="continue"/>
          </w:tcPr>
          <w:p>
            <w:pPr>
              <w:spacing w:after="0"/>
              <w:rPr>
                <w:sz w:val="15"/>
                <w:szCs w:val="15"/>
                <w:color w:val="auto"/>
              </w:rPr>
            </w:pPr>
          </w:p>
        </w:tc>
        <w:tc>
          <w:tcPr>
            <w:tcW w:w="11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$2,268</w:t>
            </w:r>
          </w:p>
        </w:tc>
        <w:tc>
          <w:tcPr>
            <w:tcW w:w="1540" w:type="dxa"/>
            <w:vAlign w:val="bottom"/>
            <w:vMerge w:val="continue"/>
          </w:tcPr>
          <w:p>
            <w:pPr>
              <w:spacing w:after="0"/>
              <w:rPr>
                <w:sz w:val="15"/>
                <w:szCs w:val="15"/>
                <w:color w:val="auto"/>
              </w:rPr>
            </w:pPr>
          </w:p>
        </w:tc>
        <w:tc>
          <w:tcPr>
            <w:tcW w:w="1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6,110</w:t>
            </w: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5,779</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1,832</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27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(6,763)</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(6,418)</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Curtailment gain</w:t>
            </w:r>
          </w:p>
        </w:tc>
        <w:tc>
          <w:tcPr>
            <w:tcW w:w="27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(130)</w:t>
            </w: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7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28</w:t>
            </w: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36</w:t>
            </w:r>
          </w:p>
        </w:tc>
        <w:tc>
          <w:tcPr>
            <w:tcW w:w="15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(3,366)</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actuarial loss</w:t>
            </w:r>
          </w:p>
        </w:tc>
        <w:tc>
          <w:tcPr>
            <w:tcW w:w="2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1,756</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1,924</w:t>
            </w:r>
          </w:p>
        </w:tc>
        <w:tc>
          <w:tcPr>
            <w:tcW w:w="1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2,114</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2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$2,992</w:t>
            </w:r>
          </w:p>
        </w:tc>
        <w:tc>
          <w:tcPr>
            <w:tcW w:w="11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$3,589</w:t>
            </w:r>
          </w:p>
        </w:tc>
        <w:tc>
          <w:tcPr>
            <w:tcW w:w="15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$770</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93"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During the first quarter of 2016 the Company announced the initiation of discussions with the relevant employee Works Council regarding a proposal to discontinue research and development activities at its Machine Clothing production facility in Sélestat, France. In May 2016, we reached agreement with the Works Council on the restructuring plan and we recorded $2.0 million of restructuring expense in the first nine months of 2016 as our current estimate of the cost for severance, outplacement, and the write-off of equipment. Cost savings associated with this action will reduce research and development expenses in future periods.</w:t>
      </w:r>
    </w:p>
    <w:p>
      <w:pPr>
        <w:spacing w:after="0" w:line="162"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Machine Clothing restructuring charges for the first nine months of 2016 also include $1.9 million for the relocation of equipment from our former manufacturing facility in Germany.</w:t>
      </w:r>
    </w:p>
    <w:p>
      <w:pPr>
        <w:spacing w:after="0" w:line="170"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Albany Engineered Composites restructuring expenses in 2016 were principally related to the consolidation of the Company’s legacy programs into Boerne, Texas.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Machine Clothing restructuring costs in 2015 were principally related to plant closure costs in Göppingen, Germany.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tbl>
      <w:tblPr>
        <w:tblLayout w:type="fixed"/>
        <w:tblInd w:w="0" w:type="dxa"/>
        <w:tblCellMar>
          <w:top w:w="0" w:type="dxa"/>
          <w:left w:w="0" w:type="dxa"/>
          <w:bottom w:w="0" w:type="dxa"/>
          <w:right w:w="0" w:type="dxa"/>
        </w:tblCellMar>
      </w:tblPr>
      <w:tr>
        <w:trPr>
          <w:trHeight w:val="173"/>
        </w:trPr>
        <w:tc>
          <w:tcPr>
            <w:tcW w:w="4080" w:type="dxa"/>
            <w:vAlign w:val="bottom"/>
            <w:tcBorders>
              <w:top w:val="single" w:sz="8" w:color="auto"/>
            </w:tcBorders>
          </w:tcPr>
          <w:p>
            <w:pPr>
              <w:spacing w:after="0"/>
              <w:rPr>
                <w:sz w:val="15"/>
                <w:szCs w:val="15"/>
                <w:color w:val="auto"/>
              </w:rPr>
            </w:pPr>
          </w:p>
        </w:tc>
        <w:tc>
          <w:tcPr>
            <w:tcW w:w="4840" w:type="dxa"/>
            <w:vAlign w:val="bottom"/>
            <w:tcBorders>
              <w:top w:val="single" w:sz="8" w:color="auto"/>
            </w:tcBorders>
            <w:gridSpan w:val="2"/>
          </w:tcPr>
          <w:p>
            <w:pPr>
              <w:jc w:val="right"/>
              <w:ind w:right="550"/>
              <w:spacing w:after="0" w:line="173" w:lineRule="exact"/>
              <w:rPr>
                <w:sz w:val="20"/>
                <w:szCs w:val="20"/>
                <w:color w:val="auto"/>
              </w:rPr>
            </w:pPr>
            <w:r>
              <w:rPr>
                <w:rFonts w:ascii="Arial" w:cs="Arial" w:eastAsia="Arial" w:hAnsi="Arial"/>
                <w:sz w:val="18"/>
                <w:szCs w:val="18"/>
                <w:b w:val="1"/>
                <w:bCs w:val="1"/>
                <w:color w:val="auto"/>
              </w:rPr>
              <w:t>Three months ended</w:t>
            </w:r>
          </w:p>
        </w:tc>
        <w:tc>
          <w:tcPr>
            <w:tcW w:w="2500" w:type="dxa"/>
            <w:vAlign w:val="bottom"/>
            <w:tcBorders>
              <w:top w:val="single" w:sz="8" w:color="auto"/>
            </w:tcBorders>
            <w:gridSpan w:val="2"/>
          </w:tcPr>
          <w:p>
            <w:pPr>
              <w:jc w:val="right"/>
              <w:ind w:right="390"/>
              <w:spacing w:after="0" w:line="173"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4080" w:type="dxa"/>
            <w:vAlign w:val="bottom"/>
          </w:tcPr>
          <w:p>
            <w:pPr>
              <w:spacing w:after="0"/>
              <w:rPr>
                <w:sz w:val="17"/>
                <w:szCs w:val="17"/>
                <w:color w:val="auto"/>
              </w:rPr>
            </w:pPr>
          </w:p>
        </w:tc>
        <w:tc>
          <w:tcPr>
            <w:tcW w:w="4840" w:type="dxa"/>
            <w:vAlign w:val="bottom"/>
            <w:gridSpan w:val="2"/>
          </w:tcPr>
          <w:p>
            <w:pPr>
              <w:jc w:val="right"/>
              <w:ind w:right="810"/>
              <w:spacing w:after="0" w:line="202" w:lineRule="exact"/>
              <w:rPr>
                <w:sz w:val="20"/>
                <w:szCs w:val="20"/>
                <w:color w:val="auto"/>
              </w:rPr>
            </w:pPr>
            <w:r>
              <w:rPr>
                <w:rFonts w:ascii="Arial" w:cs="Arial" w:eastAsia="Arial" w:hAnsi="Arial"/>
                <w:sz w:val="18"/>
                <w:szCs w:val="18"/>
                <w:b w:val="1"/>
                <w:bCs w:val="1"/>
                <w:color w:val="auto"/>
              </w:rPr>
              <w:t>September 30,</w:t>
            </w:r>
          </w:p>
        </w:tc>
        <w:tc>
          <w:tcPr>
            <w:tcW w:w="2500" w:type="dxa"/>
            <w:vAlign w:val="bottom"/>
            <w:gridSpan w:val="2"/>
          </w:tcPr>
          <w:p>
            <w:pPr>
              <w:jc w:val="right"/>
              <w:ind w:right="59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r>
      <w:tr>
        <w:trPr>
          <w:trHeight w:val="173"/>
        </w:trPr>
        <w:tc>
          <w:tcPr>
            <w:tcW w:w="40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50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($212)</w:t>
            </w:r>
          </w:p>
        </w:tc>
        <w:tc>
          <w:tcPr>
            <w:tcW w:w="134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$3,717</w:t>
            </w:r>
          </w:p>
        </w:tc>
        <w:tc>
          <w:tcPr>
            <w:tcW w:w="138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$5,921</w:t>
            </w:r>
          </w:p>
        </w:tc>
        <w:tc>
          <w:tcPr>
            <w:tcW w:w="11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$13,929</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50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640</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1,787</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(102)</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(55)</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40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35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$326</w:t>
            </w:r>
          </w:p>
        </w:tc>
        <w:tc>
          <w:tcPr>
            <w:tcW w:w="1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$3,717</w:t>
            </w:r>
          </w:p>
        </w:tc>
        <w:tc>
          <w:tcPr>
            <w:tcW w:w="13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$7,653</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$13,929</w:t>
            </w:r>
          </w:p>
        </w:tc>
      </w:tr>
      <w:tr>
        <w:trPr>
          <w:trHeight w:val="426"/>
        </w:trPr>
        <w:tc>
          <w:tcPr>
            <w:tcW w:w="4080" w:type="dxa"/>
            <w:vAlign w:val="bottom"/>
          </w:tcPr>
          <w:p>
            <w:pPr>
              <w:spacing w:after="0"/>
              <w:rPr>
                <w:sz w:val="24"/>
                <w:szCs w:val="24"/>
                <w:color w:val="auto"/>
              </w:rPr>
            </w:pPr>
          </w:p>
        </w:tc>
        <w:tc>
          <w:tcPr>
            <w:tcW w:w="3500" w:type="dxa"/>
            <w:vAlign w:val="bottom"/>
          </w:tcPr>
          <w:p>
            <w:pPr>
              <w:jc w:val="right"/>
              <w:ind w:right="1650"/>
              <w:spacing w:after="0"/>
              <w:rPr>
                <w:sz w:val="20"/>
                <w:szCs w:val="20"/>
                <w:color w:val="auto"/>
              </w:rPr>
            </w:pPr>
            <w:r>
              <w:rPr>
                <w:rFonts w:ascii="Arial" w:cs="Arial" w:eastAsia="Arial" w:hAnsi="Arial"/>
                <w:sz w:val="18"/>
                <w:szCs w:val="18"/>
                <w:color w:val="auto"/>
              </w:rPr>
              <w:t>12</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9"/>
        </w:trPr>
        <w:tc>
          <w:tcPr>
            <w:tcW w:w="408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665"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tcPr>
          <w:p>
            <w:pPr>
              <w:jc w:val="center"/>
              <w:ind w:left="1130"/>
              <w:spacing w:after="0" w:line="194" w:lineRule="exact"/>
              <w:rPr>
                <w:sz w:val="20"/>
                <w:szCs w:val="20"/>
                <w:color w:val="auto"/>
              </w:rPr>
            </w:pPr>
            <w:r>
              <w:rPr>
                <w:rFonts w:ascii="Arial" w:cs="Arial" w:eastAsia="Arial" w:hAnsi="Arial"/>
                <w:sz w:val="18"/>
                <w:szCs w:val="18"/>
                <w:b w:val="1"/>
                <w:bCs w:val="1"/>
                <w:color w:val="auto"/>
                <w:w w:val="97"/>
              </w:rPr>
              <w:t>Total</w:t>
            </w:r>
          </w:p>
        </w:tc>
        <w:tc>
          <w:tcPr>
            <w:tcW w:w="13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Termination</w:t>
            </w:r>
          </w:p>
        </w:tc>
        <w:tc>
          <w:tcPr>
            <w:tcW w:w="14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Impairment of</w:t>
            </w:r>
          </w:p>
        </w:tc>
        <w:tc>
          <w:tcPr>
            <w:tcW w:w="12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Benefit plan</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b w:val="1"/>
                <w:bCs w:val="1"/>
                <w:color w:val="auto"/>
              </w:rPr>
              <w:t>Nine months ended September 30, 2016</w:t>
            </w:r>
          </w:p>
        </w:tc>
        <w:tc>
          <w:tcPr>
            <w:tcW w:w="2720" w:type="dxa"/>
            <w:vAlign w:val="bottom"/>
          </w:tcPr>
          <w:p>
            <w:pPr>
              <w:jc w:val="center"/>
              <w:ind w:left="111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and other</w:t>
            </w:r>
          </w:p>
        </w:tc>
        <w:tc>
          <w:tcPr>
            <w:tcW w:w="14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plant and</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curtailment/</w:t>
            </w:r>
          </w:p>
        </w:tc>
      </w:tr>
      <w:tr>
        <w:trPr>
          <w:trHeight w:val="225"/>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720" w:type="dxa"/>
            <w:vAlign w:val="bottom"/>
            <w:tcBorders>
              <w:bottom w:val="single" w:sz="8" w:color="auto"/>
            </w:tcBorders>
          </w:tcPr>
          <w:p>
            <w:pPr>
              <w:jc w:val="center"/>
              <w:ind w:left="1110"/>
              <w:spacing w:after="0"/>
              <w:rPr>
                <w:sz w:val="20"/>
                <w:szCs w:val="20"/>
                <w:color w:val="auto"/>
              </w:rPr>
            </w:pPr>
            <w:r>
              <w:rPr>
                <w:rFonts w:ascii="Arial" w:cs="Arial" w:eastAsia="Arial" w:hAnsi="Arial"/>
                <w:sz w:val="18"/>
                <w:szCs w:val="18"/>
                <w:b w:val="1"/>
                <w:bCs w:val="1"/>
                <w:color w:val="auto"/>
                <w:w w:val="99"/>
              </w:rPr>
              <w:t>costs incurred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costs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equipment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settlement</w:t>
            </w:r>
          </w:p>
        </w:tc>
      </w:tr>
      <w:tr>
        <w:trPr>
          <w:trHeight w:val="195"/>
        </w:trPr>
        <w:tc>
          <w:tcPr>
            <w:tcW w:w="4740" w:type="dxa"/>
            <w:vAlign w:val="bottom"/>
          </w:tcPr>
          <w:p>
            <w:pPr>
              <w:spacing w:after="0" w:line="195" w:lineRule="exact"/>
              <w:rPr>
                <w:sz w:val="20"/>
                <w:szCs w:val="20"/>
                <w:color w:val="auto"/>
              </w:rPr>
            </w:pPr>
            <w:r>
              <w:rPr>
                <w:rFonts w:ascii="Arial" w:cs="Arial" w:eastAsia="Arial" w:hAnsi="Arial"/>
                <w:sz w:val="18"/>
                <w:szCs w:val="18"/>
                <w:color w:val="auto"/>
              </w:rPr>
              <w:t>Machine Clothing</w:t>
            </w:r>
          </w:p>
        </w:tc>
        <w:tc>
          <w:tcPr>
            <w:tcW w:w="27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$5,921</w:t>
            </w:r>
          </w:p>
        </w:tc>
        <w:tc>
          <w:tcPr>
            <w:tcW w:w="13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$5,751</w:t>
            </w:r>
          </w:p>
        </w:tc>
        <w:tc>
          <w:tcPr>
            <w:tcW w:w="140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$300</w:t>
            </w: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$(130)</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7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1,787</w:t>
            </w:r>
          </w:p>
        </w:tc>
        <w:tc>
          <w:tcPr>
            <w:tcW w:w="13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1,498</w:t>
            </w:r>
          </w:p>
        </w:tc>
        <w:tc>
          <w:tcPr>
            <w:tcW w:w="14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289</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Corporate Expenses</w:t>
            </w:r>
          </w:p>
        </w:tc>
        <w:tc>
          <w:tcPr>
            <w:tcW w:w="27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(55)</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w:t>
            </w:r>
          </w:p>
        </w:tc>
        <w:tc>
          <w:tcPr>
            <w:tcW w:w="14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4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$7,653</w:t>
            </w:r>
          </w:p>
        </w:tc>
        <w:tc>
          <w:tcPr>
            <w:tcW w:w="13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$7,194</w:t>
            </w:r>
          </w:p>
        </w:tc>
        <w:tc>
          <w:tcPr>
            <w:tcW w:w="14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$589</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w:t>
            </w:r>
          </w:p>
        </w:tc>
      </w:tr>
    </w:tbl>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tcPr>
          <w:p>
            <w:pPr>
              <w:jc w:val="center"/>
              <w:ind w:left="1130"/>
              <w:spacing w:after="0" w:line="194" w:lineRule="exact"/>
              <w:rPr>
                <w:sz w:val="20"/>
                <w:szCs w:val="20"/>
                <w:color w:val="auto"/>
              </w:rPr>
            </w:pPr>
            <w:r>
              <w:rPr>
                <w:rFonts w:ascii="Arial" w:cs="Arial" w:eastAsia="Arial" w:hAnsi="Arial"/>
                <w:sz w:val="18"/>
                <w:szCs w:val="18"/>
                <w:b w:val="1"/>
                <w:bCs w:val="1"/>
                <w:color w:val="auto"/>
                <w:w w:val="97"/>
              </w:rPr>
              <w:t>Total</w:t>
            </w:r>
          </w:p>
        </w:tc>
        <w:tc>
          <w:tcPr>
            <w:tcW w:w="12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Termination</w:t>
            </w:r>
          </w:p>
        </w:tc>
        <w:tc>
          <w:tcPr>
            <w:tcW w:w="142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Impairment of</w:t>
            </w:r>
          </w:p>
        </w:tc>
        <w:tc>
          <w:tcPr>
            <w:tcW w:w="12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Benefit plan</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b w:val="1"/>
                <w:bCs w:val="1"/>
                <w:color w:val="auto"/>
              </w:rPr>
              <w:t>Nine months ended September 30, 2015</w:t>
            </w:r>
          </w:p>
        </w:tc>
        <w:tc>
          <w:tcPr>
            <w:tcW w:w="2720" w:type="dxa"/>
            <w:vAlign w:val="bottom"/>
          </w:tcPr>
          <w:p>
            <w:pPr>
              <w:jc w:val="center"/>
              <w:ind w:left="111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and other</w:t>
            </w: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plant and</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curtailment/</w:t>
            </w:r>
          </w:p>
        </w:tc>
      </w:tr>
      <w:tr>
        <w:trPr>
          <w:trHeight w:val="225"/>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720" w:type="dxa"/>
            <w:vAlign w:val="bottom"/>
            <w:tcBorders>
              <w:bottom w:val="single" w:sz="8" w:color="auto"/>
            </w:tcBorders>
          </w:tcPr>
          <w:p>
            <w:pPr>
              <w:jc w:val="center"/>
              <w:ind w:left="1110"/>
              <w:spacing w:after="0"/>
              <w:rPr>
                <w:sz w:val="20"/>
                <w:szCs w:val="20"/>
                <w:color w:val="auto"/>
              </w:rPr>
            </w:pPr>
            <w:r>
              <w:rPr>
                <w:rFonts w:ascii="Arial" w:cs="Arial" w:eastAsia="Arial" w:hAnsi="Arial"/>
                <w:sz w:val="18"/>
                <w:szCs w:val="18"/>
                <w:b w:val="1"/>
                <w:bCs w:val="1"/>
                <w:color w:val="auto"/>
                <w:w w:val="99"/>
              </w:rPr>
              <w:t>costs incurred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costs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equipment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settlement</w:t>
            </w:r>
          </w:p>
        </w:tc>
      </w:tr>
      <w:tr>
        <w:trPr>
          <w:trHeight w:val="195"/>
        </w:trPr>
        <w:tc>
          <w:tcPr>
            <w:tcW w:w="4740" w:type="dxa"/>
            <w:vAlign w:val="bottom"/>
          </w:tcPr>
          <w:p>
            <w:pPr>
              <w:spacing w:after="0" w:line="195" w:lineRule="exact"/>
              <w:rPr>
                <w:sz w:val="20"/>
                <w:szCs w:val="20"/>
                <w:color w:val="auto"/>
              </w:rPr>
            </w:pPr>
            <w:r>
              <w:rPr>
                <w:rFonts w:ascii="Arial" w:cs="Arial" w:eastAsia="Arial" w:hAnsi="Arial"/>
                <w:sz w:val="18"/>
                <w:szCs w:val="18"/>
                <w:color w:val="auto"/>
              </w:rPr>
              <w:t>Machine Clothing</w:t>
            </w:r>
          </w:p>
        </w:tc>
        <w:tc>
          <w:tcPr>
            <w:tcW w:w="27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$13,929</w:t>
            </w:r>
          </w:p>
        </w:tc>
        <w:tc>
          <w:tcPr>
            <w:tcW w:w="12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$10,704</w:t>
            </w:r>
          </w:p>
        </w:tc>
        <w:tc>
          <w:tcPr>
            <w:tcW w:w="14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$3,225</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7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Corporate Expenses</w:t>
            </w:r>
          </w:p>
        </w:tc>
        <w:tc>
          <w:tcPr>
            <w:tcW w:w="27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4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$13,929</w:t>
            </w:r>
          </w:p>
        </w:tc>
        <w:tc>
          <w:tcPr>
            <w:tcW w:w="12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$10,704</w:t>
            </w:r>
          </w:p>
        </w:tc>
        <w:tc>
          <w:tcPr>
            <w:tcW w:w="14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$3,225</w:t>
            </w:r>
          </w:p>
        </w:tc>
        <w:tc>
          <w:tcPr>
            <w:tcW w:w="1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expect that approximately $6.0 million of Accrued liabilities for restructuring at September 30, 2016 will be paid within one year and approximately $ 1.5 million will be paid in the following year. The table below presents the year-to-date changes in restructuring liabilities for 2016 and 2015, all of which related to termination costs: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8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jc w:val="center"/>
              <w:ind w:left="750"/>
              <w:spacing w:after="0" w:line="194" w:lineRule="exact"/>
              <w:rPr>
                <w:sz w:val="20"/>
                <w:szCs w:val="20"/>
                <w:color w:val="auto"/>
              </w:rPr>
            </w:pPr>
            <w:r>
              <w:rPr>
                <w:rFonts w:ascii="Arial" w:cs="Arial" w:eastAsia="Arial" w:hAnsi="Arial"/>
                <w:sz w:val="18"/>
                <w:szCs w:val="18"/>
                <w:b w:val="1"/>
                <w:bCs w:val="1"/>
                <w:color w:val="auto"/>
                <w:w w:val="99"/>
              </w:rPr>
              <w:t>December 31,</w:t>
            </w:r>
          </w:p>
        </w:tc>
        <w:tc>
          <w:tcPr>
            <w:tcW w:w="17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Restructuring</w:t>
            </w:r>
          </w:p>
        </w:tc>
        <w:tc>
          <w:tcPr>
            <w:tcW w:w="14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Currency</w:t>
            </w:r>
          </w:p>
        </w:tc>
        <w:tc>
          <w:tcPr>
            <w:tcW w:w="14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2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b w:val="1"/>
                <w:bCs w:val="1"/>
                <w:color w:val="auto"/>
                <w:w w:val="99"/>
              </w:rPr>
              <w:t>2015</w:t>
            </w:r>
          </w:p>
        </w:tc>
        <w:tc>
          <w:tcPr>
            <w:tcW w:w="1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charges accrued</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Payments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translation/other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2016</w:t>
            </w:r>
          </w:p>
        </w:tc>
      </w:tr>
      <w:tr>
        <w:trPr>
          <w:trHeight w:val="196"/>
        </w:trPr>
        <w:tc>
          <w:tcPr>
            <w:tcW w:w="2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termination costs</w:t>
            </w:r>
          </w:p>
        </w:tc>
        <w:tc>
          <w:tcPr>
            <w:tcW w:w="2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$10,177</w:t>
            </w:r>
          </w:p>
        </w:tc>
        <w:tc>
          <w:tcPr>
            <w:tcW w:w="1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$7,194</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($9,862)</w:t>
            </w:r>
          </w:p>
        </w:tc>
        <w:tc>
          <w:tcPr>
            <w:tcW w:w="16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$7,511</w:t>
            </w:r>
          </w:p>
        </w:tc>
      </w:tr>
      <w:tr>
        <w:trPr>
          <w:trHeight w:val="372"/>
        </w:trPr>
        <w:tc>
          <w:tcPr>
            <w:tcW w:w="27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73"/>
        </w:trPr>
        <w:tc>
          <w:tcPr>
            <w:tcW w:w="2780" w:type="dxa"/>
            <w:vAlign w:val="bottom"/>
          </w:tcPr>
          <w:p>
            <w:pPr>
              <w:spacing w:after="0"/>
              <w:rPr>
                <w:sz w:val="15"/>
                <w:szCs w:val="15"/>
                <w:color w:val="auto"/>
              </w:rPr>
            </w:pPr>
          </w:p>
        </w:tc>
        <w:tc>
          <w:tcPr>
            <w:tcW w:w="2320" w:type="dxa"/>
            <w:vAlign w:val="bottom"/>
          </w:tcPr>
          <w:p>
            <w:pPr>
              <w:jc w:val="center"/>
              <w:ind w:left="750"/>
              <w:spacing w:after="0" w:line="173" w:lineRule="exact"/>
              <w:rPr>
                <w:sz w:val="20"/>
                <w:szCs w:val="20"/>
                <w:color w:val="auto"/>
              </w:rPr>
            </w:pPr>
            <w:r>
              <w:rPr>
                <w:rFonts w:ascii="Arial" w:cs="Arial" w:eastAsia="Arial" w:hAnsi="Arial"/>
                <w:sz w:val="18"/>
                <w:szCs w:val="18"/>
                <w:b w:val="1"/>
                <w:bCs w:val="1"/>
                <w:color w:val="auto"/>
                <w:w w:val="99"/>
              </w:rPr>
              <w:t>December 31,</w:t>
            </w:r>
          </w:p>
        </w:tc>
        <w:tc>
          <w:tcPr>
            <w:tcW w:w="17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Restructuring</w:t>
            </w:r>
          </w:p>
        </w:tc>
        <w:tc>
          <w:tcPr>
            <w:tcW w:w="1420" w:type="dxa"/>
            <w:vAlign w:val="bottom"/>
          </w:tcPr>
          <w:p>
            <w:pPr>
              <w:spacing w:after="0"/>
              <w:rPr>
                <w:sz w:val="15"/>
                <w:szCs w:val="15"/>
                <w:color w:val="auto"/>
              </w:rPr>
            </w:pPr>
          </w:p>
        </w:tc>
        <w:tc>
          <w:tcPr>
            <w:tcW w:w="164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Currency</w:t>
            </w:r>
          </w:p>
        </w:tc>
        <w:tc>
          <w:tcPr>
            <w:tcW w:w="14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2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b w:val="1"/>
                <w:bCs w:val="1"/>
                <w:color w:val="auto"/>
                <w:w w:val="99"/>
              </w:rPr>
              <w:t>2014</w:t>
            </w:r>
          </w:p>
        </w:tc>
        <w:tc>
          <w:tcPr>
            <w:tcW w:w="1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charges accrued</w:t>
            </w: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Payments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translation/other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2015</w:t>
            </w:r>
          </w:p>
        </w:tc>
      </w:tr>
      <w:tr>
        <w:trPr>
          <w:trHeight w:val="196"/>
        </w:trPr>
        <w:tc>
          <w:tcPr>
            <w:tcW w:w="2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termination costs</w:t>
            </w:r>
          </w:p>
        </w:tc>
        <w:tc>
          <w:tcPr>
            <w:tcW w:w="2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$1,874</w:t>
            </w:r>
          </w:p>
        </w:tc>
        <w:tc>
          <w:tcPr>
            <w:tcW w:w="1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$10,607</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($10,637)</w:t>
            </w:r>
          </w:p>
        </w:tc>
        <w:tc>
          <w:tcPr>
            <w:tcW w:w="16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$96</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$1,940</w:t>
            </w:r>
          </w:p>
        </w:tc>
      </w:tr>
      <w:tr>
        <w:trPr>
          <w:trHeight w:val="426"/>
        </w:trPr>
        <w:tc>
          <w:tcPr>
            <w:tcW w:w="2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80" w:type="dxa"/>
            <w:vAlign w:val="bottom"/>
          </w:tcPr>
          <w:p>
            <w:pPr>
              <w:jc w:val="right"/>
              <w:ind w:right="950"/>
              <w:spacing w:after="0"/>
              <w:rPr>
                <w:sz w:val="20"/>
                <w:szCs w:val="20"/>
                <w:color w:val="auto"/>
              </w:rPr>
            </w:pPr>
            <w:r>
              <w:rPr>
                <w:rFonts w:ascii="Arial" w:cs="Arial" w:eastAsia="Arial" w:hAnsi="Arial"/>
                <w:sz w:val="18"/>
                <w:szCs w:val="18"/>
                <w:color w:val="auto"/>
              </w:rPr>
              <w:t>13</w:t>
            </w: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29"/>
        </w:trPr>
        <w:tc>
          <w:tcPr>
            <w:tcW w:w="27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10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6. Other Income, net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other (income)/expense, net 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Borders>
              <w:top w:val="single" w:sz="8" w:color="auto"/>
            </w:tcBorders>
          </w:tcPr>
          <w:p>
            <w:pPr>
              <w:spacing w:after="0"/>
              <w:rPr>
                <w:sz w:val="16"/>
                <w:szCs w:val="16"/>
                <w:color w:val="auto"/>
              </w:rPr>
            </w:pPr>
          </w:p>
        </w:tc>
        <w:tc>
          <w:tcPr>
            <w:tcW w:w="3660" w:type="dxa"/>
            <w:vAlign w:val="bottom"/>
            <w:tcBorders>
              <w:top w:val="single" w:sz="8" w:color="auto"/>
            </w:tcBorders>
            <w:gridSpan w:val="2"/>
          </w:tcPr>
          <w:p>
            <w:pPr>
              <w:ind w:left="1260"/>
              <w:spacing w:after="0" w:line="194" w:lineRule="exact"/>
              <w:rPr>
                <w:sz w:val="20"/>
                <w:szCs w:val="20"/>
                <w:color w:val="auto"/>
              </w:rPr>
            </w:pPr>
            <w:r>
              <w:rPr>
                <w:rFonts w:ascii="Arial" w:cs="Arial" w:eastAsia="Arial" w:hAnsi="Arial"/>
                <w:sz w:val="18"/>
                <w:szCs w:val="18"/>
                <w:b w:val="1"/>
                <w:bCs w:val="1"/>
                <w:color w:val="auto"/>
              </w:rPr>
              <w:t>Three months ended</w:t>
            </w:r>
          </w:p>
        </w:tc>
        <w:tc>
          <w:tcPr>
            <w:tcW w:w="2500" w:type="dxa"/>
            <w:vAlign w:val="bottom"/>
            <w:tcBorders>
              <w:top w:val="single" w:sz="8" w:color="auto"/>
            </w:tcBorders>
            <w:gridSpan w:val="2"/>
          </w:tcPr>
          <w:p>
            <w:pPr>
              <w:jc w:val="right"/>
              <w:ind w:right="37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5260" w:type="dxa"/>
            <w:vAlign w:val="bottom"/>
          </w:tcPr>
          <w:p>
            <w:pPr>
              <w:spacing w:after="0"/>
              <w:rPr>
                <w:sz w:val="17"/>
                <w:szCs w:val="17"/>
                <w:color w:val="auto"/>
              </w:rPr>
            </w:pPr>
          </w:p>
        </w:tc>
        <w:tc>
          <w:tcPr>
            <w:tcW w:w="3660" w:type="dxa"/>
            <w:vAlign w:val="bottom"/>
            <w:gridSpan w:val="2"/>
          </w:tcPr>
          <w:p>
            <w:pPr>
              <w:jc w:val="right"/>
              <w:ind w:right="810"/>
              <w:spacing w:after="0" w:line="202" w:lineRule="exact"/>
              <w:rPr>
                <w:sz w:val="20"/>
                <w:szCs w:val="20"/>
                <w:color w:val="auto"/>
              </w:rPr>
            </w:pPr>
            <w:r>
              <w:rPr>
                <w:rFonts w:ascii="Arial" w:cs="Arial" w:eastAsia="Arial" w:hAnsi="Arial"/>
                <w:sz w:val="18"/>
                <w:szCs w:val="18"/>
                <w:b w:val="1"/>
                <w:bCs w:val="1"/>
                <w:color w:val="auto"/>
              </w:rPr>
              <w:t>September 30,</w:t>
            </w:r>
          </w:p>
        </w:tc>
        <w:tc>
          <w:tcPr>
            <w:tcW w:w="2500" w:type="dxa"/>
            <w:vAlign w:val="bottom"/>
            <w:gridSpan w:val="2"/>
          </w:tcPr>
          <w:p>
            <w:pPr>
              <w:jc w:val="right"/>
              <w:ind w:right="59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2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2016</w:t>
            </w: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r>
      <w:tr>
        <w:trPr>
          <w:trHeight w:val="173"/>
        </w:trPr>
        <w:tc>
          <w:tcPr>
            <w:tcW w:w="5260" w:type="dxa"/>
            <w:vAlign w:val="bottom"/>
          </w:tcPr>
          <w:p>
            <w:pPr>
              <w:spacing w:after="0" w:line="173" w:lineRule="exact"/>
              <w:rPr>
                <w:sz w:val="20"/>
                <w:szCs w:val="20"/>
                <w:color w:val="auto"/>
              </w:rPr>
            </w:pPr>
            <w:r>
              <w:rPr>
                <w:rFonts w:ascii="Arial" w:cs="Arial" w:eastAsia="Arial" w:hAnsi="Arial"/>
                <w:sz w:val="18"/>
                <w:szCs w:val="18"/>
                <w:color w:val="auto"/>
              </w:rPr>
              <w:t>Currency transaction (gains)/losses</w:t>
            </w:r>
          </w:p>
        </w:tc>
        <w:tc>
          <w:tcPr>
            <w:tcW w:w="232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($312)</w:t>
            </w:r>
          </w:p>
        </w:tc>
        <w:tc>
          <w:tcPr>
            <w:tcW w:w="134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$953</w:t>
            </w:r>
          </w:p>
        </w:tc>
        <w:tc>
          <w:tcPr>
            <w:tcW w:w="138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($2,361)</w:t>
            </w:r>
          </w:p>
        </w:tc>
        <w:tc>
          <w:tcPr>
            <w:tcW w:w="11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$404</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23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106</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219</w:t>
            </w:r>
          </w:p>
        </w:tc>
        <w:tc>
          <w:tcPr>
            <w:tcW w:w="13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652</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764</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23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(872)</w:t>
            </w:r>
          </w:p>
        </w:tc>
      </w:tr>
      <w:tr>
        <w:trPr>
          <w:trHeight w:val="225"/>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448</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77</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(394)</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w:t>
            </w:r>
          </w:p>
        </w:tc>
      </w:tr>
      <w:tr>
        <w:trPr>
          <w:trHeight w:val="196"/>
        </w:trPr>
        <w:tc>
          <w:tcPr>
            <w:tcW w:w="5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$242</w:t>
            </w:r>
          </w:p>
        </w:tc>
        <w:tc>
          <w:tcPr>
            <w:tcW w:w="1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$1,249</w:t>
            </w:r>
          </w:p>
        </w:tc>
        <w:tc>
          <w:tcPr>
            <w:tcW w:w="1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($2,103)</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$784</w:t>
            </w:r>
          </w:p>
        </w:tc>
      </w:tr>
    </w:tbl>
    <w:p>
      <w:pPr>
        <w:spacing w:after="0" w:line="175"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In March 2015, the Company sold its total equity investment in an unaffiliated company, resulting in a gain of $0.9 million. The value of the investment had been written off in 2004.</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components of income tax expense for the three and nine months ended September 30, 2016 and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16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2"/>
          </w:tcPr>
          <w:p>
            <w:pPr>
              <w:ind w:left="340"/>
              <w:spacing w:after="0" w:line="194" w:lineRule="exact"/>
              <w:rPr>
                <w:sz w:val="20"/>
                <w:szCs w:val="20"/>
                <w:color w:val="auto"/>
              </w:rPr>
            </w:pPr>
            <w:r>
              <w:rPr>
                <w:rFonts w:ascii="Arial" w:cs="Arial" w:eastAsia="Arial" w:hAnsi="Arial"/>
                <w:sz w:val="18"/>
                <w:szCs w:val="18"/>
                <w:b w:val="1"/>
                <w:bCs w:val="1"/>
                <w:color w:val="auto"/>
              </w:rPr>
              <w:t>Three months ended</w:t>
            </w:r>
          </w:p>
        </w:tc>
        <w:tc>
          <w:tcPr>
            <w:tcW w:w="2460" w:type="dxa"/>
            <w:vAlign w:val="bottom"/>
            <w:tcBorders>
              <w:top w:val="single" w:sz="8" w:color="auto"/>
            </w:tcBorders>
            <w:gridSpan w:val="2"/>
          </w:tcPr>
          <w:p>
            <w:pPr>
              <w:jc w:val="right"/>
              <w:ind w:right="370"/>
              <w:spacing w:after="0" w:line="194"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780" w:type="dxa"/>
            <w:vAlign w:val="bottom"/>
            <w:gridSpan w:val="2"/>
          </w:tcPr>
          <w:p>
            <w:pPr>
              <w:jc w:val="right"/>
              <w:ind w:right="850"/>
              <w:spacing w:after="0" w:line="202" w:lineRule="exact"/>
              <w:rPr>
                <w:sz w:val="20"/>
                <w:szCs w:val="20"/>
                <w:color w:val="auto"/>
              </w:rPr>
            </w:pPr>
            <w:r>
              <w:rPr>
                <w:rFonts w:ascii="Arial" w:cs="Arial" w:eastAsia="Arial" w:hAnsi="Arial"/>
                <w:sz w:val="18"/>
                <w:szCs w:val="18"/>
                <w:b w:val="1"/>
                <w:bCs w:val="1"/>
                <w:color w:val="auto"/>
              </w:rPr>
              <w:t>September 30,</w:t>
            </w:r>
          </w:p>
        </w:tc>
        <w:tc>
          <w:tcPr>
            <w:tcW w:w="2460" w:type="dxa"/>
            <w:vAlign w:val="bottom"/>
            <w:gridSpan w:val="2"/>
          </w:tcPr>
          <w:p>
            <w:pPr>
              <w:jc w:val="right"/>
              <w:ind w:right="59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2016</w:t>
            </w: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6180" w:type="dxa"/>
            <w:vAlign w:val="bottom"/>
            <w:gridSpan w:val="2"/>
          </w:tcPr>
          <w:p>
            <w:pPr>
              <w:spacing w:after="0" w:line="195" w:lineRule="exact"/>
              <w:rPr>
                <w:sz w:val="20"/>
                <w:szCs w:val="20"/>
                <w:color w:val="auto"/>
              </w:rPr>
            </w:pPr>
            <w:r>
              <w:rPr>
                <w:rFonts w:ascii="Arial" w:cs="Arial" w:eastAsia="Arial" w:hAnsi="Arial"/>
                <w:sz w:val="18"/>
                <w:szCs w:val="18"/>
                <w:color w:val="auto"/>
              </w:rPr>
              <w:t>Income tax based on income from continuing operations, at estimated tax</w:t>
            </w:r>
          </w:p>
        </w:tc>
        <w:tc>
          <w:tcPr>
            <w:tcW w:w="14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$7,838</w:t>
            </w:r>
          </w:p>
        </w:tc>
        <w:tc>
          <w:tcPr>
            <w:tcW w:w="1380" w:type="dxa"/>
            <w:vAlign w:val="bottom"/>
          </w:tcPr>
          <w:p>
            <w:pPr>
              <w:spacing w:after="0"/>
              <w:rPr>
                <w:sz w:val="16"/>
                <w:szCs w:val="16"/>
                <w:color w:val="auto"/>
              </w:rPr>
            </w:pPr>
          </w:p>
        </w:tc>
        <w:tc>
          <w:tcPr>
            <w:tcW w:w="13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$21,545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180" w:type="dxa"/>
            <w:vAlign w:val="bottom"/>
            <w:gridSpan w:val="2"/>
          </w:tcPr>
          <w:p>
            <w:pPr>
              <w:spacing w:after="0" w:line="181" w:lineRule="exact"/>
              <w:rPr>
                <w:sz w:val="20"/>
                <w:szCs w:val="20"/>
                <w:color w:val="auto"/>
              </w:rPr>
            </w:pPr>
            <w:r>
              <w:rPr>
                <w:rFonts w:ascii="Arial" w:cs="Arial" w:eastAsia="Arial" w:hAnsi="Arial"/>
                <w:sz w:val="18"/>
                <w:szCs w:val="18"/>
                <w:color w:val="auto"/>
              </w:rPr>
              <w:t>rates of 37.5% in 2016 and 38.0% in 2015</w:t>
            </w:r>
          </w:p>
        </w:tc>
        <w:tc>
          <w:tcPr>
            <w:tcW w:w="1400" w:type="dxa"/>
            <w:vAlign w:val="bottom"/>
            <w:vMerge w:val="continue"/>
          </w:tcPr>
          <w:p>
            <w:pPr>
              <w:spacing w:after="0"/>
              <w:rPr>
                <w:sz w:val="15"/>
                <w:szCs w:val="15"/>
                <w:color w:val="auto"/>
              </w:rPr>
            </w:pPr>
          </w:p>
        </w:tc>
        <w:tc>
          <w:tcPr>
            <w:tcW w:w="1380" w:type="dxa"/>
            <w:vAlign w:val="bottom"/>
          </w:tcPr>
          <w:p>
            <w:pPr>
              <w:jc w:val="right"/>
              <w:ind w:right="250"/>
              <w:spacing w:after="0" w:line="181" w:lineRule="exact"/>
              <w:rPr>
                <w:sz w:val="20"/>
                <w:szCs w:val="20"/>
                <w:color w:val="auto"/>
              </w:rPr>
            </w:pPr>
            <w:r>
              <w:rPr>
                <w:rFonts w:ascii="Arial" w:cs="Arial" w:eastAsia="Arial" w:hAnsi="Arial"/>
                <w:sz w:val="18"/>
                <w:szCs w:val="18"/>
                <w:color w:val="auto"/>
              </w:rPr>
              <w:t>$8,331</w:t>
            </w:r>
          </w:p>
        </w:tc>
        <w:tc>
          <w:tcPr>
            <w:tcW w:w="1340" w:type="dxa"/>
            <w:vAlign w:val="bottom"/>
            <w:vMerge w:val="continue"/>
          </w:tcPr>
          <w:p>
            <w:pPr>
              <w:spacing w:after="0"/>
              <w:rPr>
                <w:sz w:val="15"/>
                <w:szCs w:val="15"/>
                <w:color w:val="auto"/>
              </w:rPr>
            </w:pPr>
          </w:p>
        </w:tc>
        <w:tc>
          <w:tcPr>
            <w:tcW w:w="1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$15,285</w:t>
            </w:r>
          </w:p>
        </w:tc>
        <w:tc>
          <w:tcPr>
            <w:tcW w:w="0" w:type="dxa"/>
            <w:vAlign w:val="bottom"/>
          </w:tcPr>
          <w:p>
            <w:pPr>
              <w:spacing w:after="0"/>
              <w:rPr>
                <w:sz w:val="1"/>
                <w:szCs w:val="1"/>
                <w:color w:val="auto"/>
              </w:rPr>
            </w:pPr>
          </w:p>
        </w:tc>
      </w:tr>
      <w:tr>
        <w:trPr>
          <w:trHeight w:val="225"/>
        </w:trPr>
        <w:tc>
          <w:tcPr>
            <w:tcW w:w="6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change in estimated tax rate</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(424)</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(1,002)</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6180" w:type="dxa"/>
            <w:vAlign w:val="bottom"/>
            <w:gridSpan w:val="2"/>
          </w:tcPr>
          <w:p>
            <w:pPr>
              <w:spacing w:after="0"/>
              <w:rPr>
                <w:sz w:val="20"/>
                <w:szCs w:val="20"/>
                <w:color w:val="auto"/>
              </w:rPr>
            </w:pPr>
            <w:r>
              <w:rPr>
                <w:rFonts w:ascii="Arial" w:cs="Arial" w:eastAsia="Arial" w:hAnsi="Arial"/>
                <w:sz w:val="18"/>
                <w:szCs w:val="18"/>
                <w:color w:val="auto"/>
              </w:rPr>
              <w:t>Income tax expense before discrete items</w:t>
            </w: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7,414</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7,329</w:t>
            </w: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21,545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15,285</w:t>
            </w:r>
          </w:p>
        </w:tc>
        <w:tc>
          <w:tcPr>
            <w:tcW w:w="0" w:type="dxa"/>
            <w:vAlign w:val="bottom"/>
          </w:tcPr>
          <w:p>
            <w:pPr>
              <w:spacing w:after="0"/>
              <w:rPr>
                <w:sz w:val="1"/>
                <w:szCs w:val="1"/>
                <w:color w:val="auto"/>
              </w:rPr>
            </w:pPr>
          </w:p>
        </w:tc>
      </w:tr>
      <w:tr>
        <w:trPr>
          <w:trHeight w:val="368"/>
        </w:trPr>
        <w:tc>
          <w:tcPr>
            <w:tcW w:w="6180" w:type="dxa"/>
            <w:vAlign w:val="bottom"/>
            <w:gridSpan w:val="2"/>
          </w:tcPr>
          <w:p>
            <w:pPr>
              <w:spacing w:after="0"/>
              <w:rPr>
                <w:sz w:val="20"/>
                <w:szCs w:val="20"/>
                <w:color w:val="auto"/>
              </w:rPr>
            </w:pPr>
            <w:r>
              <w:rPr>
                <w:rFonts w:ascii="Arial" w:cs="Arial" w:eastAsia="Arial" w:hAnsi="Arial"/>
                <w:sz w:val="18"/>
                <w:szCs w:val="18"/>
                <w:color w:val="auto"/>
              </w:rPr>
              <w:t>Discrete tax expense/(benefit):</w:t>
            </w:r>
          </w:p>
        </w:tc>
        <w:tc>
          <w:tcPr>
            <w:tcW w:w="14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spacing w:after="0"/>
              <w:rPr>
                <w:sz w:val="24"/>
                <w:szCs w:val="24"/>
                <w:color w:val="auto"/>
              </w:rPr>
            </w:pPr>
          </w:p>
        </w:tc>
        <w:tc>
          <w:tcPr>
            <w:tcW w:w="13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(825)</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160" w:type="dxa"/>
            <w:vAlign w:val="bottom"/>
          </w:tcPr>
          <w:p>
            <w:pPr>
              <w:ind w:left="340"/>
              <w:spacing w:after="0" w:line="181" w:lineRule="exact"/>
              <w:rPr>
                <w:sz w:val="20"/>
                <w:szCs w:val="20"/>
                <w:color w:val="auto"/>
              </w:rPr>
            </w:pPr>
            <w:r>
              <w:rPr>
                <w:rFonts w:ascii="Arial" w:cs="Arial" w:eastAsia="Arial" w:hAnsi="Arial"/>
                <w:sz w:val="18"/>
                <w:szCs w:val="18"/>
                <w:color w:val="auto"/>
              </w:rPr>
              <w:t>Provision for/resolution of tax audits and contingencies, net</w:t>
            </w:r>
          </w:p>
        </w:tc>
        <w:tc>
          <w:tcPr>
            <w:tcW w:w="1400" w:type="dxa"/>
            <w:vAlign w:val="bottom"/>
            <w:vMerge w:val="continue"/>
          </w:tcPr>
          <w:p>
            <w:pPr>
              <w:spacing w:after="0"/>
              <w:rPr>
                <w:sz w:val="15"/>
                <w:szCs w:val="15"/>
                <w:color w:val="auto"/>
              </w:rPr>
            </w:pPr>
          </w:p>
        </w:tc>
        <w:tc>
          <w:tcPr>
            <w:tcW w:w="1380" w:type="dxa"/>
            <w:vAlign w:val="bottom"/>
          </w:tcPr>
          <w:p>
            <w:pPr>
              <w:jc w:val="right"/>
              <w:ind w:right="250"/>
              <w:spacing w:after="0" w:line="181" w:lineRule="exact"/>
              <w:rPr>
                <w:sz w:val="20"/>
                <w:szCs w:val="20"/>
                <w:color w:val="auto"/>
              </w:rPr>
            </w:pPr>
            <w:r>
              <w:rPr>
                <w:rFonts w:ascii="Arial" w:cs="Arial" w:eastAsia="Arial" w:hAnsi="Arial"/>
                <w:sz w:val="18"/>
                <w:szCs w:val="18"/>
                <w:color w:val="auto"/>
              </w:rPr>
              <w:t>4,521</w:t>
            </w:r>
          </w:p>
        </w:tc>
        <w:tc>
          <w:tcPr>
            <w:tcW w:w="1340" w:type="dxa"/>
            <w:vAlign w:val="bottom"/>
            <w:vMerge w:val="continue"/>
          </w:tcPr>
          <w:p>
            <w:pPr>
              <w:spacing w:after="0"/>
              <w:rPr>
                <w:sz w:val="15"/>
                <w:szCs w:val="15"/>
                <w:color w:val="auto"/>
              </w:rPr>
            </w:pPr>
          </w:p>
        </w:tc>
        <w:tc>
          <w:tcPr>
            <w:tcW w:w="1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34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14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(11)</w:t>
            </w: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(581)</w:t>
            </w:r>
          </w:p>
        </w:tc>
        <w:tc>
          <w:tcPr>
            <w:tcW w:w="13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(254)</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340"/>
              <w:spacing w:after="0" w:line="202" w:lineRule="exact"/>
              <w:rPr>
                <w:sz w:val="20"/>
                <w:szCs w:val="20"/>
                <w:color w:val="auto"/>
              </w:rPr>
            </w:pPr>
            <w:r>
              <w:rPr>
                <w:rFonts w:ascii="Arial" w:cs="Arial" w:eastAsia="Arial" w:hAnsi="Arial"/>
                <w:sz w:val="18"/>
                <w:szCs w:val="18"/>
                <w:color w:val="auto"/>
              </w:rPr>
              <w:t>Other discrete tax adjustments, net</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85</w:t>
            </w:r>
          </w:p>
        </w:tc>
        <w:tc>
          <w:tcPr>
            <w:tcW w:w="13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968</w:t>
            </w:r>
          </w:p>
        </w:tc>
        <w:tc>
          <w:tcPr>
            <w:tcW w:w="13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113</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Enacted tax legislation</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34</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w:t>
            </w:r>
          </w:p>
        </w:tc>
        <w:tc>
          <w:tcPr>
            <w:tcW w:w="14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$7,488</w:t>
            </w:r>
          </w:p>
        </w:tc>
        <w:tc>
          <w:tcPr>
            <w:tcW w:w="13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$12,243</w:t>
            </w:r>
          </w:p>
        </w:tc>
        <w:tc>
          <w:tcPr>
            <w:tcW w:w="13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$20,613</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$20,398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third quarter estimated income tax rate based on continuing operations was 37.5 percent in 2016, compared to 38.0 percent for the same period in 2015.</w:t>
      </w:r>
    </w:p>
    <w:p>
      <w:pPr>
        <w:spacing w:after="0" w:line="17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records the residual U.S. and foreign taxes on certain amounts of current year foreign earnings that have been targeted for repatriation to the U.S. As a result, such amounts are not considered to be permanently reinvested, and the income tax provision before discrete items includes the residual taxes on these earnings to the extent they cannot be repatriated in a tax-free manner. As of September 30, 2016, the Company has recorded a deferred tax liability on $59.0 million of prior year non-U.S. earnings that have been targeted for future repatriation to the U.S.</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14" w:name="page15"/>
    <w:bookmarkEnd w:id="14"/>
    <w:p>
      <w:pPr>
        <w:jc w:val="both"/>
        <w:ind w:firstLine="648"/>
        <w:spacing w:after="0"/>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we are subject to examination by taxing authorities throughout the world and we are currently under audit in various jurisdictions, including Canada, France and Italy. The open tax years range from 2007 to 2015.</w:t>
      </w:r>
    </w:p>
    <w:p>
      <w:pPr>
        <w:spacing w:after="0" w:line="16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$0.0 to a net decrease of $2.3 million, from the reevaluation of uncertain tax positions arising in examinations, in appeals, or in the courts, or from the closure of tax statutes.</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first quarter of 2016, the Company reached a settlement with the German tax authorities over matters that had been outstanding for many years. The German Tax Authority had denied tax positions taken by the Company related to a 1999 reorganization. In 2009, the Company made a payment of $14.5 million in order to appeal the German Tax Authority decision, and we recorded that payment as an income tax receivable. As additional information became available in recent years, we wrote down the receivable by $6.3 million in 2014 and $6.4 million in 2015 ($5.8 million in the third quarter and $0.6 million in the fourth quarter). In April 2016, we received $3.7 million representing the final settlement of this matter, and accordingly, we adjusted our income tax receivable as of March 31, 2016 to that amount, and recorded a discrete tax benefit of $0.5 million for the first quarter of 2016.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gridSpan w:val="2"/>
          </w:tcPr>
          <w:p>
            <w:pPr>
              <w:ind w:left="1160"/>
              <w:spacing w:after="0" w:line="194" w:lineRule="exact"/>
              <w:rPr>
                <w:sz w:val="20"/>
                <w:szCs w:val="20"/>
                <w:color w:val="auto"/>
              </w:rPr>
            </w:pPr>
            <w:r>
              <w:rPr>
                <w:rFonts w:ascii="Arial" w:cs="Arial" w:eastAsia="Arial" w:hAnsi="Arial"/>
                <w:sz w:val="18"/>
                <w:szCs w:val="18"/>
                <w:b w:val="1"/>
                <w:bCs w:val="1"/>
                <w:color w:val="auto"/>
              </w:rPr>
              <w:t>Three months ended</w:t>
            </w:r>
          </w:p>
        </w:tc>
        <w:tc>
          <w:tcPr>
            <w:tcW w:w="2500" w:type="dxa"/>
            <w:vAlign w:val="bottom"/>
            <w:tcBorders>
              <w:top w:val="single" w:sz="8" w:color="auto"/>
            </w:tcBorders>
            <w:gridSpan w:val="2"/>
          </w:tcPr>
          <w:p>
            <w:pPr>
              <w:jc w:val="right"/>
              <w:ind w:right="370"/>
              <w:spacing w:after="0" w:line="194"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3560" w:type="dxa"/>
            <w:vAlign w:val="bottom"/>
            <w:gridSpan w:val="2"/>
          </w:tcPr>
          <w:p>
            <w:pPr>
              <w:jc w:val="right"/>
              <w:ind w:right="810"/>
              <w:spacing w:after="0" w:line="202" w:lineRule="exact"/>
              <w:rPr>
                <w:sz w:val="20"/>
                <w:szCs w:val="20"/>
                <w:color w:val="auto"/>
              </w:rPr>
            </w:pPr>
            <w:r>
              <w:rPr>
                <w:rFonts w:ascii="Arial" w:cs="Arial" w:eastAsia="Arial" w:hAnsi="Arial"/>
                <w:sz w:val="18"/>
                <w:szCs w:val="18"/>
                <w:b w:val="1"/>
                <w:bCs w:val="1"/>
                <w:color w:val="auto"/>
              </w:rPr>
              <w:t>September 30,</w:t>
            </w:r>
          </w:p>
        </w:tc>
        <w:tc>
          <w:tcPr>
            <w:tcW w:w="2500" w:type="dxa"/>
            <w:vAlign w:val="bottom"/>
            <w:gridSpan w:val="2"/>
          </w:tcPr>
          <w:p>
            <w:pPr>
              <w:jc w:val="right"/>
              <w:ind w:right="59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price and earnings per share)</w:t>
            </w:r>
          </w:p>
        </w:tc>
        <w:tc>
          <w:tcPr>
            <w:tcW w:w="220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99"/>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Company</w:t>
            </w:r>
          </w:p>
        </w:tc>
        <w:tc>
          <w:tcPr>
            <w:tcW w:w="2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$13,069</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$9,658</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$36,937</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$19,699</w:t>
            </w:r>
          </w:p>
        </w:tc>
        <w:tc>
          <w:tcPr>
            <w:tcW w:w="0" w:type="dxa"/>
            <w:vAlign w:val="bottom"/>
          </w:tcPr>
          <w:p>
            <w:pPr>
              <w:spacing w:after="0"/>
              <w:rPr>
                <w:sz w:val="1"/>
                <w:szCs w:val="1"/>
                <w:color w:val="auto"/>
              </w:rPr>
            </w:pPr>
          </w:p>
        </w:tc>
      </w:tr>
      <w:tr>
        <w:trPr>
          <w:trHeight w:val="398"/>
        </w:trPr>
        <w:tc>
          <w:tcPr>
            <w:tcW w:w="536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360"/>
              <w:spacing w:after="0" w:line="202" w:lineRule="exact"/>
              <w:rPr>
                <w:sz w:val="20"/>
                <w:szCs w:val="20"/>
                <w:color w:val="auto"/>
              </w:rPr>
            </w:pPr>
            <w:r>
              <w:rPr>
                <w:rFonts w:ascii="Arial" w:cs="Arial" w:eastAsia="Arial" w:hAnsi="Arial"/>
                <w:sz w:val="18"/>
                <w:szCs w:val="18"/>
                <w:color w:val="auto"/>
              </w:rPr>
              <w:t>Weighted average number of shares used in</w:t>
            </w:r>
          </w:p>
        </w:tc>
        <w:tc>
          <w:tcPr>
            <w:tcW w:w="22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32,104</w:t>
            </w:r>
          </w:p>
        </w:tc>
        <w:tc>
          <w:tcPr>
            <w:tcW w:w="1360" w:type="dxa"/>
            <w:vAlign w:val="bottom"/>
          </w:tcPr>
          <w:p>
            <w:pPr>
              <w:spacing w:after="0"/>
              <w:rPr>
                <w:sz w:val="17"/>
                <w:szCs w:val="17"/>
                <w:color w:val="auto"/>
              </w:rPr>
            </w:pPr>
          </w:p>
        </w:tc>
        <w:tc>
          <w:tcPr>
            <w:tcW w:w="13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32,079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60" w:type="dxa"/>
            <w:vAlign w:val="bottom"/>
          </w:tcPr>
          <w:p>
            <w:pPr>
              <w:ind w:left="360"/>
              <w:spacing w:after="0" w:line="181" w:lineRule="exact"/>
              <w:rPr>
                <w:sz w:val="20"/>
                <w:szCs w:val="20"/>
                <w:color w:val="auto"/>
              </w:rPr>
            </w:pPr>
            <w:r>
              <w:rPr>
                <w:rFonts w:ascii="Arial" w:cs="Arial" w:eastAsia="Arial" w:hAnsi="Arial"/>
                <w:sz w:val="18"/>
                <w:szCs w:val="18"/>
                <w:color w:val="auto"/>
              </w:rPr>
              <w:t>calculating basic net income per share</w:t>
            </w:r>
          </w:p>
        </w:tc>
        <w:tc>
          <w:tcPr>
            <w:tcW w:w="2200" w:type="dxa"/>
            <w:vAlign w:val="bottom"/>
            <w:vMerge w:val="continue"/>
          </w:tcPr>
          <w:p>
            <w:pPr>
              <w:spacing w:after="0"/>
              <w:rPr>
                <w:sz w:val="15"/>
                <w:szCs w:val="15"/>
                <w:color w:val="auto"/>
              </w:rPr>
            </w:pPr>
          </w:p>
        </w:tc>
        <w:tc>
          <w:tcPr>
            <w:tcW w:w="136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32,012</w:t>
            </w:r>
          </w:p>
        </w:tc>
        <w:tc>
          <w:tcPr>
            <w:tcW w:w="1360" w:type="dxa"/>
            <w:vAlign w:val="bottom"/>
            <w:vMerge w:val="continue"/>
          </w:tcPr>
          <w:p>
            <w:pPr>
              <w:spacing w:after="0"/>
              <w:rPr>
                <w:sz w:val="15"/>
                <w:szCs w:val="15"/>
                <w:color w:val="auto"/>
              </w:rPr>
            </w:pPr>
          </w:p>
        </w:tc>
        <w:tc>
          <w:tcPr>
            <w:tcW w:w="11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31,965</w:t>
            </w:r>
          </w:p>
        </w:tc>
        <w:tc>
          <w:tcPr>
            <w:tcW w:w="0" w:type="dxa"/>
            <w:vAlign w:val="bottom"/>
          </w:tcPr>
          <w:p>
            <w:pPr>
              <w:spacing w:after="0"/>
              <w:rPr>
                <w:sz w:val="1"/>
                <w:szCs w:val="1"/>
                <w:color w:val="auto"/>
              </w:rPr>
            </w:pPr>
          </w:p>
        </w:tc>
      </w:tr>
      <w:tr>
        <w:trPr>
          <w:trHeight w:val="225"/>
        </w:trPr>
        <w:tc>
          <w:tcPr>
            <w:tcW w:w="536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2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37</w:t>
            </w:r>
          </w:p>
        </w:tc>
        <w:tc>
          <w:tcPr>
            <w:tcW w:w="1360" w:type="dxa"/>
            <w:vAlign w:val="bottom"/>
          </w:tcPr>
          <w:p>
            <w:pPr>
              <w:spacing w:after="0"/>
              <w:rPr>
                <w:sz w:val="19"/>
                <w:szCs w:val="19"/>
                <w:color w:val="auto"/>
              </w:rPr>
            </w:pPr>
          </w:p>
        </w:tc>
        <w:tc>
          <w:tcPr>
            <w:tcW w:w="13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39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60" w:type="dxa"/>
            <w:vAlign w:val="bottom"/>
            <w:tcBorders>
              <w:bottom w:val="single" w:sz="8" w:color="auto"/>
            </w:tcBorders>
          </w:tcPr>
          <w:p>
            <w:pPr>
              <w:ind w:left="360"/>
              <w:spacing w:after="0" w:line="203" w:lineRule="exact"/>
              <w:rPr>
                <w:sz w:val="20"/>
                <w:szCs w:val="20"/>
                <w:color w:val="auto"/>
              </w:rPr>
            </w:pPr>
            <w:r>
              <w:rPr>
                <w:rFonts w:ascii="Arial" w:cs="Arial" w:eastAsia="Arial" w:hAnsi="Arial"/>
                <w:sz w:val="18"/>
                <w:szCs w:val="18"/>
                <w:color w:val="auto"/>
              </w:rPr>
              <w:t>Stock options</w:t>
            </w:r>
          </w:p>
        </w:tc>
        <w:tc>
          <w:tcPr>
            <w:tcW w:w="22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43</w:t>
            </w:r>
          </w:p>
        </w:tc>
        <w:tc>
          <w:tcPr>
            <w:tcW w:w="13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98"/>
        </w:trPr>
        <w:tc>
          <w:tcPr>
            <w:tcW w:w="536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22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32,141</w:t>
            </w:r>
          </w:p>
        </w:tc>
        <w:tc>
          <w:tcPr>
            <w:tcW w:w="1360" w:type="dxa"/>
            <w:vAlign w:val="bottom"/>
          </w:tcPr>
          <w:p>
            <w:pPr>
              <w:spacing w:after="0"/>
              <w:rPr>
                <w:sz w:val="24"/>
                <w:szCs w:val="24"/>
                <w:color w:val="auto"/>
              </w:rPr>
            </w:pPr>
          </w:p>
        </w:tc>
        <w:tc>
          <w:tcPr>
            <w:tcW w:w="13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32,118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22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32,055</w:t>
            </w:r>
          </w:p>
        </w:tc>
        <w:tc>
          <w:tcPr>
            <w:tcW w:w="13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32,028</w:t>
            </w:r>
          </w:p>
        </w:tc>
        <w:tc>
          <w:tcPr>
            <w:tcW w:w="0" w:type="dxa"/>
            <w:vAlign w:val="bottom"/>
          </w:tcPr>
          <w:p>
            <w:pPr>
              <w:spacing w:after="0"/>
              <w:rPr>
                <w:sz w:val="1"/>
                <w:szCs w:val="1"/>
                <w:color w:val="auto"/>
              </w:rPr>
            </w:pPr>
          </w:p>
        </w:tc>
      </w:tr>
      <w:tr>
        <w:trPr>
          <w:trHeight w:val="398"/>
        </w:trPr>
        <w:tc>
          <w:tcPr>
            <w:tcW w:w="5360" w:type="dxa"/>
            <w:vAlign w:val="bottom"/>
          </w:tcPr>
          <w:p>
            <w:pPr>
              <w:spacing w:after="0"/>
              <w:rPr>
                <w:sz w:val="20"/>
                <w:szCs w:val="20"/>
                <w:color w:val="auto"/>
              </w:rPr>
            </w:pPr>
            <w:r>
              <w:rPr>
                <w:rFonts w:ascii="Arial" w:cs="Arial" w:eastAsia="Arial" w:hAnsi="Arial"/>
                <w:sz w:val="18"/>
                <w:szCs w:val="18"/>
                <w:color w:val="auto"/>
              </w:rPr>
              <w:t>Average market price of common stock used</w:t>
            </w:r>
          </w:p>
        </w:tc>
        <w:tc>
          <w:tcPr>
            <w:tcW w:w="22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$42.03</w:t>
            </w:r>
          </w:p>
        </w:tc>
        <w:tc>
          <w:tcPr>
            <w:tcW w:w="1360" w:type="dxa"/>
            <w:vAlign w:val="bottom"/>
          </w:tcPr>
          <w:p>
            <w:pPr>
              <w:spacing w:after="0"/>
              <w:rPr>
                <w:sz w:val="24"/>
                <w:szCs w:val="24"/>
                <w:color w:val="auto"/>
              </w:rPr>
            </w:pPr>
          </w:p>
        </w:tc>
        <w:tc>
          <w:tcPr>
            <w:tcW w:w="13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$38.97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220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$33.89</w:t>
            </w:r>
          </w:p>
        </w:tc>
        <w:tc>
          <w:tcPr>
            <w:tcW w:w="13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398"/>
        </w:trPr>
        <w:tc>
          <w:tcPr>
            <w:tcW w:w="5360" w:type="dxa"/>
            <w:vAlign w:val="bottom"/>
          </w:tcPr>
          <w:p>
            <w:pPr>
              <w:spacing w:after="0"/>
              <w:rPr>
                <w:sz w:val="20"/>
                <w:szCs w:val="20"/>
                <w:color w:val="auto"/>
              </w:rPr>
            </w:pPr>
            <w:r>
              <w:rPr>
                <w:rFonts w:ascii="Arial" w:cs="Arial" w:eastAsia="Arial" w:hAnsi="Arial"/>
                <w:sz w:val="18"/>
                <w:szCs w:val="18"/>
                <w:b w:val="1"/>
                <w:bCs w:val="1"/>
                <w:color w:val="auto"/>
              </w:rPr>
              <w:t>Earnings per share attributable to Company shareholders:</w:t>
            </w:r>
          </w:p>
        </w:tc>
        <w:tc>
          <w:tcPr>
            <w:tcW w:w="22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$0.41</w:t>
            </w:r>
          </w:p>
        </w:tc>
        <w:tc>
          <w:tcPr>
            <w:tcW w:w="1360" w:type="dxa"/>
            <w:vAlign w:val="bottom"/>
          </w:tcPr>
          <w:p>
            <w:pPr>
              <w:spacing w:after="0"/>
              <w:rPr>
                <w:sz w:val="24"/>
                <w:szCs w:val="24"/>
                <w:color w:val="auto"/>
              </w:rPr>
            </w:pPr>
          </w:p>
        </w:tc>
        <w:tc>
          <w:tcPr>
            <w:tcW w:w="13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$1.15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360" w:type="dxa"/>
            <w:vAlign w:val="bottom"/>
          </w:tcPr>
          <w:p>
            <w:pPr>
              <w:ind w:left="360"/>
              <w:spacing w:after="0" w:line="181" w:lineRule="exact"/>
              <w:rPr>
                <w:sz w:val="20"/>
                <w:szCs w:val="20"/>
                <w:color w:val="auto"/>
              </w:rPr>
            </w:pPr>
            <w:r>
              <w:rPr>
                <w:rFonts w:ascii="Arial" w:cs="Arial" w:eastAsia="Arial" w:hAnsi="Arial"/>
                <w:sz w:val="18"/>
                <w:szCs w:val="18"/>
                <w:color w:val="auto"/>
              </w:rPr>
              <w:t>Basic</w:t>
            </w:r>
          </w:p>
        </w:tc>
        <w:tc>
          <w:tcPr>
            <w:tcW w:w="2200" w:type="dxa"/>
            <w:vAlign w:val="bottom"/>
            <w:vMerge w:val="continue"/>
          </w:tcPr>
          <w:p>
            <w:pPr>
              <w:spacing w:after="0"/>
              <w:rPr>
                <w:sz w:val="15"/>
                <w:szCs w:val="15"/>
                <w:color w:val="auto"/>
              </w:rPr>
            </w:pPr>
          </w:p>
        </w:tc>
        <w:tc>
          <w:tcPr>
            <w:tcW w:w="1360" w:type="dxa"/>
            <w:vAlign w:val="bottom"/>
          </w:tcPr>
          <w:p>
            <w:pPr>
              <w:jc w:val="right"/>
              <w:ind w:right="210"/>
              <w:spacing w:after="0" w:line="181" w:lineRule="exact"/>
              <w:rPr>
                <w:sz w:val="20"/>
                <w:szCs w:val="20"/>
                <w:color w:val="auto"/>
              </w:rPr>
            </w:pPr>
            <w:r>
              <w:rPr>
                <w:rFonts w:ascii="Arial" w:cs="Arial" w:eastAsia="Arial" w:hAnsi="Arial"/>
                <w:sz w:val="18"/>
                <w:szCs w:val="18"/>
                <w:color w:val="auto"/>
              </w:rPr>
              <w:t>$0.30</w:t>
            </w:r>
          </w:p>
        </w:tc>
        <w:tc>
          <w:tcPr>
            <w:tcW w:w="1360" w:type="dxa"/>
            <w:vAlign w:val="bottom"/>
            <w:vMerge w:val="continue"/>
          </w:tcPr>
          <w:p>
            <w:pPr>
              <w:spacing w:after="0"/>
              <w:rPr>
                <w:sz w:val="15"/>
                <w:szCs w:val="15"/>
                <w:color w:val="auto"/>
              </w:rPr>
            </w:pPr>
          </w:p>
        </w:tc>
        <w:tc>
          <w:tcPr>
            <w:tcW w:w="114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2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$0.41</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$0.30</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$1.15</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426"/>
        </w:trPr>
        <w:tc>
          <w:tcPr>
            <w:tcW w:w="5360" w:type="dxa"/>
            <w:vAlign w:val="bottom"/>
          </w:tcPr>
          <w:p>
            <w:pPr>
              <w:spacing w:after="0"/>
              <w:rPr>
                <w:sz w:val="24"/>
                <w:szCs w:val="24"/>
                <w:color w:val="auto"/>
              </w:rPr>
            </w:pPr>
          </w:p>
        </w:tc>
        <w:tc>
          <w:tcPr>
            <w:tcW w:w="2200" w:type="dxa"/>
            <w:vAlign w:val="bottom"/>
          </w:tcPr>
          <w:p>
            <w:pPr>
              <w:jc w:val="right"/>
              <w:ind w:right="1630"/>
              <w:spacing w:after="0"/>
              <w:rPr>
                <w:sz w:val="20"/>
                <w:szCs w:val="20"/>
                <w:color w:val="auto"/>
              </w:rPr>
            </w:pPr>
            <w:r>
              <w:rPr>
                <w:rFonts w:ascii="Arial" w:cs="Arial" w:eastAsia="Arial" w:hAnsi="Arial"/>
                <w:sz w:val="18"/>
                <w:szCs w:val="18"/>
                <w:color w:val="auto"/>
              </w:rPr>
              <w:t>15</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36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9. Noncontrolling Interest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420" w:type="dxa"/>
            <w:vAlign w:val="bottom"/>
            <w:tcBorders>
              <w:top w:val="single" w:sz="8" w:color="auto"/>
            </w:tcBorders>
          </w:tcPr>
          <w:p>
            <w:pPr>
              <w:spacing w:after="0"/>
              <w:rPr>
                <w:sz w:val="16"/>
                <w:szCs w:val="16"/>
                <w:color w:val="auto"/>
              </w:rPr>
            </w:pPr>
          </w:p>
        </w:tc>
        <w:tc>
          <w:tcPr>
            <w:tcW w:w="3980" w:type="dxa"/>
            <w:vAlign w:val="bottom"/>
            <w:tcBorders>
              <w:top w:val="single" w:sz="8" w:color="auto"/>
            </w:tcBorders>
            <w:gridSpan w:val="2"/>
          </w:tcPr>
          <w:p>
            <w:pPr>
              <w:jc w:val="right"/>
              <w:ind w:right="73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25"/>
        </w:trPr>
        <w:tc>
          <w:tcPr>
            <w:tcW w:w="20" w:type="dxa"/>
            <w:vAlign w:val="bottom"/>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3020" w:type="dxa"/>
            <w:vAlign w:val="bottom"/>
            <w:tcBorders>
              <w:bottom w:val="single" w:sz="8" w:color="auto"/>
            </w:tcBorders>
          </w:tcPr>
          <w:p>
            <w:pPr>
              <w:jc w:val="right"/>
              <w:ind w:right="1310"/>
              <w:spacing w:after="0" w:line="196" w:lineRule="exact"/>
              <w:rPr>
                <w:sz w:val="20"/>
                <w:szCs w:val="20"/>
                <w:color w:val="auto"/>
              </w:rPr>
            </w:pPr>
            <w:r>
              <w:rPr>
                <w:rFonts w:ascii="Arial" w:cs="Arial" w:eastAsia="Arial" w:hAnsi="Arial"/>
                <w:sz w:val="18"/>
                <w:szCs w:val="18"/>
                <w:b w:val="1"/>
                <w:bCs w:val="1"/>
                <w:color w:val="auto"/>
              </w:rPr>
              <w:t>2016</w:t>
            </w:r>
          </w:p>
        </w:tc>
        <w:tc>
          <w:tcPr>
            <w:tcW w:w="9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2015</w:t>
            </w:r>
          </w:p>
        </w:tc>
      </w:tr>
      <w:tr>
        <w:trPr>
          <w:trHeight w:val="173"/>
        </w:trPr>
        <w:tc>
          <w:tcPr>
            <w:tcW w:w="7440" w:type="dxa"/>
            <w:vAlign w:val="bottom"/>
            <w:gridSpan w:val="2"/>
          </w:tcPr>
          <w:p>
            <w:pPr>
              <w:spacing w:after="0" w:line="173" w:lineRule="exact"/>
              <w:rPr>
                <w:sz w:val="20"/>
                <w:szCs w:val="20"/>
                <w:color w:val="auto"/>
              </w:rPr>
            </w:pPr>
            <w:r>
              <w:rPr>
                <w:rFonts w:ascii="Arial" w:cs="Arial" w:eastAsia="Arial" w:hAnsi="Arial"/>
                <w:sz w:val="18"/>
                <w:szCs w:val="18"/>
                <w:color w:val="auto"/>
              </w:rPr>
              <w:t>Net (loss)/income of Albany Safran Composites (ASC)</w:t>
            </w:r>
          </w:p>
        </w:tc>
        <w:tc>
          <w:tcPr>
            <w:tcW w:w="3020" w:type="dxa"/>
            <w:vAlign w:val="bottom"/>
          </w:tcPr>
          <w:p>
            <w:pPr>
              <w:jc w:val="right"/>
              <w:ind w:right="910"/>
              <w:spacing w:after="0" w:line="173" w:lineRule="exact"/>
              <w:rPr>
                <w:sz w:val="20"/>
                <w:szCs w:val="20"/>
                <w:color w:val="auto"/>
              </w:rPr>
            </w:pPr>
            <w:r>
              <w:rPr>
                <w:rFonts w:ascii="Arial" w:cs="Arial" w:eastAsia="Arial" w:hAnsi="Arial"/>
                <w:sz w:val="18"/>
                <w:szCs w:val="18"/>
                <w:b w:val="1"/>
                <w:bCs w:val="1"/>
                <w:color w:val="auto"/>
              </w:rPr>
              <w:t>($374)</w:t>
            </w:r>
          </w:p>
        </w:tc>
        <w:tc>
          <w:tcPr>
            <w:tcW w:w="9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$1,747</w:t>
            </w:r>
          </w:p>
        </w:tc>
      </w:tr>
      <w:tr>
        <w:trPr>
          <w:trHeight w:val="225"/>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Return attributable to the Company's preferred holding</w:t>
            </w:r>
          </w:p>
        </w:tc>
        <w:tc>
          <w:tcPr>
            <w:tcW w:w="30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732</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748</w:t>
            </w:r>
          </w:p>
        </w:tc>
      </w:tr>
      <w:tr>
        <w:trPr>
          <w:trHeight w:val="173"/>
        </w:trPr>
        <w:tc>
          <w:tcPr>
            <w:tcW w:w="7440" w:type="dxa"/>
            <w:vAlign w:val="bottom"/>
            <w:gridSpan w:val="2"/>
          </w:tcPr>
          <w:p>
            <w:pPr>
              <w:spacing w:after="0" w:line="173" w:lineRule="exact"/>
              <w:rPr>
                <w:sz w:val="20"/>
                <w:szCs w:val="20"/>
                <w:color w:val="auto"/>
              </w:rPr>
            </w:pPr>
            <w:r>
              <w:rPr>
                <w:rFonts w:ascii="Arial" w:cs="Arial" w:eastAsia="Arial" w:hAnsi="Arial"/>
                <w:sz w:val="18"/>
                <w:szCs w:val="18"/>
                <w:color w:val="auto"/>
              </w:rPr>
              <w:t>Net (loss)/income of ASC available for common ownership</w:t>
            </w:r>
          </w:p>
        </w:tc>
        <w:tc>
          <w:tcPr>
            <w:tcW w:w="3020" w:type="dxa"/>
            <w:vAlign w:val="bottom"/>
          </w:tcPr>
          <w:p>
            <w:pPr>
              <w:jc w:val="right"/>
              <w:ind w:right="910"/>
              <w:spacing w:after="0" w:line="173" w:lineRule="exact"/>
              <w:rPr>
                <w:sz w:val="20"/>
                <w:szCs w:val="20"/>
                <w:color w:val="auto"/>
              </w:rPr>
            </w:pPr>
            <w:r>
              <w:rPr>
                <w:rFonts w:ascii="Arial" w:cs="Arial" w:eastAsia="Arial" w:hAnsi="Arial"/>
                <w:sz w:val="18"/>
                <w:szCs w:val="18"/>
                <w:b w:val="1"/>
                <w:bCs w:val="1"/>
                <w:color w:val="auto"/>
              </w:rPr>
              <w:t>($1,106)</w:t>
            </w:r>
          </w:p>
        </w:tc>
        <w:tc>
          <w:tcPr>
            <w:tcW w:w="9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$999</w:t>
            </w:r>
          </w:p>
        </w:tc>
      </w:tr>
      <w:tr>
        <w:trPr>
          <w:trHeight w:val="225"/>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Ownership percentage of noncontrolling shareholder</w:t>
            </w:r>
          </w:p>
        </w:tc>
        <w:tc>
          <w:tcPr>
            <w:tcW w:w="3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10%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74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Net (loss)/income attributable to noncontrolling interest</w:t>
            </w:r>
          </w:p>
        </w:tc>
        <w:tc>
          <w:tcPr>
            <w:tcW w:w="3020" w:type="dxa"/>
            <w:vAlign w:val="bottom"/>
            <w:tcBorders>
              <w:bottom w:val="single" w:sz="8" w:color="auto"/>
            </w:tcBorders>
          </w:tcPr>
          <w:p>
            <w:pPr>
              <w:jc w:val="right"/>
              <w:ind w:right="910"/>
              <w:spacing w:after="0" w:line="196" w:lineRule="exact"/>
              <w:rPr>
                <w:sz w:val="20"/>
                <w:szCs w:val="20"/>
                <w:color w:val="auto"/>
              </w:rPr>
            </w:pPr>
            <w:r>
              <w:rPr>
                <w:rFonts w:ascii="Arial" w:cs="Arial" w:eastAsia="Arial" w:hAnsi="Arial"/>
                <w:sz w:val="18"/>
                <w:szCs w:val="18"/>
                <w:b w:val="1"/>
                <w:bCs w:val="1"/>
                <w:color w:val="auto"/>
              </w:rPr>
              <w:t>($111)</w:t>
            </w:r>
          </w:p>
        </w:tc>
        <w:tc>
          <w:tcPr>
            <w:tcW w:w="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$100</w:t>
            </w:r>
          </w:p>
        </w:tc>
      </w:tr>
      <w:tr>
        <w:trPr>
          <w:trHeight w:val="376"/>
        </w:trPr>
        <w:tc>
          <w:tcPr>
            <w:tcW w:w="7440" w:type="dxa"/>
            <w:vAlign w:val="bottom"/>
            <w:gridSpan w:val="2"/>
          </w:tcPr>
          <w:p>
            <w:pPr>
              <w:spacing w:after="0"/>
              <w:rPr>
                <w:sz w:val="20"/>
                <w:szCs w:val="20"/>
                <w:color w:val="auto"/>
              </w:rPr>
            </w:pPr>
            <w:r>
              <w:rPr>
                <w:rFonts w:ascii="Arial" w:cs="Arial" w:eastAsia="Arial" w:hAnsi="Arial"/>
                <w:sz w:val="18"/>
                <w:szCs w:val="18"/>
                <w:color w:val="auto"/>
              </w:rPr>
              <w:t>Noncontrolling interest, beginning of year</w:t>
            </w:r>
          </w:p>
        </w:tc>
        <w:tc>
          <w:tcPr>
            <w:tcW w:w="3020" w:type="dxa"/>
            <w:vAlign w:val="bottom"/>
          </w:tcPr>
          <w:p>
            <w:pPr>
              <w:jc w:val="right"/>
              <w:ind w:right="970"/>
              <w:spacing w:after="0"/>
              <w:rPr>
                <w:sz w:val="20"/>
                <w:szCs w:val="20"/>
                <w:color w:val="auto"/>
              </w:rPr>
            </w:pPr>
            <w:r>
              <w:rPr>
                <w:rFonts w:ascii="Arial" w:cs="Arial" w:eastAsia="Arial" w:hAnsi="Arial"/>
                <w:sz w:val="18"/>
                <w:szCs w:val="18"/>
                <w:b w:val="1"/>
                <w:bCs w:val="1"/>
                <w:color w:val="auto"/>
              </w:rPr>
              <w:t>$3,690</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$3,699</w:t>
            </w: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Net (loss)/income attributable to noncontrolling interest</w:t>
            </w:r>
          </w:p>
        </w:tc>
        <w:tc>
          <w:tcPr>
            <w:tcW w:w="3020" w:type="dxa"/>
            <w:vAlign w:val="bottom"/>
          </w:tcPr>
          <w:p>
            <w:pPr>
              <w:jc w:val="right"/>
              <w:ind w:right="910"/>
              <w:spacing w:after="0" w:line="202" w:lineRule="exact"/>
              <w:rPr>
                <w:sz w:val="20"/>
                <w:szCs w:val="20"/>
                <w:color w:val="auto"/>
              </w:rPr>
            </w:pPr>
            <w:r>
              <w:rPr>
                <w:rFonts w:ascii="Arial" w:cs="Arial" w:eastAsia="Arial" w:hAnsi="Arial"/>
                <w:sz w:val="18"/>
                <w:szCs w:val="18"/>
                <w:b w:val="1"/>
                <w:bCs w:val="1"/>
                <w:color w:val="auto"/>
              </w:rPr>
              <w:t>(111)</w:t>
            </w:r>
          </w:p>
        </w:tc>
        <w:tc>
          <w:tcPr>
            <w:tcW w:w="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100</w:t>
            </w:r>
          </w:p>
        </w:tc>
      </w:tr>
      <w:tr>
        <w:trPr>
          <w:trHeight w:val="225"/>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30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(1)</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r>
      <w:tr>
        <w:trPr>
          <w:trHeight w:val="196"/>
        </w:trPr>
        <w:tc>
          <w:tcPr>
            <w:tcW w:w="74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Noncontrolling interest</w:t>
            </w:r>
          </w:p>
        </w:tc>
        <w:tc>
          <w:tcPr>
            <w:tcW w:w="3020" w:type="dxa"/>
            <w:vAlign w:val="bottom"/>
            <w:tcBorders>
              <w:bottom w:val="single" w:sz="8" w:color="auto"/>
            </w:tcBorders>
          </w:tcPr>
          <w:p>
            <w:pPr>
              <w:jc w:val="right"/>
              <w:ind w:right="970"/>
              <w:spacing w:after="0" w:line="196" w:lineRule="exact"/>
              <w:rPr>
                <w:sz w:val="20"/>
                <w:szCs w:val="20"/>
                <w:color w:val="auto"/>
              </w:rPr>
            </w:pPr>
            <w:r>
              <w:rPr>
                <w:rFonts w:ascii="Arial" w:cs="Arial" w:eastAsia="Arial" w:hAnsi="Arial"/>
                <w:sz w:val="18"/>
                <w:szCs w:val="18"/>
                <w:b w:val="1"/>
                <w:bCs w:val="1"/>
                <w:color w:val="auto"/>
              </w:rPr>
              <w:t>$3,578</w:t>
            </w:r>
          </w:p>
        </w:tc>
        <w:tc>
          <w:tcPr>
            <w:tcW w:w="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$3,800</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Accumulated Other Comprehensive Income (AOCI)</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2015 to September 30,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Pension and</w:t>
            </w:r>
          </w:p>
        </w:tc>
        <w:tc>
          <w:tcPr>
            <w:tcW w:w="1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Derivative</w:t>
            </w:r>
          </w:p>
        </w:tc>
        <w:tc>
          <w:tcPr>
            <w:tcW w:w="14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5980" w:type="dxa"/>
            <w:vAlign w:val="bottom"/>
          </w:tcPr>
          <w:p>
            <w:pPr>
              <w:spacing w:after="0"/>
              <w:rPr>
                <w:sz w:val="17"/>
                <w:szCs w:val="17"/>
                <w:color w:val="auto"/>
              </w:rPr>
            </w:pPr>
          </w:p>
        </w:tc>
        <w:tc>
          <w:tcPr>
            <w:tcW w:w="13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Translation</w:t>
            </w: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liability</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valuation</w:t>
            </w:r>
          </w:p>
        </w:tc>
        <w:tc>
          <w:tcPr>
            <w:tcW w:w="14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5"/>
        </w:trPr>
        <w:tc>
          <w:tcPr>
            <w:tcW w:w="59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adjustments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adjustment</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Income</w:t>
            </w:r>
          </w:p>
        </w:tc>
      </w:tr>
      <w:tr>
        <w:trPr>
          <w:trHeight w:val="196"/>
        </w:trPr>
        <w:tc>
          <w:tcPr>
            <w:tcW w:w="59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2015</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($108,655)</w:t>
            </w:r>
          </w:p>
        </w:tc>
        <w:tc>
          <w:tcPr>
            <w:tcW w:w="146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($48,725)</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($1,464)</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($158,844)</w:t>
            </w:r>
          </w:p>
        </w:tc>
        <w:tc>
          <w:tcPr>
            <w:tcW w:w="20" w:type="dxa"/>
            <w:vAlign w:val="bottom"/>
          </w:tcPr>
          <w:p>
            <w:pPr>
              <w:spacing w:after="0"/>
              <w:rPr>
                <w:sz w:val="17"/>
                <w:szCs w:val="17"/>
                <w:color w:val="auto"/>
              </w:rPr>
            </w:pPr>
          </w:p>
        </w:tc>
      </w:tr>
      <w:tr>
        <w:trPr>
          <w:trHeight w:val="195"/>
        </w:trPr>
        <w:tc>
          <w:tcPr>
            <w:tcW w:w="598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 reclassifications</w:t>
            </w:r>
          </w:p>
        </w:tc>
        <w:tc>
          <w:tcPr>
            <w:tcW w:w="1320" w:type="dxa"/>
            <w:vAlign w:val="bottom"/>
          </w:tcPr>
          <w:p>
            <w:pPr>
              <w:jc w:val="right"/>
              <w:ind w:right="50"/>
              <w:spacing w:after="0" w:line="195" w:lineRule="exact"/>
              <w:rPr>
                <w:sz w:val="20"/>
                <w:szCs w:val="20"/>
                <w:color w:val="auto"/>
              </w:rPr>
            </w:pPr>
            <w:r>
              <w:rPr>
                <w:rFonts w:ascii="Arial" w:cs="Arial" w:eastAsia="Arial" w:hAnsi="Arial"/>
                <w:sz w:val="18"/>
                <w:szCs w:val="18"/>
                <w:color w:val="auto"/>
              </w:rPr>
              <w:t>2,216</w:t>
            </w:r>
          </w:p>
        </w:tc>
        <w:tc>
          <w:tcPr>
            <w:tcW w:w="14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330</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(4,300)</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(1,754)</w:t>
            </w:r>
          </w:p>
        </w:tc>
        <w:tc>
          <w:tcPr>
            <w:tcW w:w="20" w:type="dxa"/>
            <w:vAlign w:val="bottom"/>
          </w:tcPr>
          <w:p>
            <w:pPr>
              <w:spacing w:after="0"/>
              <w:rPr>
                <w:sz w:val="16"/>
                <w:szCs w:val="16"/>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 Statement of</w:t>
            </w: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Income, net of tax</w:t>
            </w:r>
          </w:p>
        </w:tc>
        <w:tc>
          <w:tcPr>
            <w:tcW w:w="1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1,045</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1,045</w:t>
            </w:r>
          </w:p>
        </w:tc>
        <w:tc>
          <w:tcPr>
            <w:tcW w:w="20" w:type="dxa"/>
            <w:vAlign w:val="bottom"/>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 Statement</w:t>
            </w: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of Income, net of tax</w:t>
            </w:r>
          </w:p>
        </w:tc>
        <w:tc>
          <w:tcPr>
            <w:tcW w:w="13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372</w:t>
            </w:r>
          </w:p>
        </w:tc>
        <w:tc>
          <w:tcPr>
            <w:tcW w:w="1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372</w:t>
            </w:r>
          </w:p>
        </w:tc>
        <w:tc>
          <w:tcPr>
            <w:tcW w:w="20" w:type="dxa"/>
            <w:vAlign w:val="bottom"/>
          </w:tcPr>
          <w:p>
            <w:pPr>
              <w:spacing w:after="0"/>
              <w:rPr>
                <w:sz w:val="17"/>
                <w:szCs w:val="17"/>
                <w:color w:val="auto"/>
              </w:rPr>
            </w:pPr>
          </w:p>
        </w:tc>
      </w:tr>
      <w:tr>
        <w:trPr>
          <w:trHeight w:val="196"/>
        </w:trPr>
        <w:tc>
          <w:tcPr>
            <w:tcW w:w="5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income/(loss)</w:t>
            </w:r>
          </w:p>
        </w:tc>
        <w:tc>
          <w:tcPr>
            <w:tcW w:w="1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2,216</w:t>
            </w:r>
          </w:p>
        </w:tc>
        <w:tc>
          <w:tcPr>
            <w:tcW w:w="14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702</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(3,255)</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(337)</w:t>
            </w:r>
          </w:p>
        </w:tc>
        <w:tc>
          <w:tcPr>
            <w:tcW w:w="20" w:type="dxa"/>
            <w:vAlign w:val="bottom"/>
          </w:tcPr>
          <w:p>
            <w:pPr>
              <w:spacing w:after="0"/>
              <w:rPr>
                <w:sz w:val="17"/>
                <w:szCs w:val="17"/>
                <w:color w:val="auto"/>
              </w:rPr>
            </w:pPr>
          </w:p>
        </w:tc>
      </w:tr>
      <w:tr>
        <w:trPr>
          <w:trHeight w:val="196"/>
        </w:trPr>
        <w:tc>
          <w:tcPr>
            <w:tcW w:w="5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September 30, 2016</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($106,439)</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($48,023)</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($4,719)</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($159,181)</w:t>
            </w:r>
          </w:p>
        </w:tc>
        <w:tc>
          <w:tcPr>
            <w:tcW w:w="20" w:type="dxa"/>
            <w:vAlign w:val="bottom"/>
          </w:tcPr>
          <w:p>
            <w:pPr>
              <w:spacing w:after="0"/>
              <w:rPr>
                <w:sz w:val="17"/>
                <w:szCs w:val="17"/>
                <w:color w:val="auto"/>
              </w:rPr>
            </w:pPr>
          </w:p>
        </w:tc>
      </w:tr>
      <w:tr>
        <w:trPr>
          <w:trHeight w:val="426"/>
        </w:trPr>
        <w:tc>
          <w:tcPr>
            <w:tcW w:w="5980" w:type="dxa"/>
            <w:vAlign w:val="bottom"/>
          </w:tcPr>
          <w:p>
            <w:pPr>
              <w:ind w:left="5640"/>
              <w:spacing w:after="0"/>
              <w:rPr>
                <w:sz w:val="20"/>
                <w:szCs w:val="20"/>
                <w:color w:val="auto"/>
              </w:rPr>
            </w:pPr>
            <w:r>
              <w:rPr>
                <w:rFonts w:ascii="Arial" w:cs="Arial" w:eastAsia="Arial" w:hAnsi="Arial"/>
                <w:sz w:val="18"/>
                <w:szCs w:val="18"/>
                <w:color w:val="auto"/>
              </w:rPr>
              <w:t>16</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59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bl>
    <w:p>
      <w:pPr>
        <w:sectPr>
          <w:pgSz w:w="11900" w:h="16838" w:orient="portrait"/>
          <w:cols w:equalWidth="0" w:num="1">
            <w:col w:w="11440"/>
          </w:cols>
          <w:pgMar w:left="240" w:top="643" w:right="21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2014 to September 30,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Pension and</w:t>
            </w:r>
          </w:p>
        </w:tc>
        <w:tc>
          <w:tcPr>
            <w:tcW w:w="1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Derivative</w:t>
            </w:r>
          </w:p>
        </w:tc>
        <w:tc>
          <w:tcPr>
            <w:tcW w:w="14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5980" w:type="dxa"/>
            <w:vAlign w:val="bottom"/>
          </w:tcPr>
          <w:p>
            <w:pPr>
              <w:spacing w:after="0"/>
              <w:rPr>
                <w:sz w:val="17"/>
                <w:szCs w:val="17"/>
                <w:color w:val="auto"/>
              </w:rPr>
            </w:pPr>
          </w:p>
        </w:tc>
        <w:tc>
          <w:tcPr>
            <w:tcW w:w="13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Translation</w:t>
            </w: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liability</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valuation</w:t>
            </w:r>
          </w:p>
        </w:tc>
        <w:tc>
          <w:tcPr>
            <w:tcW w:w="14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5"/>
        </w:trPr>
        <w:tc>
          <w:tcPr>
            <w:tcW w:w="59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adjustments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adjustment</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Income</w:t>
            </w:r>
          </w:p>
        </w:tc>
      </w:tr>
      <w:tr>
        <w:trPr>
          <w:trHeight w:val="196"/>
        </w:trPr>
        <w:tc>
          <w:tcPr>
            <w:tcW w:w="59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2014</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($55,240)</w:t>
            </w:r>
          </w:p>
        </w:tc>
        <w:tc>
          <w:tcPr>
            <w:tcW w:w="146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($51,666)</w:t>
            </w: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($861)</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($107,767)</w:t>
            </w:r>
          </w:p>
        </w:tc>
        <w:tc>
          <w:tcPr>
            <w:tcW w:w="20" w:type="dxa"/>
            <w:vAlign w:val="bottom"/>
          </w:tcPr>
          <w:p>
            <w:pPr>
              <w:spacing w:after="0"/>
              <w:rPr>
                <w:sz w:val="17"/>
                <w:szCs w:val="17"/>
                <w:color w:val="auto"/>
              </w:rPr>
            </w:pPr>
          </w:p>
        </w:tc>
      </w:tr>
      <w:tr>
        <w:trPr>
          <w:trHeight w:val="195"/>
        </w:trPr>
        <w:tc>
          <w:tcPr>
            <w:tcW w:w="598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 reclassifications</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(44,316)</w:t>
            </w:r>
          </w:p>
        </w:tc>
        <w:tc>
          <w:tcPr>
            <w:tcW w:w="14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1,735</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(2,374)</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(44,955)</w:t>
            </w:r>
          </w:p>
        </w:tc>
        <w:tc>
          <w:tcPr>
            <w:tcW w:w="20" w:type="dxa"/>
            <w:vAlign w:val="bottom"/>
          </w:tcPr>
          <w:p>
            <w:pPr>
              <w:spacing w:after="0"/>
              <w:rPr>
                <w:sz w:val="16"/>
                <w:szCs w:val="16"/>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 Statement of</w:t>
            </w: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Income, net of tax</w:t>
            </w:r>
          </w:p>
        </w:tc>
        <w:tc>
          <w:tcPr>
            <w:tcW w:w="1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939</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939</w:t>
            </w:r>
          </w:p>
        </w:tc>
        <w:tc>
          <w:tcPr>
            <w:tcW w:w="20" w:type="dxa"/>
            <w:vAlign w:val="bottom"/>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 Statement</w:t>
            </w: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of Income, net of tax</w:t>
            </w:r>
          </w:p>
        </w:tc>
        <w:tc>
          <w:tcPr>
            <w:tcW w:w="13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714</w:t>
            </w:r>
          </w:p>
        </w:tc>
        <w:tc>
          <w:tcPr>
            <w:tcW w:w="1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714</w:t>
            </w:r>
          </w:p>
        </w:tc>
        <w:tc>
          <w:tcPr>
            <w:tcW w:w="20" w:type="dxa"/>
            <w:vAlign w:val="bottom"/>
          </w:tcPr>
          <w:p>
            <w:pPr>
              <w:spacing w:after="0"/>
              <w:rPr>
                <w:sz w:val="17"/>
                <w:szCs w:val="17"/>
                <w:color w:val="auto"/>
              </w:rPr>
            </w:pPr>
          </w:p>
        </w:tc>
      </w:tr>
      <w:tr>
        <w:trPr>
          <w:trHeight w:val="196"/>
        </w:trPr>
        <w:tc>
          <w:tcPr>
            <w:tcW w:w="5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income/(loss)</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(44,316)</w:t>
            </w:r>
          </w:p>
        </w:tc>
        <w:tc>
          <w:tcPr>
            <w:tcW w:w="14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2,449</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(1,435)</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(43,302)</w:t>
            </w:r>
          </w:p>
        </w:tc>
        <w:tc>
          <w:tcPr>
            <w:tcW w:w="20" w:type="dxa"/>
            <w:vAlign w:val="bottom"/>
          </w:tcPr>
          <w:p>
            <w:pPr>
              <w:spacing w:after="0"/>
              <w:rPr>
                <w:sz w:val="17"/>
                <w:szCs w:val="17"/>
                <w:color w:val="auto"/>
              </w:rPr>
            </w:pPr>
          </w:p>
        </w:tc>
      </w:tr>
      <w:tr>
        <w:trPr>
          <w:trHeight w:val="196"/>
        </w:trPr>
        <w:tc>
          <w:tcPr>
            <w:tcW w:w="5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September 30, 2015</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($99,556)</w:t>
            </w:r>
          </w:p>
        </w:tc>
        <w:tc>
          <w:tcPr>
            <w:tcW w:w="14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($49,217)</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($2,296)</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($151,069)</w:t>
            </w:r>
          </w:p>
        </w:tc>
        <w:tc>
          <w:tcPr>
            <w:tcW w:w="20" w:type="dxa"/>
            <w:vAlign w:val="bottom"/>
          </w:tcPr>
          <w:p>
            <w:pPr>
              <w:spacing w:after="0"/>
              <w:rPr>
                <w:sz w:val="17"/>
                <w:szCs w:val="17"/>
                <w:color w:val="auto"/>
              </w:rPr>
            </w:pPr>
          </w:p>
        </w:tc>
      </w:tr>
    </w:tbl>
    <w:p>
      <w:pPr>
        <w:spacing w:after="0" w:line="188"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Consolidated Statements of Income that were affected for the periods ended September 30, 2016 and 2015.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04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gridSpan w:val="2"/>
          </w:tcPr>
          <w:p>
            <w:pPr>
              <w:ind w:left="460"/>
              <w:spacing w:after="0" w:line="194" w:lineRule="exact"/>
              <w:rPr>
                <w:sz w:val="20"/>
                <w:szCs w:val="20"/>
                <w:color w:val="auto"/>
              </w:rPr>
            </w:pPr>
            <w:r>
              <w:rPr>
                <w:rFonts w:ascii="Arial" w:cs="Arial" w:eastAsia="Arial" w:hAnsi="Arial"/>
                <w:sz w:val="18"/>
                <w:szCs w:val="18"/>
                <w:b w:val="1"/>
                <w:bCs w:val="1"/>
                <w:color w:val="auto"/>
              </w:rPr>
              <w:t>Three months ended</w:t>
            </w:r>
          </w:p>
        </w:tc>
        <w:tc>
          <w:tcPr>
            <w:tcW w:w="2460" w:type="dxa"/>
            <w:vAlign w:val="bottom"/>
            <w:tcBorders>
              <w:top w:val="single" w:sz="8" w:color="auto"/>
            </w:tcBorders>
            <w:gridSpan w:val="2"/>
          </w:tcPr>
          <w:p>
            <w:pPr>
              <w:jc w:val="right"/>
              <w:ind w:right="370"/>
              <w:spacing w:after="0" w:line="194"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900" w:type="dxa"/>
            <w:vAlign w:val="bottom"/>
            <w:gridSpan w:val="2"/>
          </w:tcPr>
          <w:p>
            <w:pPr>
              <w:jc w:val="right"/>
              <w:ind w:right="850"/>
              <w:spacing w:after="0" w:line="202" w:lineRule="exact"/>
              <w:rPr>
                <w:sz w:val="20"/>
                <w:szCs w:val="20"/>
                <w:color w:val="auto"/>
              </w:rPr>
            </w:pPr>
            <w:r>
              <w:rPr>
                <w:rFonts w:ascii="Arial" w:cs="Arial" w:eastAsia="Arial" w:hAnsi="Arial"/>
                <w:sz w:val="18"/>
                <w:szCs w:val="18"/>
                <w:b w:val="1"/>
                <w:bCs w:val="1"/>
                <w:color w:val="auto"/>
              </w:rPr>
              <w:t>September 30,</w:t>
            </w:r>
          </w:p>
        </w:tc>
        <w:tc>
          <w:tcPr>
            <w:tcW w:w="2460" w:type="dxa"/>
            <w:vAlign w:val="bottom"/>
            <w:gridSpan w:val="2"/>
          </w:tcPr>
          <w:p>
            <w:pPr>
              <w:jc w:val="right"/>
              <w:ind w:right="59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2016</w:t>
            </w: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73"/>
        </w:trPr>
        <w:tc>
          <w:tcPr>
            <w:tcW w:w="606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Pretax Derivative valuation reclassified from Accumulated Other</w:t>
            </w:r>
          </w:p>
        </w:tc>
        <w:tc>
          <w:tcPr>
            <w:tcW w:w="1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1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340"/>
              <w:spacing w:after="0" w:line="202" w:lineRule="exact"/>
              <w:rPr>
                <w:sz w:val="20"/>
                <w:szCs w:val="20"/>
                <w:color w:val="auto"/>
              </w:rPr>
            </w:pPr>
            <w:r>
              <w:rPr>
                <w:rFonts w:ascii="Arial" w:cs="Arial" w:eastAsia="Arial" w:hAnsi="Arial"/>
                <w:sz w:val="18"/>
                <w:szCs w:val="18"/>
                <w:color w:val="auto"/>
              </w:rPr>
              <w:t>Payments made on interest rate swaps included in Income</w:t>
            </w: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$1,100</w:t>
            </w:r>
          </w:p>
        </w:tc>
        <w:tc>
          <w:tcPr>
            <w:tcW w:w="1380" w:type="dxa"/>
            <w:vAlign w:val="bottom"/>
          </w:tcPr>
          <w:p>
            <w:pPr>
              <w:spacing w:after="0"/>
              <w:rPr>
                <w:sz w:val="17"/>
                <w:szCs w:val="17"/>
                <w:color w:val="auto"/>
              </w:rPr>
            </w:pPr>
          </w:p>
        </w:tc>
        <w:tc>
          <w:tcPr>
            <w:tcW w:w="13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$1,686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60" w:type="dxa"/>
            <w:vAlign w:val="bottom"/>
            <w:gridSpan w:val="2"/>
          </w:tcPr>
          <w:p>
            <w:pPr>
              <w:spacing w:after="0" w:line="181" w:lineRule="exact"/>
              <w:rPr>
                <w:sz w:val="20"/>
                <w:szCs w:val="20"/>
                <w:color w:val="auto"/>
              </w:rPr>
            </w:pPr>
            <w:r>
              <w:rPr>
                <w:rFonts w:ascii="Arial" w:cs="Arial" w:eastAsia="Arial" w:hAnsi="Arial"/>
                <w:sz w:val="18"/>
                <w:szCs w:val="18"/>
                <w:color w:val="auto"/>
              </w:rPr>
              <w:t>before taxes(a)</w:t>
            </w:r>
          </w:p>
        </w:tc>
        <w:tc>
          <w:tcPr>
            <w:tcW w:w="1520" w:type="dxa"/>
            <w:vAlign w:val="bottom"/>
            <w:vMerge w:val="continue"/>
          </w:tcPr>
          <w:p>
            <w:pPr>
              <w:spacing w:after="0"/>
              <w:rPr>
                <w:sz w:val="15"/>
                <w:szCs w:val="15"/>
                <w:color w:val="auto"/>
              </w:rPr>
            </w:pPr>
          </w:p>
        </w:tc>
        <w:tc>
          <w:tcPr>
            <w:tcW w:w="1380" w:type="dxa"/>
            <w:vAlign w:val="bottom"/>
          </w:tcPr>
          <w:p>
            <w:pPr>
              <w:jc w:val="right"/>
              <w:ind w:right="250"/>
              <w:spacing w:after="0" w:line="181" w:lineRule="exact"/>
              <w:rPr>
                <w:sz w:val="20"/>
                <w:szCs w:val="20"/>
                <w:color w:val="auto"/>
              </w:rPr>
            </w:pPr>
            <w:r>
              <w:rPr>
                <w:rFonts w:ascii="Arial" w:cs="Arial" w:eastAsia="Arial" w:hAnsi="Arial"/>
                <w:sz w:val="18"/>
                <w:szCs w:val="18"/>
                <w:color w:val="auto"/>
              </w:rPr>
              <w:t>$587</w:t>
            </w:r>
          </w:p>
        </w:tc>
        <w:tc>
          <w:tcPr>
            <w:tcW w:w="1340" w:type="dxa"/>
            <w:vAlign w:val="bottom"/>
            <w:vMerge w:val="continue"/>
          </w:tcPr>
          <w:p>
            <w:pPr>
              <w:spacing w:after="0"/>
              <w:rPr>
                <w:sz w:val="15"/>
                <w:szCs w:val="15"/>
                <w:color w:val="auto"/>
              </w:rPr>
            </w:pPr>
          </w:p>
        </w:tc>
        <w:tc>
          <w:tcPr>
            <w:tcW w:w="11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Income tax effect</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(418)</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(229)</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(641)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$682</w:t>
            </w:r>
          </w:p>
        </w:tc>
        <w:tc>
          <w:tcPr>
            <w:tcW w:w="1380" w:type="dxa"/>
            <w:vAlign w:val="bottom"/>
          </w:tcPr>
          <w:p>
            <w:pPr>
              <w:spacing w:after="0"/>
              <w:rPr>
                <w:sz w:val="16"/>
                <w:szCs w:val="16"/>
                <w:color w:val="auto"/>
              </w:rPr>
            </w:pPr>
          </w:p>
        </w:tc>
        <w:tc>
          <w:tcPr>
            <w:tcW w:w="13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$1,045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Comprehensive Income</w:t>
            </w:r>
          </w:p>
        </w:tc>
        <w:tc>
          <w:tcPr>
            <w:tcW w:w="152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$358</w:t>
            </w:r>
          </w:p>
        </w:tc>
        <w:tc>
          <w:tcPr>
            <w:tcW w:w="13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376"/>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5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($1,113)</w:t>
            </w:r>
          </w:p>
        </w:tc>
        <w:tc>
          <w:tcPr>
            <w:tcW w:w="1380" w:type="dxa"/>
            <w:vAlign w:val="bottom"/>
          </w:tcPr>
          <w:p>
            <w:pPr>
              <w:spacing w:after="0"/>
              <w:rPr>
                <w:sz w:val="19"/>
                <w:szCs w:val="19"/>
                <w:color w:val="auto"/>
              </w:rPr>
            </w:pPr>
          </w:p>
        </w:tc>
        <w:tc>
          <w:tcPr>
            <w:tcW w:w="13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($3,338)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40" w:type="dxa"/>
            <w:vAlign w:val="bottom"/>
          </w:tcPr>
          <w:p>
            <w:pPr>
              <w:ind w:left="340"/>
              <w:spacing w:after="0" w:line="181" w:lineRule="exact"/>
              <w:rPr>
                <w:sz w:val="20"/>
                <w:szCs w:val="20"/>
                <w:color w:val="auto"/>
              </w:rPr>
            </w:pPr>
            <w:r>
              <w:rPr>
                <w:rFonts w:ascii="Arial" w:cs="Arial" w:eastAsia="Arial" w:hAnsi="Arial"/>
                <w:sz w:val="18"/>
                <w:szCs w:val="18"/>
                <w:color w:val="auto"/>
              </w:rPr>
              <w:t>Amortization of prior service credit</w:t>
            </w:r>
          </w:p>
        </w:tc>
        <w:tc>
          <w:tcPr>
            <w:tcW w:w="1520" w:type="dxa"/>
            <w:vAlign w:val="bottom"/>
            <w:vMerge w:val="continue"/>
          </w:tcPr>
          <w:p>
            <w:pPr>
              <w:spacing w:after="0"/>
              <w:rPr>
                <w:sz w:val="15"/>
                <w:szCs w:val="15"/>
                <w:color w:val="auto"/>
              </w:rPr>
            </w:pPr>
          </w:p>
        </w:tc>
        <w:tc>
          <w:tcPr>
            <w:tcW w:w="138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($1,110)</w:t>
            </w:r>
          </w:p>
        </w:tc>
        <w:tc>
          <w:tcPr>
            <w:tcW w:w="1340" w:type="dxa"/>
            <w:vAlign w:val="bottom"/>
            <w:vMerge w:val="continue"/>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Amortization of net actuarial loss</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1,296</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1,462</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3,870</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Pr>
          <w:p>
            <w:pPr>
              <w:spacing w:after="0" w:line="173" w:lineRule="exact"/>
              <w:rPr>
                <w:sz w:val="20"/>
                <w:szCs w:val="20"/>
                <w:color w:val="auto"/>
              </w:rPr>
            </w:pPr>
            <w:r>
              <w:rPr>
                <w:rFonts w:ascii="Arial" w:cs="Arial" w:eastAsia="Arial" w:hAnsi="Arial"/>
                <w:sz w:val="18"/>
                <w:szCs w:val="18"/>
                <w:color w:val="auto"/>
              </w:rPr>
              <w:t>Total pretax amount reclassified (b)</w:t>
            </w:r>
          </w:p>
        </w:tc>
        <w:tc>
          <w:tcPr>
            <w:tcW w:w="152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183</w:t>
            </w:r>
          </w:p>
        </w:tc>
        <w:tc>
          <w:tcPr>
            <w:tcW w:w="138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352</w:t>
            </w:r>
          </w:p>
        </w:tc>
        <w:tc>
          <w:tcPr>
            <w:tcW w:w="134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532</w:t>
            </w:r>
          </w:p>
        </w:tc>
        <w:tc>
          <w:tcPr>
            <w:tcW w:w="11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(55)</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(123)</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(160)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195"/>
        </w:trPr>
        <w:tc>
          <w:tcPr>
            <w:tcW w:w="6060" w:type="dxa"/>
            <w:vAlign w:val="bottom"/>
            <w:gridSpan w:val="2"/>
          </w:tcPr>
          <w:p>
            <w:pPr>
              <w:spacing w:after="0" w:line="195"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$128</w:t>
            </w:r>
          </w:p>
        </w:tc>
        <w:tc>
          <w:tcPr>
            <w:tcW w:w="1380" w:type="dxa"/>
            <w:vAlign w:val="bottom"/>
          </w:tcPr>
          <w:p>
            <w:pPr>
              <w:spacing w:after="0"/>
              <w:rPr>
                <w:sz w:val="16"/>
                <w:szCs w:val="16"/>
                <w:color w:val="auto"/>
              </w:rPr>
            </w:pPr>
          </w:p>
        </w:tc>
        <w:tc>
          <w:tcPr>
            <w:tcW w:w="13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$372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Comprehensive Income</w:t>
            </w:r>
          </w:p>
        </w:tc>
        <w:tc>
          <w:tcPr>
            <w:tcW w:w="152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$229</w:t>
            </w:r>
          </w:p>
        </w:tc>
        <w:tc>
          <w:tcPr>
            <w:tcW w:w="13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Interest expense.</w:t>
      </w:r>
    </w:p>
    <w:p>
      <w:pPr>
        <w:spacing w:after="0" w:line="184" w:lineRule="exact"/>
        <w:rPr>
          <w:rFonts w:ascii="Arial" w:cs="Arial" w:eastAsia="Arial" w:hAnsi="Arial"/>
          <w:sz w:val="18"/>
          <w:szCs w:val="18"/>
          <w:color w:val="auto"/>
        </w:rPr>
      </w:pPr>
    </w:p>
    <w:p>
      <w:pPr>
        <w:ind w:left="980" w:right="220" w:hanging="324"/>
        <w:spacing w:after="0" w:line="24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accumulated other comprehensive income/(loss) components are included in the computation of net periodic pension cost (see Note 4).</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19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long-term contracts in the AEC segment. The Company maintains allowances for doubtful accounts for estimated losses resulting from the inability of its customers to make required payments. The Company determines allowances based on historical write-off experience, customer-specific facts and economic conditions. If the financial condition of the Company’s customers were to deteriorate, resulting in an impairment of their ability to make payments, additional allowances may be required.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2016 and December 31, 2015, Accounts receivable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40" w:type="dxa"/>
            <w:vAlign w:val="bottom"/>
            <w:tcBorders>
              <w:top w:val="single" w:sz="8" w:color="auto"/>
            </w:tcBorders>
          </w:tcPr>
          <w:p>
            <w:pPr>
              <w:spacing w:after="0"/>
              <w:rPr>
                <w:sz w:val="16"/>
                <w:szCs w:val="16"/>
                <w:color w:val="auto"/>
              </w:rPr>
            </w:pPr>
          </w:p>
        </w:tc>
        <w:tc>
          <w:tcPr>
            <w:tcW w:w="4180" w:type="dxa"/>
            <w:vAlign w:val="bottom"/>
            <w:tcBorders>
              <w:top w:val="single" w:sz="8" w:color="auto"/>
            </w:tcBorders>
          </w:tcPr>
          <w:p>
            <w:pPr>
              <w:jc w:val="right"/>
              <w:ind w:right="570"/>
              <w:spacing w:after="0" w:line="194" w:lineRule="exact"/>
              <w:rPr>
                <w:sz w:val="20"/>
                <w:szCs w:val="20"/>
                <w:color w:val="auto"/>
              </w:rPr>
            </w:pPr>
            <w:r>
              <w:rPr>
                <w:rFonts w:ascii="Arial" w:cs="Arial" w:eastAsia="Arial" w:hAnsi="Arial"/>
                <w:sz w:val="18"/>
                <w:szCs w:val="18"/>
                <w:b w:val="1"/>
                <w:bCs w:val="1"/>
                <w:color w:val="auto"/>
              </w:rPr>
              <w:t>September 30,</w:t>
            </w:r>
          </w:p>
        </w:tc>
        <w:tc>
          <w:tcPr>
            <w:tcW w:w="1900" w:type="dxa"/>
            <w:vAlign w:val="bottom"/>
            <w:tcBorders>
              <w:top w:val="single" w:sz="8" w:color="auto"/>
            </w:tcBorders>
          </w:tcPr>
          <w:p>
            <w:pPr>
              <w:jc w:val="right"/>
              <w:ind w:right="23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2016</w:t>
            </w:r>
          </w:p>
        </w:tc>
        <w:tc>
          <w:tcPr>
            <w:tcW w:w="19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195"/>
        </w:trPr>
        <w:tc>
          <w:tcPr>
            <w:tcW w:w="5340" w:type="dxa"/>
            <w:vAlign w:val="bottom"/>
          </w:tcPr>
          <w:p>
            <w:pPr>
              <w:spacing w:after="0" w:line="195" w:lineRule="exact"/>
              <w:rPr>
                <w:sz w:val="20"/>
                <w:szCs w:val="20"/>
                <w:color w:val="auto"/>
              </w:rPr>
            </w:pPr>
            <w:r>
              <w:rPr>
                <w:rFonts w:ascii="Arial" w:cs="Arial" w:eastAsia="Arial" w:hAnsi="Arial"/>
                <w:sz w:val="18"/>
                <w:szCs w:val="18"/>
                <w:color w:val="auto"/>
              </w:rPr>
              <w:t>Trade and other accounts receivable</w:t>
            </w:r>
          </w:p>
        </w:tc>
        <w:tc>
          <w:tcPr>
            <w:tcW w:w="418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$149,403</w:t>
            </w:r>
          </w:p>
        </w:tc>
        <w:tc>
          <w:tcPr>
            <w:tcW w:w="19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$123,179</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Bank promissory notes</w:t>
            </w:r>
          </w:p>
        </w:tc>
        <w:tc>
          <w:tcPr>
            <w:tcW w:w="41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17,293</w:t>
            </w:r>
          </w:p>
        </w:tc>
        <w:tc>
          <w:tcPr>
            <w:tcW w:w="1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15,845</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41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11,626</w:t>
            </w:r>
          </w:p>
        </w:tc>
        <w:tc>
          <w:tcPr>
            <w:tcW w:w="1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15,889</w:t>
            </w:r>
          </w:p>
        </w:tc>
      </w:tr>
      <w:tr>
        <w:trPr>
          <w:trHeight w:val="203"/>
        </w:trPr>
        <w:tc>
          <w:tcPr>
            <w:tcW w:w="53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Allowance for doubtful accounts</w:t>
            </w:r>
          </w:p>
        </w:tc>
        <w:tc>
          <w:tcPr>
            <w:tcW w:w="41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(7,583)</w:t>
            </w:r>
          </w:p>
        </w:tc>
        <w:tc>
          <w:tcPr>
            <w:tcW w:w="1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(8,530)</w:t>
            </w:r>
          </w:p>
        </w:tc>
      </w:tr>
      <w:tr>
        <w:trPr>
          <w:trHeight w:val="196"/>
        </w:trPr>
        <w:tc>
          <w:tcPr>
            <w:tcW w:w="5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accounts receivable</w:t>
            </w:r>
          </w:p>
        </w:tc>
        <w:tc>
          <w:tcPr>
            <w:tcW w:w="41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$170,739</w:t>
            </w:r>
          </w:p>
        </w:tc>
        <w:tc>
          <w:tcPr>
            <w:tcW w:w="1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$146,383</w:t>
            </w:r>
          </w:p>
        </w:tc>
      </w:tr>
    </w:tbl>
    <w:p>
      <w:pPr>
        <w:spacing w:after="0" w:line="175"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 connection with certain sales in Asia Pacific, the Company accepts a bank promissory note as customer payment. The notes may be presented for payment at maturity, which is less than one year.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Inventories</w:t>
      </w:r>
    </w:p>
    <w:p>
      <w:pPr>
        <w:spacing w:after="0" w:line="193"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Inventories are stated at the lower of cost or market, with cost determined using the first-in-first out method. The Company writes down the inventory for estimated obsolescence and to lower of cost or market value based upon assumptions about future demand and market conditions. If actual market conditions are less favorable than those projected by the Company, additional inventory write-downs may be required. Once established, the original cost of the inventory less the related inventory allowance represents the new cost basis of such inventories. The AEC segment has long-term contracts under which we incur engineering and development costs that are allocable to parts that will be delivered over multiple years. These costs are included in Work in process in the table below.</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2016 and December 31, 2015, inventories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60" w:type="dxa"/>
            <w:vAlign w:val="bottom"/>
            <w:tcBorders>
              <w:top w:val="single" w:sz="8" w:color="auto"/>
            </w:tcBorders>
          </w:tcPr>
          <w:p>
            <w:pPr>
              <w:spacing w:after="0"/>
              <w:rPr>
                <w:sz w:val="16"/>
                <w:szCs w:val="16"/>
                <w:color w:val="auto"/>
              </w:rPr>
            </w:pPr>
          </w:p>
        </w:tc>
        <w:tc>
          <w:tcPr>
            <w:tcW w:w="5020" w:type="dxa"/>
            <w:vAlign w:val="bottom"/>
            <w:tcBorders>
              <w:top w:val="single" w:sz="8" w:color="auto"/>
            </w:tcBorders>
          </w:tcPr>
          <w:p>
            <w:pPr>
              <w:jc w:val="right"/>
              <w:ind w:right="530"/>
              <w:spacing w:after="0" w:line="194" w:lineRule="exact"/>
              <w:rPr>
                <w:sz w:val="20"/>
                <w:szCs w:val="20"/>
                <w:color w:val="auto"/>
              </w:rPr>
            </w:pPr>
            <w:r>
              <w:rPr>
                <w:rFonts w:ascii="Arial" w:cs="Arial" w:eastAsia="Arial" w:hAnsi="Arial"/>
                <w:sz w:val="18"/>
                <w:szCs w:val="18"/>
                <w:b w:val="1"/>
                <w:bCs w:val="1"/>
                <w:color w:val="auto"/>
              </w:rPr>
              <w:t>September 30,</w:t>
            </w:r>
          </w:p>
        </w:tc>
        <w:tc>
          <w:tcPr>
            <w:tcW w:w="1940" w:type="dxa"/>
            <w:vAlign w:val="bottom"/>
            <w:tcBorders>
              <w:top w:val="single" w:sz="8" w:color="auto"/>
            </w:tcBorders>
          </w:tcPr>
          <w:p>
            <w:pPr>
              <w:jc w:val="right"/>
              <w:ind w:right="25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0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2016</w:t>
            </w:r>
          </w:p>
        </w:tc>
        <w:tc>
          <w:tcPr>
            <w:tcW w:w="1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r>
      <w:tr>
        <w:trPr>
          <w:trHeight w:val="173"/>
        </w:trPr>
        <w:tc>
          <w:tcPr>
            <w:tcW w:w="4460" w:type="dxa"/>
            <w:vAlign w:val="bottom"/>
          </w:tcPr>
          <w:p>
            <w:pPr>
              <w:spacing w:after="0" w:line="173" w:lineRule="exact"/>
              <w:rPr>
                <w:sz w:val="20"/>
                <w:szCs w:val="20"/>
                <w:color w:val="auto"/>
              </w:rPr>
            </w:pPr>
            <w:r>
              <w:rPr>
                <w:rFonts w:ascii="Arial" w:cs="Arial" w:eastAsia="Arial" w:hAnsi="Arial"/>
                <w:sz w:val="18"/>
                <w:szCs w:val="18"/>
                <w:color w:val="auto"/>
              </w:rPr>
              <w:t>Raw materials</w:t>
            </w:r>
          </w:p>
        </w:tc>
        <w:tc>
          <w:tcPr>
            <w:tcW w:w="502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$37,278</w:t>
            </w:r>
          </w:p>
        </w:tc>
        <w:tc>
          <w:tcPr>
            <w:tcW w:w="19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$27,636</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50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59,351</w:t>
            </w:r>
          </w:p>
        </w:tc>
        <w:tc>
          <w:tcPr>
            <w:tcW w:w="1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41,823</w:t>
            </w:r>
          </w:p>
        </w:tc>
      </w:tr>
      <w:tr>
        <w:trPr>
          <w:trHeight w:val="2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Finished goods</w:t>
            </w:r>
          </w:p>
        </w:tc>
        <w:tc>
          <w:tcPr>
            <w:tcW w:w="5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42,059</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36,947</w:t>
            </w:r>
          </w:p>
        </w:tc>
      </w:tr>
      <w:tr>
        <w:trPr>
          <w:trHeight w:val="196"/>
        </w:trPr>
        <w:tc>
          <w:tcPr>
            <w:tcW w:w="4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inventories</w:t>
            </w:r>
          </w:p>
        </w:tc>
        <w:tc>
          <w:tcPr>
            <w:tcW w:w="50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$138,688</w:t>
            </w:r>
          </w:p>
        </w:tc>
        <w:tc>
          <w:tcPr>
            <w:tcW w:w="1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$106,406</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Goodwill and Other Intangible Assets</w:t>
      </w:r>
    </w:p>
    <w:p>
      <w:pPr>
        <w:spacing w:after="0" w:line="193"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8" w:name="page19"/>
    <w:bookmarkEnd w:id="18"/>
    <w:p>
      <w:pPr>
        <w:ind w:right="40" w:firstLine="64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61"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76" w:lineRule="exact"/>
        <w:rPr>
          <w:sz w:val="20"/>
          <w:szCs w:val="20"/>
          <w:color w:val="auto"/>
        </w:rPr>
      </w:pPr>
    </w:p>
    <w:p>
      <w:pPr>
        <w:ind w:right="480" w:firstLine="648"/>
        <w:spacing w:after="0" w:line="239" w:lineRule="auto"/>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Management is in the process of determining the fair value of assets and liabilities acquired. Based on procedures performed through September 30, 2016, we acquired amortizable intangible assets of $59.4 million and goodwill of $67.0 million. The amounts are subject to change as management completes its review of assets and liabilities acquired.</w:t>
      </w:r>
    </w:p>
    <w:p>
      <w:pPr>
        <w:spacing w:after="0" w:line="161"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Prior to the acquisition, the entire balance of goodwill on our books was attributable to the Machine Clothing business. In the second quarter of 2016, the Company applied the qualitative assessment approach in performing its annual evaluation of Machine Clothing goodwill and concluded that no impairment provision was required. There were no amounts at risk due to the large spread between the fair and carrying values.</w:t>
      </w:r>
    </w:p>
    <w:p>
      <w:pPr>
        <w:spacing w:after="0" w:line="161"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We are continuing to amortize certain patents, trade names and technology assets that have finite lives. The changes in intangible assets and goodwill from December 31, 2015 to September 30, 2016,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12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Assets</w:t>
            </w:r>
          </w:p>
        </w:tc>
        <w:tc>
          <w:tcPr>
            <w:tcW w:w="1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September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3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December</w:t>
            </w:r>
          </w:p>
        </w:tc>
        <w:tc>
          <w:tcPr>
            <w:tcW w:w="1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acquired</w:t>
            </w:r>
          </w:p>
        </w:tc>
        <w:tc>
          <w:tcPr>
            <w:tcW w:w="1280" w:type="dxa"/>
            <w:vAlign w:val="bottom"/>
          </w:tcPr>
          <w:p>
            <w:pPr>
              <w:spacing w:after="0"/>
              <w:rPr>
                <w:sz w:val="17"/>
                <w:szCs w:val="17"/>
                <w:color w:val="auto"/>
              </w:rPr>
            </w:pPr>
          </w:p>
        </w:tc>
        <w:tc>
          <w:tcPr>
            <w:tcW w:w="12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Currency</w:t>
            </w:r>
          </w:p>
        </w:tc>
        <w:tc>
          <w:tcPr>
            <w:tcW w:w="1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31, 2015</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April 8, 2016</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Amortization</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Translation</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2016</w:t>
            </w:r>
          </w:p>
        </w:tc>
        <w:tc>
          <w:tcPr>
            <w:tcW w:w="0" w:type="dxa"/>
            <w:vAlign w:val="bottom"/>
          </w:tcPr>
          <w:p>
            <w:pPr>
              <w:spacing w:after="0"/>
              <w:rPr>
                <w:sz w:val="1"/>
                <w:szCs w:val="1"/>
                <w:color w:val="auto"/>
              </w:rPr>
            </w:pPr>
          </w:p>
        </w:tc>
      </w:tr>
      <w:tr>
        <w:trPr>
          <w:trHeight w:val="398"/>
        </w:trPr>
        <w:tc>
          <w:tcPr>
            <w:tcW w:w="414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20" w:type="dxa"/>
            <w:vAlign w:val="bottom"/>
          </w:tcPr>
          <w:p>
            <w:pPr>
              <w:ind w:left="340"/>
              <w:spacing w:after="0" w:line="181" w:lineRule="exact"/>
              <w:rPr>
                <w:sz w:val="20"/>
                <w:szCs w:val="20"/>
                <w:color w:val="auto"/>
              </w:rPr>
            </w:pPr>
            <w:r>
              <w:rPr>
                <w:rFonts w:ascii="Arial" w:cs="Arial" w:eastAsia="Arial" w:hAnsi="Arial"/>
                <w:sz w:val="18"/>
                <w:szCs w:val="18"/>
                <w:color w:val="auto"/>
              </w:rPr>
              <w:t>AEC trade names</w:t>
            </w:r>
          </w:p>
        </w:tc>
        <w:tc>
          <w:tcPr>
            <w:tcW w:w="2320" w:type="dxa"/>
            <w:vAlign w:val="bottom"/>
          </w:tcPr>
          <w:p>
            <w:pPr>
              <w:jc w:val="right"/>
              <w:ind w:right="50"/>
              <w:spacing w:after="0" w:line="181" w:lineRule="exact"/>
              <w:rPr>
                <w:sz w:val="20"/>
                <w:szCs w:val="20"/>
                <w:color w:val="auto"/>
              </w:rPr>
            </w:pPr>
            <w:r>
              <w:rPr>
                <w:rFonts w:ascii="Arial" w:cs="Arial" w:eastAsia="Arial" w:hAnsi="Arial"/>
                <w:sz w:val="18"/>
                <w:szCs w:val="18"/>
                <w:color w:val="auto"/>
              </w:rPr>
              <w:t>$25</w:t>
            </w:r>
          </w:p>
        </w:tc>
        <w:tc>
          <w:tcPr>
            <w:tcW w:w="1280" w:type="dxa"/>
            <w:vAlign w:val="bottom"/>
          </w:tcPr>
          <w:p>
            <w:pPr>
              <w:jc w:val="right"/>
              <w:ind w:right="70"/>
              <w:spacing w:after="0" w:line="181"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line="181" w:lineRule="exact"/>
              <w:rPr>
                <w:sz w:val="20"/>
                <w:szCs w:val="20"/>
                <w:color w:val="auto"/>
              </w:rPr>
            </w:pPr>
            <w:r>
              <w:rPr>
                <w:rFonts w:ascii="Arial" w:cs="Arial" w:eastAsia="Arial" w:hAnsi="Arial"/>
                <w:sz w:val="18"/>
                <w:szCs w:val="18"/>
                <w:color w:val="auto"/>
              </w:rPr>
              <w:t>$(4)</w:t>
            </w:r>
          </w:p>
        </w:tc>
        <w:tc>
          <w:tcPr>
            <w:tcW w:w="1220" w:type="dxa"/>
            <w:vAlign w:val="bottom"/>
          </w:tcPr>
          <w:p>
            <w:pPr>
              <w:jc w:val="right"/>
              <w:ind w:right="90"/>
              <w:spacing w:after="0" w:line="181" w:lineRule="exact"/>
              <w:rPr>
                <w:sz w:val="20"/>
                <w:szCs w:val="20"/>
                <w:color w:val="auto"/>
              </w:rPr>
            </w:pPr>
            <w:r>
              <w:rPr>
                <w:rFonts w:ascii="Arial" w:cs="Arial" w:eastAsia="Arial" w:hAnsi="Arial"/>
                <w:sz w:val="18"/>
                <w:szCs w:val="18"/>
                <w:color w:val="auto"/>
              </w:rPr>
              <w:t>$-</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340"/>
              <w:spacing w:after="0" w:line="202" w:lineRule="exact"/>
              <w:rPr>
                <w:sz w:val="20"/>
                <w:szCs w:val="20"/>
                <w:color w:val="auto"/>
              </w:rPr>
            </w:pPr>
            <w:r>
              <w:rPr>
                <w:rFonts w:ascii="Arial" w:cs="Arial" w:eastAsia="Arial" w:hAnsi="Arial"/>
                <w:sz w:val="18"/>
                <w:szCs w:val="18"/>
                <w:color w:val="auto"/>
              </w:rPr>
              <w:t>AEC technology</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129</w:t>
            </w:r>
          </w:p>
        </w:tc>
        <w:tc>
          <w:tcPr>
            <w:tcW w:w="12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(19)</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340"/>
              <w:spacing w:after="0" w:line="202" w:lineRule="exact"/>
              <w:rPr>
                <w:sz w:val="20"/>
                <w:szCs w:val="20"/>
                <w:color w:val="auto"/>
              </w:rPr>
            </w:pPr>
            <w:r>
              <w:rPr>
                <w:rFonts w:ascii="Arial" w:cs="Arial" w:eastAsia="Arial" w:hAnsi="Arial"/>
                <w:sz w:val="18"/>
                <w:szCs w:val="18"/>
                <w:color w:val="auto"/>
              </w:rPr>
              <w:t>Customer relationships</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40,740</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(1,354)</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39,386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340"/>
              <w:spacing w:after="0" w:line="202" w:lineRule="exact"/>
              <w:rPr>
                <w:sz w:val="20"/>
                <w:szCs w:val="20"/>
                <w:color w:val="auto"/>
              </w:rPr>
            </w:pPr>
            <w:r>
              <w:rPr>
                <w:rFonts w:ascii="Arial" w:cs="Arial" w:eastAsia="Arial" w:hAnsi="Arial"/>
                <w:sz w:val="18"/>
                <w:szCs w:val="18"/>
                <w:color w:val="auto"/>
              </w:rPr>
              <w:t>Customer contracts</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16,900</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(62)</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16,838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intangibles</w:t>
            </w:r>
          </w:p>
        </w:tc>
        <w:tc>
          <w:tcPr>
            <w:tcW w:w="2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1,720</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(1,031)</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2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$154</w:t>
            </w:r>
          </w:p>
        </w:tc>
        <w:tc>
          <w:tcPr>
            <w:tcW w:w="1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$59,360</w:t>
            </w:r>
          </w:p>
        </w:tc>
        <w:tc>
          <w:tcPr>
            <w:tcW w:w="1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($2,470)</w:t>
            </w:r>
          </w:p>
        </w:tc>
        <w:tc>
          <w:tcPr>
            <w:tcW w:w="12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$57,044</w:t>
            </w:r>
          </w:p>
        </w:tc>
        <w:tc>
          <w:tcPr>
            <w:tcW w:w="0" w:type="dxa"/>
            <w:vAlign w:val="bottom"/>
          </w:tcPr>
          <w:p>
            <w:pPr>
              <w:spacing w:after="0"/>
              <w:rPr>
                <w:sz w:val="1"/>
                <w:szCs w:val="1"/>
                <w:color w:val="auto"/>
              </w:rPr>
            </w:pPr>
          </w:p>
        </w:tc>
      </w:tr>
      <w:tr>
        <w:trPr>
          <w:trHeight w:val="398"/>
        </w:trPr>
        <w:tc>
          <w:tcPr>
            <w:tcW w:w="414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$67,690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20" w:type="dxa"/>
            <w:vAlign w:val="bottom"/>
          </w:tcPr>
          <w:p>
            <w:pPr>
              <w:ind w:left="340"/>
              <w:spacing w:after="0" w:line="181" w:lineRule="exact"/>
              <w:rPr>
                <w:sz w:val="20"/>
                <w:szCs w:val="20"/>
                <w:color w:val="auto"/>
              </w:rPr>
            </w:pPr>
            <w:r>
              <w:rPr>
                <w:rFonts w:ascii="Arial" w:cs="Arial" w:eastAsia="Arial" w:hAnsi="Arial"/>
                <w:sz w:val="18"/>
                <w:szCs w:val="18"/>
                <w:color w:val="auto"/>
              </w:rPr>
              <w:t>MC Goodwill</w:t>
            </w:r>
          </w:p>
        </w:tc>
        <w:tc>
          <w:tcPr>
            <w:tcW w:w="2320" w:type="dxa"/>
            <w:vAlign w:val="bottom"/>
          </w:tcPr>
          <w:p>
            <w:pPr>
              <w:jc w:val="right"/>
              <w:ind w:right="50"/>
              <w:spacing w:after="0" w:line="181" w:lineRule="exact"/>
              <w:rPr>
                <w:sz w:val="20"/>
                <w:szCs w:val="20"/>
                <w:color w:val="auto"/>
              </w:rPr>
            </w:pPr>
            <w:r>
              <w:rPr>
                <w:rFonts w:ascii="Arial" w:cs="Arial" w:eastAsia="Arial" w:hAnsi="Arial"/>
                <w:sz w:val="18"/>
                <w:szCs w:val="18"/>
                <w:color w:val="auto"/>
              </w:rPr>
              <w:t>$66,373</w:t>
            </w:r>
          </w:p>
        </w:tc>
        <w:tc>
          <w:tcPr>
            <w:tcW w:w="1280" w:type="dxa"/>
            <w:vAlign w:val="bottom"/>
          </w:tcPr>
          <w:p>
            <w:pPr>
              <w:jc w:val="right"/>
              <w:ind w:right="70"/>
              <w:spacing w:after="0" w:line="181"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line="181"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line="181" w:lineRule="exact"/>
              <w:rPr>
                <w:sz w:val="20"/>
                <w:szCs w:val="20"/>
                <w:color w:val="auto"/>
              </w:rPr>
            </w:pPr>
            <w:r>
              <w:rPr>
                <w:rFonts w:ascii="Arial" w:cs="Arial" w:eastAsia="Arial" w:hAnsi="Arial"/>
                <w:sz w:val="18"/>
                <w:szCs w:val="18"/>
                <w:color w:val="auto"/>
              </w:rPr>
              <w:t>$1,317</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AEC Goodwill</w:t>
            </w:r>
          </w:p>
        </w:tc>
        <w:tc>
          <w:tcPr>
            <w:tcW w:w="2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67,034</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67,034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unamortized intangible assets:</w:t>
            </w:r>
          </w:p>
        </w:tc>
        <w:tc>
          <w:tcPr>
            <w:tcW w:w="2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$66,373</w:t>
            </w:r>
          </w:p>
        </w:tc>
        <w:tc>
          <w:tcPr>
            <w:tcW w:w="1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$67,034</w:t>
            </w:r>
          </w:p>
        </w:tc>
        <w:tc>
          <w:tcPr>
            <w:tcW w:w="12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$1,317</w:t>
            </w:r>
          </w:p>
        </w:tc>
        <w:tc>
          <w:tcPr>
            <w:tcW w:w="11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$134,724</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320" w:type="dxa"/>
            <w:vAlign w:val="bottom"/>
          </w:tcPr>
          <w:p>
            <w:pPr>
              <w:jc w:val="right"/>
              <w:ind w:right="530"/>
              <w:spacing w:after="0"/>
              <w:rPr>
                <w:sz w:val="20"/>
                <w:szCs w:val="20"/>
                <w:color w:val="auto"/>
              </w:rPr>
            </w:pPr>
            <w:r>
              <w:rPr>
                <w:rFonts w:ascii="Arial" w:cs="Arial" w:eastAsia="Arial" w:hAnsi="Arial"/>
                <w:sz w:val="18"/>
                <w:szCs w:val="18"/>
                <w:color w:val="auto"/>
              </w:rPr>
              <w:t>19</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19" w:name="page20"/>
    <w:bookmarkEnd w:id="19"/>
    <w:p>
      <w:pPr>
        <w:ind w:right="60" w:firstLine="648"/>
        <w:spacing w:after="0" w:line="238" w:lineRule="auto"/>
        <w:rPr>
          <w:sz w:val="20"/>
          <w:szCs w:val="20"/>
          <w:color w:val="auto"/>
        </w:rPr>
      </w:pPr>
      <w:r>
        <w:rPr>
          <w:rFonts w:ascii="Arial" w:cs="Arial" w:eastAsia="Arial" w:hAnsi="Arial"/>
          <w:sz w:val="18"/>
          <w:szCs w:val="18"/>
          <w:color w:val="auto"/>
        </w:rPr>
        <w:t>The estimated useful lives for intangibles acquired during the second quarter of 2016 are 19 years for customer relationships, 6 years for customer contracts, and 7 to 22 years for other intangibles. The estimate of intangible amortization expense for 2016 and beyond is significantly influenced by the preliminary valuation of intangibles acquired in the second quarter of 2016 and is subject to adjustment when the valuation work is completed. Based on the preliminary valuation, estimated amortization expense of intangibles for the years ending December 31, 2016 through 2020, is as follows:</w:t>
      </w:r>
    </w:p>
    <w:p>
      <w:pPr>
        <w:spacing w:after="0" w:line="136" w:lineRule="exact"/>
        <w:rPr>
          <w:sz w:val="20"/>
          <w:szCs w:val="20"/>
          <w:color w:val="auto"/>
        </w:rPr>
      </w:pPr>
    </w:p>
    <w:tbl>
      <w:tblPr>
        <w:tblLayout w:type="fixed"/>
        <w:tblInd w:w="288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Annual amortization</w:t>
            </w:r>
          </w:p>
        </w:tc>
      </w:tr>
      <w:tr>
        <w:trPr>
          <w:trHeight w:val="225"/>
        </w:trPr>
        <w:tc>
          <w:tcPr>
            <w:tcW w:w="276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Year</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195"/>
        </w:trPr>
        <w:tc>
          <w:tcPr>
            <w:tcW w:w="2760" w:type="dxa"/>
            <w:vAlign w:val="bottom"/>
          </w:tcPr>
          <w:p>
            <w:pPr>
              <w:ind w:left="1160"/>
              <w:spacing w:after="0" w:line="195" w:lineRule="exact"/>
              <w:rPr>
                <w:sz w:val="20"/>
                <w:szCs w:val="20"/>
                <w:color w:val="auto"/>
              </w:rPr>
            </w:pPr>
            <w:r>
              <w:rPr>
                <w:rFonts w:ascii="Arial" w:cs="Arial" w:eastAsia="Arial" w:hAnsi="Arial"/>
                <w:sz w:val="18"/>
                <w:szCs w:val="18"/>
                <w:color w:val="auto"/>
              </w:rPr>
              <w:t>2016</w:t>
            </w:r>
          </w:p>
        </w:tc>
        <w:tc>
          <w:tcPr>
            <w:tcW w:w="2940" w:type="dxa"/>
            <w:vAlign w:val="bottom"/>
          </w:tcPr>
          <w:p>
            <w:pPr>
              <w:jc w:val="right"/>
              <w:spacing w:after="0" w:line="195" w:lineRule="exact"/>
              <w:rPr>
                <w:sz w:val="20"/>
                <w:szCs w:val="20"/>
                <w:color w:val="auto"/>
              </w:rPr>
            </w:pPr>
            <w:r>
              <w:rPr>
                <w:rFonts w:ascii="Arial" w:cs="Arial" w:eastAsia="Arial" w:hAnsi="Arial"/>
                <w:sz w:val="18"/>
                <w:szCs w:val="18"/>
                <w:color w:val="auto"/>
              </w:rPr>
              <w:t>$3,749</w:t>
            </w:r>
          </w:p>
        </w:tc>
      </w:tr>
      <w:tr>
        <w:trPr>
          <w:trHeight w:val="203"/>
        </w:trPr>
        <w:tc>
          <w:tcPr>
            <w:tcW w:w="2760" w:type="dxa"/>
            <w:vAlign w:val="bottom"/>
          </w:tcPr>
          <w:p>
            <w:pPr>
              <w:ind w:left="1160"/>
              <w:spacing w:after="0" w:line="202" w:lineRule="exact"/>
              <w:rPr>
                <w:sz w:val="20"/>
                <w:szCs w:val="20"/>
                <w:color w:val="auto"/>
              </w:rPr>
            </w:pPr>
            <w:r>
              <w:rPr>
                <w:rFonts w:ascii="Arial" w:cs="Arial" w:eastAsia="Arial" w:hAnsi="Arial"/>
                <w:sz w:val="18"/>
                <w:szCs w:val="18"/>
                <w:color w:val="auto"/>
              </w:rPr>
              <w:t>2017</w:t>
            </w:r>
          </w:p>
        </w:tc>
        <w:tc>
          <w:tcPr>
            <w:tcW w:w="2940" w:type="dxa"/>
            <w:vAlign w:val="bottom"/>
          </w:tcPr>
          <w:p>
            <w:pPr>
              <w:jc w:val="right"/>
              <w:spacing w:after="0" w:line="202" w:lineRule="exact"/>
              <w:rPr>
                <w:sz w:val="20"/>
                <w:szCs w:val="20"/>
                <w:color w:val="auto"/>
              </w:rPr>
            </w:pPr>
            <w:r>
              <w:rPr>
                <w:rFonts w:ascii="Arial" w:cs="Arial" w:eastAsia="Arial" w:hAnsi="Arial"/>
                <w:sz w:val="18"/>
                <w:szCs w:val="18"/>
                <w:color w:val="auto"/>
              </w:rPr>
              <w:t>5,119</w:t>
            </w:r>
          </w:p>
        </w:tc>
      </w:tr>
      <w:tr>
        <w:trPr>
          <w:trHeight w:val="203"/>
        </w:trPr>
        <w:tc>
          <w:tcPr>
            <w:tcW w:w="2760" w:type="dxa"/>
            <w:vAlign w:val="bottom"/>
          </w:tcPr>
          <w:p>
            <w:pPr>
              <w:ind w:left="1160"/>
              <w:spacing w:after="0" w:line="202" w:lineRule="exact"/>
              <w:rPr>
                <w:sz w:val="20"/>
                <w:szCs w:val="20"/>
                <w:color w:val="auto"/>
              </w:rPr>
            </w:pPr>
            <w:r>
              <w:rPr>
                <w:rFonts w:ascii="Arial" w:cs="Arial" w:eastAsia="Arial" w:hAnsi="Arial"/>
                <w:sz w:val="18"/>
                <w:szCs w:val="18"/>
                <w:color w:val="auto"/>
              </w:rPr>
              <w:t>2018</w:t>
            </w:r>
          </w:p>
        </w:tc>
        <w:tc>
          <w:tcPr>
            <w:tcW w:w="2940" w:type="dxa"/>
            <w:vAlign w:val="bottom"/>
          </w:tcPr>
          <w:p>
            <w:pPr>
              <w:jc w:val="right"/>
              <w:spacing w:after="0" w:line="202" w:lineRule="exact"/>
              <w:rPr>
                <w:sz w:val="20"/>
                <w:szCs w:val="20"/>
                <w:color w:val="auto"/>
              </w:rPr>
            </w:pPr>
            <w:r>
              <w:rPr>
                <w:rFonts w:ascii="Arial" w:cs="Arial" w:eastAsia="Arial" w:hAnsi="Arial"/>
                <w:sz w:val="18"/>
                <w:szCs w:val="18"/>
                <w:color w:val="auto"/>
              </w:rPr>
              <w:t>5,119</w:t>
            </w:r>
          </w:p>
        </w:tc>
      </w:tr>
      <w:tr>
        <w:trPr>
          <w:trHeight w:val="203"/>
        </w:trPr>
        <w:tc>
          <w:tcPr>
            <w:tcW w:w="2760" w:type="dxa"/>
            <w:vAlign w:val="bottom"/>
          </w:tcPr>
          <w:p>
            <w:pPr>
              <w:ind w:left="1160"/>
              <w:spacing w:after="0" w:line="202" w:lineRule="exact"/>
              <w:rPr>
                <w:sz w:val="20"/>
                <w:szCs w:val="20"/>
                <w:color w:val="auto"/>
              </w:rPr>
            </w:pPr>
            <w:r>
              <w:rPr>
                <w:rFonts w:ascii="Arial" w:cs="Arial" w:eastAsia="Arial" w:hAnsi="Arial"/>
                <w:sz w:val="18"/>
                <w:szCs w:val="18"/>
                <w:color w:val="auto"/>
              </w:rPr>
              <w:t>2019</w:t>
            </w:r>
          </w:p>
        </w:tc>
        <w:tc>
          <w:tcPr>
            <w:tcW w:w="2940" w:type="dxa"/>
            <w:vAlign w:val="bottom"/>
          </w:tcPr>
          <w:p>
            <w:pPr>
              <w:jc w:val="right"/>
              <w:spacing w:after="0" w:line="202" w:lineRule="exact"/>
              <w:rPr>
                <w:sz w:val="20"/>
                <w:szCs w:val="20"/>
                <w:color w:val="auto"/>
              </w:rPr>
            </w:pPr>
            <w:r>
              <w:rPr>
                <w:rFonts w:ascii="Arial" w:cs="Arial" w:eastAsia="Arial" w:hAnsi="Arial"/>
                <w:sz w:val="18"/>
                <w:szCs w:val="18"/>
                <w:color w:val="auto"/>
              </w:rPr>
              <w:t>5,119</w:t>
            </w:r>
          </w:p>
        </w:tc>
      </w:tr>
      <w:tr>
        <w:trPr>
          <w:trHeight w:val="203"/>
        </w:trPr>
        <w:tc>
          <w:tcPr>
            <w:tcW w:w="2760" w:type="dxa"/>
            <w:vAlign w:val="bottom"/>
            <w:tcBorders>
              <w:bottom w:val="single" w:sz="8" w:color="auto"/>
            </w:tcBorders>
          </w:tcPr>
          <w:p>
            <w:pPr>
              <w:ind w:left="1160"/>
              <w:spacing w:after="0" w:line="203" w:lineRule="exact"/>
              <w:rPr>
                <w:sz w:val="20"/>
                <w:szCs w:val="20"/>
                <w:color w:val="auto"/>
              </w:rPr>
            </w:pPr>
            <w:r>
              <w:rPr>
                <w:rFonts w:ascii="Arial" w:cs="Arial" w:eastAsia="Arial" w:hAnsi="Arial"/>
                <w:sz w:val="18"/>
                <w:szCs w:val="18"/>
                <w:color w:val="auto"/>
              </w:rPr>
              <w:t>2020</w:t>
            </w:r>
          </w:p>
        </w:tc>
        <w:tc>
          <w:tcPr>
            <w:tcW w:w="2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5,119</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Financial Instruments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principally to banks and bondholders, consists 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230"/>
              <w:spacing w:after="0" w:line="194" w:lineRule="exact"/>
              <w:rPr>
                <w:sz w:val="20"/>
                <w:szCs w:val="20"/>
                <w:color w:val="auto"/>
              </w:rPr>
            </w:pPr>
            <w:r>
              <w:rPr>
                <w:rFonts w:ascii="Arial" w:cs="Arial" w:eastAsia="Arial" w:hAnsi="Arial"/>
                <w:sz w:val="18"/>
                <w:szCs w:val="18"/>
                <w:b w:val="1"/>
                <w:bCs w:val="1"/>
                <w:color w:val="auto"/>
              </w:rPr>
              <w:t>September 30,</w:t>
            </w:r>
          </w:p>
        </w:tc>
        <w:tc>
          <w:tcPr>
            <w:tcW w:w="15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1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412"/>
        </w:trPr>
        <w:tc>
          <w:tcPr>
            <w:tcW w:w="8020" w:type="dxa"/>
            <w:vAlign w:val="bottom"/>
          </w:tcPr>
          <w:p>
            <w:pPr>
              <w:spacing w:after="0"/>
              <w:rPr>
                <w:sz w:val="20"/>
                <w:szCs w:val="20"/>
                <w:color w:val="auto"/>
              </w:rPr>
            </w:pPr>
            <w:r>
              <w:rPr>
                <w:rFonts w:ascii="Arial" w:cs="Arial" w:eastAsia="Arial" w:hAnsi="Arial"/>
                <w:sz w:val="18"/>
                <w:szCs w:val="18"/>
                <w:color w:val="auto"/>
              </w:rPr>
              <w:t>Private placement with a fixed interest rate of 6.84%, due 2017</w:t>
            </w:r>
          </w:p>
        </w:tc>
        <w:tc>
          <w:tcPr>
            <w:tcW w:w="1840" w:type="dxa"/>
            <w:vAlign w:val="bottom"/>
          </w:tcPr>
          <w:p>
            <w:pPr>
              <w:jc w:val="right"/>
              <w:ind w:right="290"/>
              <w:spacing w:after="0"/>
              <w:rPr>
                <w:sz w:val="20"/>
                <w:szCs w:val="20"/>
                <w:color w:val="auto"/>
              </w:rPr>
            </w:pPr>
            <w:r>
              <w:rPr>
                <w:rFonts w:ascii="Arial" w:cs="Arial" w:eastAsia="Arial" w:hAnsi="Arial"/>
                <w:sz w:val="18"/>
                <w:szCs w:val="18"/>
                <w:b w:val="1"/>
                <w:bCs w:val="1"/>
                <w:color w:val="auto"/>
              </w:rPr>
              <w:t>$50,000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391"/>
        </w:trPr>
        <w:tc>
          <w:tcPr>
            <w:tcW w:w="8020" w:type="dxa"/>
            <w:vAlign w:val="bottom"/>
          </w:tcPr>
          <w:p>
            <w:pPr>
              <w:spacing w:after="0"/>
              <w:rPr>
                <w:sz w:val="20"/>
                <w:szCs w:val="20"/>
                <w:color w:val="auto"/>
              </w:rPr>
            </w:pPr>
            <w:r>
              <w:rPr>
                <w:rFonts w:ascii="Arial" w:cs="Arial" w:eastAsia="Arial" w:hAnsi="Arial"/>
                <w:sz w:val="18"/>
                <w:szCs w:val="18"/>
                <w:color w:val="auto"/>
              </w:rPr>
              <w:t>Credit agreement with borrowings outstanding at an end of period interest rate of 2.53% in 2016</w:t>
            </w:r>
          </w:p>
        </w:tc>
        <w:tc>
          <w:tcPr>
            <w:tcW w:w="18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425,000</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020" w:type="dxa"/>
            <w:vAlign w:val="bottom"/>
          </w:tcPr>
          <w:p>
            <w:pPr>
              <w:spacing w:after="0"/>
              <w:rPr>
                <w:sz w:val="20"/>
                <w:szCs w:val="20"/>
                <w:color w:val="auto"/>
              </w:rPr>
            </w:pPr>
            <w:r>
              <w:rPr>
                <w:rFonts w:ascii="Arial" w:cs="Arial" w:eastAsia="Arial" w:hAnsi="Arial"/>
                <w:sz w:val="18"/>
                <w:szCs w:val="18"/>
                <w:color w:val="auto"/>
              </w:rPr>
              <w:t>and 2.36% in 2015 (including the effect of interest rate hedging transactions, as described below)</w:t>
            </w:r>
          </w:p>
        </w:tc>
        <w:tc>
          <w:tcPr>
            <w:tcW w:w="1840" w:type="dxa"/>
            <w:vAlign w:val="bottom"/>
            <w:vMerge w:val="continue"/>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391"/>
        </w:trPr>
        <w:tc>
          <w:tcPr>
            <w:tcW w:w="8020" w:type="dxa"/>
            <w:vAlign w:val="bottom"/>
          </w:tcPr>
          <w:p>
            <w:pPr>
              <w:spacing w:after="0"/>
              <w:rPr>
                <w:sz w:val="20"/>
                <w:szCs w:val="20"/>
                <w:color w:val="auto"/>
              </w:rPr>
            </w:pPr>
            <w:r>
              <w:rPr>
                <w:rFonts w:ascii="Arial" w:cs="Arial" w:eastAsia="Arial" w:hAnsi="Arial"/>
                <w:sz w:val="18"/>
                <w:szCs w:val="18"/>
                <w:color w:val="auto"/>
              </w:rPr>
              <w:t>Various notes and mortgages, at an average end of period rate of 5.50% in 2016 and 2015, due</w:t>
            </w:r>
          </w:p>
        </w:tc>
        <w:tc>
          <w:tcPr>
            <w:tcW w:w="18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84</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020" w:type="dxa"/>
            <w:vAlign w:val="bottom"/>
          </w:tcPr>
          <w:p>
            <w:pPr>
              <w:spacing w:after="0"/>
              <w:rPr>
                <w:sz w:val="20"/>
                <w:szCs w:val="20"/>
                <w:color w:val="auto"/>
              </w:rPr>
            </w:pPr>
            <w:r>
              <w:rPr>
                <w:rFonts w:ascii="Arial" w:cs="Arial" w:eastAsia="Arial" w:hAnsi="Arial"/>
                <w:sz w:val="18"/>
                <w:szCs w:val="18"/>
                <w:color w:val="auto"/>
              </w:rPr>
              <w:t>in varying amounts through 2021</w:t>
            </w:r>
          </w:p>
        </w:tc>
        <w:tc>
          <w:tcPr>
            <w:tcW w:w="1840" w:type="dxa"/>
            <w:vAlign w:val="bottom"/>
            <w:vMerge w:val="continue"/>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92"/>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Obligation under capital lease, matures 2022</w:t>
            </w:r>
          </w:p>
        </w:tc>
        <w:tc>
          <w:tcPr>
            <w:tcW w:w="1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16,381</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8020" w:type="dxa"/>
            <w:vAlign w:val="bottom"/>
          </w:tcPr>
          <w:p>
            <w:pPr>
              <w:spacing w:after="0"/>
              <w:rPr>
                <w:sz w:val="20"/>
                <w:szCs w:val="20"/>
                <w:color w:val="auto"/>
              </w:rPr>
            </w:pPr>
            <w:r>
              <w:rPr>
                <w:rFonts w:ascii="Arial" w:cs="Arial" w:eastAsia="Arial" w:hAnsi="Arial"/>
                <w:sz w:val="18"/>
                <w:szCs w:val="18"/>
                <w:color w:val="auto"/>
              </w:rPr>
              <w:t>Long-term debt</w:t>
            </w:r>
          </w:p>
        </w:tc>
        <w:tc>
          <w:tcPr>
            <w:tcW w:w="1840" w:type="dxa"/>
            <w:vAlign w:val="bottom"/>
          </w:tcPr>
          <w:p>
            <w:pPr>
              <w:jc w:val="right"/>
              <w:ind w:right="290"/>
              <w:spacing w:after="0"/>
              <w:rPr>
                <w:sz w:val="20"/>
                <w:szCs w:val="20"/>
                <w:color w:val="auto"/>
              </w:rPr>
            </w:pPr>
            <w:r>
              <w:rPr>
                <w:rFonts w:ascii="Arial" w:cs="Arial" w:eastAsia="Arial" w:hAnsi="Arial"/>
                <w:sz w:val="18"/>
                <w:szCs w:val="18"/>
                <w:b w:val="1"/>
                <w:bCs w:val="1"/>
                <w:color w:val="auto"/>
              </w:rPr>
              <w:t>491,465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265,096</w:t>
            </w:r>
          </w:p>
        </w:tc>
        <w:tc>
          <w:tcPr>
            <w:tcW w:w="0" w:type="dxa"/>
            <w:vAlign w:val="bottom"/>
          </w:tcPr>
          <w:p>
            <w:pPr>
              <w:spacing w:after="0"/>
              <w:rPr>
                <w:sz w:val="1"/>
                <w:szCs w:val="1"/>
                <w:color w:val="auto"/>
              </w:rPr>
            </w:pPr>
          </w:p>
        </w:tc>
      </w:tr>
      <w:tr>
        <w:trPr>
          <w:trHeight w:val="392"/>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1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(1,462)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99"/>
        </w:trPr>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1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$490,003</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$265,080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80" w:firstLine="648"/>
        <w:spacing w:after="0" w:line="236" w:lineRule="auto"/>
        <w:rPr>
          <w:sz w:val="20"/>
          <w:szCs w:val="20"/>
          <w:color w:val="auto"/>
        </w:rPr>
      </w:pPr>
      <w:r>
        <w:rPr>
          <w:rFonts w:ascii="Arial" w:cs="Arial" w:eastAsia="Arial" w:hAnsi="Arial"/>
          <w:sz w:val="18"/>
          <w:szCs w:val="18"/>
          <w:color w:val="auto"/>
        </w:rPr>
        <w:t>A note agreement and guaranty (“Prudential Agreement”) was originally entered into in October 2005 with the Prudential Insurance Company of America, and certain other purchasers, with interest at 6.84%. The remaining principal under the Prudential Agreement is $50 million, and is due on the maturity date of October 25, 2017.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agreement (as described below). The Prudential Agreement has been amended a number of times, most recently in April 2016, in order to maintain terms comparable to our current principal credit facility. For disclosure purposes, we are required to measure the fair value of outstanding debt on a recurring basis. As of September 30, 2016, the fair value of this debt was approximately $53.5 million, and was measured using active market interest rates, which would be considered Level 2 for fair value measurement purposes.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0" w:name="page21"/>
    <w:bookmarkEnd w:id="20"/>
    <w:p>
      <w:pPr>
        <w:ind w:right="20" w:firstLine="648"/>
        <w:spacing w:after="0" w:line="237" w:lineRule="auto"/>
        <w:rPr>
          <w:sz w:val="20"/>
          <w:szCs w:val="20"/>
          <w:color w:val="auto"/>
        </w:rPr>
      </w:pPr>
      <w:r>
        <w:rPr>
          <w:rFonts w:ascii="Arial" w:cs="Arial" w:eastAsia="Arial" w:hAnsi="Arial"/>
          <w:sz w:val="18"/>
          <w:szCs w:val="18"/>
          <w:color w:val="auto"/>
        </w:rPr>
        <w:t>On April 8, 2016, we entered into a $550 million unsecured Five-Year Revolving Credit Facility Agreement (the “Credit Agreement”) which amends and restates the prior $400 million Agreement, entered into on June 18, 2015 (the “Prior Agreement”). Under the Credit Agreement, $425 million of borrowings were outstanding as of September 30, 2016. The applicable interest rate for borrowings was LIBOR plus a spread, based on our leverage ratio at the time of borrowing. At the time of the last borrowing on September 16, 2016, the spread was 1.500%. The spread was based on a pricing grid, which ranged from 1.250% to 1.750%, based on our leverage ratio. Based on our maximum leverage ratio and our Consolidated EBITDA, and without modification to any other credit agreements, as of September 30, 2016, we would have been able to borrow an additional $125 million under the Agreement.</w:t>
      </w:r>
    </w:p>
    <w:p>
      <w:pPr>
        <w:spacing w:after="0" w:line="163" w:lineRule="exact"/>
        <w:rPr>
          <w:sz w:val="20"/>
          <w:szCs w:val="20"/>
          <w:color w:val="auto"/>
        </w:rPr>
      </w:pPr>
    </w:p>
    <w:p>
      <w:pPr>
        <w:ind w:right="740" w:firstLine="648"/>
        <w:spacing w:after="0" w:line="246"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comparable to those in the Prior Agreement. The Borrowings are guaranteed by certain of the Company's subsidiaries.</w:t>
      </w:r>
    </w:p>
    <w:p>
      <w:pPr>
        <w:spacing w:after="0" w:line="197"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197"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In connection with the acquisition of AAC, the Company has a long-term capital lease obligation for real property in Salt Lake City, Utah. The lease has an implied interest rate of 6.08% and matures in 2022.</w:t>
      </w:r>
    </w:p>
    <w:p>
      <w:pPr>
        <w:spacing w:after="0" w:line="197"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The following schedule presents future minimum annual lease payments under the capital lease obligation and the present value of the minimum lease payments, as of September 30, 2016.</w:t>
      </w:r>
    </w:p>
    <w:p>
      <w:pPr>
        <w:spacing w:after="0" w:line="151"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39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376"/>
        </w:trPr>
        <w:tc>
          <w:tcPr>
            <w:tcW w:w="3920" w:type="dxa"/>
            <w:vAlign w:val="bottom"/>
            <w:gridSpan w:val="2"/>
          </w:tcPr>
          <w:p>
            <w:pPr>
              <w:spacing w:after="0"/>
              <w:rPr>
                <w:sz w:val="20"/>
                <w:szCs w:val="20"/>
                <w:color w:val="auto"/>
              </w:rPr>
            </w:pPr>
            <w:r>
              <w:rPr>
                <w:rFonts w:ascii="Arial" w:cs="Arial" w:eastAsia="Arial" w:hAnsi="Arial"/>
                <w:sz w:val="18"/>
                <w:szCs w:val="18"/>
                <w:color w:val="auto"/>
              </w:rPr>
              <w:t>2016</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$674</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2017</w:t>
            </w:r>
          </w:p>
        </w:tc>
        <w:tc>
          <w:tcPr>
            <w:tcW w:w="1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2,696</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2018</w:t>
            </w:r>
          </w:p>
        </w:tc>
        <w:tc>
          <w:tcPr>
            <w:tcW w:w="1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2,743</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2019</w:t>
            </w:r>
          </w:p>
        </w:tc>
        <w:tc>
          <w:tcPr>
            <w:tcW w:w="1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2,743</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2020</w:t>
            </w:r>
          </w:p>
        </w:tc>
        <w:tc>
          <w:tcPr>
            <w:tcW w:w="1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2,790</w:t>
            </w:r>
          </w:p>
        </w:tc>
      </w:tr>
      <w:tr>
        <w:trPr>
          <w:trHeight w:val="225"/>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Thereafter</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5,628</w:t>
            </w:r>
          </w:p>
        </w:tc>
      </w:tr>
      <w:tr>
        <w:trPr>
          <w:trHeight w:val="173"/>
        </w:trPr>
        <w:tc>
          <w:tcPr>
            <w:tcW w:w="3920" w:type="dxa"/>
            <w:vAlign w:val="bottom"/>
            <w:gridSpan w:val="2"/>
          </w:tcPr>
          <w:p>
            <w:pPr>
              <w:spacing w:after="0" w:line="173" w:lineRule="exact"/>
              <w:rPr>
                <w:sz w:val="20"/>
                <w:szCs w:val="20"/>
                <w:color w:val="auto"/>
              </w:rPr>
            </w:pPr>
            <w:r>
              <w:rPr>
                <w:rFonts w:ascii="Arial" w:cs="Arial" w:eastAsia="Arial" w:hAnsi="Arial"/>
                <w:sz w:val="18"/>
                <w:szCs w:val="18"/>
                <w:color w:val="auto"/>
              </w:rPr>
              <w:t>Total minimum lease payments</w:t>
            </w:r>
          </w:p>
        </w:tc>
        <w:tc>
          <w:tcPr>
            <w:tcW w:w="180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17,274</w:t>
            </w:r>
          </w:p>
        </w:tc>
      </w:tr>
      <w:tr>
        <w:trPr>
          <w:trHeight w:val="225"/>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Amount representing interest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w:t>
            </w:r>
          </w:p>
        </w:tc>
      </w:tr>
      <w:tr>
        <w:trPr>
          <w:trHeight w:val="399"/>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Present value of minimum lease payments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$16,381</w:t>
            </w: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On May 6, 2016, we terminated our interest rate swap agreements that had effectively fixed the interest rate on up to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463" w:right="379" w:bottom="1440" w:gutter="0" w:footer="0" w:header="0"/>
        </w:sectPr>
      </w:pPr>
    </w:p>
    <w:bookmarkStart w:id="21" w:name="page22"/>
    <w:bookmarkEnd w:id="21"/>
    <w:p>
      <w:pPr>
        <w:ind w:right="200" w:firstLine="648"/>
        <w:spacing w:after="0" w:line="237" w:lineRule="auto"/>
        <w:rPr>
          <w:sz w:val="20"/>
          <w:szCs w:val="20"/>
          <w:color w:val="auto"/>
        </w:rPr>
      </w:pPr>
      <w:r>
        <w:rPr>
          <w:rFonts w:ascii="Arial" w:cs="Arial" w:eastAsia="Arial" w:hAnsi="Arial"/>
          <w:sz w:val="18"/>
          <w:szCs w:val="18"/>
          <w:color w:val="auto"/>
        </w:rPr>
        <w:t>On May 9, 2016, we entered into interest rate hedges for the period May 16, 2016 through March 16, 2021. These transactions have the effect of fixing the LIBOR portion of the effective interest rate (before addition of the spread) on $300 million of indebtedness drawn under the Credit Agreement at the rate of 1.245% during the period. Under the terms of these transactions, we pay the fixed rate of 1.245% and the counterparties pay a floating rate based on the one-month LIBOR rate at each monthly calculation date, which on September 16, 2016 was 0.530%. The net effect is to fix the effective interest rate on $300 million of indebtedness at 1.245%, plus the applicable spread, during the swap period. On September 16, 2016, the all-in-rate on the $300 million of debt was 2.745%.</w:t>
      </w:r>
    </w:p>
    <w:p>
      <w:pPr>
        <w:spacing w:after="0" w:line="165" w:lineRule="exact"/>
        <w:rPr>
          <w:sz w:val="20"/>
          <w:szCs w:val="20"/>
          <w:color w:val="auto"/>
        </w:rPr>
      </w:pPr>
    </w:p>
    <w:p>
      <w:pPr>
        <w:ind w:right="920" w:firstLine="64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15 of the Notes to Consolidated Financial Statements. No cash collateral was received or pledged in relation to the swap agreements.</w:t>
      </w:r>
    </w:p>
    <w:p>
      <w:pPr>
        <w:spacing w:after="0" w:line="170" w:lineRule="exact"/>
        <w:rPr>
          <w:sz w:val="20"/>
          <w:szCs w:val="20"/>
          <w:color w:val="auto"/>
        </w:rPr>
      </w:pPr>
    </w:p>
    <w:p>
      <w:pPr>
        <w:ind w:right="640" w:firstLine="648"/>
        <w:spacing w:after="0" w:line="24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156" w:lineRule="exact"/>
        <w:rPr>
          <w:sz w:val="20"/>
          <w:szCs w:val="20"/>
          <w:color w:val="auto"/>
        </w:rPr>
      </w:pPr>
    </w:p>
    <w:p>
      <w:pPr>
        <w:ind w:right="180" w:firstLine="648"/>
        <w:spacing w:after="0" w:line="234" w:lineRule="auto"/>
        <w:rPr>
          <w:sz w:val="20"/>
          <w:szCs w:val="20"/>
          <w:color w:val="auto"/>
        </w:rPr>
      </w:pPr>
      <w:r>
        <w:rPr>
          <w:rFonts w:ascii="Arial" w:cs="Arial" w:eastAsia="Arial" w:hAnsi="Arial"/>
          <w:sz w:val="18"/>
          <w:szCs w:val="18"/>
          <w:color w:val="auto"/>
        </w:rPr>
        <w:t>As of September 30, 2016, our leverage ratio, including the pro-forma effect of the acquisition, was 2.38 to 1.00 and our interest coverage ratio was 12.93 to 1.00. We may purchase our Common Stock or pay dividends to the extent our leverage ratio remains at or below</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3.50 to 1.00, and may make acquisitions with cash provided our leverage ratio would not exceed 3.50 to 1.00 after giving pro forma effect to the acquisition.</w:t>
      </w:r>
    </w:p>
    <w:p>
      <w:pPr>
        <w:spacing w:after="0" w:line="156"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September 30, 2016.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Fair-Value Measurements</w:t>
      </w:r>
    </w:p>
    <w:p>
      <w:pPr>
        <w:spacing w:after="0" w:line="234"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In 2015 we reclassified land and building related to the former manufacturing facility in Germany as Asset held for sale in the accompanying Consolidated Balance Sheets. As of September 30, 2016 and December 31, 2015, we have Level 3 financial assets of $5.2 million and $5.0 million, respectively. The value as of September 30, 2016 was determined based on a contract which is expected to close in the fourth quarter of 2016.</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2" w:name="page23"/>
    <w:bookmarkEnd w:id="22"/>
    <w:p>
      <w:pPr>
        <w:ind w:right="140" w:firstLine="648"/>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 and Level 3 non-financial measured at fair value: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Borders>
              <w:top w:val="single" w:sz="8" w:color="auto"/>
            </w:tcBorders>
          </w:tcPr>
          <w:p>
            <w:pPr>
              <w:spacing w:after="0"/>
              <w:rPr>
                <w:sz w:val="14"/>
                <w:szCs w:val="14"/>
                <w:color w:val="auto"/>
              </w:rPr>
            </w:pPr>
          </w:p>
        </w:tc>
        <w:tc>
          <w:tcPr>
            <w:tcW w:w="3880" w:type="dxa"/>
            <w:vAlign w:val="bottom"/>
            <w:tcBorders>
              <w:top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September 30, 2016</w:t>
            </w:r>
          </w:p>
        </w:tc>
        <w:tc>
          <w:tcPr>
            <w:tcW w:w="68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800" w:type="dxa"/>
            <w:vAlign w:val="bottom"/>
          </w:tcPr>
          <w:p>
            <w:pPr>
              <w:jc w:val="center"/>
              <w:ind w:left="749"/>
              <w:spacing w:after="0"/>
              <w:rPr>
                <w:sz w:val="20"/>
                <w:szCs w:val="20"/>
                <w:color w:val="auto"/>
              </w:rPr>
            </w:pPr>
            <w:r>
              <w:rPr>
                <w:rFonts w:ascii="Arial" w:cs="Arial" w:eastAsia="Arial" w:hAnsi="Arial"/>
                <w:sz w:val="14"/>
                <w:szCs w:val="14"/>
                <w:b w:val="1"/>
                <w:bCs w:val="1"/>
                <w:color w:val="auto"/>
              </w:rPr>
              <w:t>Quoted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Significant</w:t>
            </w:r>
          </w:p>
        </w:tc>
        <w:tc>
          <w:tcPr>
            <w:tcW w:w="1120" w:type="dxa"/>
            <w:vAlign w:val="bottom"/>
          </w:tcPr>
          <w:p>
            <w:pPr>
              <w:spacing w:after="0"/>
              <w:rPr>
                <w:sz w:val="14"/>
                <w:szCs w:val="14"/>
                <w:color w:val="auto"/>
              </w:rPr>
            </w:pP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Quoted</w:t>
            </w:r>
          </w:p>
        </w:tc>
        <w:tc>
          <w:tcPr>
            <w:tcW w:w="1100" w:type="dxa"/>
            <w:vAlign w:val="bottom"/>
          </w:tcPr>
          <w:p>
            <w:pPr>
              <w:jc w:val="center"/>
              <w:ind w:left="88"/>
              <w:spacing w:after="0"/>
              <w:rPr>
                <w:sz w:val="20"/>
                <w:szCs w:val="20"/>
                <w:color w:val="auto"/>
              </w:rPr>
            </w:pPr>
            <w:r>
              <w:rPr>
                <w:rFonts w:ascii="Arial" w:cs="Arial" w:eastAsia="Arial" w:hAnsi="Arial"/>
                <w:sz w:val="14"/>
                <w:szCs w:val="14"/>
                <w:color w:val="auto"/>
              </w:rPr>
              <w:t>Significant</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800" w:type="dxa"/>
            <w:vAlign w:val="bottom"/>
          </w:tcPr>
          <w:p>
            <w:pPr>
              <w:jc w:val="center"/>
              <w:ind w:left="749"/>
              <w:spacing w:after="0"/>
              <w:rPr>
                <w:sz w:val="20"/>
                <w:szCs w:val="20"/>
                <w:color w:val="auto"/>
              </w:rPr>
            </w:pPr>
            <w:r>
              <w:rPr>
                <w:rFonts w:ascii="Arial" w:cs="Arial" w:eastAsia="Arial" w:hAnsi="Arial"/>
                <w:sz w:val="14"/>
                <w:szCs w:val="14"/>
                <w:b w:val="1"/>
                <w:bCs w:val="1"/>
                <w:color w:val="auto"/>
              </w:rPr>
              <w:t>prices in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prices in</w:t>
            </w:r>
          </w:p>
        </w:tc>
        <w:tc>
          <w:tcPr>
            <w:tcW w:w="1100" w:type="dxa"/>
            <w:vAlign w:val="bottom"/>
          </w:tcPr>
          <w:p>
            <w:pPr>
              <w:jc w:val="center"/>
              <w:ind w:left="68"/>
              <w:spacing w:after="0"/>
              <w:rPr>
                <w:sz w:val="20"/>
                <w:szCs w:val="20"/>
                <w:color w:val="auto"/>
              </w:rPr>
            </w:pPr>
            <w:r>
              <w:rPr>
                <w:rFonts w:ascii="Arial" w:cs="Arial" w:eastAsia="Arial" w:hAnsi="Arial"/>
                <w:sz w:val="14"/>
                <w:szCs w:val="14"/>
                <w:color w:val="auto"/>
              </w:rPr>
              <w:t>other</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800" w:type="dxa"/>
            <w:vAlign w:val="bottom"/>
          </w:tcPr>
          <w:p>
            <w:pPr>
              <w:jc w:val="center"/>
              <w:ind w:left="749"/>
              <w:spacing w:after="0"/>
              <w:rPr>
                <w:sz w:val="20"/>
                <w:szCs w:val="20"/>
                <w:color w:val="auto"/>
              </w:rPr>
            </w:pPr>
            <w:r>
              <w:rPr>
                <w:rFonts w:ascii="Arial" w:cs="Arial" w:eastAsia="Arial" w:hAnsi="Arial"/>
                <w:sz w:val="14"/>
                <w:szCs w:val="14"/>
                <w:b w:val="1"/>
                <w:bCs w:val="1"/>
                <w:color w:val="auto"/>
              </w:rPr>
              <w:t>active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observable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Unobservable</w:t>
            </w:r>
          </w:p>
        </w:tc>
        <w:tc>
          <w:tcPr>
            <w:tcW w:w="680" w:type="dxa"/>
            <w:vAlign w:val="bottom"/>
          </w:tcPr>
          <w:p>
            <w:pPr>
              <w:jc w:val="center"/>
              <w:spacing w:after="0"/>
              <w:rPr>
                <w:sz w:val="20"/>
                <w:szCs w:val="20"/>
                <w:color w:val="auto"/>
              </w:rPr>
            </w:pPr>
            <w:r>
              <w:rPr>
                <w:rFonts w:ascii="Arial" w:cs="Arial" w:eastAsia="Arial" w:hAnsi="Arial"/>
                <w:sz w:val="14"/>
                <w:szCs w:val="14"/>
                <w:color w:val="auto"/>
              </w:rPr>
              <w:t>active</w:t>
            </w:r>
          </w:p>
        </w:tc>
        <w:tc>
          <w:tcPr>
            <w:tcW w:w="1100" w:type="dxa"/>
            <w:vAlign w:val="bottom"/>
          </w:tcPr>
          <w:p>
            <w:pPr>
              <w:jc w:val="center"/>
              <w:ind w:left="88"/>
              <w:spacing w:after="0"/>
              <w:rPr>
                <w:sz w:val="20"/>
                <w:szCs w:val="20"/>
                <w:color w:val="auto"/>
              </w:rPr>
            </w:pPr>
            <w:r>
              <w:rPr>
                <w:rFonts w:ascii="Arial" w:cs="Arial" w:eastAsia="Arial" w:hAnsi="Arial"/>
                <w:sz w:val="14"/>
                <w:szCs w:val="14"/>
                <w:color w:val="auto"/>
              </w:rPr>
              <w:t>observable</w:t>
            </w: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rPr>
              <w:t>Unobservable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800" w:type="dxa"/>
            <w:vAlign w:val="bottom"/>
          </w:tcPr>
          <w:p>
            <w:pPr>
              <w:jc w:val="center"/>
              <w:ind w:left="749"/>
              <w:spacing w:after="0"/>
              <w:rPr>
                <w:sz w:val="20"/>
                <w:szCs w:val="20"/>
                <w:color w:val="auto"/>
              </w:rPr>
            </w:pPr>
            <w:r>
              <w:rPr>
                <w:rFonts w:ascii="Arial" w:cs="Arial" w:eastAsia="Arial" w:hAnsi="Arial"/>
                <w:sz w:val="14"/>
                <w:szCs w:val="14"/>
                <w:b w:val="1"/>
                <w:bCs w:val="1"/>
                <w:color w:val="auto"/>
              </w:rPr>
              <w:t>markets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inputs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inputs</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markets</w:t>
            </w:r>
          </w:p>
        </w:tc>
        <w:tc>
          <w:tcPr>
            <w:tcW w:w="1100" w:type="dxa"/>
            <w:vAlign w:val="bottom"/>
          </w:tcPr>
          <w:p>
            <w:pPr>
              <w:jc w:val="center"/>
              <w:ind w:left="68"/>
              <w:spacing w:after="0"/>
              <w:rPr>
                <w:sz w:val="20"/>
                <w:szCs w:val="20"/>
                <w:color w:val="auto"/>
              </w:rPr>
            </w:pPr>
            <w:r>
              <w:rPr>
                <w:rFonts w:ascii="Arial" w:cs="Arial" w:eastAsia="Arial" w:hAnsi="Arial"/>
                <w:sz w:val="14"/>
                <w:szCs w:val="14"/>
                <w:color w:val="auto"/>
              </w:rPr>
              <w:t>inputs</w:t>
            </w: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rPr>
              <w:t>inputs</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Pr>
          <w:p>
            <w:pPr>
              <w:jc w:val="center"/>
              <w:ind w:left="749"/>
              <w:spacing w:after="0"/>
              <w:rPr>
                <w:sz w:val="20"/>
                <w:szCs w:val="20"/>
                <w:color w:val="auto"/>
              </w:rPr>
            </w:pPr>
            <w:r>
              <w:rPr>
                <w:rFonts w:ascii="Arial" w:cs="Arial" w:eastAsia="Arial" w:hAnsi="Arial"/>
                <w:sz w:val="14"/>
                <w:szCs w:val="14"/>
                <w:b w:val="1"/>
                <w:bCs w:val="1"/>
                <w:color w:val="auto"/>
              </w:rPr>
              <w:t>(Level 1)</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(Level 2)</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(Level 3)</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(Level 1)</w:t>
            </w:r>
          </w:p>
        </w:tc>
        <w:tc>
          <w:tcPr>
            <w:tcW w:w="1100" w:type="dxa"/>
            <w:vAlign w:val="bottom"/>
          </w:tcPr>
          <w:p>
            <w:pPr>
              <w:jc w:val="center"/>
              <w:ind w:left="68"/>
              <w:spacing w:after="0"/>
              <w:rPr>
                <w:sz w:val="20"/>
                <w:szCs w:val="20"/>
                <w:color w:val="auto"/>
              </w:rPr>
            </w:pPr>
            <w:r>
              <w:rPr>
                <w:rFonts w:ascii="Arial" w:cs="Arial" w:eastAsia="Arial" w:hAnsi="Arial"/>
                <w:sz w:val="14"/>
                <w:szCs w:val="14"/>
                <w:color w:val="auto"/>
              </w:rPr>
              <w:t>(Level 2)</w:t>
            </w: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6"/>
        </w:trPr>
        <w:tc>
          <w:tcPr>
            <w:tcW w:w="482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b w:val="1"/>
                <w:bCs w:val="1"/>
                <w:color w:val="auto"/>
              </w:rPr>
              <w:t>Fair Value</w:t>
            </w:r>
          </w:p>
        </w:tc>
        <w:tc>
          <w:tcPr>
            <w:tcW w:w="18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20"/>
                <w:szCs w:val="20"/>
                <w:color w:val="auto"/>
              </w:rPr>
            </w:pPr>
            <w:r>
              <w:rPr>
                <w:rFonts w:ascii="Arial" w:cs="Arial" w:eastAsia="Arial" w:hAnsi="Arial"/>
                <w:sz w:val="14"/>
                <w:szCs w:val="14"/>
                <w:i w:val="1"/>
                <w:iCs w:val="1"/>
                <w:color w:val="auto"/>
              </w:rPr>
              <w:t>Assets:</w:t>
            </w:r>
          </w:p>
        </w:tc>
        <w:tc>
          <w:tcPr>
            <w:tcW w:w="18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$22,274</w:t>
            </w: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820" w:type="dxa"/>
            <w:vAlign w:val="bottom"/>
          </w:tcPr>
          <w:p>
            <w:pPr>
              <w:ind w:left="220"/>
              <w:spacing w:after="0" w:line="144" w:lineRule="exact"/>
              <w:rPr>
                <w:sz w:val="20"/>
                <w:szCs w:val="20"/>
                <w:color w:val="auto"/>
              </w:rPr>
            </w:pPr>
            <w:r>
              <w:rPr>
                <w:rFonts w:ascii="Arial" w:cs="Arial" w:eastAsia="Arial" w:hAnsi="Arial"/>
                <w:sz w:val="14"/>
                <w:szCs w:val="14"/>
                <w:color w:val="auto"/>
              </w:rPr>
              <w:t>Cash equivalents</w:t>
            </w:r>
          </w:p>
        </w:tc>
        <w:tc>
          <w:tcPr>
            <w:tcW w:w="18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Arial" w:cs="Arial" w:eastAsia="Arial" w:hAnsi="Arial"/>
                <w:sz w:val="14"/>
                <w:szCs w:val="14"/>
                <w:color w:val="auto"/>
              </w:rPr>
              <w:t>$5,189</w:t>
            </w:r>
          </w:p>
        </w:tc>
        <w:tc>
          <w:tcPr>
            <w:tcW w:w="1100" w:type="dxa"/>
            <w:vAlign w:val="bottom"/>
          </w:tcPr>
          <w:p>
            <w:pPr>
              <w:jc w:val="right"/>
              <w:ind w:right="168"/>
              <w:spacing w:after="0" w:line="144"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line="144"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20"/>
              <w:spacing w:after="0"/>
              <w:rPr>
                <w:sz w:val="20"/>
                <w:szCs w:val="20"/>
                <w:color w:val="auto"/>
              </w:rPr>
            </w:pPr>
            <w:r>
              <w:rPr>
                <w:rFonts w:ascii="Arial" w:cs="Arial" w:eastAsia="Arial" w:hAnsi="Arial"/>
                <w:sz w:val="14"/>
                <w:szCs w:val="14"/>
                <w:color w:val="auto"/>
              </w:rPr>
              <w:t>Asset held for sale</w:t>
            </w:r>
          </w:p>
        </w:tc>
        <w:tc>
          <w:tcPr>
            <w:tcW w:w="180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rPr>
              <w:t>5,179</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4,988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8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148</w:t>
            </w: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440"/>
              <w:spacing w:after="0" w:line="148" w:lineRule="exact"/>
              <w:rPr>
                <w:sz w:val="20"/>
                <w:szCs w:val="20"/>
                <w:color w:val="auto"/>
              </w:rPr>
            </w:pPr>
            <w:r>
              <w:rPr>
                <w:rFonts w:ascii="Arial" w:cs="Arial" w:eastAsia="Arial" w:hAnsi="Arial"/>
                <w:sz w:val="14"/>
                <w:szCs w:val="14"/>
                <w:color w:val="auto"/>
              </w:rPr>
              <w:t>Foreign currency options</w:t>
            </w:r>
          </w:p>
        </w:tc>
        <w:tc>
          <w:tcPr>
            <w:tcW w:w="18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68"/>
              <w:spacing w:after="0" w:line="148"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line="14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220"/>
              <w:spacing w:after="0"/>
              <w:rPr>
                <w:sz w:val="20"/>
                <w:szCs w:val="20"/>
                <w:color w:val="auto"/>
              </w:rPr>
            </w:pPr>
            <w:r>
              <w:rPr>
                <w:rFonts w:ascii="Arial" w:cs="Arial" w:eastAsia="Arial" w:hAnsi="Arial"/>
                <w:sz w:val="14"/>
                <w:szCs w:val="14"/>
                <w:i w:val="1"/>
                <w:iCs w:val="1"/>
                <w:color w:val="auto"/>
              </w:rPr>
              <w:t>Other Assets:</w:t>
            </w:r>
          </w:p>
        </w:tc>
        <w:tc>
          <w:tcPr>
            <w:tcW w:w="1800" w:type="dxa"/>
            <w:vAlign w:val="bottom"/>
            <w:vMerge w:val="restart"/>
          </w:tcPr>
          <w:p>
            <w:pPr>
              <w:jc w:val="right"/>
              <w:ind w:right="9"/>
              <w:spacing w:after="0"/>
              <w:rPr>
                <w:sz w:val="20"/>
                <w:szCs w:val="20"/>
                <w:color w:val="auto"/>
              </w:rPr>
            </w:pPr>
            <w:r>
              <w:rPr>
                <w:rFonts w:ascii="Arial" w:cs="Arial" w:eastAsia="Arial" w:hAnsi="Arial"/>
                <w:sz w:val="28"/>
                <w:szCs w:val="28"/>
                <w:b w:val="1"/>
                <w:bCs w:val="1"/>
                <w:color w:val="auto"/>
                <w:vertAlign w:val="subscript"/>
              </w:rPr>
              <w:t>762</w:t>
            </w:r>
            <w:r>
              <w:rPr>
                <w:rFonts w:ascii="Arial" w:cs="Arial" w:eastAsia="Arial" w:hAnsi="Arial"/>
                <w:sz w:val="12"/>
                <w:szCs w:val="12"/>
                <w:b w:val="1"/>
                <w:bCs w:val="1"/>
                <w:color w:val="auto"/>
              </w:rPr>
              <w:t>(a)</w:t>
            </w: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440"/>
              <w:spacing w:after="0" w:line="148" w:lineRule="exact"/>
              <w:rPr>
                <w:sz w:val="20"/>
                <w:szCs w:val="20"/>
                <w:color w:val="auto"/>
              </w:rPr>
            </w:pPr>
            <w:r>
              <w:rPr>
                <w:rFonts w:ascii="Arial" w:cs="Arial" w:eastAsia="Arial" w:hAnsi="Arial"/>
                <w:sz w:val="14"/>
                <w:szCs w:val="14"/>
                <w:color w:val="auto"/>
              </w:rPr>
              <w:t>Common stock of unaffiliated foreign public company</w:t>
            </w:r>
          </w:p>
        </w:tc>
        <w:tc>
          <w:tcPr>
            <w:tcW w:w="18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819</w:t>
            </w:r>
          </w:p>
        </w:tc>
        <w:tc>
          <w:tcPr>
            <w:tcW w:w="1100" w:type="dxa"/>
            <w:vAlign w:val="bottom"/>
          </w:tcPr>
          <w:p>
            <w:pPr>
              <w:jc w:val="right"/>
              <w:ind w:right="168"/>
              <w:spacing w:after="0" w:line="148"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line="14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rPr>
                <w:sz w:val="20"/>
                <w:szCs w:val="20"/>
                <w:color w:val="auto"/>
              </w:rPr>
            </w:pPr>
            <w:r>
              <w:rPr>
                <w:rFonts w:ascii="Arial" w:cs="Arial" w:eastAsia="Arial" w:hAnsi="Arial"/>
                <w:sz w:val="14"/>
                <w:szCs w:val="14"/>
                <w:i w:val="1"/>
                <w:iCs w:val="1"/>
                <w:color w:val="auto"/>
              </w:rPr>
              <w:t>Liabilities:</w:t>
            </w:r>
          </w:p>
        </w:tc>
        <w:tc>
          <w:tcPr>
            <w:tcW w:w="1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820" w:type="dxa"/>
            <w:vAlign w:val="bottom"/>
          </w:tcPr>
          <w:p>
            <w:pPr>
              <w:ind w:left="220"/>
              <w:spacing w:after="0"/>
              <w:rPr>
                <w:sz w:val="20"/>
                <w:szCs w:val="20"/>
                <w:color w:val="auto"/>
              </w:rPr>
            </w:pPr>
            <w:r>
              <w:rPr>
                <w:rFonts w:ascii="Arial" w:cs="Arial" w:eastAsia="Arial" w:hAnsi="Arial"/>
                <w:sz w:val="14"/>
                <w:szCs w:val="14"/>
                <w:color w:val="auto"/>
              </w:rPr>
              <w:t>Other noncurrent liabilities:</w:t>
            </w:r>
          </w:p>
        </w:tc>
        <w:tc>
          <w:tcPr>
            <w:tcW w:w="18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(2,951)</w:t>
            </w:r>
            <w:r>
              <w:rPr>
                <w:rFonts w:ascii="Arial" w:cs="Arial" w:eastAsia="Arial" w:hAnsi="Arial"/>
                <w:sz w:val="23"/>
                <w:szCs w:val="23"/>
                <w:b w:val="1"/>
                <w:bCs w:val="1"/>
                <w:color w:val="auto"/>
                <w:vertAlign w:val="superscript"/>
              </w:rPr>
              <w:t>(b)</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(2,400)</w:t>
            </w:r>
            <w:r>
              <w:rPr>
                <w:rFonts w:ascii="Arial" w:cs="Arial" w:eastAsia="Arial" w:hAnsi="Arial"/>
                <w:sz w:val="23"/>
                <w:szCs w:val="23"/>
                <w:color w:val="auto"/>
                <w:vertAlign w:val="superscript"/>
              </w:rPr>
              <w:t>(c)</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4820" w:type="dxa"/>
            <w:vAlign w:val="bottom"/>
          </w:tcPr>
          <w:p>
            <w:pPr>
              <w:ind w:left="440"/>
              <w:spacing w:after="0"/>
              <w:rPr>
                <w:sz w:val="20"/>
                <w:szCs w:val="20"/>
                <w:color w:val="auto"/>
              </w:rPr>
            </w:pPr>
            <w:r>
              <w:rPr>
                <w:rFonts w:ascii="Arial" w:cs="Arial" w:eastAsia="Arial" w:hAnsi="Arial"/>
                <w:sz w:val="14"/>
                <w:szCs w:val="14"/>
                <w:color w:val="auto"/>
              </w:rPr>
              <w:t>Interest rate swaps</w:t>
            </w:r>
          </w:p>
        </w:tc>
        <w:tc>
          <w:tcPr>
            <w:tcW w:w="180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Original cost basis $0.5 million</w:t>
      </w:r>
    </w:p>
    <w:p>
      <w:pPr>
        <w:spacing w:after="0" w:line="1" w:lineRule="exact"/>
        <w:rPr>
          <w:rFonts w:ascii="Arial" w:cs="Arial" w:eastAsia="Arial" w:hAnsi="Arial"/>
          <w:sz w:val="14"/>
          <w:szCs w:val="14"/>
          <w:color w:val="auto"/>
        </w:rPr>
      </w:pPr>
    </w:p>
    <w:p>
      <w:pPr>
        <w:ind w:left="1300" w:hanging="320"/>
        <w:spacing w:after="0"/>
        <w:tabs>
          <w:tab w:leader="none" w:pos="1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$13.8 million receivable floating leg and $16.8 million liability fixed leg</w:t>
      </w:r>
    </w:p>
    <w:p>
      <w:pPr>
        <w:spacing w:after="0" w:line="1" w:lineRule="exact"/>
        <w:rPr>
          <w:rFonts w:ascii="Arial" w:cs="Arial" w:eastAsia="Arial" w:hAnsi="Arial"/>
          <w:sz w:val="14"/>
          <w:szCs w:val="14"/>
          <w:color w:val="auto"/>
        </w:rPr>
      </w:pPr>
    </w:p>
    <w:p>
      <w:pPr>
        <w:ind w:left="1300" w:hanging="320"/>
        <w:spacing w:after="0"/>
        <w:tabs>
          <w:tab w:leader="none" w:pos="1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$7.4 million receivable floating leg and $9.8 million liability fixed leg</w:t>
      </w:r>
    </w:p>
    <w:p>
      <w:pPr>
        <w:spacing w:after="0" w:line="212"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97"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205"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(income)/expenses, net.</w:t>
      </w:r>
    </w:p>
    <w:p>
      <w:pPr>
        <w:spacing w:after="0" w:line="203"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203"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(income)/expenses, net. Revaluation gains and losses occur when our business units have cash, intercompany (recorded in Other (income)/expenses, net) or third-party trade (recorded in Selling, General and Administrative expenses) receivable or payable balances in a currency other than their local reporting (or functional) currency.</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881" w:right="219" w:bottom="1440" w:gutter="0" w:footer="0" w:header="0"/>
        </w:sectPr>
      </w:pPr>
    </w:p>
    <w:bookmarkStart w:id="23" w:name="page24"/>
    <w:bookmarkEnd w:id="23"/>
    <w:p>
      <w:pPr>
        <w:ind w:right="20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20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to the extent that the hedges are highly effective. As of September 30, 2016, these interest rate swaps were determined to be highly effective hedges of interest rate cash flow risk. Any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and amortization related to the swap buyouts, affect earnings. Interest expense related to the current swaps totaled $1.2 million for the nine month period ended September 30, 2016 and $ 1.5 million for the nine month period ended September 30, 2015. Interest expense related to the swap buyouts totaled $0.5 million for the nine month period ended September 30, 2016 and $0.0 million for the nine month period ended September 30, 2015.</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(income)/expenses, net in the</w:t>
      </w: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80" w:type="dxa"/>
            <w:vAlign w:val="bottom"/>
            <w:tcBorders>
              <w:top w:val="single" w:sz="8" w:color="auto"/>
            </w:tcBorders>
          </w:tcPr>
          <w:p>
            <w:pPr>
              <w:spacing w:after="0"/>
              <w:rPr>
                <w:sz w:val="16"/>
                <w:szCs w:val="16"/>
                <w:color w:val="auto"/>
              </w:rPr>
            </w:pPr>
          </w:p>
        </w:tc>
        <w:tc>
          <w:tcPr>
            <w:tcW w:w="3640" w:type="dxa"/>
            <w:vAlign w:val="bottom"/>
            <w:tcBorders>
              <w:top w:val="single" w:sz="8" w:color="auto"/>
            </w:tcBorders>
            <w:gridSpan w:val="2"/>
          </w:tcPr>
          <w:p>
            <w:pPr>
              <w:ind w:left="1240"/>
              <w:spacing w:after="0" w:line="194" w:lineRule="exact"/>
              <w:rPr>
                <w:sz w:val="20"/>
                <w:szCs w:val="20"/>
                <w:color w:val="auto"/>
              </w:rPr>
            </w:pPr>
            <w:r>
              <w:rPr>
                <w:rFonts w:ascii="Arial" w:cs="Arial" w:eastAsia="Arial" w:hAnsi="Arial"/>
                <w:sz w:val="18"/>
                <w:szCs w:val="18"/>
                <w:b w:val="1"/>
                <w:bCs w:val="1"/>
                <w:color w:val="auto"/>
              </w:rPr>
              <w:t>Three months ended</w:t>
            </w:r>
          </w:p>
        </w:tc>
        <w:tc>
          <w:tcPr>
            <w:tcW w:w="2500" w:type="dxa"/>
            <w:vAlign w:val="bottom"/>
            <w:tcBorders>
              <w:top w:val="single" w:sz="8" w:color="auto"/>
            </w:tcBorders>
            <w:gridSpan w:val="2"/>
          </w:tcPr>
          <w:p>
            <w:pPr>
              <w:jc w:val="center"/>
              <w:ind w:right="10"/>
              <w:spacing w:after="0" w:line="194"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3640" w:type="dxa"/>
            <w:vAlign w:val="bottom"/>
            <w:gridSpan w:val="2"/>
          </w:tcPr>
          <w:p>
            <w:pPr>
              <w:ind w:left="1500"/>
              <w:spacing w:after="0" w:line="202" w:lineRule="exact"/>
              <w:rPr>
                <w:sz w:val="20"/>
                <w:szCs w:val="20"/>
                <w:color w:val="auto"/>
              </w:rPr>
            </w:pPr>
            <w:r>
              <w:rPr>
                <w:rFonts w:ascii="Arial" w:cs="Arial" w:eastAsia="Arial" w:hAnsi="Arial"/>
                <w:sz w:val="18"/>
                <w:szCs w:val="18"/>
                <w:b w:val="1"/>
                <w:bCs w:val="1"/>
                <w:color w:val="auto"/>
              </w:rPr>
              <w:t>September 30,</w:t>
            </w:r>
          </w:p>
        </w:tc>
        <w:tc>
          <w:tcPr>
            <w:tcW w:w="2500" w:type="dxa"/>
            <w:vAlign w:val="bottom"/>
            <w:gridSpan w:val="2"/>
          </w:tcPr>
          <w:p>
            <w:pPr>
              <w:jc w:val="center"/>
              <w:ind w:right="1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0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2016</w:t>
            </w: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5280" w:type="dxa"/>
            <w:vAlign w:val="bottom"/>
          </w:tcPr>
          <w:p>
            <w:pPr>
              <w:spacing w:after="0" w:line="195" w:lineRule="exact"/>
              <w:rPr>
                <w:sz w:val="20"/>
                <w:szCs w:val="20"/>
                <w:color w:val="auto"/>
              </w:rPr>
            </w:pPr>
            <w:r>
              <w:rPr>
                <w:rFonts w:ascii="Arial" w:cs="Arial" w:eastAsia="Arial" w:hAnsi="Arial"/>
                <w:sz w:val="18"/>
                <w:szCs w:val="18"/>
                <w:color w:val="auto"/>
              </w:rPr>
              <w:t>Derivatives not designated as hedging instruments</w:t>
            </w:r>
          </w:p>
        </w:tc>
        <w:tc>
          <w:tcPr>
            <w:tcW w:w="2300" w:type="dxa"/>
            <w:vAlign w:val="bottom"/>
            <w:vMerge w:val="restart"/>
          </w:tcPr>
          <w:p>
            <w:pPr>
              <w:ind w:left="1480"/>
              <w:spacing w:after="0"/>
              <w:rPr>
                <w:sz w:val="20"/>
                <w:szCs w:val="20"/>
                <w:color w:val="auto"/>
              </w:rPr>
            </w:pPr>
            <w:r>
              <w:rPr>
                <w:rFonts w:ascii="Arial" w:cs="Arial" w:eastAsia="Arial" w:hAnsi="Arial"/>
                <w:sz w:val="18"/>
                <w:szCs w:val="18"/>
                <w:b w:val="1"/>
                <w:bCs w:val="1"/>
                <w:color w:val="auto"/>
              </w:rPr>
              <w:t>($218)</w:t>
            </w:r>
          </w:p>
        </w:tc>
        <w:tc>
          <w:tcPr>
            <w:tcW w:w="1340" w:type="dxa"/>
            <w:vAlign w:val="bottom"/>
          </w:tcPr>
          <w:p>
            <w:pPr>
              <w:spacing w:after="0"/>
              <w:rPr>
                <w:sz w:val="16"/>
                <w:szCs w:val="16"/>
                <w:color w:val="auto"/>
              </w:rPr>
            </w:pPr>
          </w:p>
        </w:tc>
        <w:tc>
          <w:tcPr>
            <w:tcW w:w="13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$237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tcPr>
          <w:p>
            <w:pPr>
              <w:ind w:left="360"/>
              <w:spacing w:after="0" w:line="203" w:lineRule="exact"/>
              <w:rPr>
                <w:sz w:val="20"/>
                <w:szCs w:val="20"/>
                <w:color w:val="auto"/>
              </w:rPr>
            </w:pPr>
            <w:r>
              <w:rPr>
                <w:rFonts w:ascii="Arial" w:cs="Arial" w:eastAsia="Arial" w:hAnsi="Arial"/>
                <w:sz w:val="18"/>
                <w:szCs w:val="18"/>
                <w:color w:val="auto"/>
              </w:rPr>
              <w:t>Foreign currency options</w:t>
            </w:r>
          </w:p>
        </w:tc>
        <w:tc>
          <w:tcPr>
            <w:tcW w:w="230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$25</w:t>
            </w:r>
          </w:p>
        </w:tc>
        <w:tc>
          <w:tcPr>
            <w:tcW w:w="13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93"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3,753 claims as of September 30, 2016.</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4" w:name="page25"/>
    <w:bookmarkEnd w:id="24"/>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640" w:type="dxa"/>
            <w:vAlign w:val="bottom"/>
            <w:tcBorders>
              <w:top w:val="single" w:sz="8" w:color="auto"/>
              <w:left w:val="single" w:sz="8" w:color="auto"/>
              <w:right w:val="single" w:sz="8" w:color="auto"/>
            </w:tcBorders>
          </w:tcPr>
          <w:p>
            <w:pPr>
              <w:spacing w:after="0"/>
              <w:rPr>
                <w:sz w:val="16"/>
                <w:szCs w:val="16"/>
                <w:color w:val="auto"/>
              </w:rPr>
            </w:pPr>
          </w:p>
        </w:tc>
        <w:tc>
          <w:tcPr>
            <w:tcW w:w="1580" w:type="dxa"/>
            <w:vAlign w:val="bottom"/>
            <w:tcBorders>
              <w:top w:val="single" w:sz="8" w:color="auto"/>
              <w:right w:val="single" w:sz="8" w:color="auto"/>
            </w:tcBorders>
          </w:tcPr>
          <w:p>
            <w:pPr>
              <w:spacing w:after="0"/>
              <w:rPr>
                <w:sz w:val="16"/>
                <w:szCs w:val="16"/>
                <w:color w:val="auto"/>
              </w:rPr>
            </w:pPr>
          </w:p>
        </w:tc>
        <w:tc>
          <w:tcPr>
            <w:tcW w:w="1580" w:type="dxa"/>
            <w:vAlign w:val="bottom"/>
            <w:tcBorders>
              <w:top w:val="single" w:sz="8" w:color="auto"/>
              <w:right w:val="single" w:sz="8" w:color="auto"/>
            </w:tcBorders>
          </w:tcPr>
          <w:p>
            <w:pPr>
              <w:jc w:val="center"/>
              <w:ind w:right="50"/>
              <w:spacing w:after="0" w:line="194" w:lineRule="exact"/>
              <w:rPr>
                <w:sz w:val="20"/>
                <w:szCs w:val="20"/>
                <w:color w:val="auto"/>
              </w:rPr>
            </w:pPr>
            <w:r>
              <w:rPr>
                <w:rFonts w:ascii="Arial" w:cs="Arial" w:eastAsia="Arial" w:hAnsi="Arial"/>
                <w:sz w:val="18"/>
                <w:szCs w:val="18"/>
                <w:b w:val="1"/>
                <w:bCs w:val="1"/>
                <w:color w:val="auto"/>
              </w:rPr>
              <w:t>Claims</w:t>
            </w:r>
          </w:p>
        </w:tc>
        <w:tc>
          <w:tcPr>
            <w:tcW w:w="1580" w:type="dxa"/>
            <w:vAlign w:val="bottom"/>
            <w:tcBorders>
              <w:top w:val="single" w:sz="8" w:color="auto"/>
              <w:right w:val="single" w:sz="8" w:color="auto"/>
            </w:tcBorders>
          </w:tcPr>
          <w:p>
            <w:pPr>
              <w:spacing w:after="0"/>
              <w:rPr>
                <w:sz w:val="16"/>
                <w:szCs w:val="16"/>
                <w:color w:val="auto"/>
              </w:rPr>
            </w:pPr>
          </w:p>
        </w:tc>
        <w:tc>
          <w:tcPr>
            <w:tcW w:w="1580" w:type="dxa"/>
            <w:vAlign w:val="bottom"/>
            <w:tcBorders>
              <w:top w:val="single" w:sz="8" w:color="auto"/>
              <w:right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Amounts Paid</w:t>
            </w:r>
          </w:p>
        </w:tc>
      </w:tr>
      <w:tr>
        <w:trPr>
          <w:trHeight w:val="203"/>
        </w:trPr>
        <w:tc>
          <w:tcPr>
            <w:tcW w:w="364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Opening</w:t>
            </w:r>
          </w:p>
        </w:tc>
        <w:tc>
          <w:tcPr>
            <w:tcW w:w="1580" w:type="dxa"/>
            <w:vAlign w:val="bottom"/>
            <w:tcBorders>
              <w:right w:val="single" w:sz="8" w:color="auto"/>
            </w:tcBorders>
          </w:tcPr>
          <w:p>
            <w:pPr>
              <w:jc w:val="center"/>
              <w:ind w:right="50"/>
              <w:spacing w:after="0" w:line="202" w:lineRule="exact"/>
              <w:rPr>
                <w:sz w:val="20"/>
                <w:szCs w:val="20"/>
                <w:color w:val="auto"/>
              </w:rPr>
            </w:pPr>
            <w:r>
              <w:rPr>
                <w:rFonts w:ascii="Arial" w:cs="Arial" w:eastAsia="Arial" w:hAnsi="Arial"/>
                <w:sz w:val="18"/>
                <w:szCs w:val="18"/>
                <w:b w:val="1"/>
                <w:bCs w:val="1"/>
                <w:color w:val="auto"/>
              </w:rPr>
              <w:t>Dismissed,</w:t>
            </w: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w:t>
            </w:r>
          </w:p>
        </w:tc>
      </w:tr>
      <w:tr>
        <w:trPr>
          <w:trHeight w:val="203"/>
        </w:trPr>
        <w:tc>
          <w:tcPr>
            <w:tcW w:w="364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Number of</w:t>
            </w:r>
          </w:p>
        </w:tc>
        <w:tc>
          <w:tcPr>
            <w:tcW w:w="1580" w:type="dxa"/>
            <w:vAlign w:val="bottom"/>
            <w:tcBorders>
              <w:right w:val="single" w:sz="8" w:color="auto"/>
            </w:tcBorders>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Settled, or</w:t>
            </w: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Closing Number</w:t>
            </w: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 or</w:t>
            </w:r>
          </w:p>
        </w:tc>
      </w:tr>
      <w:tr>
        <w:trPr>
          <w:trHeight w:val="225"/>
        </w:trPr>
        <w:tc>
          <w:tcPr>
            <w:tcW w:w="3640" w:type="dxa"/>
            <w:vAlign w:val="bottom"/>
            <w:tcBorders>
              <w:left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Year ended December 31,</w:t>
            </w:r>
          </w:p>
        </w:tc>
        <w:tc>
          <w:tcPr>
            <w:tcW w:w="15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Claims</w:t>
            </w:r>
          </w:p>
        </w:tc>
        <w:tc>
          <w:tcPr>
            <w:tcW w:w="15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Resolved</w:t>
            </w:r>
          </w:p>
        </w:tc>
        <w:tc>
          <w:tcPr>
            <w:tcW w:w="15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New Claims</w:t>
            </w:r>
          </w:p>
        </w:tc>
        <w:tc>
          <w:tcPr>
            <w:tcW w:w="158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of Claims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Resolve</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2005</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29,411</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6,257</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1,297</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24,451</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$504</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2006</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24,451</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6,841</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1,806</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19,416</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3,879</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2007</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19,416</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808</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190</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18,798</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15</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2008</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18,798</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523</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110</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18,385</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52</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2009</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18,385</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9,482</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42</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8,945</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88</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2010</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8,945</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3,963</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188</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5,170</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159</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2011</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5,170</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789</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65</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4,446</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1,111</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2012</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4,446</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90</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107</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4,463</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530</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2013</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4,463</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230</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66</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4,299</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2014</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4,299</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625</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147</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3,821</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437</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2015</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3,821</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116</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86</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3,791</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164</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As of September 30, 2016</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3,791</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127</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89</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3,753</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$733</w:t>
            </w:r>
          </w:p>
        </w:tc>
      </w:tr>
    </w:tbl>
    <w:p>
      <w:pPr>
        <w:spacing w:after="0" w:line="188"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56"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September 30, 2016 we had resolved, by means of settlement or dismissal, 37,468 claims. The total cost of resolving all claims was $10.1 million. Of this amount, almost 100% was paid by our insurance carrier. The Company’s insurer has confirmed that although the coverage limits under two (of approximately 23) primary insurance policies have been exhausted, there still remains approximately $3 million in coverage limits under other applicable primary policies, and $140 million in coverage under excess umbrella coverage policies that should be available with respect to current and future asbestos claims.</w:t>
      </w:r>
    </w:p>
    <w:p>
      <w:pPr>
        <w:spacing w:after="0" w:line="176" w:lineRule="exact"/>
        <w:rPr>
          <w:sz w:val="20"/>
          <w:szCs w:val="20"/>
          <w:color w:val="auto"/>
        </w:rPr>
      </w:pPr>
    </w:p>
    <w:p>
      <w:pPr>
        <w:ind w:right="280" w:firstLine="648"/>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7,707 claims as of September 30, 2016.</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640" w:type="dxa"/>
            <w:vAlign w:val="bottom"/>
            <w:tcBorders>
              <w:top w:val="single" w:sz="8" w:color="auto"/>
              <w:left w:val="single" w:sz="8" w:color="auto"/>
              <w:right w:val="single" w:sz="8" w:color="auto"/>
            </w:tcBorders>
          </w:tcPr>
          <w:p>
            <w:pPr>
              <w:spacing w:after="0"/>
              <w:rPr>
                <w:sz w:val="16"/>
                <w:szCs w:val="16"/>
                <w:color w:val="auto"/>
              </w:rPr>
            </w:pPr>
          </w:p>
        </w:tc>
        <w:tc>
          <w:tcPr>
            <w:tcW w:w="1580" w:type="dxa"/>
            <w:vAlign w:val="bottom"/>
            <w:tcBorders>
              <w:top w:val="single" w:sz="8" w:color="auto"/>
              <w:right w:val="single" w:sz="8" w:color="auto"/>
            </w:tcBorders>
          </w:tcPr>
          <w:p>
            <w:pPr>
              <w:spacing w:after="0"/>
              <w:rPr>
                <w:sz w:val="16"/>
                <w:szCs w:val="16"/>
                <w:color w:val="auto"/>
              </w:rPr>
            </w:pPr>
          </w:p>
        </w:tc>
        <w:tc>
          <w:tcPr>
            <w:tcW w:w="1580" w:type="dxa"/>
            <w:vAlign w:val="bottom"/>
            <w:tcBorders>
              <w:top w:val="single" w:sz="8" w:color="auto"/>
              <w:right w:val="single" w:sz="8" w:color="auto"/>
            </w:tcBorders>
          </w:tcPr>
          <w:p>
            <w:pPr>
              <w:jc w:val="center"/>
              <w:ind w:right="50"/>
              <w:spacing w:after="0" w:line="194" w:lineRule="exact"/>
              <w:rPr>
                <w:sz w:val="20"/>
                <w:szCs w:val="20"/>
                <w:color w:val="auto"/>
              </w:rPr>
            </w:pPr>
            <w:r>
              <w:rPr>
                <w:rFonts w:ascii="Arial" w:cs="Arial" w:eastAsia="Arial" w:hAnsi="Arial"/>
                <w:sz w:val="18"/>
                <w:szCs w:val="18"/>
                <w:b w:val="1"/>
                <w:bCs w:val="1"/>
                <w:color w:val="auto"/>
              </w:rPr>
              <w:t>Claims</w:t>
            </w:r>
          </w:p>
        </w:tc>
        <w:tc>
          <w:tcPr>
            <w:tcW w:w="1580" w:type="dxa"/>
            <w:vAlign w:val="bottom"/>
            <w:tcBorders>
              <w:top w:val="single" w:sz="8" w:color="auto"/>
              <w:right w:val="single" w:sz="8" w:color="auto"/>
            </w:tcBorders>
          </w:tcPr>
          <w:p>
            <w:pPr>
              <w:spacing w:after="0"/>
              <w:rPr>
                <w:sz w:val="16"/>
                <w:szCs w:val="16"/>
                <w:color w:val="auto"/>
              </w:rPr>
            </w:pPr>
          </w:p>
        </w:tc>
        <w:tc>
          <w:tcPr>
            <w:tcW w:w="1580" w:type="dxa"/>
            <w:vAlign w:val="bottom"/>
            <w:tcBorders>
              <w:top w:val="single" w:sz="8" w:color="auto"/>
              <w:right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Amounts Paid</w:t>
            </w:r>
          </w:p>
        </w:tc>
      </w:tr>
      <w:tr>
        <w:trPr>
          <w:trHeight w:val="203"/>
        </w:trPr>
        <w:tc>
          <w:tcPr>
            <w:tcW w:w="364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Opening</w:t>
            </w:r>
          </w:p>
        </w:tc>
        <w:tc>
          <w:tcPr>
            <w:tcW w:w="1580" w:type="dxa"/>
            <w:vAlign w:val="bottom"/>
            <w:tcBorders>
              <w:right w:val="single" w:sz="8" w:color="auto"/>
            </w:tcBorders>
          </w:tcPr>
          <w:p>
            <w:pPr>
              <w:jc w:val="center"/>
              <w:ind w:right="50"/>
              <w:spacing w:after="0" w:line="202" w:lineRule="exact"/>
              <w:rPr>
                <w:sz w:val="20"/>
                <w:szCs w:val="20"/>
                <w:color w:val="auto"/>
              </w:rPr>
            </w:pPr>
            <w:r>
              <w:rPr>
                <w:rFonts w:ascii="Arial" w:cs="Arial" w:eastAsia="Arial" w:hAnsi="Arial"/>
                <w:sz w:val="18"/>
                <w:szCs w:val="18"/>
                <w:b w:val="1"/>
                <w:bCs w:val="1"/>
                <w:color w:val="auto"/>
              </w:rPr>
              <w:t>Dismissed,</w:t>
            </w: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w:t>
            </w:r>
          </w:p>
        </w:tc>
      </w:tr>
      <w:tr>
        <w:trPr>
          <w:trHeight w:val="203"/>
        </w:trPr>
        <w:tc>
          <w:tcPr>
            <w:tcW w:w="364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Number of</w:t>
            </w:r>
          </w:p>
        </w:tc>
        <w:tc>
          <w:tcPr>
            <w:tcW w:w="1580" w:type="dxa"/>
            <w:vAlign w:val="bottom"/>
            <w:tcBorders>
              <w:right w:val="single" w:sz="8" w:color="auto"/>
            </w:tcBorders>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Settled, or</w:t>
            </w:r>
          </w:p>
        </w:tc>
        <w:tc>
          <w:tcPr>
            <w:tcW w:w="15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right"/>
              <w:ind w:right="70"/>
              <w:spacing w:after="0" w:line="202" w:lineRule="exact"/>
              <w:rPr>
                <w:sz w:val="20"/>
                <w:szCs w:val="20"/>
                <w:color w:val="auto"/>
              </w:rPr>
            </w:pPr>
            <w:r>
              <w:rPr>
                <w:rFonts w:ascii="Arial" w:cs="Arial" w:eastAsia="Arial" w:hAnsi="Arial"/>
                <w:sz w:val="18"/>
                <w:szCs w:val="18"/>
                <w:b w:val="1"/>
                <w:bCs w:val="1"/>
                <w:color w:val="auto"/>
              </w:rPr>
              <w:t>Closing Number</w:t>
            </w: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 or</w:t>
            </w:r>
          </w:p>
        </w:tc>
      </w:tr>
      <w:tr>
        <w:trPr>
          <w:trHeight w:val="225"/>
        </w:trPr>
        <w:tc>
          <w:tcPr>
            <w:tcW w:w="3640" w:type="dxa"/>
            <w:vAlign w:val="bottom"/>
            <w:tcBorders>
              <w:left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Year ended December 31,</w:t>
            </w:r>
          </w:p>
        </w:tc>
        <w:tc>
          <w:tcPr>
            <w:tcW w:w="15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Claims</w:t>
            </w:r>
          </w:p>
        </w:tc>
        <w:tc>
          <w:tcPr>
            <w:tcW w:w="158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Resolved</w:t>
            </w:r>
          </w:p>
        </w:tc>
        <w:tc>
          <w:tcPr>
            <w:tcW w:w="15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New Claims</w:t>
            </w:r>
          </w:p>
        </w:tc>
        <w:tc>
          <w:tcPr>
            <w:tcW w:w="158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of Claims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Resolve</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2005</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9,985</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642</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223</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9,566</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2006</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9,566</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1,182</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730</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9,114</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2007</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9,114</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462</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88</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8,740</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2008</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8,740</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86</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10</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8,664</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2009</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8,664</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760</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3</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7,907</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2010</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7,907</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47</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9</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7,869</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2011</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7,869</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3</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11</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7,877</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2012</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7,877</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12</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7,867</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2013</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7,867</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55</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3</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7,815</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2014</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7,815</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87</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7,730</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2015</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7,730</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18</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7,713</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364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As of September 30, 2016</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7,713</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6</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right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7,707</w:t>
            </w:r>
          </w:p>
        </w:tc>
        <w:tc>
          <w:tcPr>
            <w:tcW w:w="146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r>
    </w:tbl>
    <w:p>
      <w:pPr>
        <w:spacing w:after="0" w:line="188"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September 30, 2016, Brandon has resolved, by means of settlement or dismissal, 9,899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64"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ind w:right="60" w:firstLine="648"/>
        <w:spacing w:after="0" w:line="238"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Changes in Shareholders’ Equity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Shareholders’ Equity: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center"/>
              <w:ind w:left="548"/>
              <w:spacing w:after="0"/>
              <w:rPr>
                <w:sz w:val="20"/>
                <w:szCs w:val="20"/>
                <w:color w:val="auto"/>
              </w:rPr>
            </w:pPr>
            <w:r>
              <w:rPr>
                <w:rFonts w:ascii="Arial" w:cs="Arial" w:eastAsia="Arial" w:hAnsi="Arial"/>
                <w:sz w:val="14"/>
                <w:szCs w:val="14"/>
                <w:b w:val="1"/>
                <w:bCs w:val="1"/>
                <w:color w:val="auto"/>
              </w:rPr>
              <w:t>Common</w:t>
            </w:r>
          </w:p>
        </w:tc>
        <w:tc>
          <w:tcPr>
            <w:tcW w:w="9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Accumulated</w:t>
            </w:r>
          </w:p>
        </w:tc>
        <w:tc>
          <w:tcPr>
            <w:tcW w:w="8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r>
      <w:tr>
        <w:trPr>
          <w:trHeight w:val="162"/>
        </w:trPr>
        <w:tc>
          <w:tcPr>
            <w:tcW w:w="4140" w:type="dxa"/>
            <w:vAlign w:val="bottom"/>
          </w:tcPr>
          <w:p>
            <w:pPr>
              <w:spacing w:after="0"/>
              <w:rPr>
                <w:sz w:val="14"/>
                <w:szCs w:val="14"/>
                <w:color w:val="auto"/>
              </w:rPr>
            </w:pPr>
          </w:p>
        </w:tc>
        <w:tc>
          <w:tcPr>
            <w:tcW w:w="1460" w:type="dxa"/>
            <w:vAlign w:val="bottom"/>
          </w:tcPr>
          <w:p>
            <w:pPr>
              <w:jc w:val="center"/>
              <w:ind w:left="548"/>
              <w:spacing w:after="0"/>
              <w:rPr>
                <w:sz w:val="20"/>
                <w:szCs w:val="20"/>
                <w:color w:val="auto"/>
              </w:rPr>
            </w:pPr>
            <w:r>
              <w:rPr>
                <w:rFonts w:ascii="Arial" w:cs="Arial" w:eastAsia="Arial" w:hAnsi="Arial"/>
                <w:sz w:val="14"/>
                <w:szCs w:val="14"/>
                <w:b w:val="1"/>
                <w:bCs w:val="1"/>
                <w:color w:val="auto"/>
              </w:rPr>
              <w:t>Stock</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Additional</w:t>
            </w:r>
          </w:p>
        </w:tc>
        <w:tc>
          <w:tcPr>
            <w:tcW w:w="8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items of other</w:t>
            </w: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4140" w:type="dxa"/>
            <w:vAlign w:val="bottom"/>
          </w:tcPr>
          <w:p>
            <w:pPr>
              <w:spacing w:after="0"/>
              <w:rPr>
                <w:sz w:val="14"/>
                <w:szCs w:val="14"/>
                <w:color w:val="auto"/>
              </w:rPr>
            </w:pPr>
          </w:p>
        </w:tc>
        <w:tc>
          <w:tcPr>
            <w:tcW w:w="1460" w:type="dxa"/>
            <w:vAlign w:val="bottom"/>
          </w:tcPr>
          <w:p>
            <w:pPr>
              <w:jc w:val="center"/>
              <w:ind w:left="548"/>
              <w:spacing w:after="0"/>
              <w:rPr>
                <w:sz w:val="20"/>
                <w:szCs w:val="20"/>
                <w:color w:val="auto"/>
              </w:rPr>
            </w:pPr>
            <w:r>
              <w:rPr>
                <w:rFonts w:ascii="Arial" w:cs="Arial" w:eastAsia="Arial" w:hAnsi="Arial"/>
                <w:sz w:val="14"/>
                <w:szCs w:val="14"/>
                <w:b w:val="1"/>
                <w:bCs w:val="1"/>
                <w:color w:val="auto"/>
              </w:rPr>
              <w:t>Class</w:t>
            </w: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paid in</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Retained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comprehensive</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Treasury</w:t>
            </w: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Noncontrolling</w:t>
            </w: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75"/>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b w:val="1"/>
                <w:bCs w:val="1"/>
                <w:color w:val="auto"/>
              </w:rPr>
              <w:t>A and B</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income/(loss)</w:t>
            </w: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Interest</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Equity</w:t>
            </w:r>
          </w:p>
        </w:tc>
      </w:tr>
      <w:tr>
        <w:trPr>
          <w:trHeight w:val="156"/>
        </w:trPr>
        <w:tc>
          <w:tcPr>
            <w:tcW w:w="4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December 31, 2015</w:t>
            </w: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$40</w:t>
            </w:r>
          </w:p>
        </w:tc>
        <w:tc>
          <w:tcPr>
            <w:tcW w:w="9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$423,108</w:t>
            </w:r>
          </w:p>
        </w:tc>
        <w:tc>
          <w:tcPr>
            <w:tcW w:w="8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$491,950</w:t>
            </w:r>
          </w:p>
        </w:tc>
        <w:tc>
          <w:tcPr>
            <w:tcW w:w="12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($158,844)</w:t>
            </w:r>
          </w:p>
        </w:tc>
        <w:tc>
          <w:tcPr>
            <w:tcW w:w="8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($257,391)</w:t>
            </w:r>
          </w:p>
        </w:tc>
        <w:tc>
          <w:tcPr>
            <w:tcW w:w="11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$3,690</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$502,553</w:t>
            </w:r>
          </w:p>
        </w:tc>
      </w:tr>
      <w:tr>
        <w:trPr>
          <w:trHeight w:val="160"/>
        </w:trPr>
        <w:tc>
          <w:tcPr>
            <w:tcW w:w="4140" w:type="dxa"/>
            <w:vAlign w:val="bottom"/>
          </w:tcPr>
          <w:p>
            <w:pPr>
              <w:spacing w:after="0"/>
              <w:rPr>
                <w:sz w:val="20"/>
                <w:szCs w:val="20"/>
                <w:color w:val="auto"/>
              </w:rPr>
            </w:pPr>
            <w:r>
              <w:rPr>
                <w:rFonts w:ascii="Arial" w:cs="Arial" w:eastAsia="Arial" w:hAnsi="Arial"/>
                <w:sz w:val="14"/>
                <w:szCs w:val="14"/>
                <w:color w:val="auto"/>
              </w:rPr>
              <w:t>Net income</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36,937</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(111)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36,826</w:t>
            </w:r>
          </w:p>
        </w:tc>
      </w:tr>
      <w:tr>
        <w:trPr>
          <w:trHeight w:val="162"/>
        </w:trPr>
        <w:tc>
          <w:tcPr>
            <w:tcW w:w="4140" w:type="dxa"/>
            <w:vAlign w:val="bottom"/>
          </w:tcPr>
          <w:p>
            <w:pPr>
              <w:spacing w:after="0"/>
              <w:rPr>
                <w:sz w:val="20"/>
                <w:szCs w:val="20"/>
                <w:color w:val="auto"/>
              </w:rPr>
            </w:pPr>
            <w:r>
              <w:rPr>
                <w:rFonts w:ascii="Arial" w:cs="Arial" w:eastAsia="Arial" w:hAnsi="Arial"/>
                <w:sz w:val="14"/>
                <w:szCs w:val="14"/>
                <w:color w:val="auto"/>
              </w:rPr>
              <w:t>Compensation and benefits paid or payable in shares</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1,447</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1,447</w:t>
            </w:r>
          </w:p>
        </w:tc>
      </w:tr>
      <w:tr>
        <w:trPr>
          <w:trHeight w:val="162"/>
        </w:trPr>
        <w:tc>
          <w:tcPr>
            <w:tcW w:w="4140" w:type="dxa"/>
            <w:vAlign w:val="bottom"/>
          </w:tcPr>
          <w:p>
            <w:pPr>
              <w:spacing w:after="0"/>
              <w:rPr>
                <w:sz w:val="20"/>
                <w:szCs w:val="20"/>
                <w:color w:val="auto"/>
              </w:rPr>
            </w:pPr>
            <w:r>
              <w:rPr>
                <w:rFonts w:ascii="Arial" w:cs="Arial" w:eastAsia="Arial" w:hAnsi="Arial"/>
                <w:sz w:val="14"/>
                <w:szCs w:val="14"/>
                <w:color w:val="auto"/>
              </w:rPr>
              <w:t>Options exercised</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570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570</w:t>
            </w:r>
          </w:p>
        </w:tc>
      </w:tr>
      <w:tr>
        <w:trPr>
          <w:trHeight w:val="162"/>
        </w:trPr>
        <w:tc>
          <w:tcPr>
            <w:tcW w:w="4140" w:type="dxa"/>
            <w:vAlign w:val="bottom"/>
          </w:tcPr>
          <w:p>
            <w:pPr>
              <w:spacing w:after="0"/>
              <w:rPr>
                <w:sz w:val="20"/>
                <w:szCs w:val="20"/>
                <w:color w:val="auto"/>
              </w:rPr>
            </w:pPr>
            <w:r>
              <w:rPr>
                <w:rFonts w:ascii="Arial" w:cs="Arial" w:eastAsia="Arial" w:hAnsi="Arial"/>
                <w:sz w:val="14"/>
                <w:szCs w:val="14"/>
                <w:color w:val="auto"/>
              </w:rPr>
              <w:t>Shares issued to Directors'</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190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245</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435</w:t>
            </w:r>
          </w:p>
        </w:tc>
      </w:tr>
      <w:tr>
        <w:trPr>
          <w:trHeight w:val="162"/>
        </w:trPr>
        <w:tc>
          <w:tcPr>
            <w:tcW w:w="4140" w:type="dxa"/>
            <w:vAlign w:val="bottom"/>
          </w:tcPr>
          <w:p>
            <w:pPr>
              <w:spacing w:after="0"/>
              <w:rPr>
                <w:sz w:val="20"/>
                <w:szCs w:val="20"/>
                <w:color w:val="auto"/>
              </w:rPr>
            </w:pPr>
            <w:r>
              <w:rPr>
                <w:rFonts w:ascii="Arial" w:cs="Arial" w:eastAsia="Arial" w:hAnsi="Arial"/>
                <w:sz w:val="14"/>
                <w:szCs w:val="14"/>
                <w:color w:val="auto"/>
              </w:rPr>
              <w:t>Dividends declared</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(16,370)</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(16,370)</w:t>
            </w:r>
          </w:p>
        </w:tc>
      </w:tr>
      <w:tr>
        <w:trPr>
          <w:trHeight w:val="162"/>
        </w:trPr>
        <w:tc>
          <w:tcPr>
            <w:tcW w:w="4140" w:type="dxa"/>
            <w:vAlign w:val="bottom"/>
          </w:tcPr>
          <w:p>
            <w:pPr>
              <w:spacing w:after="0"/>
              <w:rPr>
                <w:sz w:val="20"/>
                <w:szCs w:val="20"/>
                <w:color w:val="auto"/>
              </w:rPr>
            </w:pPr>
            <w:r>
              <w:rPr>
                <w:rFonts w:ascii="Arial" w:cs="Arial" w:eastAsia="Arial" w:hAnsi="Arial"/>
                <w:sz w:val="14"/>
                <w:szCs w:val="14"/>
                <w:color w:val="auto"/>
              </w:rPr>
              <w:t>Cumulative translation adjustments</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2,216</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2,215</w:t>
            </w:r>
          </w:p>
        </w:tc>
      </w:tr>
      <w:tr>
        <w:trPr>
          <w:trHeight w:val="162"/>
        </w:trPr>
        <w:tc>
          <w:tcPr>
            <w:tcW w:w="4140" w:type="dxa"/>
            <w:vAlign w:val="bottom"/>
          </w:tcPr>
          <w:p>
            <w:pPr>
              <w:spacing w:after="0"/>
              <w:rPr>
                <w:sz w:val="20"/>
                <w:szCs w:val="20"/>
                <w:color w:val="auto"/>
              </w:rPr>
            </w:pPr>
            <w:r>
              <w:rPr>
                <w:rFonts w:ascii="Arial" w:cs="Arial" w:eastAsia="Arial" w:hAnsi="Arial"/>
                <w:sz w:val="14"/>
                <w:szCs w:val="14"/>
                <w:color w:val="auto"/>
              </w:rPr>
              <w:t>Pension and postretirement liability adjustments</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702</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702</w:t>
            </w:r>
          </w:p>
        </w:tc>
      </w:tr>
      <w:tr>
        <w:trPr>
          <w:trHeight w:val="157"/>
        </w:trPr>
        <w:tc>
          <w:tcPr>
            <w:tcW w:w="41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Derivative valuation adjustment</w:t>
            </w:r>
          </w:p>
        </w:tc>
        <w:tc>
          <w:tcPr>
            <w:tcW w:w="146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(3,255)</w:t>
            </w:r>
          </w:p>
        </w:tc>
        <w:tc>
          <w:tcPr>
            <w:tcW w:w="86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(3,255)</w:t>
            </w:r>
          </w:p>
        </w:tc>
      </w:tr>
      <w:tr>
        <w:trPr>
          <w:trHeight w:val="156"/>
        </w:trPr>
        <w:tc>
          <w:tcPr>
            <w:tcW w:w="4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September 30, 2016</w:t>
            </w:r>
          </w:p>
        </w:tc>
        <w:tc>
          <w:tcPr>
            <w:tcW w:w="1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$40</w:t>
            </w:r>
          </w:p>
        </w:tc>
        <w:tc>
          <w:tcPr>
            <w:tcW w:w="9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$425,315</w:t>
            </w:r>
          </w:p>
        </w:tc>
        <w:tc>
          <w:tcPr>
            <w:tcW w:w="8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$512,517</w:t>
            </w:r>
          </w:p>
        </w:tc>
        <w:tc>
          <w:tcPr>
            <w:tcW w:w="12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($159,181)</w:t>
            </w:r>
          </w:p>
        </w:tc>
        <w:tc>
          <w:tcPr>
            <w:tcW w:w="8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($257,146)</w:t>
            </w:r>
          </w:p>
        </w:tc>
        <w:tc>
          <w:tcPr>
            <w:tcW w:w="11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$3,578</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$525,123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 Accounting Pronouncements</w:t>
      </w:r>
    </w:p>
    <w:p>
      <w:pPr>
        <w:spacing w:after="0" w:line="207"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In May 2014, an accounting update was issued that replaces the existing revenue recognition framework regarding contracts with customers. There have been several revisions to the update, the latest occurring in May 2016. This accounting update is effective for reporting periods beginning after December 31, 2017. Early adoption is permitted but not before the original effective date, which is for reporting periods beginning after December 31, 2016. We have not determined the impact of this update on our financial statements.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7" w:name="page28"/>
    <w:bookmarkEnd w:id="27"/>
    <w:p>
      <w:pPr>
        <w:ind w:right="220" w:firstLine="648"/>
        <w:spacing w:after="0"/>
        <w:rPr>
          <w:sz w:val="20"/>
          <w:szCs w:val="20"/>
          <w:color w:val="auto"/>
        </w:rPr>
      </w:pPr>
      <w:r>
        <w:rPr>
          <w:rFonts w:ascii="Arial" w:cs="Arial" w:eastAsia="Arial" w:hAnsi="Arial"/>
          <w:sz w:val="18"/>
          <w:szCs w:val="18"/>
          <w:color w:val="auto"/>
        </w:rPr>
        <w:t>In February 2015, amended accounting guidance was issued which changes the evaluation of variable interest entities regarding whether they should consolidate limited partnerships and similar entities, or whether fees are paid to a decision maker or service provider, or whether they are held by related parties. We adopted this provision as of January 1, 2016 and it did not affect our financial statements.</w:t>
      </w:r>
    </w:p>
    <w:p>
      <w:pPr>
        <w:spacing w:after="0" w:line="162" w:lineRule="exact"/>
        <w:rPr>
          <w:sz w:val="20"/>
          <w:szCs w:val="20"/>
          <w:color w:val="auto"/>
        </w:rPr>
      </w:pPr>
    </w:p>
    <w:p>
      <w:pPr>
        <w:jc w:val="both"/>
        <w:ind w:right="460" w:firstLine="648"/>
        <w:spacing w:after="0"/>
        <w:rPr>
          <w:sz w:val="20"/>
          <w:szCs w:val="20"/>
          <w:color w:val="auto"/>
        </w:rPr>
      </w:pPr>
      <w:r>
        <w:rPr>
          <w:rFonts w:ascii="Arial" w:cs="Arial" w:eastAsia="Arial" w:hAnsi="Arial"/>
          <w:sz w:val="18"/>
          <w:szCs w:val="18"/>
          <w:color w:val="auto"/>
        </w:rPr>
        <w:t>In April 2015 and August 2015, accounting updates were issued which require that debt issuance costs related to certain types of recognized debt liability be presented in the balance sheet as a direct reduction of that debt, which could result in a minor netting down of assets and liabilities. We adopted this provision as of January 1, 2016 and it did not affect our financial statements.</w:t>
      </w:r>
    </w:p>
    <w:p>
      <w:pPr>
        <w:spacing w:after="0" w:line="17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In May 2015, an accounting update was issued which eliminates the requirement to categorize investments in the fair value hierarchy if their fair value is measured at net asset value (NAV) per share. We adopted this provision as of January 1, 2016 and it did not affect our financial statements.</w:t>
      </w:r>
    </w:p>
    <w:p>
      <w:pPr>
        <w:spacing w:after="0" w:line="162"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In July 2015, an accounting update was issued simplifying the measurement of inventory from the lower of cost or market to lower of cost or net realizable value. This accounting update eliminates the requirement for consideration of replacement cost or net realizable value less normal profit margin measurements. This accounting update is effective for reporting periods beginning after December 15, 2016. We do not expect the adoption of this update to have a significant effect on our financial statements.</w:t>
      </w:r>
    </w:p>
    <w:p>
      <w:pPr>
        <w:spacing w:after="0" w:line="161"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September 2015, an accounting update was issued which eliminates the requirement for an acquirer to retrospectively adjust the financial statements for measurement-period adjustments that occur in periods after a business combination is consummated. This accounting update was adopted January 1, 2016. Note 2 includes a table of measurement period adjustments related to the Company’s acquisition in the second quarter of 2016.</w:t>
      </w:r>
    </w:p>
    <w:p>
      <w:pPr>
        <w:spacing w:after="0" w:line="175"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In January 2016, an accounting update was issued which requires entities to present separately in Other comprehensive income the portion of the total change in the fair value of a liability resulting from a change in the instrument-specific credit risk if the entity has elected to measure the liability at fair value in accordance with the fair value option for financial instruments. This accounting update is effective for reporting periods beginning after December 15, 2017. We have not determined the impact of this update on our financial statements.</w:t>
      </w:r>
    </w:p>
    <w:p>
      <w:pPr>
        <w:spacing w:after="0" w:line="161" w:lineRule="exact"/>
        <w:rPr>
          <w:sz w:val="20"/>
          <w:szCs w:val="20"/>
          <w:color w:val="auto"/>
        </w:rPr>
      </w:pPr>
    </w:p>
    <w:p>
      <w:pPr>
        <w:jc w:val="both"/>
        <w:ind w:right="540" w:firstLine="648"/>
        <w:spacing w:after="0"/>
        <w:rPr>
          <w:sz w:val="20"/>
          <w:szCs w:val="20"/>
          <w:color w:val="auto"/>
        </w:rPr>
      </w:pPr>
      <w:r>
        <w:rPr>
          <w:rFonts w:ascii="Arial" w:cs="Arial" w:eastAsia="Arial" w:hAnsi="Arial"/>
          <w:sz w:val="18"/>
          <w:szCs w:val="18"/>
          <w:color w:val="auto"/>
        </w:rPr>
        <w:t>In February 2016, an accounting update was issued which requires lessees to recognize most leases on the balance sheet. The update may significantly increase reported assets and liabilities. This accounting update is effective for reporting periods beginning after December 15, 2018. We have not determined the impact of this update on our financial statements.</w:t>
      </w:r>
    </w:p>
    <w:p>
      <w:pPr>
        <w:spacing w:after="0" w:line="162"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In March 2016, an accounting update was issued which clarifies that a change in counterparty to a derivative contract, through novation, that is part of a hedge accounting relationship does not, by itself, require de-designation of that relationship, as long as all other hedge accounting criteria continue to be met. This accounting update is effective for reporting periods beginning after December 15, 2016. We do not expect the adoption of this update to have a significant effect on our financial statements.</w:t>
      </w:r>
    </w:p>
    <w:p>
      <w:pPr>
        <w:spacing w:after="0" w:line="175"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In March 2016, an accounting update was issued which simplifies the transition to the equity method of accounting by eliminating the requirement for an investor to retroactively apply the equity method when its increase in ownership interest, or degree of influence, triggers equity method accounting. This accounting update is effective for reporting periods beginning after December 15, 2016. We do not expect the adoption of this update to have a significant effect on our financial statements.</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28" w:name="page29"/>
    <w:bookmarkEnd w:id="28"/>
    <w:p>
      <w:pPr>
        <w:ind w:firstLine="648"/>
        <w:spacing w:after="0" w:line="238" w:lineRule="auto"/>
        <w:rPr>
          <w:sz w:val="20"/>
          <w:szCs w:val="20"/>
          <w:color w:val="auto"/>
        </w:rPr>
      </w:pPr>
      <w:r>
        <w:rPr>
          <w:rFonts w:ascii="Arial" w:cs="Arial" w:eastAsia="Arial" w:hAnsi="Arial"/>
          <w:sz w:val="18"/>
          <w:szCs w:val="18"/>
          <w:color w:val="auto"/>
        </w:rPr>
        <w:t>In March 2016, an accounting update was issued which simplifies several aspects related to the accounting for share-based payment transactions, including the income tax consequences, statutory tax withholding requirements, and classification of excess tax benefits on the statements of cash flows. This accounting update is effective for reporting periods beginning after December 15, 2016. Early adoption is permitted. Adoption of this accounting update could increase the volatility of income tax expense. We have not determined the effect of this update on our financial statements.</w:t>
      </w:r>
    </w:p>
    <w:p>
      <w:pPr>
        <w:spacing w:after="0" w:line="162"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In August 2016, an accounting update was issued in order to reduce diversity in practice in how certain transactions are classified in the statement of cash flows. This accounting update is effective for reporting periods beginning after December 15, 2017. Early adoption is permitted. We do not expect the adoption of this update to have a significant effect on our financial statements.</w:t>
      </w:r>
    </w:p>
    <w:p>
      <w:pPr>
        <w:spacing w:after="0" w:line="17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October 2016, an accounting update was issued which modifies the recognition of income tax effects on intracompany transfers of assets, other than inventory. This accounting update is effective for reporting periods beginning after December 15, 2017. We have not determined the effect of this update on our financial statements.</w:t>
      </w: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40"/>
          </w:cols>
          <w:pgMar w:left="240" w:top="463"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7" w:lineRule="exact"/>
        <w:rPr>
          <w:sz w:val="20"/>
          <w:szCs w:val="20"/>
          <w:color w:val="auto"/>
        </w:rPr>
      </w:pPr>
    </w:p>
    <w:p>
      <w:pPr>
        <w:ind w:right="40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”may,” “plan,” “project,” “will,” “should” and variations of such words or similar expressions are intended, but are not the exclusive means, to identify forward-looking statements. Because forward-looking statements are subject to risks and uncertainties, (including, without limitation, those set forth in the Company’s most recent Annual Report on Form 10-K or prior Quarterly Reports on Form 10-Q) actual results may differ materially from those expressed or implied by the forward-looking statements.</w:t>
      </w:r>
    </w:p>
    <w:p>
      <w:pPr>
        <w:spacing w:after="0" w:line="176" w:lineRule="exact"/>
        <w:rPr>
          <w:sz w:val="20"/>
          <w:szCs w:val="20"/>
          <w:color w:val="auto"/>
        </w:rPr>
      </w:pPr>
    </w:p>
    <w:p>
      <w:pPr>
        <w:ind w:right="520" w:firstLine="64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56" w:lineRule="exact"/>
        <w:rPr>
          <w:sz w:val="20"/>
          <w:szCs w:val="20"/>
          <w:color w:val="auto"/>
        </w:rPr>
      </w:pPr>
    </w:p>
    <w:p>
      <w:pPr>
        <w:ind w:left="1460" w:right="560" w:hanging="155"/>
        <w:spacing w:after="0" w:line="246"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segment competes, including the paper industry, along with general risks associated with macroeconomic conditions;</w:t>
      </w:r>
    </w:p>
    <w:p>
      <w:pPr>
        <w:spacing w:after="0" w:line="156" w:lineRule="exact"/>
        <w:rPr>
          <w:rFonts w:ascii="Arial" w:cs="Arial" w:eastAsia="Arial" w:hAnsi="Arial"/>
          <w:sz w:val="18"/>
          <w:szCs w:val="18"/>
          <w:color w:val="auto"/>
        </w:rPr>
      </w:pPr>
    </w:p>
    <w:p>
      <w:pPr>
        <w:ind w:left="1460" w:right="60" w:hanging="155"/>
        <w:spacing w:after="0" w:line="246"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Declines in demand for paper in certain regions and market segments that continue at a rate that is greater than anticipated, and growth in demand in other segments or regions that is lower or slower than anticipated;</w:t>
      </w:r>
    </w:p>
    <w:p>
      <w:pPr>
        <w:spacing w:after="0" w:line="169" w:lineRule="exact"/>
        <w:rPr>
          <w:rFonts w:ascii="Arial" w:cs="Arial" w:eastAsia="Arial" w:hAnsi="Arial"/>
          <w:sz w:val="18"/>
          <w:szCs w:val="18"/>
          <w:color w:val="auto"/>
        </w:rPr>
      </w:pPr>
    </w:p>
    <w:p>
      <w:pPr>
        <w:ind w:left="1460" w:hanging="155"/>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84" w:lineRule="exact"/>
        <w:rPr>
          <w:rFonts w:ascii="Arial" w:cs="Arial" w:eastAsia="Arial" w:hAnsi="Arial"/>
          <w:sz w:val="18"/>
          <w:szCs w:val="18"/>
          <w:color w:val="auto"/>
        </w:rPr>
      </w:pPr>
    </w:p>
    <w:p>
      <w:pPr>
        <w:ind w:left="1460" w:hanging="155"/>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the “Risk Factors” section of our most recent Annual Report on Form 10-K. Statements expressing our assessments of the growth potential of the Albany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819" w:right="259" w:bottom="1440" w:gutter="0" w:footer="0" w:header="0"/>
        </w:sectPr>
      </w:pPr>
    </w:p>
    <w:bookmarkStart w:id="30" w:name="page31"/>
    <w:bookmarkEnd w:id="30"/>
    <w:p>
      <w:pPr>
        <w:ind w:right="80"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2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proprietary, product-based advantage that is grounded in those core capabilities.</w:t>
      </w:r>
    </w:p>
    <w:p>
      <w:pPr>
        <w:spacing w:after="0" w:line="156"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MC segment is the Company’s long-established core business and primary generator of cash. While the paper and paperboard industry in our traditional geographic markets has suffered from well-documented declines in publication grades, the industry is still expected to grow slightly on a global basis, driven by demand for packaging and tissue grades, as well as the expansion of paper consumption and production in Asia and South America. We feel we are now well-positioned in these markets, with high-quality, low-cost production in growth markets, substantially lower fixed costs in mature markets, and continued strength in new product development, field services, and manufacturing technology. Because of pricing pressures and industry overcapacity, the machine clothing and paper industries will continue to face top line pressure. Nonetheless the business has potential for flat earnings in the future. It has been a significant generator of cash, and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166"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AEC segment, including the Company’s second quarter acquisition of Harris Corporation’s composite aerostructures business, provides significant growth potential for our Company both near and long term. Our strategy is to grow by focusing our proprietary technology and manufacturing capabilities on high-value aerospace and defense applications. AEC (including Albany Safran Composites, LLC (“ASC”), in which our customer SAFRAN Group owns a 10 percent noncontrolling interest) supplies a number of customers in the aerospace industry. AEC’s largest aerospace customer is the SAFRAN Group. Through ASC, AEC develops and sells composite aerospace components to SAFRAN, with the most significant program at present being the production of fan blades and fan cases for the LEAP engine. AEC (through ASC and otherwise) is also developing other new and potentially significant composite products for aerospace (engine and airframe) applications. Other growth programs of note are the fan case for the GE9X engine, airframe components and LiftFan ® parts for the Joint Strike Fighter (JSF) for Rolls Royce, and Boeing Forward Fuselage Frames. AEC is actively engaged in research to develop new applications in the aircraft engine, airframes, and automotive markets.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93" w:lineRule="exact"/>
        <w:rPr>
          <w:sz w:val="20"/>
          <w:szCs w:val="20"/>
          <w:color w:val="auto"/>
        </w:rPr>
      </w:pPr>
    </w:p>
    <w:p>
      <w:pPr>
        <w:ind w:right="280" w:firstLine="648"/>
        <w:spacing w:after="0" w:line="239" w:lineRule="auto"/>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for $187 million in cash, plus the assumption of certain liabilities. The acquired entity has been renamed Albany Aerostructures Composites LLC (“AAC”), and is part of the AEC segment. Management believes that the acquisition broadens and deepens AEC’s products, experience and manufacturing capabilities, and significantly increases opportunities for future growth.</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The following table presents operational results of AAC that are included in the Consolidated Statements of Income: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6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Three months</w:t>
            </w: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ended</w:t>
            </w:r>
          </w:p>
        </w:tc>
        <w:tc>
          <w:tcPr>
            <w:tcW w:w="1840" w:type="dxa"/>
            <w:vAlign w:val="bottom"/>
            <w:gridSpan w:val="3"/>
          </w:tcPr>
          <w:p>
            <w:pPr>
              <w:jc w:val="center"/>
              <w:ind w:left="410"/>
              <w:spacing w:after="0" w:line="202" w:lineRule="exact"/>
              <w:rPr>
                <w:sz w:val="20"/>
                <w:szCs w:val="20"/>
                <w:color w:val="auto"/>
              </w:rPr>
            </w:pPr>
            <w:r>
              <w:rPr>
                <w:rFonts w:ascii="Arial" w:cs="Arial" w:eastAsia="Arial" w:hAnsi="Arial"/>
                <w:sz w:val="18"/>
                <w:szCs w:val="18"/>
                <w:b w:val="1"/>
                <w:bCs w:val="1"/>
                <w:color w:val="auto"/>
                <w:w w:val="99"/>
              </w:rPr>
              <w:t>April 8 to</w:t>
            </w:r>
          </w:p>
        </w:tc>
      </w:tr>
      <w:tr>
        <w:trPr>
          <w:trHeight w:val="203"/>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September 30,</w:t>
            </w:r>
          </w:p>
        </w:tc>
        <w:tc>
          <w:tcPr>
            <w:tcW w:w="1840" w:type="dxa"/>
            <w:vAlign w:val="bottom"/>
            <w:gridSpan w:val="3"/>
          </w:tcPr>
          <w:p>
            <w:pPr>
              <w:jc w:val="center"/>
              <w:ind w:left="39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2016</w:t>
            </w: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310"/>
              <w:spacing w:after="0"/>
              <w:rPr>
                <w:sz w:val="20"/>
                <w:szCs w:val="20"/>
                <w:color w:val="auto"/>
              </w:rPr>
            </w:pPr>
            <w:r>
              <w:rPr>
                <w:rFonts w:ascii="Arial" w:cs="Arial" w:eastAsia="Arial" w:hAnsi="Arial"/>
                <w:sz w:val="18"/>
                <w:szCs w:val="18"/>
                <w:b w:val="1"/>
                <w:bCs w:val="1"/>
                <w:color w:val="auto"/>
                <w:w w:val="99"/>
              </w:rPr>
              <w:t>2016</w:t>
            </w:r>
          </w:p>
        </w:tc>
      </w:tr>
      <w:tr>
        <w:trPr>
          <w:trHeight w:val="173"/>
        </w:trPr>
        <w:tc>
          <w:tcPr>
            <w:tcW w:w="4640" w:type="dxa"/>
            <w:vAlign w:val="bottom"/>
            <w:gridSpan w:val="2"/>
          </w:tcPr>
          <w:p>
            <w:pPr>
              <w:spacing w:after="0" w:line="173" w:lineRule="exact"/>
              <w:rPr>
                <w:sz w:val="20"/>
                <w:szCs w:val="20"/>
                <w:color w:val="auto"/>
              </w:rPr>
            </w:pPr>
            <w:r>
              <w:rPr>
                <w:rFonts w:ascii="Arial" w:cs="Arial" w:eastAsia="Arial" w:hAnsi="Arial"/>
                <w:sz w:val="18"/>
                <w:szCs w:val="18"/>
                <w:color w:val="auto"/>
              </w:rPr>
              <w:t>Net sales</w:t>
            </w:r>
          </w:p>
        </w:tc>
        <w:tc>
          <w:tcPr>
            <w:tcW w:w="1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$20,354</w:t>
            </w:r>
          </w:p>
        </w:tc>
        <w:tc>
          <w:tcPr>
            <w:tcW w:w="880" w:type="dxa"/>
            <w:vAlign w:val="bottom"/>
          </w:tcPr>
          <w:p>
            <w:pPr>
              <w:spacing w:after="0"/>
              <w:rPr>
                <w:sz w:val="15"/>
                <w:szCs w:val="15"/>
                <w:color w:val="auto"/>
              </w:rPr>
            </w:pPr>
          </w:p>
        </w:tc>
        <w:tc>
          <w:tcPr>
            <w:tcW w:w="960" w:type="dxa"/>
            <w:vAlign w:val="bottom"/>
            <w:gridSpan w:val="2"/>
          </w:tcPr>
          <w:p>
            <w:pPr>
              <w:jc w:val="right"/>
              <w:ind w:right="10"/>
              <w:spacing w:after="0" w:line="173" w:lineRule="exact"/>
              <w:rPr>
                <w:sz w:val="20"/>
                <w:szCs w:val="20"/>
                <w:color w:val="auto"/>
              </w:rPr>
            </w:pPr>
            <w:r>
              <w:rPr>
                <w:rFonts w:ascii="Arial" w:cs="Arial" w:eastAsia="Arial" w:hAnsi="Arial"/>
                <w:sz w:val="18"/>
                <w:szCs w:val="18"/>
                <w:b w:val="1"/>
                <w:bCs w:val="1"/>
                <w:color w:val="auto"/>
              </w:rPr>
              <w:t>$45,990</w:t>
            </w: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1,697</w:t>
            </w:r>
          </w:p>
        </w:tc>
        <w:tc>
          <w:tcPr>
            <w:tcW w:w="880" w:type="dxa"/>
            <w:vAlign w:val="bottom"/>
          </w:tcPr>
          <w:p>
            <w:pPr>
              <w:spacing w:after="0"/>
              <w:rPr>
                <w:sz w:val="17"/>
                <w:szCs w:val="17"/>
                <w:color w:val="auto"/>
              </w:rPr>
            </w:pPr>
          </w:p>
        </w:tc>
        <w:tc>
          <w:tcPr>
            <w:tcW w:w="96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6,670</w:t>
            </w: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Selling, technical, general and research expenses</w:t>
            </w: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3,157</w:t>
            </w:r>
          </w:p>
        </w:tc>
        <w:tc>
          <w:tcPr>
            <w:tcW w:w="880" w:type="dxa"/>
            <w:vAlign w:val="bottom"/>
          </w:tcPr>
          <w:p>
            <w:pPr>
              <w:spacing w:after="0"/>
              <w:rPr>
                <w:sz w:val="17"/>
                <w:szCs w:val="17"/>
                <w:color w:val="auto"/>
              </w:rPr>
            </w:pPr>
          </w:p>
        </w:tc>
        <w:tc>
          <w:tcPr>
            <w:tcW w:w="96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6,421</w:t>
            </w: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income/(loss)</w:t>
            </w: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(1,460)</w:t>
            </w:r>
          </w:p>
        </w:tc>
        <w:tc>
          <w:tcPr>
            <w:tcW w:w="880" w:type="dxa"/>
            <w:vAlign w:val="bottom"/>
          </w:tcPr>
          <w:p>
            <w:pPr>
              <w:spacing w:after="0"/>
              <w:rPr>
                <w:sz w:val="17"/>
                <w:szCs w:val="17"/>
                <w:color w:val="auto"/>
              </w:rPr>
            </w:pPr>
          </w:p>
        </w:tc>
        <w:tc>
          <w:tcPr>
            <w:tcW w:w="96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249</w:t>
            </w: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182</w:t>
            </w:r>
          </w:p>
        </w:tc>
        <w:tc>
          <w:tcPr>
            <w:tcW w:w="880" w:type="dxa"/>
            <w:vAlign w:val="bottom"/>
          </w:tcPr>
          <w:p>
            <w:pPr>
              <w:spacing w:after="0"/>
              <w:rPr>
                <w:sz w:val="17"/>
                <w:szCs w:val="17"/>
                <w:color w:val="auto"/>
              </w:rPr>
            </w:pPr>
          </w:p>
        </w:tc>
        <w:tc>
          <w:tcPr>
            <w:tcW w:w="96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626</w:t>
            </w:r>
          </w:p>
        </w:tc>
      </w:tr>
      <w:tr>
        <w:trPr>
          <w:trHeight w:val="225"/>
        </w:trPr>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Income/(loss) before income taxes</w:t>
            </w:r>
          </w:p>
        </w:tc>
        <w:tc>
          <w:tcPr>
            <w:tcW w:w="1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(1,642)</w:t>
            </w:r>
          </w:p>
        </w:tc>
        <w:tc>
          <w:tcPr>
            <w:tcW w:w="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(377)</w:t>
            </w:r>
          </w:p>
        </w:tc>
      </w:tr>
      <w:tr>
        <w:trPr>
          <w:trHeight w:val="399"/>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220" w:type="dxa"/>
            <w:vAlign w:val="bottom"/>
            <w:gridSpan w:val="2"/>
          </w:tcPr>
          <w:p>
            <w:pPr>
              <w:jc w:val="right"/>
              <w:ind w:right="110"/>
              <w:spacing w:after="0"/>
              <w:rPr>
                <w:sz w:val="20"/>
                <w:szCs w:val="20"/>
                <w:color w:val="auto"/>
              </w:rPr>
            </w:pPr>
            <w:r>
              <w:rPr>
                <w:rFonts w:ascii="Arial" w:cs="Arial" w:eastAsia="Arial" w:hAnsi="Arial"/>
                <w:sz w:val="18"/>
                <w:szCs w:val="18"/>
                <w:color w:val="auto"/>
              </w:rPr>
              <w:t>The following table summarizes our net sales by business segment:</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46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2"/>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760" w:type="dxa"/>
            <w:vAlign w:val="bottom"/>
            <w:gridSpan w:val="2"/>
          </w:tcPr>
          <w:p>
            <w:pPr>
              <w:jc w:val="right"/>
              <w:ind w:right="210"/>
              <w:spacing w:after="0" w:line="173" w:lineRule="exact"/>
              <w:rPr>
                <w:sz w:val="20"/>
                <w:szCs w:val="20"/>
                <w:color w:val="auto"/>
              </w:rPr>
            </w:pPr>
            <w:r>
              <w:rPr>
                <w:rFonts w:ascii="Arial" w:cs="Arial" w:eastAsia="Arial" w:hAnsi="Arial"/>
                <w:sz w:val="18"/>
                <w:szCs w:val="18"/>
                <w:b w:val="1"/>
                <w:bCs w:val="1"/>
                <w:color w:val="auto"/>
              </w:rPr>
              <w:t>Three months ended</w:t>
            </w:r>
          </w:p>
        </w:tc>
        <w:tc>
          <w:tcPr>
            <w:tcW w:w="840" w:type="dxa"/>
            <w:vAlign w:val="bottom"/>
          </w:tcPr>
          <w:p>
            <w:pPr>
              <w:spacing w:after="0"/>
              <w:rPr>
                <w:sz w:val="15"/>
                <w:szCs w:val="15"/>
                <w:color w:val="auto"/>
              </w:rPr>
            </w:pPr>
          </w:p>
        </w:tc>
        <w:tc>
          <w:tcPr>
            <w:tcW w:w="2220" w:type="dxa"/>
            <w:vAlign w:val="bottom"/>
            <w:gridSpan w:val="2"/>
          </w:tcPr>
          <w:p>
            <w:pPr>
              <w:jc w:val="right"/>
              <w:ind w:right="130"/>
              <w:spacing w:after="0" w:line="173" w:lineRule="exact"/>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7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6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 except percentages)</w:t>
            </w:r>
          </w:p>
        </w:tc>
        <w:tc>
          <w:tcPr>
            <w:tcW w:w="160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2016</w:t>
            </w:r>
          </w:p>
        </w:tc>
        <w:tc>
          <w:tcPr>
            <w:tcW w:w="116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2015</w:t>
            </w:r>
          </w:p>
        </w:tc>
        <w:tc>
          <w:tcPr>
            <w:tcW w:w="8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Change</w:t>
            </w:r>
          </w:p>
        </w:tc>
        <w:tc>
          <w:tcPr>
            <w:tcW w:w="13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2016</w:t>
            </w:r>
          </w:p>
        </w:tc>
        <w:tc>
          <w:tcPr>
            <w:tcW w:w="88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Change</w:t>
            </w:r>
          </w:p>
        </w:tc>
      </w:tr>
      <w:tr>
        <w:trPr>
          <w:trHeight w:val="173"/>
        </w:trPr>
        <w:tc>
          <w:tcPr>
            <w:tcW w:w="20" w:type="dxa"/>
            <w:vAlign w:val="bottom"/>
          </w:tcPr>
          <w:p>
            <w:pPr>
              <w:spacing w:after="0"/>
              <w:rPr>
                <w:sz w:val="15"/>
                <w:szCs w:val="15"/>
                <w:color w:val="auto"/>
              </w:rPr>
            </w:pPr>
          </w:p>
        </w:tc>
        <w:tc>
          <w:tcPr>
            <w:tcW w:w="46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600" w:type="dxa"/>
            <w:vAlign w:val="bottom"/>
          </w:tcPr>
          <w:p>
            <w:pPr>
              <w:jc w:val="right"/>
              <w:ind w:right="90"/>
              <w:spacing w:after="0" w:line="173" w:lineRule="exact"/>
              <w:rPr>
                <w:sz w:val="20"/>
                <w:szCs w:val="20"/>
                <w:color w:val="auto"/>
              </w:rPr>
            </w:pPr>
            <w:r>
              <w:rPr>
                <w:rFonts w:ascii="Arial" w:cs="Arial" w:eastAsia="Arial" w:hAnsi="Arial"/>
                <w:sz w:val="18"/>
                <w:szCs w:val="18"/>
                <w:b w:val="1"/>
                <w:bCs w:val="1"/>
                <w:color w:val="auto"/>
              </w:rPr>
              <w:t>$143,248</w:t>
            </w:r>
          </w:p>
        </w:tc>
        <w:tc>
          <w:tcPr>
            <w:tcW w:w="116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$154,522</w:t>
            </w:r>
          </w:p>
        </w:tc>
        <w:tc>
          <w:tcPr>
            <w:tcW w:w="840" w:type="dxa"/>
            <w:vAlign w:val="bottom"/>
          </w:tcPr>
          <w:p>
            <w:pPr>
              <w:jc w:val="right"/>
              <w:spacing w:after="0" w:line="173" w:lineRule="exact"/>
              <w:rPr>
                <w:sz w:val="20"/>
                <w:szCs w:val="20"/>
                <w:color w:val="auto"/>
              </w:rPr>
            </w:pPr>
            <w:r>
              <w:rPr>
                <w:rFonts w:ascii="Arial" w:cs="Arial" w:eastAsia="Arial" w:hAnsi="Arial"/>
                <w:sz w:val="18"/>
                <w:szCs w:val="18"/>
                <w:color w:val="auto"/>
              </w:rPr>
              <w:t>-7.3%</w:t>
            </w:r>
          </w:p>
        </w:tc>
        <w:tc>
          <w:tcPr>
            <w:tcW w:w="134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$437,445</w:t>
            </w:r>
          </w:p>
        </w:tc>
        <w:tc>
          <w:tcPr>
            <w:tcW w:w="8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$463,577</w:t>
            </w:r>
          </w:p>
        </w:tc>
        <w:tc>
          <w:tcPr>
            <w:tcW w:w="960" w:type="dxa"/>
            <w:vAlign w:val="bottom"/>
            <w:gridSpan w:val="2"/>
          </w:tcPr>
          <w:p>
            <w:pPr>
              <w:jc w:val="right"/>
              <w:spacing w:after="0" w:line="173" w:lineRule="exact"/>
              <w:rPr>
                <w:sz w:val="20"/>
                <w:szCs w:val="20"/>
                <w:color w:val="auto"/>
              </w:rPr>
            </w:pPr>
            <w:r>
              <w:rPr>
                <w:rFonts w:ascii="Arial" w:cs="Arial" w:eastAsia="Arial" w:hAnsi="Arial"/>
                <w:sz w:val="18"/>
                <w:szCs w:val="18"/>
                <w:color w:val="auto"/>
              </w:rPr>
              <w:t>-5.6%</w:t>
            </w:r>
          </w:p>
        </w:tc>
      </w:tr>
      <w:tr>
        <w:trPr>
          <w:trHeight w:val="225"/>
        </w:trPr>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48,024</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24,267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129,348</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68,825</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87.9%</w:t>
            </w:r>
          </w:p>
        </w:tc>
      </w:tr>
      <w:tr>
        <w:trPr>
          <w:trHeight w:val="196"/>
        </w:trPr>
        <w:tc>
          <w:tcPr>
            <w:tcW w:w="46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$191,272</w:t>
            </w:r>
          </w:p>
        </w:tc>
        <w:tc>
          <w:tcPr>
            <w:tcW w:w="11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$178,789</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w:t>
            </w:r>
          </w:p>
        </w:tc>
        <w:tc>
          <w:tcPr>
            <w:tcW w:w="13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$566,793</w:t>
            </w:r>
          </w:p>
        </w:tc>
        <w:tc>
          <w:tcPr>
            <w:tcW w:w="8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$532,402</w:t>
            </w:r>
          </w:p>
        </w:tc>
        <w:tc>
          <w:tcPr>
            <w:tcW w:w="9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6.5%</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93" w:lineRule="exact"/>
        <w:rPr>
          <w:sz w:val="20"/>
          <w:szCs w:val="20"/>
          <w:color w:val="auto"/>
        </w:rPr>
      </w:pPr>
    </w:p>
    <w:p>
      <w:pPr>
        <w:ind w:left="1300" w:right="200" w:hanging="320"/>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$0.2 million during the third quarter of 2016 as compared to 2015.</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increased 6.8% compared to the same period in 2015.</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MC decreased 7.4%.</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AEC increased 97.8%.</w:t>
      </w:r>
    </w:p>
    <w:p>
      <w:pPr>
        <w:spacing w:after="0" w:line="9" w:lineRule="exact"/>
        <w:rPr>
          <w:rFonts w:ascii="Arial" w:cs="Arial" w:eastAsia="Arial" w:hAnsi="Arial"/>
          <w:sz w:val="18"/>
          <w:szCs w:val="18"/>
          <w:color w:val="auto"/>
        </w:rPr>
      </w:pPr>
    </w:p>
    <w:p>
      <w:pPr>
        <w:ind w:left="1300" w:right="60" w:hanging="320"/>
        <w:spacing w:after="0" w:line="23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Compared to the third quarter of 2015, Machine Clothing sales decreased in virtually every region and paper grade. The decrease reflects a return to a more normal seasonal pattern combined with weakness in the publication grades in Europe and Asia.</w:t>
      </w:r>
    </w:p>
    <w:p>
      <w:pPr>
        <w:spacing w:after="0" w:line="2"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AEC sales increased $23.8 million, principally due to the acquisition and growth in the LEAP program.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07" w:lineRule="exact"/>
        <w:rPr>
          <w:sz w:val="20"/>
          <w:szCs w:val="20"/>
          <w:color w:val="auto"/>
        </w:rPr>
      </w:pPr>
    </w:p>
    <w:p>
      <w:pPr>
        <w:ind w:left="1300" w:right="20" w:hanging="320"/>
        <w:spacing w:after="0" w:line="23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$1.8 million during the first nine months of 2016 as compared to 2015.</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increased 6.8% compared to the same period in 2015.</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in MC decreased 5.2%.</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Net sales in AEC increased 87.8%.</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2" w:name="page33"/>
    <w:bookmarkEnd w:id="32"/>
    <w:p>
      <w:pPr>
        <w:ind w:left="1300" w:right="340" w:hanging="320"/>
        <w:spacing w:after="0" w:line="23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the decline in the first nine months of 2016 MC segment sales was principally due to the continuing effect of the significant drop in publication grade sales.</w:t>
      </w:r>
    </w:p>
    <w:p>
      <w:pPr>
        <w:spacing w:after="0" w:line="1" w:lineRule="exact"/>
        <w:rPr>
          <w:rFonts w:ascii="Arial" w:cs="Arial" w:eastAsia="Arial" w:hAnsi="Arial"/>
          <w:sz w:val="18"/>
          <w:szCs w:val="18"/>
          <w:color w:val="auto"/>
        </w:rPr>
      </w:pPr>
    </w:p>
    <w:p>
      <w:pPr>
        <w:ind w:left="1300" w:right="460" w:hanging="320"/>
        <w:spacing w:after="0" w:line="24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AEC sales increased $60.5 million, reflecting the acquisition of AAC. The remainder of the increase was principally due to growth in the LEAP program.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profit/(loss) by business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0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w:t>
            </w:r>
          </w:p>
        </w:tc>
        <w:tc>
          <w:tcPr>
            <w:tcW w:w="2560" w:type="dxa"/>
            <w:vAlign w:val="bottom"/>
            <w:tcBorders>
              <w:top w:val="single" w:sz="8" w:color="auto"/>
            </w:tcBorders>
            <w:gridSpan w:val="2"/>
          </w:tcPr>
          <w:p>
            <w:pPr>
              <w:jc w:val="right"/>
              <w:ind w:right="43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4700" w:type="dxa"/>
            <w:vAlign w:val="bottom"/>
          </w:tcPr>
          <w:p>
            <w:pPr>
              <w:spacing w:after="0"/>
              <w:rPr>
                <w:sz w:val="17"/>
                <w:szCs w:val="17"/>
                <w:color w:val="auto"/>
              </w:rPr>
            </w:pPr>
          </w:p>
        </w:tc>
        <w:tc>
          <w:tcPr>
            <w:tcW w:w="4160" w:type="dxa"/>
            <w:vAlign w:val="bottom"/>
            <w:gridSpan w:val="2"/>
          </w:tcPr>
          <w:p>
            <w:pPr>
              <w:jc w:val="right"/>
              <w:ind w:right="890"/>
              <w:spacing w:after="0" w:line="202" w:lineRule="exact"/>
              <w:rPr>
                <w:sz w:val="20"/>
                <w:szCs w:val="20"/>
                <w:color w:val="auto"/>
              </w:rPr>
            </w:pPr>
            <w:r>
              <w:rPr>
                <w:rFonts w:ascii="Arial" w:cs="Arial" w:eastAsia="Arial" w:hAnsi="Arial"/>
                <w:sz w:val="18"/>
                <w:szCs w:val="18"/>
                <w:b w:val="1"/>
                <w:bCs w:val="1"/>
                <w:color w:val="auto"/>
              </w:rPr>
              <w:t>September 30,</w:t>
            </w:r>
          </w:p>
        </w:tc>
        <w:tc>
          <w:tcPr>
            <w:tcW w:w="2560" w:type="dxa"/>
            <w:vAlign w:val="bottom"/>
            <w:gridSpan w:val="2"/>
          </w:tcPr>
          <w:p>
            <w:pPr>
              <w:jc w:val="right"/>
              <w:ind w:right="65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173"/>
        </w:trPr>
        <w:tc>
          <w:tcPr>
            <w:tcW w:w="470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78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$68,104</w:t>
            </w:r>
          </w:p>
        </w:tc>
        <w:tc>
          <w:tcPr>
            <w:tcW w:w="138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$74,721</w:t>
            </w:r>
          </w:p>
        </w:tc>
        <w:tc>
          <w:tcPr>
            <w:tcW w:w="14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$208,628</w:t>
            </w:r>
          </w:p>
        </w:tc>
        <w:tc>
          <w:tcPr>
            <w:tcW w:w="11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$218,084</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7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4,556</w:t>
            </w:r>
          </w:p>
        </w:tc>
        <w:tc>
          <w:tcPr>
            <w:tcW w:w="13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1,438</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15,329</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(9,891)</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(240)</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(415)</w:t>
            </w: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(721)</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(1,173)</w:t>
            </w:r>
          </w:p>
        </w:tc>
      </w:tr>
      <w:tr>
        <w:trPr>
          <w:trHeight w:val="196"/>
        </w:trPr>
        <w:tc>
          <w:tcPr>
            <w:tcW w:w="4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$72,420</w:t>
            </w:r>
          </w:p>
        </w:tc>
        <w:tc>
          <w:tcPr>
            <w:tcW w:w="13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$75,744</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$223,236</w:t>
            </w:r>
          </w:p>
        </w:tc>
        <w:tc>
          <w:tcPr>
            <w:tcW w:w="11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$207,020</w:t>
            </w:r>
          </w:p>
        </w:tc>
      </w:tr>
      <w:tr>
        <w:trPr>
          <w:trHeight w:val="196"/>
        </w:trPr>
        <w:tc>
          <w:tcPr>
            <w:tcW w:w="4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7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37.9%</w:t>
            </w:r>
          </w:p>
        </w:tc>
        <w:tc>
          <w:tcPr>
            <w:tcW w:w="1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42.4%</w:t>
            </w:r>
          </w:p>
        </w:tc>
        <w:tc>
          <w:tcPr>
            <w:tcW w:w="14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39.4%</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7" w:lineRule="exact"/>
        <w:rPr>
          <w:sz w:val="20"/>
          <w:szCs w:val="20"/>
          <w:color w:val="auto"/>
        </w:rPr>
      </w:pPr>
    </w:p>
    <w:p>
      <w:pPr>
        <w:ind w:right="680" w:firstLine="324"/>
        <w:spacing w:after="0" w:line="246" w:lineRule="auto"/>
        <w:rPr>
          <w:sz w:val="20"/>
          <w:szCs w:val="20"/>
          <w:color w:val="auto"/>
        </w:rPr>
      </w:pPr>
      <w:r>
        <w:rPr>
          <w:rFonts w:ascii="Arial" w:cs="Arial" w:eastAsia="Arial" w:hAnsi="Arial"/>
          <w:sz w:val="18"/>
          <w:szCs w:val="18"/>
          <w:color w:val="auto"/>
        </w:rPr>
        <w:t>The decrease in gross profit, compared to the same period in 2015, was principally due to the net effect of the following individually significant items:</w:t>
      </w:r>
    </w:p>
    <w:p>
      <w:pPr>
        <w:spacing w:after="0" w:line="156" w:lineRule="exact"/>
        <w:rPr>
          <w:sz w:val="20"/>
          <w:szCs w:val="20"/>
          <w:color w:val="auto"/>
        </w:rPr>
      </w:pPr>
    </w:p>
    <w:p>
      <w:pPr>
        <w:ind w:left="1300" w:right="120" w:hanging="320"/>
        <w:spacing w:after="0" w:line="23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$6.6 million decrease in MC, principally due to lower sales. MC gross profit margin declined to 47.5% in 2016 from 48.4% in 2015, principally due to the sales decrease.</w:t>
      </w:r>
    </w:p>
    <w:p>
      <w:pPr>
        <w:spacing w:after="0" w:line="1" w:lineRule="exact"/>
        <w:rPr>
          <w:rFonts w:ascii="Arial" w:cs="Arial" w:eastAsia="Arial" w:hAnsi="Arial"/>
          <w:sz w:val="18"/>
          <w:szCs w:val="18"/>
          <w:color w:val="auto"/>
        </w:rPr>
      </w:pPr>
    </w:p>
    <w:p>
      <w:pPr>
        <w:ind w:left="1300" w:right="440" w:hanging="320"/>
        <w:spacing w:after="0" w:line="246"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in AEC gross profit to $4.6 million in the third quarter of 2016, compared to $1.4 million in the third quarter of 2015, due to higher sales as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07" w:lineRule="exact"/>
        <w:rPr>
          <w:sz w:val="20"/>
          <w:szCs w:val="20"/>
          <w:color w:val="auto"/>
        </w:rPr>
      </w:pPr>
    </w:p>
    <w:p>
      <w:pPr>
        <w:ind w:right="740" w:firstLine="324"/>
        <w:spacing w:after="0" w:line="246" w:lineRule="auto"/>
        <w:rPr>
          <w:sz w:val="20"/>
          <w:szCs w:val="20"/>
          <w:color w:val="auto"/>
        </w:rPr>
      </w:pPr>
      <w:r>
        <w:rPr>
          <w:rFonts w:ascii="Arial" w:cs="Arial" w:eastAsia="Arial" w:hAnsi="Arial"/>
          <w:sz w:val="18"/>
          <w:szCs w:val="18"/>
          <w:color w:val="auto"/>
        </w:rPr>
        <w:t>The increase in gross profit, compared to the same period in 2015, was principally due to the net effect of the following individually significant items:</w:t>
      </w:r>
    </w:p>
    <w:p>
      <w:pPr>
        <w:spacing w:after="0" w:line="156" w:lineRule="exact"/>
        <w:rPr>
          <w:sz w:val="20"/>
          <w:szCs w:val="20"/>
          <w:color w:val="auto"/>
        </w:rPr>
      </w:pPr>
    </w:p>
    <w:p>
      <w:pPr>
        <w:ind w:left="1300" w:right="520" w:hanging="320"/>
        <w:spacing w:after="0" w:line="23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reduction in MC sales described above resulted in a decrease in gross profit of $12.3 million. MC gross profit margin improved to 47.7% in 2016 from 47.0% in 2015, principally due to better capacity utilization.</w:t>
      </w:r>
    </w:p>
    <w:p>
      <w:pPr>
        <w:spacing w:after="0" w:line="1" w:lineRule="exact"/>
        <w:rPr>
          <w:rFonts w:ascii="Arial" w:cs="Arial" w:eastAsia="Arial" w:hAnsi="Arial"/>
          <w:sz w:val="18"/>
          <w:szCs w:val="18"/>
          <w:color w:val="auto"/>
        </w:rPr>
      </w:pPr>
    </w:p>
    <w:p>
      <w:pPr>
        <w:ind w:left="1300" w:right="440" w:hanging="320"/>
        <w:spacing w:after="0" w:line="246"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 in AEC gross profit was principally due to the $14.0 million BR 725 charge in 2015, the acquisition of AAC in 2016, which added $6.7 million to gross profit in 2016, and higher sales in the LEAP program.</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0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w:t>
            </w:r>
          </w:p>
        </w:tc>
        <w:tc>
          <w:tcPr>
            <w:tcW w:w="2560" w:type="dxa"/>
            <w:vAlign w:val="bottom"/>
            <w:tcBorders>
              <w:top w:val="single" w:sz="8" w:color="auto"/>
            </w:tcBorders>
            <w:gridSpan w:val="2"/>
          </w:tcPr>
          <w:p>
            <w:pPr>
              <w:jc w:val="right"/>
              <w:ind w:right="43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4700" w:type="dxa"/>
            <w:vAlign w:val="bottom"/>
          </w:tcPr>
          <w:p>
            <w:pPr>
              <w:spacing w:after="0"/>
              <w:rPr>
                <w:sz w:val="17"/>
                <w:szCs w:val="17"/>
                <w:color w:val="auto"/>
              </w:rPr>
            </w:pPr>
          </w:p>
        </w:tc>
        <w:tc>
          <w:tcPr>
            <w:tcW w:w="4160" w:type="dxa"/>
            <w:vAlign w:val="bottom"/>
            <w:gridSpan w:val="2"/>
          </w:tcPr>
          <w:p>
            <w:pPr>
              <w:jc w:val="right"/>
              <w:ind w:right="890"/>
              <w:spacing w:after="0" w:line="202" w:lineRule="exact"/>
              <w:rPr>
                <w:sz w:val="20"/>
                <w:szCs w:val="20"/>
                <w:color w:val="auto"/>
              </w:rPr>
            </w:pPr>
            <w:r>
              <w:rPr>
                <w:rFonts w:ascii="Arial" w:cs="Arial" w:eastAsia="Arial" w:hAnsi="Arial"/>
                <w:sz w:val="18"/>
                <w:szCs w:val="18"/>
                <w:b w:val="1"/>
                <w:bCs w:val="1"/>
                <w:color w:val="auto"/>
              </w:rPr>
              <w:t>September 30,</w:t>
            </w:r>
          </w:p>
        </w:tc>
        <w:tc>
          <w:tcPr>
            <w:tcW w:w="2560" w:type="dxa"/>
            <w:vAlign w:val="bottom"/>
            <w:gridSpan w:val="2"/>
          </w:tcPr>
          <w:p>
            <w:pPr>
              <w:jc w:val="right"/>
              <w:ind w:right="65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173"/>
        </w:trPr>
        <w:tc>
          <w:tcPr>
            <w:tcW w:w="470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78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$28,276</w:t>
            </w:r>
          </w:p>
        </w:tc>
        <w:tc>
          <w:tcPr>
            <w:tcW w:w="138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$29,047</w:t>
            </w:r>
          </w:p>
        </w:tc>
        <w:tc>
          <w:tcPr>
            <w:tcW w:w="140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$90,125</w:t>
            </w:r>
          </w:p>
        </w:tc>
        <w:tc>
          <w:tcPr>
            <w:tcW w:w="11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$93,186</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7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8,445</w:t>
            </w:r>
          </w:p>
        </w:tc>
        <w:tc>
          <w:tcPr>
            <w:tcW w:w="13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5,630</w:t>
            </w:r>
          </w:p>
        </w:tc>
        <w:tc>
          <w:tcPr>
            <w:tcW w:w="14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27,624</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16,744</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10,553</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11,507</w:t>
            </w: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32,888</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34,131</w:t>
            </w:r>
          </w:p>
        </w:tc>
      </w:tr>
      <w:tr>
        <w:trPr>
          <w:trHeight w:val="196"/>
        </w:trPr>
        <w:tc>
          <w:tcPr>
            <w:tcW w:w="4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$47,274</w:t>
            </w:r>
          </w:p>
        </w:tc>
        <w:tc>
          <w:tcPr>
            <w:tcW w:w="13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$46,184</w:t>
            </w:r>
          </w:p>
        </w:tc>
        <w:tc>
          <w:tcPr>
            <w:tcW w:w="14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$150,637</w:t>
            </w:r>
          </w:p>
        </w:tc>
        <w:tc>
          <w:tcPr>
            <w:tcW w:w="11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$144,061</w:t>
            </w:r>
          </w:p>
        </w:tc>
      </w:tr>
      <w:tr>
        <w:trPr>
          <w:trHeight w:val="196"/>
        </w:trPr>
        <w:tc>
          <w:tcPr>
            <w:tcW w:w="4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7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24.7%</w:t>
            </w:r>
          </w:p>
        </w:tc>
        <w:tc>
          <w:tcPr>
            <w:tcW w:w="1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25.8%</w:t>
            </w:r>
          </w:p>
        </w:tc>
        <w:tc>
          <w:tcPr>
            <w:tcW w:w="14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26.6%</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7" w:lineRule="exact"/>
        <w:rPr>
          <w:sz w:val="20"/>
          <w:szCs w:val="20"/>
          <w:color w:val="auto"/>
        </w:rPr>
      </w:pPr>
    </w:p>
    <w:p>
      <w:pPr>
        <w:ind w:right="720" w:firstLine="324"/>
        <w:spacing w:after="0" w:line="246" w:lineRule="auto"/>
        <w:rPr>
          <w:sz w:val="20"/>
          <w:szCs w:val="20"/>
          <w:color w:val="auto"/>
        </w:rPr>
      </w:pPr>
      <w:r>
        <w:rPr>
          <w:rFonts w:ascii="Arial" w:cs="Arial" w:eastAsia="Arial" w:hAnsi="Arial"/>
          <w:sz w:val="18"/>
          <w:szCs w:val="18"/>
          <w:color w:val="auto"/>
        </w:rPr>
        <w:t>The increase in STG&amp;R expenses of $1.1 million, compared to the same period in 2015, was principally due to the net effect of the following individually significant items:</w:t>
      </w:r>
    </w:p>
    <w:p>
      <w:pPr>
        <w:spacing w:after="0" w:line="156" w:lineRule="exact"/>
        <w:rPr>
          <w:sz w:val="20"/>
          <w:szCs w:val="20"/>
          <w:color w:val="auto"/>
        </w:rPr>
      </w:pPr>
    </w:p>
    <w:p>
      <w:pPr>
        <w:ind w:left="1300" w:right="480" w:hanging="320"/>
        <w:spacing w:after="0" w:line="23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Machine Clothing restructuring actions taken in previous quarters reduced 2016 STG&amp;R expenses by approximately $1.7 million.</w:t>
      </w:r>
    </w:p>
    <w:p>
      <w:pPr>
        <w:spacing w:after="0" w:line="1" w:lineRule="exact"/>
        <w:rPr>
          <w:rFonts w:ascii="Arial" w:cs="Arial" w:eastAsia="Arial" w:hAnsi="Arial"/>
          <w:sz w:val="18"/>
          <w:szCs w:val="18"/>
          <w:color w:val="auto"/>
        </w:rPr>
      </w:pPr>
    </w:p>
    <w:p>
      <w:pPr>
        <w:ind w:left="1300" w:right="140" w:hanging="320"/>
        <w:spacing w:after="0" w:line="23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third-quarter losses of $0.1 million in 2016 and gains of $2.0 million in 2015.</w:t>
      </w:r>
    </w:p>
    <w:p>
      <w:pPr>
        <w:spacing w:after="0" w:line="1" w:lineRule="exact"/>
        <w:rPr>
          <w:rFonts w:ascii="Arial" w:cs="Arial" w:eastAsia="Arial" w:hAnsi="Arial"/>
          <w:sz w:val="18"/>
          <w:szCs w:val="18"/>
          <w:color w:val="auto"/>
        </w:rPr>
      </w:pPr>
    </w:p>
    <w:p>
      <w:pPr>
        <w:ind w:left="1300" w:right="100" w:hanging="320"/>
        <w:spacing w:after="0" w:line="246"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AAC STG&amp;R expenses were $3.2 million in the third quarter of 2016 and, additionally, we incurred $0.4 million of costs related to integration of the acquired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07" w:lineRule="exact"/>
        <w:rPr>
          <w:sz w:val="20"/>
          <w:szCs w:val="20"/>
          <w:color w:val="auto"/>
        </w:rPr>
      </w:pPr>
    </w:p>
    <w:p>
      <w:pPr>
        <w:ind w:right="720" w:firstLine="324"/>
        <w:spacing w:after="0" w:line="246" w:lineRule="auto"/>
        <w:rPr>
          <w:sz w:val="20"/>
          <w:szCs w:val="20"/>
          <w:color w:val="auto"/>
        </w:rPr>
      </w:pPr>
      <w:r>
        <w:rPr>
          <w:rFonts w:ascii="Arial" w:cs="Arial" w:eastAsia="Arial" w:hAnsi="Arial"/>
          <w:sz w:val="18"/>
          <w:szCs w:val="18"/>
          <w:color w:val="auto"/>
        </w:rPr>
        <w:t>The increase in STG&amp;R expenses of $6.6 million, compared to the same period in 2015, was principally due to the net effect of the following individually significant items:</w:t>
      </w:r>
    </w:p>
    <w:p>
      <w:pPr>
        <w:spacing w:after="0" w:line="156" w:lineRule="exact"/>
        <w:rPr>
          <w:sz w:val="20"/>
          <w:szCs w:val="20"/>
          <w:color w:val="auto"/>
        </w:rPr>
      </w:pPr>
    </w:p>
    <w:p>
      <w:pPr>
        <w:ind w:left="1300" w:right="480" w:hanging="320"/>
        <w:spacing w:after="0" w:line="23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Machine Clothing restructuring actions taken in previous quarters reduced 2016 STG&amp;R expenses by approximately $6.0 million.</w:t>
      </w:r>
    </w:p>
    <w:p>
      <w:pPr>
        <w:spacing w:after="0" w:line="1" w:lineRule="exact"/>
        <w:rPr>
          <w:rFonts w:ascii="Arial" w:cs="Arial" w:eastAsia="Arial" w:hAnsi="Arial"/>
          <w:sz w:val="18"/>
          <w:szCs w:val="18"/>
          <w:color w:val="auto"/>
        </w:rPr>
      </w:pPr>
    </w:p>
    <w:p>
      <w:pPr>
        <w:ind w:left="1300" w:right="280" w:hanging="320"/>
        <w:spacing w:after="0" w:line="23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for the first nine months of $1.7 million in 2016 and gains of $4.5 million in 2015.</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currency translation rates reduced MC STG&amp;R by $1.5 million, compared to the first nine months of 2015.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first nine months of 2016, AEC recorded expenses of $5.4 million related to the acquisition of AAC.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AAC STG&amp;R expenses were $6.4 million in the first nine months of 2016.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Research and Development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expenses associated with internally funded research and development by business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gridSpan w:val="2"/>
          </w:tcPr>
          <w:p>
            <w:pPr>
              <w:ind w:left="2000"/>
              <w:spacing w:after="0" w:line="194" w:lineRule="exact"/>
              <w:rPr>
                <w:sz w:val="20"/>
                <w:szCs w:val="20"/>
                <w:color w:val="auto"/>
              </w:rPr>
            </w:pPr>
            <w:r>
              <w:rPr>
                <w:rFonts w:ascii="Arial" w:cs="Arial" w:eastAsia="Arial" w:hAnsi="Arial"/>
                <w:sz w:val="18"/>
                <w:szCs w:val="18"/>
                <w:b w:val="1"/>
                <w:bCs w:val="1"/>
                <w:color w:val="auto"/>
              </w:rPr>
              <w:t>Three months ended</w:t>
            </w:r>
          </w:p>
        </w:tc>
        <w:tc>
          <w:tcPr>
            <w:tcW w:w="2500" w:type="dxa"/>
            <w:vAlign w:val="bottom"/>
            <w:tcBorders>
              <w:top w:val="single" w:sz="8" w:color="auto"/>
            </w:tcBorders>
            <w:gridSpan w:val="2"/>
          </w:tcPr>
          <w:p>
            <w:pPr>
              <w:jc w:val="right"/>
              <w:ind w:right="37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4520" w:type="dxa"/>
            <w:vAlign w:val="bottom"/>
          </w:tcPr>
          <w:p>
            <w:pPr>
              <w:spacing w:after="0"/>
              <w:rPr>
                <w:sz w:val="17"/>
                <w:szCs w:val="17"/>
                <w:color w:val="auto"/>
              </w:rPr>
            </w:pPr>
          </w:p>
        </w:tc>
        <w:tc>
          <w:tcPr>
            <w:tcW w:w="4400" w:type="dxa"/>
            <w:vAlign w:val="bottom"/>
            <w:gridSpan w:val="2"/>
          </w:tcPr>
          <w:p>
            <w:pPr>
              <w:jc w:val="right"/>
              <w:ind w:right="810"/>
              <w:spacing w:after="0" w:line="202" w:lineRule="exact"/>
              <w:rPr>
                <w:sz w:val="20"/>
                <w:szCs w:val="20"/>
                <w:color w:val="auto"/>
              </w:rPr>
            </w:pPr>
            <w:r>
              <w:rPr>
                <w:rFonts w:ascii="Arial" w:cs="Arial" w:eastAsia="Arial" w:hAnsi="Arial"/>
                <w:sz w:val="18"/>
                <w:szCs w:val="18"/>
                <w:b w:val="1"/>
                <w:bCs w:val="1"/>
                <w:color w:val="auto"/>
              </w:rPr>
              <w:t>September 30,</w:t>
            </w:r>
          </w:p>
        </w:tc>
        <w:tc>
          <w:tcPr>
            <w:tcW w:w="2500" w:type="dxa"/>
            <w:vAlign w:val="bottom"/>
            <w:gridSpan w:val="2"/>
          </w:tcPr>
          <w:p>
            <w:pPr>
              <w:jc w:val="right"/>
              <w:ind w:right="59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4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r>
      <w:tr>
        <w:trPr>
          <w:trHeight w:val="173"/>
        </w:trPr>
        <w:tc>
          <w:tcPr>
            <w:tcW w:w="45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04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$3,937</w:t>
            </w:r>
          </w:p>
        </w:tc>
        <w:tc>
          <w:tcPr>
            <w:tcW w:w="136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$4,775</w:t>
            </w:r>
          </w:p>
        </w:tc>
        <w:tc>
          <w:tcPr>
            <w:tcW w:w="136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$12,695</w:t>
            </w:r>
          </w:p>
        </w:tc>
        <w:tc>
          <w:tcPr>
            <w:tcW w:w="11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$14,350</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0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2,656</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2,769</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8,247</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8,547</w:t>
            </w:r>
          </w:p>
        </w:tc>
      </w:t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190</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674</w:t>
            </w:r>
          </w:p>
        </w:tc>
      </w:tr>
      <w:tr>
        <w:trPr>
          <w:trHeight w:val="196"/>
        </w:trPr>
        <w:tc>
          <w:tcPr>
            <w:tcW w:w="4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$6,593</w:t>
            </w:r>
          </w:p>
        </w:tc>
        <w:tc>
          <w:tcPr>
            <w:tcW w:w="13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$7,734</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$20,942</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$23,571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207"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operating income was affected by restructuring costs of $7.7 million in the first nine months of 2016 and $13.9 million in the comparable period of 2015.</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gridSpan w:val="2"/>
          </w:tcPr>
          <w:p>
            <w:pPr>
              <w:ind w:left="2000"/>
              <w:spacing w:after="0" w:line="194" w:lineRule="exact"/>
              <w:rPr>
                <w:sz w:val="20"/>
                <w:szCs w:val="20"/>
                <w:color w:val="auto"/>
              </w:rPr>
            </w:pPr>
            <w:r>
              <w:rPr>
                <w:rFonts w:ascii="Arial" w:cs="Arial" w:eastAsia="Arial" w:hAnsi="Arial"/>
                <w:sz w:val="18"/>
                <w:szCs w:val="18"/>
                <w:b w:val="1"/>
                <w:bCs w:val="1"/>
                <w:color w:val="auto"/>
              </w:rPr>
              <w:t>Three months ended</w:t>
            </w:r>
          </w:p>
        </w:tc>
        <w:tc>
          <w:tcPr>
            <w:tcW w:w="2500" w:type="dxa"/>
            <w:vAlign w:val="bottom"/>
            <w:tcBorders>
              <w:top w:val="single" w:sz="8" w:color="auto"/>
            </w:tcBorders>
            <w:gridSpan w:val="2"/>
          </w:tcPr>
          <w:p>
            <w:pPr>
              <w:jc w:val="right"/>
              <w:ind w:right="37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4520" w:type="dxa"/>
            <w:vAlign w:val="bottom"/>
          </w:tcPr>
          <w:p>
            <w:pPr>
              <w:spacing w:after="0"/>
              <w:rPr>
                <w:sz w:val="17"/>
                <w:szCs w:val="17"/>
                <w:color w:val="auto"/>
              </w:rPr>
            </w:pPr>
          </w:p>
        </w:tc>
        <w:tc>
          <w:tcPr>
            <w:tcW w:w="4400" w:type="dxa"/>
            <w:vAlign w:val="bottom"/>
            <w:gridSpan w:val="2"/>
          </w:tcPr>
          <w:p>
            <w:pPr>
              <w:jc w:val="right"/>
              <w:ind w:right="810"/>
              <w:spacing w:after="0" w:line="202" w:lineRule="exact"/>
              <w:rPr>
                <w:sz w:val="20"/>
                <w:szCs w:val="20"/>
                <w:color w:val="auto"/>
              </w:rPr>
            </w:pPr>
            <w:r>
              <w:rPr>
                <w:rFonts w:ascii="Arial" w:cs="Arial" w:eastAsia="Arial" w:hAnsi="Arial"/>
                <w:sz w:val="18"/>
                <w:szCs w:val="18"/>
                <w:b w:val="1"/>
                <w:bCs w:val="1"/>
                <w:color w:val="auto"/>
              </w:rPr>
              <w:t>September 30,</w:t>
            </w:r>
          </w:p>
        </w:tc>
        <w:tc>
          <w:tcPr>
            <w:tcW w:w="2500" w:type="dxa"/>
            <w:vAlign w:val="bottom"/>
            <w:gridSpan w:val="2"/>
          </w:tcPr>
          <w:p>
            <w:pPr>
              <w:jc w:val="right"/>
              <w:ind w:right="59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6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2016</w:t>
            </w: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r>
      <w:tr>
        <w:trPr>
          <w:trHeight w:val="173"/>
        </w:trPr>
        <w:tc>
          <w:tcPr>
            <w:tcW w:w="45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06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rPr>
              <w:t>($212)</w:t>
            </w:r>
          </w:p>
        </w:tc>
        <w:tc>
          <w:tcPr>
            <w:tcW w:w="134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$3,717</w:t>
            </w:r>
          </w:p>
        </w:tc>
        <w:tc>
          <w:tcPr>
            <w:tcW w:w="138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$5,921</w:t>
            </w:r>
          </w:p>
        </w:tc>
        <w:tc>
          <w:tcPr>
            <w:tcW w:w="11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$13,929</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0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640</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1,787</w:t>
            </w:r>
          </w:p>
        </w:tc>
        <w:tc>
          <w:tcPr>
            <w:tcW w:w="1120" w:type="dxa"/>
            <w:vAlign w:val="bottom"/>
          </w:tcPr>
          <w:p>
            <w:pPr>
              <w:spacing w:after="0"/>
              <w:rPr>
                <w:sz w:val="17"/>
                <w:szCs w:val="17"/>
                <w:color w:val="auto"/>
              </w:rPr>
            </w:pPr>
          </w:p>
        </w:tc>
      </w:tr>
      <w:tr>
        <w:trPr>
          <w:trHeight w:val="225"/>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(102)</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(55)</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4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$326</w:t>
            </w:r>
          </w:p>
        </w:tc>
        <w:tc>
          <w:tcPr>
            <w:tcW w:w="13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$3,717</w:t>
            </w:r>
          </w:p>
        </w:tc>
        <w:tc>
          <w:tcPr>
            <w:tcW w:w="13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$7,653</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$13,929</w:t>
            </w:r>
          </w:p>
        </w:tc>
      </w:tr>
    </w:tbl>
    <w:p>
      <w:pPr>
        <w:spacing w:after="0" w:line="188"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During the first quarter of 2016 the Company announced the initiation of discussions with the relevant employee Works Council regarding a proposal to discontinue research and development activities at its Machine Clothing production facility in Sélestat, France. In May 2016, we reached agreement with the Works Council on the restructuring plan and we recorded $2.0 million of restructuring expense in the first nine months of 2016 as our current estimate of the cost for severance, outplacement, and the write-off of equipment. Cost savings associated with this action will reduce research and development expenses in future periods.</w:t>
      </w:r>
    </w:p>
    <w:p>
      <w:pPr>
        <w:spacing w:after="0" w:line="162"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Machine Clothing restructuring charges for the first nine months of 2016 also include $1.9 million for the relocation of equipment from our former manufacturing facility in Germany.</w:t>
      </w:r>
    </w:p>
    <w:p>
      <w:pPr>
        <w:spacing w:after="0" w:line="156"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Albany Engineered Composites restructuring expenses in 2016 were principally related to the consolidation of the Company’s legacy programs into Boerne, Texas.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Machine Clothing restructuring costs in 2015 were principally related to plant closure costs in Göppingen, Germany.</w:t>
      </w:r>
    </w:p>
    <w:p>
      <w:pPr>
        <w:spacing w:after="0" w:line="171"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Operating Income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8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gridSpan w:val="2"/>
          </w:tcPr>
          <w:p>
            <w:pPr>
              <w:ind w:left="940"/>
              <w:spacing w:after="0" w:line="194" w:lineRule="exact"/>
              <w:rPr>
                <w:sz w:val="20"/>
                <w:szCs w:val="20"/>
                <w:color w:val="auto"/>
              </w:rPr>
            </w:pPr>
            <w:r>
              <w:rPr>
                <w:rFonts w:ascii="Arial" w:cs="Arial" w:eastAsia="Arial" w:hAnsi="Arial"/>
                <w:sz w:val="18"/>
                <w:szCs w:val="18"/>
                <w:b w:val="1"/>
                <w:bCs w:val="1"/>
                <w:color w:val="auto"/>
              </w:rPr>
              <w:t>Three months ended</w:t>
            </w:r>
          </w:p>
        </w:tc>
        <w:tc>
          <w:tcPr>
            <w:tcW w:w="2480" w:type="dxa"/>
            <w:vAlign w:val="bottom"/>
            <w:tcBorders>
              <w:top w:val="single" w:sz="8" w:color="auto"/>
            </w:tcBorders>
            <w:gridSpan w:val="2"/>
          </w:tcPr>
          <w:p>
            <w:pPr>
              <w:jc w:val="center"/>
              <w:ind w:right="3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5580" w:type="dxa"/>
            <w:vAlign w:val="bottom"/>
          </w:tcPr>
          <w:p>
            <w:pPr>
              <w:spacing w:after="0"/>
              <w:rPr>
                <w:sz w:val="17"/>
                <w:szCs w:val="17"/>
                <w:color w:val="auto"/>
              </w:rPr>
            </w:pPr>
          </w:p>
        </w:tc>
        <w:tc>
          <w:tcPr>
            <w:tcW w:w="3360" w:type="dxa"/>
            <w:vAlign w:val="bottom"/>
            <w:gridSpan w:val="2"/>
          </w:tcPr>
          <w:p>
            <w:pPr>
              <w:jc w:val="right"/>
              <w:ind w:right="830"/>
              <w:spacing w:after="0" w:line="202" w:lineRule="exact"/>
              <w:rPr>
                <w:sz w:val="20"/>
                <w:szCs w:val="20"/>
                <w:color w:val="auto"/>
              </w:rPr>
            </w:pPr>
            <w:r>
              <w:rPr>
                <w:rFonts w:ascii="Arial" w:cs="Arial" w:eastAsia="Arial" w:hAnsi="Arial"/>
                <w:sz w:val="18"/>
                <w:szCs w:val="18"/>
                <w:b w:val="1"/>
                <w:bCs w:val="1"/>
                <w:color w:val="auto"/>
              </w:rPr>
              <w:t>September 30,</w:t>
            </w:r>
          </w:p>
        </w:tc>
        <w:tc>
          <w:tcPr>
            <w:tcW w:w="2480" w:type="dxa"/>
            <w:vAlign w:val="bottom"/>
            <w:gridSpan w:val="2"/>
          </w:tcPr>
          <w:p>
            <w:pPr>
              <w:jc w:val="center"/>
              <w:ind w:right="3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r>
      <w:tr>
        <w:trPr>
          <w:trHeight w:val="173"/>
        </w:trPr>
        <w:tc>
          <w:tcPr>
            <w:tcW w:w="55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00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$40,039</w:t>
            </w:r>
          </w:p>
        </w:tc>
        <w:tc>
          <w:tcPr>
            <w:tcW w:w="136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$41,956</w:t>
            </w:r>
          </w:p>
        </w:tc>
        <w:tc>
          <w:tcPr>
            <w:tcW w:w="136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$112,583</w:t>
            </w:r>
          </w:p>
        </w:tc>
        <w:tc>
          <w:tcPr>
            <w:tcW w:w="11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$110,969</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0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(4,529)</w:t>
            </w:r>
          </w:p>
        </w:tc>
        <w:tc>
          <w:tcPr>
            <w:tcW w:w="13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(4,191)</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(14,083)</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(26,635)</w:t>
            </w:r>
          </w:p>
        </w:tc>
      </w:tr>
      <w:tr>
        <w:trPr>
          <w:trHeight w:val="225"/>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(10,690)</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(11,922)</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(33,554)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(35,304)</w:t>
            </w:r>
          </w:p>
        </w:tc>
      </w:tr>
      <w:tr>
        <w:trPr>
          <w:trHeight w:val="196"/>
        </w:trPr>
        <w:tc>
          <w:tcPr>
            <w:tcW w:w="5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$24,820</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$25,843</w:t>
            </w:r>
          </w:p>
        </w:tc>
        <w:tc>
          <w:tcPr>
            <w:tcW w:w="13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$64,946</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$49,030</w:t>
            </w:r>
          </w:p>
        </w:tc>
      </w:tr>
      <w:tr>
        <w:trPr>
          <w:trHeight w:val="385"/>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Earnings Items</w:t>
            </w:r>
          </w:p>
        </w:tc>
        <w:tc>
          <w:tcPr>
            <w:tcW w:w="2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558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2"/>
          </w:tcPr>
          <w:p>
            <w:pPr>
              <w:spacing w:after="0"/>
              <w:rPr>
                <w:sz w:val="14"/>
                <w:szCs w:val="14"/>
                <w:color w:val="auto"/>
              </w:rPr>
            </w:pPr>
          </w:p>
        </w:tc>
        <w:tc>
          <w:tcPr>
            <w:tcW w:w="2480" w:type="dxa"/>
            <w:vAlign w:val="bottom"/>
            <w:tcBorders>
              <w:bottom w:val="single" w:sz="8" w:color="auto"/>
            </w:tcBorders>
            <w:gridSpan w:val="2"/>
          </w:tcPr>
          <w:p>
            <w:pPr>
              <w:spacing w:after="0"/>
              <w:rPr>
                <w:sz w:val="14"/>
                <w:szCs w:val="14"/>
                <w:color w:val="auto"/>
              </w:rPr>
            </w:pPr>
          </w:p>
        </w:tc>
      </w:tr>
      <w:tr>
        <w:trPr>
          <w:trHeight w:val="173"/>
        </w:trPr>
        <w:tc>
          <w:tcPr>
            <w:tcW w:w="5580" w:type="dxa"/>
            <w:vAlign w:val="bottom"/>
          </w:tcPr>
          <w:p>
            <w:pPr>
              <w:spacing w:after="0"/>
              <w:rPr>
                <w:sz w:val="15"/>
                <w:szCs w:val="15"/>
                <w:color w:val="auto"/>
              </w:rPr>
            </w:pPr>
          </w:p>
        </w:tc>
        <w:tc>
          <w:tcPr>
            <w:tcW w:w="3360" w:type="dxa"/>
            <w:vAlign w:val="bottom"/>
            <w:gridSpan w:val="2"/>
          </w:tcPr>
          <w:p>
            <w:pPr>
              <w:ind w:left="900"/>
              <w:spacing w:after="0" w:line="173" w:lineRule="exact"/>
              <w:rPr>
                <w:sz w:val="20"/>
                <w:szCs w:val="20"/>
                <w:color w:val="auto"/>
              </w:rPr>
            </w:pPr>
            <w:r>
              <w:rPr>
                <w:rFonts w:ascii="Arial" w:cs="Arial" w:eastAsia="Arial" w:hAnsi="Arial"/>
                <w:sz w:val="18"/>
                <w:szCs w:val="18"/>
                <w:b w:val="1"/>
                <w:bCs w:val="1"/>
                <w:color w:val="auto"/>
              </w:rPr>
              <w:t>Three months ended</w:t>
            </w:r>
          </w:p>
        </w:tc>
        <w:tc>
          <w:tcPr>
            <w:tcW w:w="2480" w:type="dxa"/>
            <w:vAlign w:val="bottom"/>
            <w:gridSpan w:val="2"/>
          </w:tcPr>
          <w:p>
            <w:pPr>
              <w:jc w:val="center"/>
              <w:ind w:right="30"/>
              <w:spacing w:after="0" w:line="173"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5580" w:type="dxa"/>
            <w:vAlign w:val="bottom"/>
          </w:tcPr>
          <w:p>
            <w:pPr>
              <w:spacing w:after="0"/>
              <w:rPr>
                <w:sz w:val="17"/>
                <w:szCs w:val="17"/>
                <w:color w:val="auto"/>
              </w:rPr>
            </w:pPr>
          </w:p>
        </w:tc>
        <w:tc>
          <w:tcPr>
            <w:tcW w:w="3360" w:type="dxa"/>
            <w:vAlign w:val="bottom"/>
            <w:gridSpan w:val="2"/>
          </w:tcPr>
          <w:p>
            <w:pPr>
              <w:jc w:val="right"/>
              <w:ind w:right="830"/>
              <w:spacing w:after="0" w:line="202" w:lineRule="exact"/>
              <w:rPr>
                <w:sz w:val="20"/>
                <w:szCs w:val="20"/>
                <w:color w:val="auto"/>
              </w:rPr>
            </w:pPr>
            <w:r>
              <w:rPr>
                <w:rFonts w:ascii="Arial" w:cs="Arial" w:eastAsia="Arial" w:hAnsi="Arial"/>
                <w:sz w:val="18"/>
                <w:szCs w:val="18"/>
                <w:b w:val="1"/>
                <w:bCs w:val="1"/>
                <w:color w:val="auto"/>
              </w:rPr>
              <w:t>September 30,</w:t>
            </w:r>
          </w:p>
        </w:tc>
        <w:tc>
          <w:tcPr>
            <w:tcW w:w="2480" w:type="dxa"/>
            <w:vAlign w:val="bottom"/>
            <w:gridSpan w:val="2"/>
          </w:tcPr>
          <w:p>
            <w:pPr>
              <w:jc w:val="center"/>
              <w:ind w:right="3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r>
      <w:tr>
        <w:trPr>
          <w:trHeight w:val="173"/>
        </w:trPr>
        <w:tc>
          <w:tcPr>
            <w:tcW w:w="5580" w:type="dxa"/>
            <w:vAlign w:val="bottom"/>
          </w:tcPr>
          <w:p>
            <w:pPr>
              <w:spacing w:after="0" w:line="173" w:lineRule="exact"/>
              <w:rPr>
                <w:sz w:val="20"/>
                <w:szCs w:val="20"/>
                <w:color w:val="auto"/>
              </w:rPr>
            </w:pPr>
            <w:r>
              <w:rPr>
                <w:rFonts w:ascii="Arial" w:cs="Arial" w:eastAsia="Arial" w:hAnsi="Arial"/>
                <w:sz w:val="18"/>
                <w:szCs w:val="18"/>
                <w:color w:val="auto"/>
              </w:rPr>
              <w:t>Interest expense, net</w:t>
            </w:r>
          </w:p>
        </w:tc>
        <w:tc>
          <w:tcPr>
            <w:tcW w:w="200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$3,681</w:t>
            </w:r>
          </w:p>
        </w:tc>
        <w:tc>
          <w:tcPr>
            <w:tcW w:w="136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$2,671</w:t>
            </w:r>
          </w:p>
        </w:tc>
        <w:tc>
          <w:tcPr>
            <w:tcW w:w="136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$9,610</w:t>
            </w:r>
          </w:p>
        </w:tc>
        <w:tc>
          <w:tcPr>
            <w:tcW w:w="11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$8,049</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Other (income)/expense, net</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242</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1,249</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(2,103)</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784</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7,488</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12,243</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20,613</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20,398</w:t>
            </w:r>
          </w:p>
        </w:tc>
      </w:tr>
      <w:tr>
        <w:trPr>
          <w:trHeight w:val="225"/>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(loss)/income attributable to the noncontrolling interest</w:t>
            </w: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340</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22</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(111)</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07" w:lineRule="exact"/>
        <w:rPr>
          <w:sz w:val="20"/>
          <w:szCs w:val="20"/>
          <w:color w:val="auto"/>
        </w:rPr>
      </w:pPr>
    </w:p>
    <w:p>
      <w:pPr>
        <w:jc w:val="both"/>
        <w:ind w:right="700" w:firstLine="648"/>
        <w:spacing w:after="0"/>
        <w:rPr>
          <w:sz w:val="20"/>
          <w:szCs w:val="20"/>
          <w:color w:val="auto"/>
        </w:rPr>
      </w:pPr>
      <w:r>
        <w:rPr>
          <w:rFonts w:ascii="Arial" w:cs="Arial" w:eastAsia="Arial" w:hAnsi="Arial"/>
          <w:sz w:val="18"/>
          <w:szCs w:val="18"/>
          <w:color w:val="auto"/>
        </w:rPr>
        <w:t>Compared to 2015, Interest expense, net, increased principally due to borrowings to fund the AAC acquisition, and the interest associated with AAC’s capital lease obligation. For more information on borrowings and interest rates, see Note 14 to the Consolidated Financial Statements in Item 1, which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net included the following individually significant items: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93" w:lineRule="exact"/>
        <w:rPr>
          <w:sz w:val="20"/>
          <w:szCs w:val="20"/>
          <w:color w:val="auto"/>
        </w:rPr>
      </w:pPr>
    </w:p>
    <w:p>
      <w:pPr>
        <w:ind w:left="1300" w:right="340" w:hanging="320"/>
        <w:spacing w:after="0" w:line="246"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third-quarter gains of $0.3 million in 2016 and losses of $1.0 million in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07" w:lineRule="exact"/>
        <w:rPr>
          <w:sz w:val="20"/>
          <w:szCs w:val="20"/>
          <w:color w:val="auto"/>
        </w:rPr>
      </w:pPr>
    </w:p>
    <w:p>
      <w:pPr>
        <w:ind w:left="1300" w:right="200" w:hanging="320"/>
        <w:spacing w:after="0" w:line="23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gains for the first nine months of $2.4 million in 2016 and losses of $0.4 million in 2015.</w:t>
      </w:r>
    </w:p>
    <w:p>
      <w:pPr>
        <w:spacing w:after="0" w:line="1" w:lineRule="exact"/>
        <w:rPr>
          <w:rFonts w:ascii="Arial" w:cs="Arial" w:eastAsia="Arial" w:hAnsi="Arial"/>
          <w:sz w:val="18"/>
          <w:szCs w:val="18"/>
          <w:color w:val="auto"/>
        </w:rPr>
      </w:pPr>
    </w:p>
    <w:p>
      <w:pPr>
        <w:ind w:left="1300" w:hanging="320"/>
        <w:spacing w:after="0" w:line="246"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gain of $0.9 million was recorded in the first quarter of 2015 related to the sale of the Company’s investment in an unaffiliated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9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 has operations which constitute a taxable presence in 18 countries outside of the United States, all of which have income tax rates that were at or below the United States’ federal tax rate of 35% during the periods reported. The jurisdictional location of earnings is a significant component of our effective tax rate each year and therefore of our overall income tax expense.</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Three month comparison</w:t>
      </w:r>
    </w:p>
    <w:p>
      <w:pPr>
        <w:spacing w:after="0" w:line="19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Company’s effective tax rates for the third quarter of 2016 and 2015 were 35.8% and 55.8%, respectively. The tax rate is affected by recurring items, such as the income tax rate in the U.S. and in non-U.S. jurisdictions and the mix of income earned in those jurisdictions. The rate is also affected by U.S. tax costs on foreign earnings that have been or will be repatriated to the U.S., and by discrete items that may occur in any given year but are not consistent from year to year.</w:t>
      </w:r>
    </w:p>
    <w:p>
      <w:pPr>
        <w:spacing w:after="0" w:line="175"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Significant items that impacted the tax rates in the third quarter of 2016 included the following (percentages reflect the effect of each item as a percentage of Income before income taxes):</w:t>
      </w:r>
    </w:p>
    <w:p>
      <w:pPr>
        <w:spacing w:after="0" w:line="156" w:lineRule="exact"/>
        <w:rPr>
          <w:sz w:val="20"/>
          <w:szCs w:val="20"/>
          <w:color w:val="auto"/>
        </w:rPr>
      </w:pPr>
    </w:p>
    <w:p>
      <w:pPr>
        <w:ind w:left="1620" w:right="20" w:hanging="315"/>
        <w:spacing w:after="0" w:line="246"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$0.3 million [-1.7%] net tax benefit related to a change in the estimated tax rate for the year, partially offset by discrete tax adjustments.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tax rate on continuing operations, excluding the above items, was 37.5%.</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items that impacted the 2015 tax rate included the following:</w:t>
      </w:r>
    </w:p>
    <w:p>
      <w:pPr>
        <w:spacing w:after="0" w:line="171" w:lineRule="exact"/>
        <w:rPr>
          <w:sz w:val="20"/>
          <w:szCs w:val="20"/>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$4.5 million [20.6%] discrete income tax expense related to provisions for and settlements of income tax audits.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 million [4.4%] net tax expense due to changes in/establishment of uncertain tax positions.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 million [-4.6%] net tax benefit related to a change in the estimated tax rate for the year.</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$0.6 million [-2.6%] net tax benefit related to adjustments to prior year tax liabilities.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tax rate on continuing operations, excluding the above items, was 38.0%.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9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Company’s effective tax rates for the first nine-month periods of 2016 and 2015 were 35.9% and 50.7% respectively. The tax rate is affected by recurring items, such as the income tax rate in the U.S. and in non-U.S. jurisdictions and the mix of income earned in those jurisdictions. The tax rate is also affected by U.S. tax costs on foreign earnings that have been or will be repatriated to the U.S., and discrete items that may occur in any year but are not consistent from year to year.</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Significant items that impacted the 2016 tax rate included the following (percentages reflect the effect of each item as a percentage of income before income taxes):</w:t>
      </w:r>
    </w:p>
    <w:p>
      <w:pPr>
        <w:spacing w:after="0" w:line="170" w:lineRule="exact"/>
        <w:rPr>
          <w:sz w:val="20"/>
          <w:szCs w:val="20"/>
          <w:color w:val="auto"/>
        </w:rPr>
      </w:pPr>
    </w:p>
    <w:p>
      <w:pPr>
        <w:ind w:left="1620" w:hanging="315"/>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($0.8) million [-1.4%] discrete income tax benefit related to provisions for and settlements of income tax audits.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($0.3) million [-0.4%] net tax benefit due to changes in/establishment of uncertain tax positions.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$0.1 million [0.2%] net tax expense related to other discrete items.</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income tax rate on continuing operations, excluding the above items, was 37.5%.</w:t>
      </w:r>
    </w:p>
    <w:p>
      <w:pPr>
        <w:spacing w:after="0" w:line="171"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Significant items that impacted the 2015 tax rate included the following (percentages reflect the effect of each item as a percentage of income excluding the building insurance gain and before income taxes):</w:t>
      </w:r>
    </w:p>
    <w:p>
      <w:pPr>
        <w:spacing w:after="0" w:line="170" w:lineRule="exact"/>
        <w:rPr>
          <w:sz w:val="20"/>
          <w:szCs w:val="20"/>
          <w:color w:val="auto"/>
        </w:rPr>
      </w:pPr>
    </w:p>
    <w:p>
      <w:pPr>
        <w:ind w:left="1620" w:hanging="31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$4.5 million [11.2%] discrete income tax expense related to provisions for and settlements of income tax audits.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$1.2 million [2.9%] net tax expense due to changes in/establishment of uncertain tax positions.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7" w:name="page38"/>
    <w:bookmarkEnd w:id="37"/>
    <w:p>
      <w:pPr>
        <w:ind w:left="1620" w:hanging="31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$0.5 million [-1.4%] net tax benefit related to other discrete items.</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income tax rate on continuing operations, excluding the above items, was 38.0%.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71"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MC is our primary business segment and accounted for 77% of our consolidated revenues during the first nine months of 2016. MC products are purchased primarily by manufacturers of paper and paperboard.</w:t>
      </w:r>
    </w:p>
    <w:p>
      <w:pPr>
        <w:spacing w:after="0" w:line="17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2% over the next five years, driven primarily by secular demand increases in Asia and South America, with stabilization in the mature markets of Europe and North America.</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are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65"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75"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MC manufacturing capacity in the United States, Germany, France, Canada, and Sweden.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60" w:type="dxa"/>
            <w:vAlign w:val="bottom"/>
            <w:tcBorders>
              <w:top w:val="single" w:sz="8" w:color="auto"/>
            </w:tcBorders>
          </w:tcPr>
          <w:p>
            <w:pPr>
              <w:spacing w:after="0"/>
              <w:rPr>
                <w:sz w:val="16"/>
                <w:szCs w:val="16"/>
                <w:color w:val="auto"/>
              </w:rPr>
            </w:pPr>
          </w:p>
        </w:tc>
        <w:tc>
          <w:tcPr>
            <w:tcW w:w="420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w:t>
            </w:r>
          </w:p>
        </w:tc>
        <w:tc>
          <w:tcPr>
            <w:tcW w:w="2560" w:type="dxa"/>
            <w:vAlign w:val="bottom"/>
            <w:tcBorders>
              <w:top w:val="single" w:sz="8" w:color="auto"/>
            </w:tcBorders>
            <w:gridSpan w:val="2"/>
          </w:tcPr>
          <w:p>
            <w:pPr>
              <w:jc w:val="right"/>
              <w:ind w:right="43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4660" w:type="dxa"/>
            <w:vAlign w:val="bottom"/>
          </w:tcPr>
          <w:p>
            <w:pPr>
              <w:spacing w:after="0"/>
              <w:rPr>
                <w:sz w:val="17"/>
                <w:szCs w:val="17"/>
                <w:color w:val="auto"/>
              </w:rPr>
            </w:pPr>
          </w:p>
        </w:tc>
        <w:tc>
          <w:tcPr>
            <w:tcW w:w="4200" w:type="dxa"/>
            <w:vAlign w:val="bottom"/>
            <w:gridSpan w:val="2"/>
          </w:tcPr>
          <w:p>
            <w:pPr>
              <w:jc w:val="right"/>
              <w:ind w:right="890"/>
              <w:spacing w:after="0" w:line="202" w:lineRule="exact"/>
              <w:rPr>
                <w:sz w:val="20"/>
                <w:szCs w:val="20"/>
                <w:color w:val="auto"/>
              </w:rPr>
            </w:pPr>
            <w:r>
              <w:rPr>
                <w:rFonts w:ascii="Arial" w:cs="Arial" w:eastAsia="Arial" w:hAnsi="Arial"/>
                <w:sz w:val="18"/>
                <w:szCs w:val="18"/>
                <w:b w:val="1"/>
                <w:bCs w:val="1"/>
                <w:color w:val="auto"/>
              </w:rPr>
              <w:t>September 30,</w:t>
            </w:r>
          </w:p>
        </w:tc>
        <w:tc>
          <w:tcPr>
            <w:tcW w:w="2560" w:type="dxa"/>
            <w:vAlign w:val="bottom"/>
            <w:gridSpan w:val="2"/>
          </w:tcPr>
          <w:p>
            <w:pPr>
              <w:jc w:val="right"/>
              <w:ind w:right="65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173"/>
        </w:trPr>
        <w:tc>
          <w:tcPr>
            <w:tcW w:w="466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280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$143,248</w:t>
            </w:r>
          </w:p>
        </w:tc>
        <w:tc>
          <w:tcPr>
            <w:tcW w:w="140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$154,522</w:t>
            </w:r>
          </w:p>
        </w:tc>
        <w:tc>
          <w:tcPr>
            <w:tcW w:w="144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$437,445</w:t>
            </w:r>
          </w:p>
        </w:tc>
        <w:tc>
          <w:tcPr>
            <w:tcW w:w="1120" w:type="dxa"/>
            <w:vAlign w:val="bottom"/>
          </w:tcPr>
          <w:p>
            <w:pPr>
              <w:jc w:val="right"/>
              <w:ind w:right="70"/>
              <w:spacing w:after="0" w:line="173" w:lineRule="exact"/>
              <w:rPr>
                <w:sz w:val="20"/>
                <w:szCs w:val="20"/>
                <w:color w:val="auto"/>
              </w:rPr>
            </w:pPr>
            <w:r>
              <w:rPr>
                <w:rFonts w:ascii="Arial" w:cs="Arial" w:eastAsia="Arial" w:hAnsi="Arial"/>
                <w:sz w:val="18"/>
                <w:szCs w:val="18"/>
                <w:color w:val="auto"/>
              </w:rPr>
              <w:t>463,577</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8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68,104</w:t>
            </w:r>
          </w:p>
        </w:tc>
        <w:tc>
          <w:tcPr>
            <w:tcW w:w="14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74,721</w:t>
            </w:r>
          </w:p>
        </w:tc>
        <w:tc>
          <w:tcPr>
            <w:tcW w:w="144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208,628</w:t>
            </w:r>
          </w:p>
        </w:tc>
        <w:tc>
          <w:tcPr>
            <w:tcW w:w="11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218,084</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28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47.5%</w:t>
            </w:r>
          </w:p>
        </w:tc>
        <w:tc>
          <w:tcPr>
            <w:tcW w:w="1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48.4%</w:t>
            </w:r>
          </w:p>
        </w:tc>
        <w:tc>
          <w:tcPr>
            <w:tcW w:w="14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47.7%</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47.0%</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STG&amp;R expenses</w:t>
            </w:r>
          </w:p>
        </w:tc>
        <w:tc>
          <w:tcPr>
            <w:tcW w:w="280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28,276</w:t>
            </w:r>
          </w:p>
        </w:tc>
        <w:tc>
          <w:tcPr>
            <w:tcW w:w="14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29,047</w:t>
            </w:r>
          </w:p>
        </w:tc>
        <w:tc>
          <w:tcPr>
            <w:tcW w:w="144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90,125</w:t>
            </w:r>
          </w:p>
        </w:tc>
        <w:tc>
          <w:tcPr>
            <w:tcW w:w="11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93,186</w:t>
            </w:r>
          </w:p>
        </w:tc>
      </w:tr>
      <w:tr>
        <w:trPr>
          <w:trHeight w:val="225"/>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2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40,039</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41,956</w:t>
            </w: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112,583</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110,969</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93"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2016 sales by $0.2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Compared to the third quarter of 2015, MC sales decreased in virtually every region and paper grade.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Nine month comparison</w:t>
      </w:r>
    </w:p>
    <w:p>
      <w:pPr>
        <w:spacing w:after="0" w:line="207"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2016 sales by $1.9 million.</w:t>
      </w:r>
    </w:p>
    <w:p>
      <w:pPr>
        <w:spacing w:after="0" w:line="9" w:lineRule="exact"/>
        <w:rPr>
          <w:rFonts w:ascii="Arial" w:cs="Arial" w:eastAsia="Arial" w:hAnsi="Arial"/>
          <w:sz w:val="18"/>
          <w:szCs w:val="18"/>
          <w:color w:val="auto"/>
        </w:rPr>
      </w:pPr>
    </w:p>
    <w:p>
      <w:pPr>
        <w:ind w:left="1300" w:right="600" w:hanging="320"/>
        <w:spacing w:after="0" w:line="24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MC sales declined 5.2% in the first nine months of 2016, principally due to the continuing effect of the significant drop in publication grade sales.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7" w:lineRule="exact"/>
        <w:rPr>
          <w:sz w:val="20"/>
          <w:szCs w:val="20"/>
          <w:color w:val="auto"/>
        </w:rPr>
      </w:pPr>
    </w:p>
    <w:p>
      <w:pPr>
        <w:ind w:left="1300" w:right="380" w:hanging="320"/>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profit decreased $6.6 million principally due to lower sales. MC gross profit margin declined to 47.5% in 2016 from 48.4% in 2015, principally due to the effect of lower sales.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93" w:lineRule="exact"/>
        <w:rPr>
          <w:sz w:val="20"/>
          <w:szCs w:val="20"/>
          <w:color w:val="auto"/>
        </w:rPr>
      </w:pPr>
    </w:p>
    <w:p>
      <w:pPr>
        <w:ind w:left="1300" w:right="360" w:hanging="320"/>
        <w:spacing w:after="0" w:line="246"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reduction in MC sales described above resulted in a decrease in gross profit of $12.3 million. MC gross profit margin improved to 47.7% in 2016 from 47.0% in 2015, principally due to better capacity utilization.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operating income was principally due to the net effect of the following individually significant items:</w:t>
      </w:r>
    </w:p>
    <w:p>
      <w:pPr>
        <w:spacing w:after="0" w:line="185"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Gross profit decreased $6.6 million as described above.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actions taken in 2015 reduced 2016 STG&amp;R expenses by approximately $1.7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charges of $(0.2) million in the third quarter of 2016, compared to $3.7 million in 2015.</w:t>
      </w:r>
    </w:p>
    <w:p>
      <w:pPr>
        <w:spacing w:after="0" w:line="9" w:lineRule="exact"/>
        <w:rPr>
          <w:rFonts w:ascii="Arial" w:cs="Arial" w:eastAsia="Arial" w:hAnsi="Arial"/>
          <w:sz w:val="18"/>
          <w:szCs w:val="18"/>
          <w:color w:val="auto"/>
        </w:rPr>
      </w:pPr>
    </w:p>
    <w:p>
      <w:pPr>
        <w:ind w:left="1300" w:hanging="320"/>
        <w:spacing w:after="0" w:line="24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third quarter losses of $0.1 million in 2016 and gains of $2.0 million in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93"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profit decreased $9.5 million principally due to lower sales, as described above.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Restructuring charges of $5.9 million in the first nine months of 2016, compared to $13.9 million in 2015.</w:t>
      </w:r>
    </w:p>
    <w:p>
      <w:pPr>
        <w:spacing w:after="0" w:line="9" w:lineRule="exact"/>
        <w:rPr>
          <w:rFonts w:ascii="Arial" w:cs="Arial" w:eastAsia="Arial" w:hAnsi="Arial"/>
          <w:sz w:val="18"/>
          <w:szCs w:val="18"/>
          <w:color w:val="auto"/>
        </w:rPr>
      </w:pPr>
    </w:p>
    <w:p>
      <w:pPr>
        <w:ind w:left="1300" w:right="100" w:hanging="320"/>
        <w:spacing w:after="0" w:line="23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$1.6 million for the first nine months of 2016 and gains of $4.5 million in 2015.</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Restructuring actions taken in 2015 reduced 2016 STG&amp;R expenses by approximately $6.0 million.</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616"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71"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based on proprietary technology to customers primarily in the aerospace and defense industries. AEC’s largest program relates to CFM International’s LEAP engine, which is scheduled to enter into service in 2016. AEC, through ASC, is the exclusive supplier of advanced composite fan blades and cases for this program under a long-term supply contract.</w:t>
      </w:r>
    </w:p>
    <w:p>
      <w:pPr>
        <w:spacing w:after="0" w:line="176" w:lineRule="exact"/>
        <w:rPr>
          <w:sz w:val="20"/>
          <w:szCs w:val="20"/>
          <w:color w:val="auto"/>
        </w:rPr>
      </w:pPr>
    </w:p>
    <w:p>
      <w:pPr>
        <w:jc w:val="both"/>
        <w:ind w:right="120" w:firstLine="648"/>
        <w:spacing w:after="0"/>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for cash of $187 million, plus the assumption of certain liabilities. The acquired entity has been renamed Albany Aerostructures Composites LLC (“AAC”), and is part of Albany Engineered Composites (“AEC”) segment.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0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gridSpan w:val="2"/>
          </w:tcPr>
          <w:p>
            <w:pPr>
              <w:jc w:val="right"/>
              <w:ind w:right="630"/>
              <w:spacing w:after="0" w:line="194" w:lineRule="exact"/>
              <w:rPr>
                <w:sz w:val="20"/>
                <w:szCs w:val="20"/>
                <w:color w:val="auto"/>
              </w:rPr>
            </w:pPr>
            <w:r>
              <w:rPr>
                <w:rFonts w:ascii="Arial" w:cs="Arial" w:eastAsia="Arial" w:hAnsi="Arial"/>
                <w:sz w:val="18"/>
                <w:szCs w:val="18"/>
                <w:b w:val="1"/>
                <w:bCs w:val="1"/>
                <w:color w:val="auto"/>
              </w:rPr>
              <w:t>Three months ended</w:t>
            </w:r>
          </w:p>
        </w:tc>
        <w:tc>
          <w:tcPr>
            <w:tcW w:w="2560" w:type="dxa"/>
            <w:vAlign w:val="bottom"/>
            <w:tcBorders>
              <w:top w:val="single" w:sz="8" w:color="auto"/>
            </w:tcBorders>
            <w:gridSpan w:val="2"/>
          </w:tcPr>
          <w:p>
            <w:pPr>
              <w:jc w:val="right"/>
              <w:ind w:right="43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4700" w:type="dxa"/>
            <w:vAlign w:val="bottom"/>
          </w:tcPr>
          <w:p>
            <w:pPr>
              <w:spacing w:after="0"/>
              <w:rPr>
                <w:sz w:val="17"/>
                <w:szCs w:val="17"/>
                <w:color w:val="auto"/>
              </w:rPr>
            </w:pPr>
          </w:p>
        </w:tc>
        <w:tc>
          <w:tcPr>
            <w:tcW w:w="4160" w:type="dxa"/>
            <w:vAlign w:val="bottom"/>
            <w:gridSpan w:val="2"/>
          </w:tcPr>
          <w:p>
            <w:pPr>
              <w:jc w:val="right"/>
              <w:ind w:right="890"/>
              <w:spacing w:after="0" w:line="202" w:lineRule="exact"/>
              <w:rPr>
                <w:sz w:val="20"/>
                <w:szCs w:val="20"/>
                <w:color w:val="auto"/>
              </w:rPr>
            </w:pPr>
            <w:r>
              <w:rPr>
                <w:rFonts w:ascii="Arial" w:cs="Arial" w:eastAsia="Arial" w:hAnsi="Arial"/>
                <w:sz w:val="18"/>
                <w:szCs w:val="18"/>
                <w:b w:val="1"/>
                <w:bCs w:val="1"/>
                <w:color w:val="auto"/>
              </w:rPr>
              <w:t>September 30,</w:t>
            </w:r>
          </w:p>
        </w:tc>
        <w:tc>
          <w:tcPr>
            <w:tcW w:w="2560" w:type="dxa"/>
            <w:vAlign w:val="bottom"/>
            <w:gridSpan w:val="2"/>
          </w:tcPr>
          <w:p>
            <w:pPr>
              <w:jc w:val="right"/>
              <w:ind w:right="65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173"/>
        </w:trPr>
        <w:tc>
          <w:tcPr>
            <w:tcW w:w="470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278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$48,024</w:t>
            </w:r>
          </w:p>
        </w:tc>
        <w:tc>
          <w:tcPr>
            <w:tcW w:w="1380" w:type="dxa"/>
            <w:vAlign w:val="bottom"/>
          </w:tcPr>
          <w:p>
            <w:pPr>
              <w:jc w:val="right"/>
              <w:ind w:right="330"/>
              <w:spacing w:after="0" w:line="173" w:lineRule="exact"/>
              <w:rPr>
                <w:sz w:val="20"/>
                <w:szCs w:val="20"/>
                <w:color w:val="auto"/>
              </w:rPr>
            </w:pPr>
            <w:r>
              <w:rPr>
                <w:rFonts w:ascii="Arial" w:cs="Arial" w:eastAsia="Arial" w:hAnsi="Arial"/>
                <w:sz w:val="18"/>
                <w:szCs w:val="18"/>
                <w:color w:val="auto"/>
              </w:rPr>
              <w:t>$24,267</w:t>
            </w:r>
          </w:p>
        </w:tc>
        <w:tc>
          <w:tcPr>
            <w:tcW w:w="144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$129,348</w:t>
            </w:r>
          </w:p>
        </w:tc>
        <w:tc>
          <w:tcPr>
            <w:tcW w:w="1120" w:type="dxa"/>
            <w:vAlign w:val="bottom"/>
          </w:tcPr>
          <w:p>
            <w:pPr>
              <w:jc w:val="right"/>
              <w:ind w:right="70"/>
              <w:spacing w:after="0" w:line="173" w:lineRule="exact"/>
              <w:rPr>
                <w:sz w:val="20"/>
                <w:szCs w:val="20"/>
                <w:color w:val="auto"/>
              </w:rPr>
            </w:pPr>
            <w:r>
              <w:rPr>
                <w:rFonts w:ascii="Arial" w:cs="Arial" w:eastAsia="Arial" w:hAnsi="Arial"/>
                <w:sz w:val="18"/>
                <w:szCs w:val="18"/>
                <w:color w:val="auto"/>
              </w:rPr>
              <w:t>$68,825</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7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4,556</w:t>
            </w:r>
          </w:p>
        </w:tc>
        <w:tc>
          <w:tcPr>
            <w:tcW w:w="13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1,438</w:t>
            </w:r>
          </w:p>
        </w:tc>
        <w:tc>
          <w:tcPr>
            <w:tcW w:w="144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15,329</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(9,891)</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27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9.5%</w:t>
            </w:r>
          </w:p>
        </w:tc>
        <w:tc>
          <w:tcPr>
            <w:tcW w:w="13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5.9%</w:t>
            </w:r>
          </w:p>
        </w:tc>
        <w:tc>
          <w:tcPr>
            <w:tcW w:w="14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11.9%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STG&amp;R expenses</w:t>
            </w:r>
          </w:p>
        </w:tc>
        <w:tc>
          <w:tcPr>
            <w:tcW w:w="27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8,445</w:t>
            </w:r>
          </w:p>
        </w:tc>
        <w:tc>
          <w:tcPr>
            <w:tcW w:w="13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5,630</w:t>
            </w:r>
          </w:p>
        </w:tc>
        <w:tc>
          <w:tcPr>
            <w:tcW w:w="144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27,624</w:t>
            </w:r>
          </w:p>
        </w:tc>
        <w:tc>
          <w:tcPr>
            <w:tcW w:w="11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16,744</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loss</w:t>
            </w:r>
          </w:p>
        </w:tc>
        <w:tc>
          <w:tcPr>
            <w:tcW w:w="2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(4,529)</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(4,191)</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(14,083)</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(26,635)</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93" w:lineRule="exact"/>
        <w:rPr>
          <w:sz w:val="20"/>
          <w:szCs w:val="20"/>
          <w:color w:val="auto"/>
        </w:rPr>
      </w:pPr>
    </w:p>
    <w:p>
      <w:pPr>
        <w:ind w:left="1300" w:right="20" w:hanging="320"/>
        <w:spacing w:after="0" w:line="24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AEC sales increased $23.8 million, $20.4 million of which was due to the acquired business, the remainder of the increase was principally due to growth in the LEAP program.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07"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AEC sales increased $46.0 million due to the acquisition of AAC.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remainder of the sales increase was principally due to growth in the LEAP program.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7" w:lineRule="exact"/>
        <w:rPr>
          <w:sz w:val="20"/>
          <w:szCs w:val="20"/>
          <w:color w:val="auto"/>
        </w:rPr>
      </w:pPr>
    </w:p>
    <w:p>
      <w:pPr>
        <w:ind w:left="1300" w:right="80" w:hanging="320"/>
        <w:spacing w:after="0" w:line="246"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improvement in AEC gross profit to $4.6 million in the third quarter of 2016, compared to $1.4 million in the third quarter of 2015, was principally due to higher sales as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93" w:lineRule="exact"/>
        <w:rPr>
          <w:sz w:val="20"/>
          <w:szCs w:val="20"/>
          <w:color w:val="auto"/>
        </w:rPr>
      </w:pPr>
    </w:p>
    <w:p>
      <w:pPr>
        <w:ind w:left="1300" w:right="40" w:hanging="320"/>
        <w:spacing w:after="0" w:line="23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increase in AEC gross profit was principally due to a $14.0 million charge for a revision in the contract profitability of its BR 725 program in the second quarter of 2015.</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remainder of the increase was due to higher sales, including the effect of the AAC acquisition.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Long-term contracts</w:t>
      </w:r>
    </w:p>
    <w:p>
      <w:pPr>
        <w:spacing w:after="0" w:line="193"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cost, plus a defined profit margin. Revenue earned under these arrangements accounted for approximately 41 percent and 53 percent of AEC revenue for the first nine months of 2016 and 2015, respectively.</w:t>
      </w:r>
    </w:p>
    <w:p>
      <w:pPr>
        <w:spacing w:after="0" w:line="17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In addition, AEC has long-term contracts in which the total contract price is fixed. In accounting for those contracts, we estimate the profit margin expected at the completion of the contract and recognize a pro-rata share of that profit during the course of the contract using a cost-to-cost or units of delivery approach. Changes in estimated contract profitability will affect revenue and gross profit when the change occurs, which could have a significant favorable or unfavorable effect on revenue and gross profit in any reporting period. As noted above, we recorded a charge of $14.0 million in the second quarter of 2015 for revisions to estimated costs of our BR 725 contract. Excluding that charge, changes in contract estimates decreased gross profit $1.2 million in the first nine months of 2016, and by $0.3 million in the same period of 2015.</w:t>
      </w:r>
    </w:p>
    <w:p>
      <w:pPr>
        <w:spacing w:after="0" w:line="163"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In February 2016, our customer on a long-term contract for the manufacture of composite components for the Rolls-Royce BR 725 engine notified us that they disagreed with our calculation of pricing for the parts to be sold in 2016, which could, potentially, have an adverse effect on the profitability of this contract in the future. While the Company believes that its position is supported by the prior course of dealing between the parties, if the customer’s position were to prevail it could have a material effect on operating results in future periods.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93"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sales led to a $3.1 million increase in gross profit, as described above.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2016 STG&amp;R expenses included $3.2 million related to the acquisition of AAC.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Restructuring expenses were $0.6 million in 2016. There was no comparable expense in 2015.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07" w:lineRule="exact"/>
        <w:rPr>
          <w:sz w:val="20"/>
          <w:szCs w:val="20"/>
          <w:color w:val="auto"/>
        </w:rPr>
      </w:pPr>
    </w:p>
    <w:p>
      <w:pPr>
        <w:ind w:left="5640" w:right="4200" w:hanging="4660"/>
        <w:spacing w:after="0" w:line="512" w:lineRule="auto"/>
        <w:tabs>
          <w:tab w:leader="none" w:pos="12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income in 2015 was reduced by the $14 million BR 725 charge.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800" w:type="dxa"/>
            <w:vAlign w:val="bottom"/>
            <w:tcBorders>
              <w:top w:val="single" w:sz="8" w:color="auto"/>
            </w:tcBorders>
          </w:tcPr>
          <w:p>
            <w:pPr>
              <w:spacing w:after="0"/>
              <w:rPr>
                <w:sz w:val="16"/>
                <w:szCs w:val="16"/>
                <w:color w:val="auto"/>
              </w:rPr>
            </w:pPr>
          </w:p>
        </w:tc>
        <w:tc>
          <w:tcPr>
            <w:tcW w:w="4600" w:type="dxa"/>
            <w:vAlign w:val="bottom"/>
            <w:tcBorders>
              <w:top w:val="single" w:sz="8" w:color="auto"/>
            </w:tcBorders>
            <w:gridSpan w:val="2"/>
          </w:tcPr>
          <w:p>
            <w:pPr>
              <w:jc w:val="right"/>
              <w:ind w:right="670"/>
              <w:spacing w:after="0" w:line="194" w:lineRule="exact"/>
              <w:rPr>
                <w:sz w:val="20"/>
                <w:szCs w:val="20"/>
                <w:color w:val="auto"/>
              </w:rPr>
            </w:pPr>
            <w:r>
              <w:rPr>
                <w:rFonts w:ascii="Arial" w:cs="Arial" w:eastAsia="Arial" w:hAnsi="Arial"/>
                <w:sz w:val="18"/>
                <w:szCs w:val="18"/>
                <w:b w:val="1"/>
                <w:bCs w:val="1"/>
                <w:color w:val="auto"/>
              </w:rPr>
              <w:t>Nine months ended</w:t>
            </w:r>
          </w:p>
        </w:tc>
      </w:tr>
      <w:tr>
        <w:trPr>
          <w:trHeight w:val="203"/>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17"/>
                <w:szCs w:val="17"/>
                <w:color w:val="auto"/>
              </w:rPr>
            </w:pPr>
          </w:p>
        </w:tc>
      </w:tr>
      <w:tr>
        <w:trPr>
          <w:trHeight w:val="225"/>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68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173"/>
        </w:trPr>
        <w:tc>
          <w:tcPr>
            <w:tcW w:w="682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3680" w:type="dxa"/>
            <w:vAlign w:val="bottom"/>
          </w:tcPr>
          <w:p>
            <w:pPr>
              <w:jc w:val="right"/>
              <w:ind w:right="930"/>
              <w:spacing w:after="0" w:line="173" w:lineRule="exact"/>
              <w:rPr>
                <w:sz w:val="20"/>
                <w:szCs w:val="20"/>
                <w:color w:val="auto"/>
              </w:rPr>
            </w:pPr>
            <w:r>
              <w:rPr>
                <w:rFonts w:ascii="Arial" w:cs="Arial" w:eastAsia="Arial" w:hAnsi="Arial"/>
                <w:sz w:val="18"/>
                <w:szCs w:val="18"/>
                <w:b w:val="1"/>
                <w:bCs w:val="1"/>
                <w:color w:val="auto"/>
              </w:rPr>
              <w:t>$36,826</w:t>
            </w:r>
          </w:p>
        </w:tc>
        <w:tc>
          <w:tcPr>
            <w:tcW w:w="9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$19,799</w:t>
            </w: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3680" w:type="dxa"/>
            <w:vAlign w:val="bottom"/>
          </w:tcPr>
          <w:p>
            <w:pPr>
              <w:jc w:val="right"/>
              <w:ind w:right="930"/>
              <w:spacing w:after="0" w:line="202" w:lineRule="exact"/>
              <w:rPr>
                <w:sz w:val="20"/>
                <w:szCs w:val="20"/>
                <w:color w:val="auto"/>
              </w:rPr>
            </w:pPr>
            <w:r>
              <w:rPr>
                <w:rFonts w:ascii="Arial" w:cs="Arial" w:eastAsia="Arial" w:hAnsi="Arial"/>
                <w:sz w:val="18"/>
                <w:szCs w:val="18"/>
                <w:b w:val="1"/>
                <w:bCs w:val="1"/>
                <w:color w:val="auto"/>
              </w:rPr>
              <w:t>51,224</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45,281</w:t>
            </w: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Changes in working capital</w:t>
            </w:r>
          </w:p>
        </w:tc>
        <w:tc>
          <w:tcPr>
            <w:tcW w:w="368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(32,476)</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(9,882)</w:t>
            </w: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Gain on disposition of assets</w:t>
            </w:r>
          </w:p>
        </w:tc>
        <w:tc>
          <w:tcPr>
            <w:tcW w:w="3680" w:type="dxa"/>
            <w:vAlign w:val="bottom"/>
          </w:tcPr>
          <w:p>
            <w:pPr>
              <w:jc w:val="right"/>
              <w:ind w:right="93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Changes in other noncurrent liabilities and deferred taxes</w:t>
            </w:r>
          </w:p>
        </w:tc>
        <w:tc>
          <w:tcPr>
            <w:tcW w:w="368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(6,922)</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937</w:t>
            </w: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Other operating items</w:t>
            </w:r>
          </w:p>
        </w:tc>
        <w:tc>
          <w:tcPr>
            <w:tcW w:w="3680" w:type="dxa"/>
            <w:vAlign w:val="bottom"/>
          </w:tcPr>
          <w:p>
            <w:pPr>
              <w:jc w:val="right"/>
              <w:ind w:right="930"/>
              <w:spacing w:after="0" w:line="202" w:lineRule="exact"/>
              <w:rPr>
                <w:sz w:val="20"/>
                <w:szCs w:val="20"/>
                <w:color w:val="auto"/>
              </w:rPr>
            </w:pPr>
            <w:r>
              <w:rPr>
                <w:rFonts w:ascii="Arial" w:cs="Arial" w:eastAsia="Arial" w:hAnsi="Arial"/>
                <w:sz w:val="18"/>
                <w:szCs w:val="18"/>
                <w:b w:val="1"/>
                <w:bCs w:val="1"/>
                <w:color w:val="auto"/>
              </w:rPr>
              <w:t>3,175</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941</w:t>
            </w:r>
          </w:p>
        </w:tc>
      </w:tr>
      <w:tr>
        <w:trPr>
          <w:trHeight w:val="225"/>
        </w:trPr>
        <w:tc>
          <w:tcPr>
            <w:tcW w:w="20" w:type="dxa"/>
            <w:vAlign w:val="bottom"/>
          </w:tcPr>
          <w:p>
            <w:pPr>
              <w:spacing w:after="0"/>
              <w:rPr>
                <w:sz w:val="19"/>
                <w:szCs w:val="19"/>
                <w:color w:val="auto"/>
              </w:rPr>
            </w:pPr>
          </w:p>
        </w:tc>
        <w:tc>
          <w:tcPr>
            <w:tcW w:w="6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Fair value adjustment on available-for-sale assets</w:t>
            </w:r>
          </w:p>
        </w:tc>
        <w:tc>
          <w:tcPr>
            <w:tcW w:w="36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3,225</w:t>
            </w:r>
          </w:p>
        </w:tc>
      </w:tr>
      <w:tr>
        <w:trPr>
          <w:trHeight w:val="173"/>
        </w:trPr>
        <w:tc>
          <w:tcPr>
            <w:tcW w:w="20" w:type="dxa"/>
            <w:vAlign w:val="bottom"/>
          </w:tcPr>
          <w:p>
            <w:pPr>
              <w:spacing w:after="0"/>
              <w:rPr>
                <w:sz w:val="15"/>
                <w:szCs w:val="15"/>
                <w:color w:val="auto"/>
              </w:rPr>
            </w:pPr>
          </w:p>
        </w:tc>
        <w:tc>
          <w:tcPr>
            <w:tcW w:w="6800" w:type="dxa"/>
            <w:vAlign w:val="bottom"/>
          </w:tcPr>
          <w:p>
            <w:pPr>
              <w:spacing w:after="0" w:line="173" w:lineRule="exact"/>
              <w:rPr>
                <w:sz w:val="20"/>
                <w:szCs w:val="20"/>
                <w:color w:val="auto"/>
              </w:rPr>
            </w:pPr>
            <w:r>
              <w:rPr>
                <w:rFonts w:ascii="Arial" w:cs="Arial" w:eastAsia="Arial" w:hAnsi="Arial"/>
                <w:sz w:val="18"/>
                <w:szCs w:val="18"/>
                <w:color w:val="auto"/>
              </w:rPr>
              <w:t>Net cash provided by operating activities</w:t>
            </w:r>
          </w:p>
        </w:tc>
        <w:tc>
          <w:tcPr>
            <w:tcW w:w="3680" w:type="dxa"/>
            <w:vAlign w:val="bottom"/>
          </w:tcPr>
          <w:p>
            <w:pPr>
              <w:jc w:val="right"/>
              <w:ind w:right="930"/>
              <w:spacing w:after="0" w:line="173" w:lineRule="exact"/>
              <w:rPr>
                <w:sz w:val="20"/>
                <w:szCs w:val="20"/>
                <w:color w:val="auto"/>
              </w:rPr>
            </w:pPr>
            <w:r>
              <w:rPr>
                <w:rFonts w:ascii="Arial" w:cs="Arial" w:eastAsia="Arial" w:hAnsi="Arial"/>
                <w:sz w:val="18"/>
                <w:szCs w:val="18"/>
                <w:b w:val="1"/>
                <w:bCs w:val="1"/>
                <w:color w:val="auto"/>
              </w:rPr>
              <w:t>51,827</w:t>
            </w:r>
          </w:p>
        </w:tc>
        <w:tc>
          <w:tcPr>
            <w:tcW w:w="9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59,245</w:t>
            </w:r>
          </w:p>
        </w:tc>
      </w:tr>
      <w:tr>
        <w:trPr>
          <w:trHeight w:val="203"/>
        </w:trPr>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680" w:type="dxa"/>
            <w:vAlign w:val="bottom"/>
          </w:tcPr>
          <w:p>
            <w:pPr>
              <w:jc w:val="right"/>
              <w:ind w:right="870"/>
              <w:spacing w:after="0" w:line="202" w:lineRule="exact"/>
              <w:rPr>
                <w:sz w:val="20"/>
                <w:szCs w:val="20"/>
                <w:color w:val="auto"/>
              </w:rPr>
            </w:pPr>
            <w:r>
              <w:rPr>
                <w:rFonts w:ascii="Arial" w:cs="Arial" w:eastAsia="Arial" w:hAnsi="Arial"/>
                <w:sz w:val="18"/>
                <w:szCs w:val="18"/>
                <w:b w:val="1"/>
                <w:bCs w:val="1"/>
                <w:color w:val="auto"/>
              </w:rPr>
              <w:t>(231,869)</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(37,481)</w:t>
            </w:r>
          </w:p>
        </w:tc>
      </w:tr>
      <w:tr>
        <w:trPr>
          <w:trHeight w:val="203"/>
        </w:trPr>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680" w:type="dxa"/>
            <w:vAlign w:val="bottom"/>
          </w:tcPr>
          <w:p>
            <w:pPr>
              <w:jc w:val="right"/>
              <w:ind w:right="930"/>
              <w:spacing w:after="0" w:line="202" w:lineRule="exact"/>
              <w:rPr>
                <w:sz w:val="20"/>
                <w:szCs w:val="20"/>
                <w:color w:val="auto"/>
              </w:rPr>
            </w:pPr>
            <w:r>
              <w:rPr>
                <w:rFonts w:ascii="Arial" w:cs="Arial" w:eastAsia="Arial" w:hAnsi="Arial"/>
                <w:sz w:val="18"/>
                <w:szCs w:val="18"/>
                <w:b w:val="1"/>
                <w:bCs w:val="1"/>
                <w:color w:val="auto"/>
              </w:rPr>
              <w:t>186,370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(17,197)</w:t>
            </w:r>
          </w:p>
        </w:tc>
      </w:tr>
      <w:tr>
        <w:trPr>
          <w:trHeight w:val="225"/>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changes on cash flows</w:t>
            </w:r>
          </w:p>
        </w:tc>
        <w:tc>
          <w:tcPr>
            <w:tcW w:w="36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4,729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(12,589)</w:t>
            </w:r>
          </w:p>
        </w:tc>
      </w:tr>
      <w:tr>
        <w:trPr>
          <w:trHeight w:val="173"/>
        </w:trPr>
        <w:tc>
          <w:tcPr>
            <w:tcW w:w="6820" w:type="dxa"/>
            <w:vAlign w:val="bottom"/>
            <w:gridSpan w:val="2"/>
          </w:tcPr>
          <w:p>
            <w:pPr>
              <w:spacing w:after="0" w:line="173" w:lineRule="exact"/>
              <w:rPr>
                <w:sz w:val="20"/>
                <w:szCs w:val="20"/>
                <w:color w:val="auto"/>
              </w:rPr>
            </w:pPr>
            <w:r>
              <w:rPr>
                <w:rFonts w:ascii="Arial" w:cs="Arial" w:eastAsia="Arial" w:hAnsi="Arial"/>
                <w:sz w:val="18"/>
                <w:szCs w:val="18"/>
                <w:color w:val="auto"/>
              </w:rPr>
              <w:t>Increase/(decrease) in cash and cash equivalents</w:t>
            </w:r>
          </w:p>
        </w:tc>
        <w:tc>
          <w:tcPr>
            <w:tcW w:w="3680" w:type="dxa"/>
            <w:vAlign w:val="bottom"/>
          </w:tcPr>
          <w:p>
            <w:pPr>
              <w:jc w:val="right"/>
              <w:ind w:right="930"/>
              <w:spacing w:after="0" w:line="173" w:lineRule="exact"/>
              <w:rPr>
                <w:sz w:val="20"/>
                <w:szCs w:val="20"/>
                <w:color w:val="auto"/>
              </w:rPr>
            </w:pPr>
            <w:r>
              <w:rPr>
                <w:rFonts w:ascii="Arial" w:cs="Arial" w:eastAsia="Arial" w:hAnsi="Arial"/>
                <w:sz w:val="18"/>
                <w:szCs w:val="18"/>
                <w:b w:val="1"/>
                <w:bCs w:val="1"/>
                <w:color w:val="auto"/>
              </w:rPr>
              <w:t>11,057</w:t>
            </w:r>
          </w:p>
        </w:tc>
        <w:tc>
          <w:tcPr>
            <w:tcW w:w="920" w:type="dxa"/>
            <w:vAlign w:val="bottom"/>
          </w:tcPr>
          <w:p>
            <w:pPr>
              <w:jc w:val="right"/>
              <w:spacing w:after="0" w:line="173" w:lineRule="exact"/>
              <w:rPr>
                <w:sz w:val="20"/>
                <w:szCs w:val="20"/>
                <w:color w:val="auto"/>
              </w:rPr>
            </w:pPr>
            <w:r>
              <w:rPr>
                <w:rFonts w:ascii="Arial" w:cs="Arial" w:eastAsia="Arial" w:hAnsi="Arial"/>
                <w:sz w:val="18"/>
                <w:szCs w:val="18"/>
                <w:color w:val="auto"/>
              </w:rPr>
              <w:t>(8,022)</w:t>
            </w:r>
          </w:p>
        </w:tc>
      </w:tr>
      <w:tr>
        <w:trPr>
          <w:trHeight w:val="225"/>
        </w:trPr>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36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185,113</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179,802</w:t>
            </w:r>
          </w:p>
        </w:tc>
      </w:tr>
      <w:tr>
        <w:trPr>
          <w:trHeight w:val="196"/>
        </w:trPr>
        <w:tc>
          <w:tcPr>
            <w:tcW w:w="68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680" w:type="dxa"/>
            <w:vAlign w:val="bottom"/>
            <w:tcBorders>
              <w:bottom w:val="single" w:sz="8" w:color="auto"/>
            </w:tcBorders>
          </w:tcPr>
          <w:p>
            <w:pPr>
              <w:jc w:val="right"/>
              <w:ind w:right="930"/>
              <w:spacing w:after="0" w:line="196" w:lineRule="exact"/>
              <w:rPr>
                <w:sz w:val="20"/>
                <w:szCs w:val="20"/>
                <w:color w:val="auto"/>
              </w:rPr>
            </w:pPr>
            <w:r>
              <w:rPr>
                <w:rFonts w:ascii="Arial" w:cs="Arial" w:eastAsia="Arial" w:hAnsi="Arial"/>
                <w:sz w:val="18"/>
                <w:szCs w:val="18"/>
                <w:b w:val="1"/>
                <w:bCs w:val="1"/>
                <w:color w:val="auto"/>
              </w:rPr>
              <w:t>$196,170</w:t>
            </w: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$171,780</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7"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Cash provided by operating activities was $51.8 million for the first nine months of 2016, compared to $59.2 million in the same period of 2015. The decrease in 2016 reflects higher levels of Accounts receivable, Inventories, and Other assets, principally in the AEC segment. Cash paid for income taxes was $18.2 million and $15.5 million for the first nine months of 2016 and 2015, respectively.</w:t>
      </w:r>
    </w:p>
    <w:p>
      <w:pPr>
        <w:spacing w:after="0" w:line="16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At September 30, 2016, we had $ 196.2 million of cash and cash equivalents, of which $160.2 million was held by subsidiaries outside of the United States. As disclosed in Note 7 contained in Item 1, “Notes to Consolidated Financial Statements”, we determined that all but $59.0 million of this amount (which represents the amount of prior year earnings to be repatriated to the United States at some point in the future) is intended to be utilized by these non-U.S. operations for an indefinite period of time. Our current plans do not anticipate that we will need additional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07"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Total capital expenditures for the nine months of 2016 were $53.8 million, including amounts that were included in Accounts payable. In the Consolidated Statements of Cash Flows, capital expenditures and accounts payable were each adjusted by $2.5 million to reflect the non-cash nature of that amount. The Company estimates full-year capital expenditure spending of $75 million to $80 million, including capital expenditures for the acquired business.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Financing Activities</w:t>
      </w:r>
    </w:p>
    <w:p>
      <w:pPr>
        <w:spacing w:after="0" w:line="193"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93"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September 30, 2016 was held by non-U.S. subsidiaries. Based on cash on hand and credit facilities, we anticipate that the Company has sufficient capital resources to operate for the foreseeable future. We were in compliance with all debt covenants as of September 30, 2016.</w:t>
      </w:r>
    </w:p>
    <w:p>
      <w:pPr>
        <w:spacing w:after="0" w:line="162"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On April 8, 2016, we entered into a $550 million unsecured Five-Year Revolving Credit Facility Agreement (the “Credit Agreement”) which amends and restates the Prior $ 400 million Agreement, entered into on June 18, 2015 (the “Prior Agreement”). Under the Credit Agreement, $425 million of borrowings were outstanding as of September 30, 2016. The applicable interest rate for borrowings was LIBOR plus a spread, based on our leverage ratio at the time of borrowing. At the time of the last borrowing on September 16, 2016, the spread was 1.500%. The spread was based on a pricing grid, which ranged from 1.250% to 1.750%, based on our leverage ratio. Based on our maximum leverage ratio and our Consolidated EBITDA, and without modification to any other credit agreements, as of September 30, 2016, we would have been able to borrow an additional $125 million under the Agreement.</w:t>
      </w:r>
    </w:p>
    <w:p>
      <w:pPr>
        <w:spacing w:after="0" w:line="176"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On May 6, 2016, we terminated our interest rate swap agreements that had effectively fixed the interest rate on up to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162"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On May 9, 2016, we entered into interest rate hedges for the period May 16, 2016 through March 16, 2021. These transactions have the effect of fixing the LIBOR portion of the effective interest rate (before addition of the spread) on $300 million of indebtedness drawn under the Credit Agreement at the rate of 1.245% during the period. Under the terms of these transactions, we pay the fixed rate of 1.245% and the counterparties pay a floating rate based on the one-month LIBOR rate at each monthly calculation date, which on September 16, 2016 was 0.530%. The net effect is to fix the effective interest rate on $300 million of indebtedness at 1.245%, plus the applicable spread, during the swap period. On September 16, 2016, the all-in-rate on the $300 million of debt was 2.745%.</w:t>
      </w:r>
    </w:p>
    <w:p>
      <w:pPr>
        <w:spacing w:after="0" w:line="165" w:lineRule="exact"/>
        <w:rPr>
          <w:sz w:val="20"/>
          <w:szCs w:val="20"/>
          <w:color w:val="auto"/>
        </w:rPr>
      </w:pPr>
    </w:p>
    <w:p>
      <w:pPr>
        <w:ind w:right="180" w:firstLine="648"/>
        <w:spacing w:after="0" w:line="234" w:lineRule="auto"/>
        <w:rPr>
          <w:sz w:val="20"/>
          <w:szCs w:val="20"/>
          <w:color w:val="auto"/>
        </w:rPr>
      </w:pPr>
      <w:r>
        <w:rPr>
          <w:rFonts w:ascii="Arial" w:cs="Arial" w:eastAsia="Arial" w:hAnsi="Arial"/>
          <w:sz w:val="18"/>
          <w:szCs w:val="18"/>
          <w:color w:val="auto"/>
        </w:rPr>
        <w:t>As of September 30, 2016, our leverage ratio, including the pro-forma effect of the acquisition, was 2.38 to 1.00 and our interest coverage ratio was 12.93 to 1.00. We may purchase our Common Stock or pay dividends to the extent our leverage ratio remains at or below</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3.50 to 1.00, and may make acquisitions with cash provided our leverage ratio would not exceed 3.50 to 1.00 after giving pro forma effect to the acquisition.</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For more information, see Note 14 to the Consolidated Financial Statements in Item 1, which is incorporated herein by reference.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right="740" w:firstLine="648"/>
        <w:spacing w:after="0" w:line="246" w:lineRule="auto"/>
        <w:rPr>
          <w:sz w:val="20"/>
          <w:szCs w:val="20"/>
          <w:color w:val="auto"/>
        </w:rPr>
      </w:pPr>
      <w:r>
        <w:rPr>
          <w:rFonts w:ascii="Arial" w:cs="Arial" w:eastAsia="Arial" w:hAnsi="Arial"/>
          <w:sz w:val="18"/>
          <w:szCs w:val="18"/>
          <w:color w:val="auto"/>
        </w:rPr>
        <w:t>As of September 30, 2016, we have no off-balance sheet arrangements required to be disclosed pursuant to Item 303(a)(4) of Regulation S-K.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right="520" w:firstLine="648"/>
        <w:spacing w:after="0" w:line="246" w:lineRule="auto"/>
        <w:rPr>
          <w:sz w:val="20"/>
          <w:szCs w:val="20"/>
          <w:color w:val="auto"/>
        </w:rPr>
      </w:pPr>
      <w:r>
        <w:rPr>
          <w:rFonts w:ascii="Arial" w:cs="Arial" w:eastAsia="Arial" w:hAnsi="Arial"/>
          <w:sz w:val="18"/>
          <w:szCs w:val="18"/>
          <w:color w:val="auto"/>
        </w:rPr>
        <w:t>The information set forth under Note 18 contained in Item 1, “Notes to Consolidated Financial Statements”, which is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07"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This Form 10-Q contains certain non-GAAP metrics, including: percent change in net sales excluding currency rate effects (for each segment and the Company as a whole); EBITDA and Adjusted EBITDA (for each segment and the Company as a whole); net debt; and net income per share attributable to the Company, excluding adjustments. Such items are provided because management believes that, when reconciled from the GAAP items to which they relate, they provide additional useful information to investors regarding the Company’s operational performance.</w:t>
      </w:r>
    </w:p>
    <w:p>
      <w:pPr>
        <w:spacing w:after="0" w:line="162" w:lineRule="exact"/>
        <w:rPr>
          <w:sz w:val="20"/>
          <w:szCs w:val="20"/>
          <w:color w:val="auto"/>
        </w:rPr>
      </w:pPr>
    </w:p>
    <w:p>
      <w:pPr>
        <w:ind w:right="240" w:firstLine="648"/>
        <w:spacing w:after="0" w:line="236" w:lineRule="auto"/>
        <w:rPr>
          <w:sz w:val="20"/>
          <w:szCs w:val="20"/>
          <w:color w:val="auto"/>
        </w:rPr>
      </w:pPr>
      <w:r>
        <w:rPr>
          <w:rFonts w:ascii="Arial" w:cs="Arial" w:eastAsia="Arial" w:hAnsi="Arial"/>
          <w:sz w:val="18"/>
          <w:szCs w:val="18"/>
          <w:color w:val="auto"/>
        </w:rPr>
        <w:t>Presenting increases or decreases in sales, after currency effects are excluded, can give management and investors insight into underlying sales trends.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quarter of specific restructuring costs, acquisition expenses, currency revaluation,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in the MC segment, while frequent in recent years, are reflective of significant reductions in manufacturing capacity and associated headcount in response to shifting markets, and not of the profitability of the business going forward as restructured. Net debt is, in the opinion of the Company, helpful to investors wishing to understand what the Company’s debt position would be if all available cash were applied to pay down indebtedness. EBITDA, Adjusted EBITDA and net income per share, excluding adjustments, are performance measures that relate to the Company’s continuing operations.</w:t>
      </w:r>
    </w:p>
    <w:p>
      <w:pPr>
        <w:spacing w:after="0" w:line="16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Percent changes in net sales, excluding currency rate effects, is calculated by converting amounts reported in local currencies into U.S. dollars at the exchange rate of a prior period. That amount is then compared to the U.S. dollar amount reported in the current period. The Company calculates EBITDA by removing the following from Net income: Interest expense net, Income tax expense, and Depreciation and amortization. Adjusted EBITDA is calculated by: adding to EBITDA costs associated with restructuring and pension settlement charges; adding (or subtracting) revaluation losses (or gains); subtracting (or adding) gains (or losses) from the sale of buildings or investments; subtracting insurance recovery gains; subtracting (or adding) Income (or loss) attributable to the non-controlling interest in Albany Safran Composites (ASC); and adding expenses related to the Company’s acquisition of Harris Corporation’s composite aerostructures division. Net income per share, excluding adjustments, is calculated by adding to (or subtracting from) net income attributable to the Company per share, on an after-tax basis: restructuring charges; discrete tax charges (or gains) and the effect of changes in the income tax rate; foreign currency revaluation losses (or gains); acquisition expenses; and losses (or gains) from the sale of investments.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44" w:name="page45"/>
    <w:bookmarkEnd w:id="44"/>
    <w:p>
      <w:pPr>
        <w:ind w:right="140" w:firstLine="648"/>
        <w:spacing w:after="0"/>
        <w:rPr>
          <w:sz w:val="20"/>
          <w:szCs w:val="20"/>
          <w:color w:val="auto"/>
        </w:rPr>
      </w:pPr>
      <w:r>
        <w:rPr>
          <w:rFonts w:ascii="Arial" w:cs="Arial" w:eastAsia="Arial" w:hAnsi="Arial"/>
          <w:sz w:val="18"/>
          <w:szCs w:val="18"/>
          <w:color w:val="auto"/>
        </w:rPr>
        <w:t>EBITDA, Adjusted EBITDA, and net income per share, excluding adjustments, as defined by the Company, may not be similar to EBITDA measures of other companies. Such measures are not considered measurements under GAAP, and should be considered in addition to, but not as substitutes for, the information contained in the Company’s statements of income.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Three months ended September 30, 2016</w:t>
            </w:r>
          </w:p>
        </w:tc>
        <w:tc>
          <w:tcPr>
            <w:tcW w:w="20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Machine</w:t>
            </w:r>
          </w:p>
        </w:tc>
        <w:tc>
          <w:tcPr>
            <w:tcW w:w="1160" w:type="dxa"/>
            <w:vAlign w:val="bottom"/>
          </w:tcPr>
          <w:p>
            <w:pPr>
              <w:spacing w:after="0"/>
              <w:rPr>
                <w:sz w:val="17"/>
                <w:szCs w:val="17"/>
                <w:color w:val="auto"/>
              </w:rPr>
            </w:pPr>
          </w:p>
        </w:tc>
        <w:tc>
          <w:tcPr>
            <w:tcW w:w="14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expenses</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Clothing</w:t>
            </w: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AEC</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and other</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3"/>
        </w:trPr>
        <w:tc>
          <w:tcPr>
            <w:tcW w:w="5580" w:type="dxa"/>
            <w:vAlign w:val="bottom"/>
            <w:gridSpan w:val="2"/>
          </w:tcPr>
          <w:p>
            <w:pPr>
              <w:spacing w:after="0" w:line="173" w:lineRule="exact"/>
              <w:rPr>
                <w:sz w:val="20"/>
                <w:szCs w:val="20"/>
                <w:color w:val="auto"/>
              </w:rPr>
            </w:pPr>
            <w:r>
              <w:rPr>
                <w:rFonts w:ascii="Arial" w:cs="Arial" w:eastAsia="Arial" w:hAnsi="Arial"/>
                <w:sz w:val="18"/>
                <w:szCs w:val="18"/>
                <w:color w:val="auto"/>
              </w:rPr>
              <w:t>Net income (GAAP)</w:t>
            </w:r>
          </w:p>
        </w:tc>
        <w:tc>
          <w:tcPr>
            <w:tcW w:w="202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$40,039</w:t>
            </w:r>
          </w:p>
        </w:tc>
        <w:tc>
          <w:tcPr>
            <w:tcW w:w="1160" w:type="dxa"/>
            <w:vAlign w:val="bottom"/>
          </w:tcPr>
          <w:p>
            <w:pPr>
              <w:jc w:val="right"/>
              <w:spacing w:after="0" w:line="173" w:lineRule="exact"/>
              <w:rPr>
                <w:sz w:val="20"/>
                <w:szCs w:val="20"/>
                <w:color w:val="auto"/>
              </w:rPr>
            </w:pPr>
            <w:r>
              <w:rPr>
                <w:rFonts w:ascii="Arial" w:cs="Arial" w:eastAsia="Arial" w:hAnsi="Arial"/>
                <w:sz w:val="18"/>
                <w:szCs w:val="18"/>
                <w:color w:val="auto"/>
              </w:rPr>
              <w:t>($4,529)</w:t>
            </w:r>
          </w:p>
        </w:tc>
        <w:tc>
          <w:tcPr>
            <w:tcW w:w="146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($22,101)</w:t>
            </w:r>
          </w:p>
        </w:tc>
        <w:tc>
          <w:tcPr>
            <w:tcW w:w="120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$13,409</w:t>
            </w:r>
          </w:p>
        </w:tc>
        <w:tc>
          <w:tcPr>
            <w:tcW w:w="0" w:type="dxa"/>
            <w:vAlign w:val="bottom"/>
          </w:tcPr>
          <w:p>
            <w:pPr>
              <w:spacing w:after="0"/>
              <w:rPr>
                <w:sz w:val="1"/>
                <w:szCs w:val="1"/>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020" w:type="dxa"/>
            <w:vAlign w:val="bottom"/>
          </w:tcPr>
          <w:p>
            <w:pPr>
              <w:spacing w:after="0"/>
              <w:rPr>
                <w:sz w:val="17"/>
                <w:szCs w:val="17"/>
                <w:color w:val="auto"/>
              </w:rPr>
            </w:pP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3,681</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3,681</w:t>
            </w:r>
          </w:p>
        </w:tc>
        <w:tc>
          <w:tcPr>
            <w:tcW w:w="0" w:type="dxa"/>
            <w:vAlign w:val="bottom"/>
          </w:tcPr>
          <w:p>
            <w:pPr>
              <w:spacing w:after="0"/>
              <w:rPr>
                <w:sz w:val="1"/>
                <w:szCs w:val="1"/>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0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7,488</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7,488</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9,032</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8,027</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1,386</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18,445</w:t>
            </w:r>
          </w:p>
        </w:tc>
        <w:tc>
          <w:tcPr>
            <w:tcW w:w="0" w:type="dxa"/>
            <w:vAlign w:val="bottom"/>
          </w:tcPr>
          <w:p>
            <w:pPr>
              <w:spacing w:after="0"/>
              <w:rPr>
                <w:sz w:val="1"/>
                <w:szCs w:val="1"/>
                <w:color w:val="auto"/>
              </w:rPr>
            </w:pPr>
          </w:p>
        </w:tc>
      </w:tr>
      <w:tr>
        <w:trPr>
          <w:trHeight w:val="173"/>
        </w:trPr>
        <w:tc>
          <w:tcPr>
            <w:tcW w:w="5580" w:type="dxa"/>
            <w:vAlign w:val="bottom"/>
            <w:gridSpan w:val="2"/>
          </w:tcPr>
          <w:p>
            <w:pPr>
              <w:spacing w:after="0" w:line="173" w:lineRule="exact"/>
              <w:rPr>
                <w:sz w:val="20"/>
                <w:szCs w:val="20"/>
                <w:color w:val="auto"/>
              </w:rPr>
            </w:pPr>
            <w:r>
              <w:rPr>
                <w:rFonts w:ascii="Arial" w:cs="Arial" w:eastAsia="Arial" w:hAnsi="Arial"/>
                <w:sz w:val="18"/>
                <w:szCs w:val="18"/>
                <w:color w:val="auto"/>
              </w:rPr>
              <w:t>EBITDA (non-GAAP)</w:t>
            </w:r>
          </w:p>
        </w:tc>
        <w:tc>
          <w:tcPr>
            <w:tcW w:w="202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49,071</w:t>
            </w:r>
          </w:p>
        </w:tc>
        <w:tc>
          <w:tcPr>
            <w:tcW w:w="1160" w:type="dxa"/>
            <w:vAlign w:val="bottom"/>
          </w:tcPr>
          <w:p>
            <w:pPr>
              <w:jc w:val="right"/>
              <w:ind w:right="50"/>
              <w:spacing w:after="0" w:line="173" w:lineRule="exact"/>
              <w:rPr>
                <w:sz w:val="20"/>
                <w:szCs w:val="20"/>
                <w:color w:val="auto"/>
              </w:rPr>
            </w:pPr>
            <w:r>
              <w:rPr>
                <w:rFonts w:ascii="Arial" w:cs="Arial" w:eastAsia="Arial" w:hAnsi="Arial"/>
                <w:sz w:val="18"/>
                <w:szCs w:val="18"/>
                <w:color w:val="auto"/>
              </w:rPr>
              <w:t>3,498</w:t>
            </w:r>
          </w:p>
        </w:tc>
        <w:tc>
          <w:tcPr>
            <w:tcW w:w="146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(9,546)</w:t>
            </w:r>
          </w:p>
        </w:tc>
        <w:tc>
          <w:tcPr>
            <w:tcW w:w="120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43,023</w:t>
            </w:r>
          </w:p>
        </w:tc>
        <w:tc>
          <w:tcPr>
            <w:tcW w:w="0" w:type="dxa"/>
            <w:vAlign w:val="bottom"/>
          </w:tcPr>
          <w:p>
            <w:pPr>
              <w:spacing w:after="0"/>
              <w:rPr>
                <w:sz w:val="1"/>
                <w:szCs w:val="1"/>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20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(212)</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640</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(102)</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326</w:t>
            </w:r>
          </w:p>
        </w:tc>
        <w:tc>
          <w:tcPr>
            <w:tcW w:w="0" w:type="dxa"/>
            <w:vAlign w:val="bottom"/>
          </w:tcPr>
          <w:p>
            <w:pPr>
              <w:spacing w:after="0"/>
              <w:rPr>
                <w:sz w:val="1"/>
                <w:szCs w:val="1"/>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0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86</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(308)</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Acquisition expenses</w:t>
            </w:r>
          </w:p>
        </w:tc>
        <w:tc>
          <w:tcPr>
            <w:tcW w:w="20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(income)/loss attributable to the noncontrolling interest in ASC</w:t>
            </w:r>
          </w:p>
        </w:tc>
        <w:tc>
          <w:tcPr>
            <w:tcW w:w="2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 (non-GAAP)</w:t>
            </w:r>
          </w:p>
        </w:tc>
        <w:tc>
          <w:tcPr>
            <w:tcW w:w="20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$48,945</w:t>
            </w:r>
          </w:p>
        </w:tc>
        <w:tc>
          <w:tcPr>
            <w:tcW w:w="11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$3,710</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($9,956)</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$42,699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Three months ended September 30, 2015</w:t>
            </w:r>
          </w:p>
        </w:tc>
        <w:tc>
          <w:tcPr>
            <w:tcW w:w="2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Machine</w:t>
            </w:r>
          </w:p>
        </w:tc>
        <w:tc>
          <w:tcPr>
            <w:tcW w:w="116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expenses and</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Clothing</w:t>
            </w: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AEC</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other</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95"/>
        </w:trPr>
        <w:tc>
          <w:tcPr>
            <w:tcW w:w="5580" w:type="dxa"/>
            <w:vAlign w:val="bottom"/>
            <w:gridSpan w:val="2"/>
          </w:tcPr>
          <w:p>
            <w:pPr>
              <w:spacing w:after="0" w:line="195" w:lineRule="exact"/>
              <w:rPr>
                <w:sz w:val="20"/>
                <w:szCs w:val="20"/>
                <w:color w:val="auto"/>
              </w:rPr>
            </w:pPr>
            <w:r>
              <w:rPr>
                <w:rFonts w:ascii="Arial" w:cs="Arial" w:eastAsia="Arial" w:hAnsi="Arial"/>
                <w:sz w:val="18"/>
                <w:szCs w:val="18"/>
                <w:color w:val="auto"/>
              </w:rPr>
              <w:t>Net income/(loss) (GAAP)</w:t>
            </w:r>
          </w:p>
        </w:tc>
        <w:tc>
          <w:tcPr>
            <w:tcW w:w="202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$41,956</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($4,191)</w:t>
            </w:r>
          </w:p>
        </w:tc>
        <w:tc>
          <w:tcPr>
            <w:tcW w:w="14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($28,085)</w:t>
            </w:r>
          </w:p>
        </w:tc>
        <w:tc>
          <w:tcPr>
            <w:tcW w:w="12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$9,680</w:t>
            </w:r>
          </w:p>
        </w:tc>
        <w:tc>
          <w:tcPr>
            <w:tcW w:w="0" w:type="dxa"/>
            <w:vAlign w:val="bottom"/>
          </w:tcPr>
          <w:p>
            <w:pPr>
              <w:spacing w:after="0"/>
              <w:rPr>
                <w:sz w:val="1"/>
                <w:szCs w:val="1"/>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0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2,671</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0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12,243</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20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9,660</w:t>
            </w:r>
          </w:p>
        </w:tc>
        <w:tc>
          <w:tcPr>
            <w:tcW w:w="11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2,981</w:t>
            </w:r>
          </w:p>
        </w:tc>
        <w:tc>
          <w:tcPr>
            <w:tcW w:w="14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2,102</w:t>
            </w: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14,743</w:t>
            </w:r>
          </w:p>
        </w:tc>
        <w:tc>
          <w:tcPr>
            <w:tcW w:w="0" w:type="dxa"/>
            <w:vAlign w:val="bottom"/>
          </w:tcPr>
          <w:p>
            <w:pPr>
              <w:spacing w:after="0"/>
              <w:rPr>
                <w:sz w:val="1"/>
                <w:szCs w:val="1"/>
                <w:color w:val="auto"/>
              </w:rPr>
            </w:pPr>
          </w:p>
        </w:tc>
      </w:tr>
      <w:tr>
        <w:trPr>
          <w:trHeight w:val="195"/>
        </w:trPr>
        <w:tc>
          <w:tcPr>
            <w:tcW w:w="5580" w:type="dxa"/>
            <w:vAlign w:val="bottom"/>
            <w:gridSpan w:val="2"/>
          </w:tcPr>
          <w:p>
            <w:pPr>
              <w:spacing w:after="0" w:line="195" w:lineRule="exact"/>
              <w:rPr>
                <w:sz w:val="20"/>
                <w:szCs w:val="20"/>
                <w:color w:val="auto"/>
              </w:rPr>
            </w:pPr>
            <w:r>
              <w:rPr>
                <w:rFonts w:ascii="Arial" w:cs="Arial" w:eastAsia="Arial" w:hAnsi="Arial"/>
                <w:sz w:val="18"/>
                <w:szCs w:val="18"/>
                <w:color w:val="auto"/>
              </w:rPr>
              <w:t>EBITDA (non-GAAP)</w:t>
            </w:r>
          </w:p>
        </w:tc>
        <w:tc>
          <w:tcPr>
            <w:tcW w:w="202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51,616</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(1,210)</w:t>
            </w:r>
          </w:p>
        </w:tc>
        <w:tc>
          <w:tcPr>
            <w:tcW w:w="14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(11,069)</w:t>
            </w:r>
          </w:p>
        </w:tc>
        <w:tc>
          <w:tcPr>
            <w:tcW w:w="12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39,337</w:t>
            </w:r>
          </w:p>
        </w:tc>
        <w:tc>
          <w:tcPr>
            <w:tcW w:w="0" w:type="dxa"/>
            <w:vAlign w:val="bottom"/>
          </w:tcPr>
          <w:p>
            <w:pPr>
              <w:spacing w:after="0"/>
              <w:rPr>
                <w:sz w:val="1"/>
                <w:szCs w:val="1"/>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20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3,717</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0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(2,005)</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957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Pretax income attributable to the noncontrolling interest in ASC</w:t>
            </w:r>
          </w:p>
        </w:tc>
        <w:tc>
          <w:tcPr>
            <w:tcW w:w="20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w:t>
            </w:r>
          </w:p>
        </w:tc>
        <w:tc>
          <w:tcPr>
            <w:tcW w:w="14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rPr>
              <w:t>Adjusted EBITDA (non-GAAP)</w:t>
            </w:r>
          </w:p>
        </w:tc>
        <w:tc>
          <w:tcPr>
            <w:tcW w:w="202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$53,328</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($1,235)</w:t>
            </w:r>
          </w:p>
        </w:tc>
        <w:tc>
          <w:tcPr>
            <w:tcW w:w="14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($10,112)</w:t>
            </w:r>
          </w:p>
        </w:tc>
        <w:tc>
          <w:tcPr>
            <w:tcW w:w="12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$41,981</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556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jc w:val="right"/>
              <w:ind w:right="1670"/>
              <w:spacing w:after="0"/>
              <w:rPr>
                <w:sz w:val="20"/>
                <w:szCs w:val="20"/>
                <w:color w:val="auto"/>
              </w:rPr>
            </w:pPr>
            <w:r>
              <w:rPr>
                <w:rFonts w:ascii="Arial" w:cs="Arial" w:eastAsia="Arial" w:hAnsi="Arial"/>
                <w:sz w:val="18"/>
                <w:szCs w:val="18"/>
                <w:color w:val="auto"/>
              </w:rPr>
              <w:t>45</w:t>
            </w:r>
          </w:p>
        </w:tc>
        <w:tc>
          <w:tcPr>
            <w:tcW w:w="1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6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Nine months ended September 30, 2016</w:t>
            </w:r>
          </w:p>
        </w:tc>
        <w:tc>
          <w:tcPr>
            <w:tcW w:w="19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9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Machine</w:t>
            </w:r>
          </w:p>
        </w:tc>
        <w:tc>
          <w:tcPr>
            <w:tcW w:w="116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expenses and</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Clothing</w:t>
            </w: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AEC</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other</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3"/>
        </w:trPr>
        <w:tc>
          <w:tcPr>
            <w:tcW w:w="5680" w:type="dxa"/>
            <w:vAlign w:val="bottom"/>
            <w:gridSpan w:val="2"/>
          </w:tcPr>
          <w:p>
            <w:pPr>
              <w:spacing w:after="0" w:line="173" w:lineRule="exact"/>
              <w:rPr>
                <w:sz w:val="20"/>
                <w:szCs w:val="20"/>
                <w:color w:val="auto"/>
              </w:rPr>
            </w:pPr>
            <w:r>
              <w:rPr>
                <w:rFonts w:ascii="Arial" w:cs="Arial" w:eastAsia="Arial" w:hAnsi="Arial"/>
                <w:sz w:val="18"/>
                <w:szCs w:val="18"/>
                <w:color w:val="auto"/>
              </w:rPr>
              <w:t>Net income (GAAP)</w:t>
            </w:r>
          </w:p>
        </w:tc>
        <w:tc>
          <w:tcPr>
            <w:tcW w:w="192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$112,583</w:t>
            </w:r>
          </w:p>
        </w:tc>
        <w:tc>
          <w:tcPr>
            <w:tcW w:w="1160" w:type="dxa"/>
            <w:vAlign w:val="bottom"/>
          </w:tcPr>
          <w:p>
            <w:pPr>
              <w:jc w:val="right"/>
              <w:spacing w:after="0" w:line="173" w:lineRule="exact"/>
              <w:rPr>
                <w:sz w:val="20"/>
                <w:szCs w:val="20"/>
                <w:color w:val="auto"/>
              </w:rPr>
            </w:pPr>
            <w:r>
              <w:rPr>
                <w:rFonts w:ascii="Arial" w:cs="Arial" w:eastAsia="Arial" w:hAnsi="Arial"/>
                <w:sz w:val="18"/>
                <w:szCs w:val="18"/>
                <w:color w:val="auto"/>
              </w:rPr>
              <w:t>($14,083)</w:t>
            </w:r>
          </w:p>
        </w:tc>
        <w:tc>
          <w:tcPr>
            <w:tcW w:w="146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($61,674)</w:t>
            </w:r>
          </w:p>
        </w:tc>
        <w:tc>
          <w:tcPr>
            <w:tcW w:w="120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$36,826</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9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9,610</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9,610</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9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20,613</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20,613</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27,845</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17,778</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5,601</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51,224</w:t>
            </w:r>
          </w:p>
        </w:tc>
        <w:tc>
          <w:tcPr>
            <w:tcW w:w="0" w:type="dxa"/>
            <w:vAlign w:val="bottom"/>
          </w:tcPr>
          <w:p>
            <w:pPr>
              <w:spacing w:after="0"/>
              <w:rPr>
                <w:sz w:val="1"/>
                <w:szCs w:val="1"/>
                <w:color w:val="auto"/>
              </w:rPr>
            </w:pPr>
          </w:p>
        </w:tc>
      </w:tr>
      <w:tr>
        <w:trPr>
          <w:trHeight w:val="173"/>
        </w:trPr>
        <w:tc>
          <w:tcPr>
            <w:tcW w:w="5680" w:type="dxa"/>
            <w:vAlign w:val="bottom"/>
            <w:gridSpan w:val="2"/>
          </w:tcPr>
          <w:p>
            <w:pPr>
              <w:spacing w:after="0" w:line="173" w:lineRule="exact"/>
              <w:rPr>
                <w:sz w:val="20"/>
                <w:szCs w:val="20"/>
                <w:color w:val="auto"/>
              </w:rPr>
            </w:pPr>
            <w:r>
              <w:rPr>
                <w:rFonts w:ascii="Arial" w:cs="Arial" w:eastAsia="Arial" w:hAnsi="Arial"/>
                <w:sz w:val="18"/>
                <w:szCs w:val="18"/>
                <w:color w:val="auto"/>
              </w:rPr>
              <w:t>EBITDA (non-GAAP)</w:t>
            </w:r>
          </w:p>
        </w:tc>
        <w:tc>
          <w:tcPr>
            <w:tcW w:w="192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140,428</w:t>
            </w:r>
          </w:p>
        </w:tc>
        <w:tc>
          <w:tcPr>
            <w:tcW w:w="1160" w:type="dxa"/>
            <w:vAlign w:val="bottom"/>
          </w:tcPr>
          <w:p>
            <w:pPr>
              <w:jc w:val="right"/>
              <w:ind w:right="50"/>
              <w:spacing w:after="0" w:line="173" w:lineRule="exact"/>
              <w:rPr>
                <w:sz w:val="20"/>
                <w:szCs w:val="20"/>
                <w:color w:val="auto"/>
              </w:rPr>
            </w:pPr>
            <w:r>
              <w:rPr>
                <w:rFonts w:ascii="Arial" w:cs="Arial" w:eastAsia="Arial" w:hAnsi="Arial"/>
                <w:sz w:val="18"/>
                <w:szCs w:val="18"/>
                <w:color w:val="auto"/>
              </w:rPr>
              <w:t>3,695</w:t>
            </w:r>
          </w:p>
        </w:tc>
        <w:tc>
          <w:tcPr>
            <w:tcW w:w="146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(25,850)</w:t>
            </w:r>
          </w:p>
        </w:tc>
        <w:tc>
          <w:tcPr>
            <w:tcW w:w="120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118,273</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19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5,921</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1,787</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(55)</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7,653</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9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1,646</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(2,355)</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(704)</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Acquisition expenses</w:t>
            </w:r>
          </w:p>
        </w:tc>
        <w:tc>
          <w:tcPr>
            <w:tcW w:w="19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5,367</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5,367</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loss attributable to the noncontrolling interest in ASC</w:t>
            </w:r>
          </w:p>
        </w:tc>
        <w:tc>
          <w:tcPr>
            <w:tcW w:w="1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 (non-GAAP)</w:t>
            </w:r>
          </w:p>
        </w:tc>
        <w:tc>
          <w:tcPr>
            <w:tcW w:w="1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$147,995</w:t>
            </w:r>
          </w:p>
        </w:tc>
        <w:tc>
          <w:tcPr>
            <w:tcW w:w="11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$10,890</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($28,260)</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$130,625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2015</w:t>
            </w: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9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Machine</w:t>
            </w:r>
          </w:p>
        </w:tc>
        <w:tc>
          <w:tcPr>
            <w:tcW w:w="116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expenses and</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Clothing</w:t>
            </w: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AEC</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other</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3"/>
        </w:trPr>
        <w:tc>
          <w:tcPr>
            <w:tcW w:w="5680" w:type="dxa"/>
            <w:vAlign w:val="bottom"/>
            <w:gridSpan w:val="2"/>
          </w:tcPr>
          <w:p>
            <w:pPr>
              <w:spacing w:after="0" w:line="173" w:lineRule="exact"/>
              <w:rPr>
                <w:sz w:val="20"/>
                <w:szCs w:val="20"/>
                <w:color w:val="auto"/>
              </w:rPr>
            </w:pPr>
            <w:r>
              <w:rPr>
                <w:rFonts w:ascii="Arial" w:cs="Arial" w:eastAsia="Arial" w:hAnsi="Arial"/>
                <w:sz w:val="18"/>
                <w:szCs w:val="18"/>
                <w:color w:val="auto"/>
              </w:rPr>
              <w:t>Net income (GAAP)</w:t>
            </w:r>
          </w:p>
        </w:tc>
        <w:tc>
          <w:tcPr>
            <w:tcW w:w="192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$110,969</w:t>
            </w:r>
          </w:p>
        </w:tc>
        <w:tc>
          <w:tcPr>
            <w:tcW w:w="1160" w:type="dxa"/>
            <w:vAlign w:val="bottom"/>
          </w:tcPr>
          <w:p>
            <w:pPr>
              <w:jc w:val="right"/>
              <w:spacing w:after="0" w:line="173" w:lineRule="exact"/>
              <w:rPr>
                <w:sz w:val="20"/>
                <w:szCs w:val="20"/>
                <w:color w:val="auto"/>
              </w:rPr>
            </w:pPr>
            <w:r>
              <w:rPr>
                <w:rFonts w:ascii="Arial" w:cs="Arial" w:eastAsia="Arial" w:hAnsi="Arial"/>
                <w:sz w:val="18"/>
                <w:szCs w:val="18"/>
                <w:color w:val="auto"/>
              </w:rPr>
              <w:t>($26,635)</w:t>
            </w:r>
          </w:p>
        </w:tc>
        <w:tc>
          <w:tcPr>
            <w:tcW w:w="146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($64,535)</w:t>
            </w:r>
          </w:p>
        </w:tc>
        <w:tc>
          <w:tcPr>
            <w:tcW w:w="120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$19,799</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9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8,049</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8,049</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9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20,398</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20,398</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30,077</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8,845</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6,359</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45,281</w:t>
            </w:r>
          </w:p>
        </w:tc>
        <w:tc>
          <w:tcPr>
            <w:tcW w:w="0" w:type="dxa"/>
            <w:vAlign w:val="bottom"/>
          </w:tcPr>
          <w:p>
            <w:pPr>
              <w:spacing w:after="0"/>
              <w:rPr>
                <w:sz w:val="1"/>
                <w:szCs w:val="1"/>
                <w:color w:val="auto"/>
              </w:rPr>
            </w:pPr>
          </w:p>
        </w:tc>
      </w:tr>
      <w:tr>
        <w:trPr>
          <w:trHeight w:val="173"/>
        </w:trPr>
        <w:tc>
          <w:tcPr>
            <w:tcW w:w="5680" w:type="dxa"/>
            <w:vAlign w:val="bottom"/>
            <w:gridSpan w:val="2"/>
          </w:tcPr>
          <w:p>
            <w:pPr>
              <w:spacing w:after="0" w:line="173" w:lineRule="exact"/>
              <w:rPr>
                <w:sz w:val="20"/>
                <w:szCs w:val="20"/>
                <w:color w:val="auto"/>
              </w:rPr>
            </w:pPr>
            <w:r>
              <w:rPr>
                <w:rFonts w:ascii="Arial" w:cs="Arial" w:eastAsia="Arial" w:hAnsi="Arial"/>
                <w:sz w:val="18"/>
                <w:szCs w:val="18"/>
                <w:color w:val="auto"/>
              </w:rPr>
              <w:t>EBITDA (non-GAAP)</w:t>
            </w:r>
          </w:p>
        </w:tc>
        <w:tc>
          <w:tcPr>
            <w:tcW w:w="192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141,046</w:t>
            </w:r>
          </w:p>
        </w:tc>
        <w:tc>
          <w:tcPr>
            <w:tcW w:w="1160" w:type="dxa"/>
            <w:vAlign w:val="bottom"/>
          </w:tcPr>
          <w:p>
            <w:pPr>
              <w:jc w:val="right"/>
              <w:spacing w:after="0" w:line="173" w:lineRule="exact"/>
              <w:rPr>
                <w:sz w:val="20"/>
                <w:szCs w:val="20"/>
                <w:color w:val="auto"/>
              </w:rPr>
            </w:pPr>
            <w:r>
              <w:rPr>
                <w:rFonts w:ascii="Arial" w:cs="Arial" w:eastAsia="Arial" w:hAnsi="Arial"/>
                <w:sz w:val="18"/>
                <w:szCs w:val="18"/>
                <w:color w:val="auto"/>
              </w:rPr>
              <w:t>(17,790)</w:t>
            </w:r>
          </w:p>
        </w:tc>
        <w:tc>
          <w:tcPr>
            <w:tcW w:w="1460" w:type="dxa"/>
            <w:vAlign w:val="bottom"/>
          </w:tcPr>
          <w:p>
            <w:pPr>
              <w:jc w:val="right"/>
              <w:ind w:right="110"/>
              <w:spacing w:after="0" w:line="173" w:lineRule="exact"/>
              <w:rPr>
                <w:sz w:val="20"/>
                <w:szCs w:val="20"/>
                <w:color w:val="auto"/>
              </w:rPr>
            </w:pPr>
            <w:r>
              <w:rPr>
                <w:rFonts w:ascii="Arial" w:cs="Arial" w:eastAsia="Arial" w:hAnsi="Arial"/>
                <w:sz w:val="18"/>
                <w:szCs w:val="18"/>
                <w:color w:val="auto"/>
              </w:rPr>
              <w:t>(29,729)</w:t>
            </w:r>
          </w:p>
        </w:tc>
        <w:tc>
          <w:tcPr>
            <w:tcW w:w="120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93,527</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19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13,929</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13,929</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9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(4,534)</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406</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(4,145)</w:t>
            </w:r>
          </w:p>
        </w:tc>
        <w:tc>
          <w:tcPr>
            <w:tcW w:w="0" w:type="dxa"/>
            <w:vAlign w:val="bottom"/>
          </w:tcPr>
          <w:p>
            <w:pPr>
              <w:spacing w:after="0"/>
              <w:rPr>
                <w:sz w:val="1"/>
                <w:szCs w:val="1"/>
                <w:color w:val="auto"/>
              </w:rPr>
            </w:pPr>
          </w:p>
        </w:tc>
      </w:tr>
      <w:tr>
        <w:trPr>
          <w:trHeight w:val="203"/>
        </w:trPr>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Gain on sale of investment</w:t>
            </w:r>
          </w:p>
        </w:tc>
        <w:tc>
          <w:tcPr>
            <w:tcW w:w="19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(872)</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(872)</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 attributable to the noncontrolling interest in ASC</w:t>
            </w:r>
          </w:p>
        </w:tc>
        <w:tc>
          <w:tcPr>
            <w:tcW w:w="1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 (non-GAAP)</w:t>
            </w:r>
          </w:p>
        </w:tc>
        <w:tc>
          <w:tcPr>
            <w:tcW w:w="1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$150,441</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($17,922)</w:t>
            </w:r>
          </w:p>
        </w:tc>
        <w:tc>
          <w:tcPr>
            <w:tcW w:w="14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($30,195)</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$102,324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underlying quarterly earnings and are financial performance metrics commonly used by investors. The Company calculates the quarterly per-share amount for items included in continuing operations by using the income tax rate based on income from continuing operations and the weighted-average number of shares outstanding for each period. Year-to-date earnings per-share effects are determined by adding the amounts calculated at each reporting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Three months ended September 30, 2016</w:t>
            </w:r>
          </w:p>
        </w:tc>
        <w:tc>
          <w:tcPr>
            <w:tcW w:w="2920" w:type="dxa"/>
            <w:vAlign w:val="bottom"/>
            <w:tcBorders>
              <w:top w:val="single" w:sz="8" w:color="auto"/>
            </w:tcBorders>
          </w:tcPr>
          <w:p>
            <w:pPr>
              <w:jc w:val="right"/>
              <w:ind w:right="450"/>
              <w:spacing w:after="0" w:line="194" w:lineRule="exact"/>
              <w:rPr>
                <w:sz w:val="20"/>
                <w:szCs w:val="20"/>
                <w:color w:val="auto"/>
              </w:rPr>
            </w:pPr>
            <w:r>
              <w:rPr>
                <w:rFonts w:ascii="Arial" w:cs="Arial" w:eastAsia="Arial" w:hAnsi="Arial"/>
                <w:sz w:val="18"/>
                <w:szCs w:val="18"/>
                <w:b w:val="1"/>
                <w:bCs w:val="1"/>
                <w:color w:val="auto"/>
              </w:rPr>
              <w:t>Pre tax</w:t>
            </w:r>
          </w:p>
        </w:tc>
        <w:tc>
          <w:tcPr>
            <w:tcW w:w="1300" w:type="dxa"/>
            <w:vAlign w:val="bottom"/>
            <w:tcBorders>
              <w:top w:val="single" w:sz="8" w:color="auto"/>
            </w:tcBorders>
          </w:tcPr>
          <w:p>
            <w:pPr>
              <w:jc w:val="right"/>
              <w:ind w:right="510"/>
              <w:spacing w:after="0" w:line="194" w:lineRule="exact"/>
              <w:rPr>
                <w:sz w:val="20"/>
                <w:szCs w:val="20"/>
                <w:color w:val="auto"/>
              </w:rPr>
            </w:pPr>
            <w:r>
              <w:rPr>
                <w:rFonts w:ascii="Arial" w:cs="Arial" w:eastAsia="Arial" w:hAnsi="Arial"/>
                <w:sz w:val="18"/>
                <w:szCs w:val="18"/>
                <w:b w:val="1"/>
                <w:bCs w:val="1"/>
                <w:color w:val="auto"/>
              </w:rPr>
              <w:t>Tax</w:t>
            </w:r>
          </w:p>
        </w:tc>
        <w:tc>
          <w:tcPr>
            <w:tcW w:w="1340" w:type="dxa"/>
            <w:vAlign w:val="bottom"/>
            <w:tcBorders>
              <w:top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After tax</w:t>
            </w:r>
          </w:p>
        </w:tc>
        <w:tc>
          <w:tcPr>
            <w:tcW w:w="124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Per Share</w:t>
            </w:r>
          </w:p>
        </w:tc>
      </w:tr>
      <w:tr>
        <w:trPr>
          <w:trHeight w:val="225"/>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Amounts</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Effect</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Effect</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Effect</w:t>
            </w:r>
          </w:p>
        </w:tc>
      </w:tr>
      <w:tr>
        <w:trPr>
          <w:trHeight w:val="195"/>
        </w:trPr>
        <w:tc>
          <w:tcPr>
            <w:tcW w:w="462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292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$326</w:t>
            </w:r>
          </w:p>
        </w:tc>
        <w:tc>
          <w:tcPr>
            <w:tcW w:w="13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$122</w:t>
            </w:r>
          </w:p>
        </w:tc>
        <w:tc>
          <w:tcPr>
            <w:tcW w:w="13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$204</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$0.01</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9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222</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83</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139</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0.00</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Favorable effect of change in income tax rate</w:t>
            </w:r>
          </w:p>
        </w:tc>
        <w:tc>
          <w:tcPr>
            <w:tcW w:w="29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425</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425</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46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charge</w:t>
            </w:r>
          </w:p>
        </w:tc>
        <w:tc>
          <w:tcPr>
            <w:tcW w:w="29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74</w:t>
            </w:r>
          </w:p>
        </w:tc>
        <w:tc>
          <w:tcPr>
            <w:tcW w:w="1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74</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0.00</w:t>
            </w:r>
          </w:p>
        </w:tc>
      </w:tr>
      <w:tr>
        <w:trPr>
          <w:trHeight w:val="628"/>
        </w:trPr>
        <w:tc>
          <w:tcPr>
            <w:tcW w:w="4620" w:type="dxa"/>
            <w:vAlign w:val="bottom"/>
          </w:tcPr>
          <w:p>
            <w:pPr>
              <w:spacing w:after="0"/>
              <w:rPr>
                <w:sz w:val="24"/>
                <w:szCs w:val="24"/>
                <w:color w:val="auto"/>
              </w:rPr>
            </w:pPr>
          </w:p>
        </w:tc>
        <w:tc>
          <w:tcPr>
            <w:tcW w:w="2920" w:type="dxa"/>
            <w:vAlign w:val="bottom"/>
          </w:tcPr>
          <w:p>
            <w:pPr>
              <w:jc w:val="right"/>
              <w:ind w:right="1610"/>
              <w:spacing w:after="0"/>
              <w:rPr>
                <w:sz w:val="20"/>
                <w:szCs w:val="20"/>
                <w:color w:val="auto"/>
              </w:rPr>
            </w:pPr>
            <w:r>
              <w:rPr>
                <w:rFonts w:ascii="Arial" w:cs="Arial" w:eastAsia="Arial" w:hAnsi="Arial"/>
                <w:sz w:val="18"/>
                <w:szCs w:val="18"/>
                <w:color w:val="auto"/>
              </w:rPr>
              <w:t>46</w:t>
            </w: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29"/>
        </w:trPr>
        <w:tc>
          <w:tcPr>
            <w:tcW w:w="462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862"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Three months ended September 30, 2015</w:t>
            </w:r>
          </w:p>
        </w:tc>
        <w:tc>
          <w:tcPr>
            <w:tcW w:w="2580" w:type="dxa"/>
            <w:vAlign w:val="bottom"/>
            <w:tcBorders>
              <w:top w:val="single" w:sz="8" w:color="auto"/>
            </w:tcBorders>
          </w:tcPr>
          <w:p>
            <w:pPr>
              <w:jc w:val="right"/>
              <w:ind w:right="450"/>
              <w:spacing w:after="0" w:line="194" w:lineRule="exact"/>
              <w:rPr>
                <w:sz w:val="20"/>
                <w:szCs w:val="20"/>
                <w:color w:val="auto"/>
              </w:rPr>
            </w:pPr>
            <w:r>
              <w:rPr>
                <w:rFonts w:ascii="Arial" w:cs="Arial" w:eastAsia="Arial" w:hAnsi="Arial"/>
                <w:sz w:val="18"/>
                <w:szCs w:val="18"/>
                <w:b w:val="1"/>
                <w:bCs w:val="1"/>
                <w:color w:val="auto"/>
              </w:rPr>
              <w:t>Pre tax</w:t>
            </w:r>
          </w:p>
        </w:tc>
        <w:tc>
          <w:tcPr>
            <w:tcW w:w="1300" w:type="dxa"/>
            <w:vAlign w:val="bottom"/>
            <w:tcBorders>
              <w:top w:val="single" w:sz="8" w:color="auto"/>
            </w:tcBorders>
          </w:tcPr>
          <w:p>
            <w:pPr>
              <w:jc w:val="right"/>
              <w:ind w:right="510"/>
              <w:spacing w:after="0" w:line="194" w:lineRule="exact"/>
              <w:rPr>
                <w:sz w:val="20"/>
                <w:szCs w:val="20"/>
                <w:color w:val="auto"/>
              </w:rPr>
            </w:pPr>
            <w:r>
              <w:rPr>
                <w:rFonts w:ascii="Arial" w:cs="Arial" w:eastAsia="Arial" w:hAnsi="Arial"/>
                <w:sz w:val="18"/>
                <w:szCs w:val="18"/>
                <w:b w:val="1"/>
                <w:bCs w:val="1"/>
                <w:color w:val="auto"/>
              </w:rPr>
              <w:t>Tax</w:t>
            </w:r>
          </w:p>
        </w:tc>
        <w:tc>
          <w:tcPr>
            <w:tcW w:w="1340" w:type="dxa"/>
            <w:vAlign w:val="bottom"/>
            <w:tcBorders>
              <w:top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After tax</w:t>
            </w:r>
          </w:p>
        </w:tc>
        <w:tc>
          <w:tcPr>
            <w:tcW w:w="124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Per Share</w:t>
            </w:r>
          </w:p>
        </w:tc>
      </w:tr>
      <w:tr>
        <w:trPr>
          <w:trHeight w:val="225"/>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Amounts</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Effect</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Effect</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Effect</w:t>
            </w:r>
          </w:p>
        </w:tc>
      </w:tr>
      <w:tr>
        <w:trPr>
          <w:trHeight w:val="195"/>
        </w:trPr>
        <w:tc>
          <w:tcPr>
            <w:tcW w:w="496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25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$3,717</w:t>
            </w:r>
          </w:p>
        </w:tc>
        <w:tc>
          <w:tcPr>
            <w:tcW w:w="13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$1,412</w:t>
            </w:r>
          </w:p>
        </w:tc>
        <w:tc>
          <w:tcPr>
            <w:tcW w:w="13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$2,305</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$0.07</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5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1,048</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398</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650</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Favorable effect of change in income tax rate</w:t>
            </w:r>
          </w:p>
        </w:tc>
        <w:tc>
          <w:tcPr>
            <w:tcW w:w="25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1,002</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1,002</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0.03</w:t>
            </w:r>
          </w:p>
        </w:tc>
      </w:tr>
      <w:tr>
        <w:trPr>
          <w:trHeight w:val="217"/>
        </w:trPr>
        <w:tc>
          <w:tcPr>
            <w:tcW w:w="4960" w:type="dxa"/>
            <w:vAlign w:val="bottom"/>
          </w:tcPr>
          <w:p>
            <w:pPr>
              <w:spacing w:after="0"/>
              <w:rPr>
                <w:sz w:val="20"/>
                <w:szCs w:val="20"/>
                <w:color w:val="auto"/>
              </w:rPr>
            </w:pPr>
            <w:r>
              <w:rPr>
                <w:rFonts w:ascii="Arial" w:cs="Arial" w:eastAsia="Arial" w:hAnsi="Arial"/>
                <w:sz w:val="18"/>
                <w:szCs w:val="18"/>
                <w:color w:val="auto"/>
              </w:rPr>
              <w:t>Net discrete income tax charge</w:t>
            </w:r>
          </w:p>
        </w:tc>
        <w:tc>
          <w:tcPr>
            <w:tcW w:w="2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4,914</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4,914</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0.15</w:t>
            </w: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Nine months ended September 30, 2016</w:t>
            </w:r>
          </w:p>
        </w:tc>
        <w:tc>
          <w:tcPr>
            <w:tcW w:w="2600" w:type="dxa"/>
            <w:vAlign w:val="bottom"/>
            <w:tcBorders>
              <w:top w:val="single" w:sz="8" w:color="auto"/>
            </w:tcBorders>
          </w:tcPr>
          <w:p>
            <w:pPr>
              <w:jc w:val="right"/>
              <w:ind w:right="450"/>
              <w:spacing w:after="0" w:line="194" w:lineRule="exact"/>
              <w:rPr>
                <w:sz w:val="20"/>
                <w:szCs w:val="20"/>
                <w:color w:val="auto"/>
              </w:rPr>
            </w:pPr>
            <w:r>
              <w:rPr>
                <w:rFonts w:ascii="Arial" w:cs="Arial" w:eastAsia="Arial" w:hAnsi="Arial"/>
                <w:sz w:val="18"/>
                <w:szCs w:val="18"/>
                <w:b w:val="1"/>
                <w:bCs w:val="1"/>
                <w:color w:val="auto"/>
              </w:rPr>
              <w:t>Pre tax</w:t>
            </w:r>
          </w:p>
        </w:tc>
        <w:tc>
          <w:tcPr>
            <w:tcW w:w="1300" w:type="dxa"/>
            <w:vAlign w:val="bottom"/>
            <w:tcBorders>
              <w:top w:val="single" w:sz="8" w:color="auto"/>
            </w:tcBorders>
          </w:tcPr>
          <w:p>
            <w:pPr>
              <w:jc w:val="right"/>
              <w:ind w:right="510"/>
              <w:spacing w:after="0" w:line="194" w:lineRule="exact"/>
              <w:rPr>
                <w:sz w:val="20"/>
                <w:szCs w:val="20"/>
                <w:color w:val="auto"/>
              </w:rPr>
            </w:pPr>
            <w:r>
              <w:rPr>
                <w:rFonts w:ascii="Arial" w:cs="Arial" w:eastAsia="Arial" w:hAnsi="Arial"/>
                <w:sz w:val="18"/>
                <w:szCs w:val="18"/>
                <w:b w:val="1"/>
                <w:bCs w:val="1"/>
                <w:color w:val="auto"/>
              </w:rPr>
              <w:t>Tax</w:t>
            </w:r>
          </w:p>
        </w:tc>
        <w:tc>
          <w:tcPr>
            <w:tcW w:w="1340" w:type="dxa"/>
            <w:vAlign w:val="bottom"/>
            <w:tcBorders>
              <w:top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After tax</w:t>
            </w:r>
          </w:p>
        </w:tc>
        <w:tc>
          <w:tcPr>
            <w:tcW w:w="124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Per Share</w:t>
            </w:r>
          </w:p>
        </w:tc>
      </w:tr>
      <w:tr>
        <w:trPr>
          <w:trHeight w:val="225"/>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Amounts</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Effect</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Effect</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Effect</w:t>
            </w:r>
          </w:p>
        </w:tc>
      </w:tr>
      <w:tr>
        <w:trPr>
          <w:trHeight w:val="195"/>
        </w:trPr>
        <w:tc>
          <w:tcPr>
            <w:tcW w:w="494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26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$7,653</w:t>
            </w:r>
          </w:p>
        </w:tc>
        <w:tc>
          <w:tcPr>
            <w:tcW w:w="13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$2,965</w:t>
            </w:r>
          </w:p>
        </w:tc>
        <w:tc>
          <w:tcPr>
            <w:tcW w:w="13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$4,688</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0.15</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6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704</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$256</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448</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Acquisition expenses</w:t>
            </w:r>
          </w:p>
        </w:tc>
        <w:tc>
          <w:tcPr>
            <w:tcW w:w="26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5,367</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1,933</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3,434</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0.11</w:t>
            </w:r>
          </w:p>
        </w:tc>
      </w:tr>
      <w:tr>
        <w:trPr>
          <w:trHeight w:val="203"/>
        </w:trPr>
        <w:tc>
          <w:tcPr>
            <w:tcW w:w="49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benefit</w:t>
            </w:r>
          </w:p>
        </w:tc>
        <w:tc>
          <w:tcPr>
            <w:tcW w:w="26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932</w:t>
            </w:r>
          </w:p>
        </w:tc>
        <w:tc>
          <w:tcPr>
            <w:tcW w:w="1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932</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0.03</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Nine months ended September 30, 2015</w:t>
            </w:r>
          </w:p>
        </w:tc>
        <w:tc>
          <w:tcPr>
            <w:tcW w:w="2300" w:type="dxa"/>
            <w:vAlign w:val="bottom"/>
            <w:tcBorders>
              <w:top w:val="single" w:sz="8" w:color="auto"/>
            </w:tcBorders>
          </w:tcPr>
          <w:p>
            <w:pPr>
              <w:jc w:val="right"/>
              <w:ind w:right="450"/>
              <w:spacing w:after="0" w:line="194" w:lineRule="exact"/>
              <w:rPr>
                <w:sz w:val="20"/>
                <w:szCs w:val="20"/>
                <w:color w:val="auto"/>
              </w:rPr>
            </w:pPr>
            <w:r>
              <w:rPr>
                <w:rFonts w:ascii="Arial" w:cs="Arial" w:eastAsia="Arial" w:hAnsi="Arial"/>
                <w:sz w:val="18"/>
                <w:szCs w:val="18"/>
                <w:b w:val="1"/>
                <w:bCs w:val="1"/>
                <w:color w:val="auto"/>
              </w:rPr>
              <w:t>Pre tax</w:t>
            </w:r>
          </w:p>
        </w:tc>
        <w:tc>
          <w:tcPr>
            <w:tcW w:w="1300" w:type="dxa"/>
            <w:vAlign w:val="bottom"/>
            <w:tcBorders>
              <w:top w:val="single" w:sz="8" w:color="auto"/>
            </w:tcBorders>
          </w:tcPr>
          <w:p>
            <w:pPr>
              <w:jc w:val="right"/>
              <w:ind w:right="510"/>
              <w:spacing w:after="0" w:line="194" w:lineRule="exact"/>
              <w:rPr>
                <w:sz w:val="20"/>
                <w:szCs w:val="20"/>
                <w:color w:val="auto"/>
              </w:rPr>
            </w:pPr>
            <w:r>
              <w:rPr>
                <w:rFonts w:ascii="Arial" w:cs="Arial" w:eastAsia="Arial" w:hAnsi="Arial"/>
                <w:sz w:val="18"/>
                <w:szCs w:val="18"/>
                <w:b w:val="1"/>
                <w:bCs w:val="1"/>
                <w:color w:val="auto"/>
              </w:rPr>
              <w:t>Tax</w:t>
            </w:r>
          </w:p>
        </w:tc>
        <w:tc>
          <w:tcPr>
            <w:tcW w:w="1340" w:type="dxa"/>
            <w:vAlign w:val="bottom"/>
            <w:tcBorders>
              <w:top w:val="single" w:sz="8" w:color="auto"/>
            </w:tcBorders>
          </w:tcPr>
          <w:p>
            <w:pPr>
              <w:jc w:val="right"/>
              <w:ind w:right="270"/>
              <w:spacing w:after="0" w:line="194" w:lineRule="exact"/>
              <w:rPr>
                <w:sz w:val="20"/>
                <w:szCs w:val="20"/>
                <w:color w:val="auto"/>
              </w:rPr>
            </w:pPr>
            <w:r>
              <w:rPr>
                <w:rFonts w:ascii="Arial" w:cs="Arial" w:eastAsia="Arial" w:hAnsi="Arial"/>
                <w:sz w:val="18"/>
                <w:szCs w:val="18"/>
                <w:b w:val="1"/>
                <w:bCs w:val="1"/>
                <w:color w:val="auto"/>
              </w:rPr>
              <w:t>After tax</w:t>
            </w:r>
          </w:p>
        </w:tc>
        <w:tc>
          <w:tcPr>
            <w:tcW w:w="124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Per Share</w:t>
            </w:r>
          </w:p>
        </w:tc>
      </w:tr>
      <w:tr>
        <w:trPr>
          <w:trHeight w:val="225"/>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Amounts</w:t>
            </w: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Effect</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Effect</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Effect</w:t>
            </w:r>
          </w:p>
        </w:tc>
      </w:tr>
      <w:tr>
        <w:trPr>
          <w:trHeight w:val="195"/>
        </w:trPr>
        <w:tc>
          <w:tcPr>
            <w:tcW w:w="5240" w:type="dxa"/>
            <w:vAlign w:val="bottom"/>
          </w:tcPr>
          <w:p>
            <w:pPr>
              <w:spacing w:after="0" w:line="195" w:lineRule="exact"/>
              <w:rPr>
                <w:sz w:val="20"/>
                <w:szCs w:val="20"/>
                <w:color w:val="auto"/>
              </w:rPr>
            </w:pPr>
            <w:r>
              <w:rPr>
                <w:rFonts w:ascii="Arial" w:cs="Arial" w:eastAsia="Arial" w:hAnsi="Arial"/>
                <w:sz w:val="18"/>
                <w:szCs w:val="18"/>
                <w:color w:val="auto"/>
              </w:rPr>
              <w:t>Restructuring expenses, net</w:t>
            </w:r>
          </w:p>
        </w:tc>
        <w:tc>
          <w:tcPr>
            <w:tcW w:w="230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$13,929</w:t>
            </w:r>
          </w:p>
        </w:tc>
        <w:tc>
          <w:tcPr>
            <w:tcW w:w="13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$5,280</w:t>
            </w:r>
          </w:p>
        </w:tc>
        <w:tc>
          <w:tcPr>
            <w:tcW w:w="13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$8,649</w:t>
            </w: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$0.27</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3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4,145</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1,597</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2,548</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0.08</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23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872</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331</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541</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color w:val="auto"/>
              </w:rPr>
              <w:t>Net discrete income tax charge</w:t>
            </w:r>
          </w:p>
        </w:tc>
        <w:tc>
          <w:tcPr>
            <w:tcW w:w="23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5,113</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5,113</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0.16</w:t>
            </w:r>
          </w:p>
        </w:tc>
      </w:tr>
      <w:tr>
        <w:trPr>
          <w:trHeight w:val="203"/>
        </w:trPr>
        <w:tc>
          <w:tcPr>
            <w:tcW w:w="5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Charge for revision in estimated contract profitability</w:t>
            </w:r>
          </w:p>
        </w:tc>
        <w:tc>
          <w:tcPr>
            <w:tcW w:w="23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14,000</w:t>
            </w:r>
          </w:p>
        </w:tc>
        <w:tc>
          <w:tcPr>
            <w:tcW w:w="13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5,180</w:t>
            </w:r>
          </w:p>
        </w:tc>
        <w:tc>
          <w:tcPr>
            <w:tcW w:w="1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8,820</w:t>
            </w:r>
          </w:p>
        </w:tc>
        <w:tc>
          <w:tcPr>
            <w:tcW w:w="12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0.28</w:t>
            </w: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gridSpan w:val="3"/>
          </w:tcPr>
          <w:p>
            <w:pPr>
              <w:ind w:left="1420"/>
              <w:spacing w:after="0" w:line="194" w:lineRule="exact"/>
              <w:rPr>
                <w:sz w:val="20"/>
                <w:szCs w:val="20"/>
                <w:color w:val="auto"/>
              </w:rPr>
            </w:pPr>
            <w:r>
              <w:rPr>
                <w:rFonts w:ascii="Arial" w:cs="Arial" w:eastAsia="Arial" w:hAnsi="Arial"/>
                <w:sz w:val="18"/>
                <w:szCs w:val="18"/>
                <w:b w:val="1"/>
                <w:bCs w:val="1"/>
                <w:color w:val="auto"/>
              </w:rPr>
              <w:t>Three months ended</w:t>
            </w:r>
          </w:p>
        </w:tc>
        <w:tc>
          <w:tcPr>
            <w:tcW w:w="2740" w:type="dxa"/>
            <w:vAlign w:val="bottom"/>
            <w:tcBorders>
              <w:top w:val="single" w:sz="8" w:color="auto"/>
            </w:tcBorders>
            <w:gridSpan w:val="2"/>
          </w:tcPr>
          <w:p>
            <w:pPr>
              <w:jc w:val="right"/>
              <w:ind w:right="370"/>
              <w:spacing w:after="0" w:line="194"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5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0" w:type="dxa"/>
            <w:vAlign w:val="bottom"/>
            <w:gridSpan w:val="2"/>
          </w:tcPr>
          <w:p>
            <w:pPr>
              <w:jc w:val="right"/>
              <w:ind w:right="570"/>
              <w:spacing w:after="0" w:line="202" w:lineRule="exact"/>
              <w:rPr>
                <w:sz w:val="20"/>
                <w:szCs w:val="20"/>
                <w:color w:val="auto"/>
              </w:rPr>
            </w:pPr>
            <w:r>
              <w:rPr>
                <w:rFonts w:ascii="Arial" w:cs="Arial" w:eastAsia="Arial" w:hAnsi="Arial"/>
                <w:sz w:val="18"/>
                <w:szCs w:val="18"/>
                <w:b w:val="1"/>
                <w:bCs w:val="1"/>
                <w:color w:val="auto"/>
              </w:rPr>
              <w:t>September 30,</w:t>
            </w:r>
          </w:p>
        </w:tc>
        <w:tc>
          <w:tcPr>
            <w:tcW w:w="2740" w:type="dxa"/>
            <w:vAlign w:val="bottom"/>
            <w:gridSpan w:val="2"/>
          </w:tcPr>
          <w:p>
            <w:pPr>
              <w:jc w:val="right"/>
              <w:ind w:right="59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 share amounts (Basic)</w:t>
            </w:r>
          </w:p>
        </w:tc>
        <w:tc>
          <w:tcPr>
            <w:tcW w:w="2220" w:type="dxa"/>
            <w:vAlign w:val="bottom"/>
            <w:tcBorders>
              <w:bottom w:val="single" w:sz="8" w:color="auto"/>
            </w:tcBorders>
            <w:gridSpan w:val="2"/>
          </w:tcPr>
          <w:p>
            <w:pPr>
              <w:ind w:left="1400"/>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510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 (GAAP)</w:t>
            </w:r>
          </w:p>
        </w:tc>
        <w:tc>
          <w:tcPr>
            <w:tcW w:w="1580" w:type="dxa"/>
            <w:vAlign w:val="bottom"/>
          </w:tcPr>
          <w:p>
            <w:pPr>
              <w:spacing w:after="0"/>
              <w:rPr>
                <w:sz w:val="16"/>
                <w:szCs w:val="16"/>
                <w:color w:val="auto"/>
              </w:rPr>
            </w:pPr>
          </w:p>
        </w:tc>
        <w:tc>
          <w:tcPr>
            <w:tcW w:w="64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$0.41</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$0.30</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$1.15</w:t>
            </w:r>
          </w:p>
        </w:tc>
        <w:tc>
          <w:tcPr>
            <w:tcW w:w="13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580" w:type="dxa"/>
            <w:vAlign w:val="bottom"/>
          </w:tcPr>
          <w:p>
            <w:pPr>
              <w:spacing w:after="0"/>
              <w:rPr>
                <w:sz w:val="17"/>
                <w:szCs w:val="17"/>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0.01</w:t>
            </w:r>
          </w:p>
        </w:tc>
        <w:tc>
          <w:tcPr>
            <w:tcW w:w="1360" w:type="dxa"/>
            <w:vAlign w:val="bottom"/>
          </w:tcPr>
          <w:p>
            <w:pPr>
              <w:spacing w:after="0"/>
              <w:rPr>
                <w:sz w:val="17"/>
                <w:szCs w:val="17"/>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0.15</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00" w:type="dxa"/>
            <w:vAlign w:val="bottom"/>
          </w:tcPr>
          <w:p>
            <w:pPr>
              <w:spacing w:after="0" w:line="181" w:lineRule="exact"/>
              <w:rPr>
                <w:sz w:val="20"/>
                <w:szCs w:val="20"/>
                <w:color w:val="auto"/>
              </w:rPr>
            </w:pPr>
            <w:r>
              <w:rPr>
                <w:rFonts w:ascii="Arial" w:cs="Arial" w:eastAsia="Arial" w:hAnsi="Arial"/>
                <w:sz w:val="18"/>
                <w:szCs w:val="18"/>
                <w:color w:val="auto"/>
              </w:rPr>
              <w:t>Restructuring expenses, net</w:t>
            </w:r>
          </w:p>
        </w:tc>
        <w:tc>
          <w:tcPr>
            <w:tcW w:w="15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0.07</w:t>
            </w:r>
          </w:p>
        </w:tc>
        <w:tc>
          <w:tcPr>
            <w:tcW w:w="1380" w:type="dxa"/>
            <w:vAlign w:val="bottom"/>
            <w:vMerge w:val="continue"/>
          </w:tcPr>
          <w:p>
            <w:pPr>
              <w:spacing w:after="0"/>
              <w:rPr>
                <w:sz w:val="15"/>
                <w:szCs w:val="15"/>
                <w:color w:val="auto"/>
              </w:rPr>
            </w:pP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Discrete tax charges/(benefit)</w:t>
            </w:r>
          </w:p>
        </w:tc>
        <w:tc>
          <w:tcPr>
            <w:tcW w:w="15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(0.01)</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1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(0.03)</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1580" w:type="dxa"/>
            <w:vAlign w:val="bottom"/>
          </w:tcPr>
          <w:p>
            <w:pPr>
              <w:spacing w:after="0"/>
              <w:rPr>
                <w:sz w:val="17"/>
                <w:szCs w:val="17"/>
                <w:color w:val="auto"/>
              </w:rPr>
            </w:pPr>
          </w:p>
        </w:tc>
        <w:tc>
          <w:tcPr>
            <w:tcW w:w="6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1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(0.01)</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Acquisition expenses</w:t>
            </w:r>
          </w:p>
        </w:tc>
        <w:tc>
          <w:tcPr>
            <w:tcW w:w="1580" w:type="dxa"/>
            <w:vAlign w:val="bottom"/>
          </w:tcPr>
          <w:p>
            <w:pPr>
              <w:spacing w:after="0"/>
              <w:rPr>
                <w:sz w:val="17"/>
                <w:szCs w:val="17"/>
                <w:color w:val="auto"/>
              </w:rPr>
            </w:pPr>
          </w:p>
        </w:tc>
        <w:tc>
          <w:tcPr>
            <w:tcW w:w="6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0.11</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investment</w:t>
            </w:r>
          </w:p>
        </w:tc>
        <w:tc>
          <w:tcPr>
            <w:tcW w:w="1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5"/>
        </w:trPr>
        <w:tc>
          <w:tcPr>
            <w:tcW w:w="510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 excluding adjustments</w:t>
            </w:r>
          </w:p>
        </w:tc>
        <w:tc>
          <w:tcPr>
            <w:tcW w:w="1580" w:type="dxa"/>
            <w:vAlign w:val="bottom"/>
          </w:tcPr>
          <w:p>
            <w:pPr>
              <w:jc w:val="right"/>
              <w:ind w:right="1030"/>
              <w:spacing w:after="0" w:line="195" w:lineRule="exact"/>
              <w:rPr>
                <w:sz w:val="20"/>
                <w:szCs w:val="20"/>
                <w:color w:val="auto"/>
              </w:rPr>
            </w:pPr>
            <w:r>
              <w:rPr>
                <w:rFonts w:ascii="Arial" w:cs="Arial" w:eastAsia="Arial" w:hAnsi="Arial"/>
                <w:sz w:val="18"/>
                <w:szCs w:val="18"/>
                <w:color w:val="auto"/>
              </w:rPr>
              <w:t>(non-</w:t>
            </w: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$0.41</w:t>
            </w:r>
          </w:p>
        </w:tc>
        <w:tc>
          <w:tcPr>
            <w:tcW w:w="1360" w:type="dxa"/>
            <w:vAlign w:val="bottom"/>
          </w:tcPr>
          <w:p>
            <w:pPr>
              <w:spacing w:after="0"/>
              <w:rPr>
                <w:sz w:val="16"/>
                <w:szCs w:val="16"/>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GAAP)</w:t>
            </w:r>
          </w:p>
        </w:tc>
        <w:tc>
          <w:tcPr>
            <w:tcW w:w="15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138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385"/>
        </w:trPr>
        <w:tc>
          <w:tcPr>
            <w:tcW w:w="5100" w:type="dxa"/>
            <w:vAlign w:val="bottom"/>
          </w:tcPr>
          <w:p>
            <w:pPr>
              <w:ind w:left="660"/>
              <w:spacing w:after="0"/>
              <w:rPr>
                <w:sz w:val="20"/>
                <w:szCs w:val="20"/>
                <w:color w:val="auto"/>
              </w:rPr>
            </w:pPr>
            <w:r>
              <w:rPr>
                <w:rFonts w:ascii="Arial" w:cs="Arial" w:eastAsia="Arial" w:hAnsi="Arial"/>
                <w:sz w:val="18"/>
                <w:szCs w:val="18"/>
                <w:color w:val="auto"/>
              </w:rPr>
              <w:t>The following table contains the calculation of net debt:</w:t>
            </w: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580" w:type="dxa"/>
            <w:vAlign w:val="bottom"/>
          </w:tcPr>
          <w:p>
            <w:pPr>
              <w:jc w:val="right"/>
              <w:ind w:right="30"/>
              <w:spacing w:after="0" w:line="173" w:lineRule="exact"/>
              <w:rPr>
                <w:sz w:val="20"/>
                <w:szCs w:val="20"/>
                <w:color w:val="auto"/>
              </w:rPr>
            </w:pPr>
            <w:r>
              <w:rPr>
                <w:rFonts w:ascii="Arial" w:cs="Arial" w:eastAsia="Arial" w:hAnsi="Arial"/>
                <w:sz w:val="18"/>
                <w:szCs w:val="18"/>
                <w:b w:val="1"/>
                <w:bCs w:val="1"/>
                <w:color w:val="auto"/>
              </w:rPr>
              <w:t>September 30,</w:t>
            </w:r>
          </w:p>
        </w:tc>
        <w:tc>
          <w:tcPr>
            <w:tcW w:w="2000" w:type="dxa"/>
            <w:vAlign w:val="bottom"/>
            <w:gridSpan w:val="2"/>
          </w:tcPr>
          <w:p>
            <w:pPr>
              <w:jc w:val="right"/>
              <w:ind w:right="730"/>
              <w:spacing w:after="0" w:line="173" w:lineRule="exact"/>
              <w:rPr>
                <w:sz w:val="20"/>
                <w:szCs w:val="20"/>
                <w:color w:val="auto"/>
              </w:rPr>
            </w:pPr>
            <w:r>
              <w:rPr>
                <w:rFonts w:ascii="Arial" w:cs="Arial" w:eastAsia="Arial" w:hAnsi="Arial"/>
                <w:sz w:val="18"/>
                <w:szCs w:val="18"/>
                <w:b w:val="1"/>
                <w:bCs w:val="1"/>
                <w:color w:val="auto"/>
              </w:rPr>
              <w:t>June 30,</w:t>
            </w:r>
          </w:p>
        </w:tc>
        <w:tc>
          <w:tcPr>
            <w:tcW w:w="1380" w:type="dxa"/>
            <w:vAlign w:val="bottom"/>
          </w:tcPr>
          <w:p>
            <w:pPr>
              <w:jc w:val="right"/>
              <w:ind w:right="450"/>
              <w:spacing w:after="0" w:line="173" w:lineRule="exact"/>
              <w:rPr>
                <w:sz w:val="20"/>
                <w:szCs w:val="20"/>
                <w:color w:val="auto"/>
              </w:rPr>
            </w:pPr>
            <w:r>
              <w:rPr>
                <w:rFonts w:ascii="Arial" w:cs="Arial" w:eastAsia="Arial" w:hAnsi="Arial"/>
                <w:sz w:val="18"/>
                <w:szCs w:val="18"/>
                <w:b w:val="1"/>
                <w:bCs w:val="1"/>
                <w:color w:val="auto"/>
                <w:w w:val="98"/>
              </w:rPr>
              <w:t>March 31,</w:t>
            </w:r>
          </w:p>
        </w:tc>
        <w:tc>
          <w:tcPr>
            <w:tcW w:w="136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w w:val="99"/>
              </w:rPr>
              <w:t>2016</w:t>
            </w: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5100" w:type="dxa"/>
            <w:vAlign w:val="bottom"/>
          </w:tcPr>
          <w:p>
            <w:pPr>
              <w:spacing w:after="0" w:line="195" w:lineRule="exact"/>
              <w:rPr>
                <w:sz w:val="20"/>
                <w:szCs w:val="20"/>
                <w:color w:val="auto"/>
              </w:rPr>
            </w:pPr>
            <w:r>
              <w:rPr>
                <w:rFonts w:ascii="Arial" w:cs="Arial" w:eastAsia="Arial" w:hAnsi="Arial"/>
                <w:sz w:val="18"/>
                <w:szCs w:val="18"/>
                <w:color w:val="auto"/>
              </w:rPr>
              <w:t>Notes and loans payable</w:t>
            </w:r>
          </w:p>
        </w:tc>
        <w:tc>
          <w:tcPr>
            <w:tcW w:w="15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$343</w:t>
            </w:r>
          </w:p>
        </w:tc>
        <w:tc>
          <w:tcPr>
            <w:tcW w:w="640" w:type="dxa"/>
            <w:vAlign w:val="bottom"/>
          </w:tcPr>
          <w:p>
            <w:pPr>
              <w:spacing w:after="0"/>
              <w:rPr>
                <w:sz w:val="16"/>
                <w:szCs w:val="16"/>
                <w:color w:val="auto"/>
              </w:rPr>
            </w:pPr>
          </w:p>
        </w:tc>
        <w:tc>
          <w:tcPr>
            <w:tcW w:w="136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$531</w:t>
            </w:r>
          </w:p>
        </w:tc>
        <w:tc>
          <w:tcPr>
            <w:tcW w:w="13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$590</w:t>
            </w:r>
          </w:p>
        </w:tc>
        <w:tc>
          <w:tcPr>
            <w:tcW w:w="13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1,462</w:t>
            </w:r>
          </w:p>
        </w:tc>
        <w:tc>
          <w:tcPr>
            <w:tcW w:w="640" w:type="dxa"/>
            <w:vAlign w:val="bottom"/>
          </w:tcPr>
          <w:p>
            <w:pPr>
              <w:spacing w:after="0"/>
              <w:rPr>
                <w:sz w:val="17"/>
                <w:szCs w:val="17"/>
                <w:color w:val="auto"/>
              </w:rPr>
            </w:pPr>
          </w:p>
        </w:tc>
        <w:tc>
          <w:tcPr>
            <w:tcW w:w="13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566</w:t>
            </w:r>
          </w:p>
        </w:tc>
        <w:tc>
          <w:tcPr>
            <w:tcW w:w="13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16</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5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Long-term debt</w:t>
            </w:r>
          </w:p>
        </w:tc>
        <w:tc>
          <w:tcPr>
            <w:tcW w:w="15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490,003</w:t>
            </w:r>
          </w:p>
        </w:tc>
        <w:tc>
          <w:tcPr>
            <w:tcW w:w="6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485,215</w:t>
            </w:r>
          </w:p>
        </w:tc>
        <w:tc>
          <w:tcPr>
            <w:tcW w:w="13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255,076</w:t>
            </w:r>
          </w:p>
        </w:tc>
        <w:tc>
          <w:tcPr>
            <w:tcW w:w="13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265,080</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debt</w:t>
            </w: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$491,808</w:t>
            </w:r>
          </w:p>
        </w:tc>
        <w:tc>
          <w:tcPr>
            <w:tcW w:w="6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486,312</w:t>
            </w:r>
          </w:p>
        </w:tc>
        <w:tc>
          <w:tcPr>
            <w:tcW w:w="13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255,682</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265,683</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and cash equivalents</w:t>
            </w: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196,170</w:t>
            </w:r>
          </w:p>
        </w:tc>
        <w:tc>
          <w:tcPr>
            <w:tcW w:w="6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176,025</w:t>
            </w:r>
          </w:p>
        </w:tc>
        <w:tc>
          <w:tcPr>
            <w:tcW w:w="13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169,615</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185,113</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debt</w:t>
            </w: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$295,638</w:t>
            </w:r>
          </w:p>
        </w:tc>
        <w:tc>
          <w:tcPr>
            <w:tcW w:w="6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$310,287</w:t>
            </w:r>
          </w:p>
        </w:tc>
        <w:tc>
          <w:tcPr>
            <w:tcW w:w="13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$86,067</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$80,570</w:t>
            </w:r>
          </w:p>
        </w:tc>
        <w:tc>
          <w:tcPr>
            <w:tcW w:w="0" w:type="dxa"/>
            <w:vAlign w:val="bottom"/>
          </w:tcPr>
          <w:p>
            <w:pPr>
              <w:spacing w:after="0"/>
              <w:rPr>
                <w:sz w:val="1"/>
                <w:szCs w:val="1"/>
                <w:color w:val="auto"/>
              </w:rPr>
            </w:pPr>
          </w:p>
        </w:tc>
      </w:tr>
      <w:tr>
        <w:trPr>
          <w:trHeight w:val="426"/>
        </w:trPr>
        <w:tc>
          <w:tcPr>
            <w:tcW w:w="5100" w:type="dxa"/>
            <w:vAlign w:val="bottom"/>
          </w:tcPr>
          <w:p>
            <w:pPr>
              <w:spacing w:after="0"/>
              <w:rPr>
                <w:sz w:val="24"/>
                <w:szCs w:val="24"/>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1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3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3"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71"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 -15(e))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 The scope of the Company’s assessment of the effectiveness of its disclosure controls and procedures does not include any disclosure controls and procedures of Albany Aerostructures Composites LLC (AAC) which was acquired in April 2016. This exclusion is in accordance with the SEC's general guidance that a recently acquired business may be omitted from the scope of the assessment in the year of acquisition.</w:t>
      </w:r>
    </w:p>
    <w:p>
      <w:pPr>
        <w:spacing w:after="0" w:line="179"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7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last fiscal quarter that have materially affected, or are reasonably likely to materially affect, the Company’s internal control over financial reporting. The Company is currently evaluating AAC’s processes, information technology systems, and other components of internal controls over financial reporting as a part of the Company's integration activities, which may result in control changes. Such changes will be disclosed as required by applicable SEC guidance.</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8" w:name="page49"/>
    <w:bookmarkEnd w:id="48"/>
    <w:p>
      <w:pPr>
        <w:ind w:left="4660"/>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The information set forth above under Note 16 in Item 1, “Notes to Consolidated Financial Statements” is incorporated herein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For discussion of risk factors, refer to Item 1A of our Annual Report on Form 10-K for the year ended December 31, 2015. As a result of the Company’s business acquisition in the second quarter of 2016, we have modified one of the risk factors in that filing, as noted below:</w:t>
      </w:r>
    </w:p>
    <w:p>
      <w:pPr>
        <w:spacing w:after="0" w:line="147" w:lineRule="exact"/>
        <w:rPr>
          <w:sz w:val="20"/>
          <w:szCs w:val="20"/>
          <w:color w:val="auto"/>
        </w:rPr>
      </w:pPr>
    </w:p>
    <w:p>
      <w:pPr>
        <w:ind w:right="800" w:firstLine="648"/>
        <w:spacing w:after="0" w:line="258" w:lineRule="auto"/>
        <w:rPr>
          <w:sz w:val="20"/>
          <w:szCs w:val="20"/>
          <w:color w:val="auto"/>
        </w:rPr>
      </w:pPr>
      <w:r>
        <w:rPr>
          <w:rFonts w:ascii="Arial" w:cs="Arial" w:eastAsia="Arial" w:hAnsi="Arial"/>
          <w:sz w:val="20"/>
          <w:szCs w:val="20"/>
          <w:b w:val="1"/>
          <w:bCs w:val="1"/>
          <w:i w:val="1"/>
          <w:iCs w:val="1"/>
          <w:color w:val="auto"/>
        </w:rPr>
        <w:t>AEC is subject to significant short- and medium-term risks related to execution in the LEAP program, and integration of the composite aerostructures business acquired from Harris Corporation</w:t>
      </w:r>
    </w:p>
    <w:p>
      <w:pPr>
        <w:spacing w:after="0" w:line="140" w:lineRule="exact"/>
        <w:rPr>
          <w:sz w:val="20"/>
          <w:szCs w:val="20"/>
          <w:color w:val="auto"/>
        </w:rPr>
      </w:pPr>
    </w:p>
    <w:p>
      <w:pPr>
        <w:ind w:firstLine="495"/>
        <w:spacing w:after="0" w:line="238" w:lineRule="auto"/>
        <w:rPr>
          <w:sz w:val="20"/>
          <w:szCs w:val="20"/>
          <w:color w:val="auto"/>
        </w:rPr>
      </w:pPr>
      <w:r>
        <w:rPr>
          <w:rFonts w:ascii="Arial" w:cs="Arial" w:eastAsia="Arial" w:hAnsi="Arial"/>
          <w:sz w:val="18"/>
          <w:szCs w:val="18"/>
          <w:color w:val="auto"/>
        </w:rPr>
        <w:t>The expected size and steep growth rate of the market for LEAP engines continues to put significant pressure on AEC to execute in the short- and medium-term. In the short term, AEC must continue to fulfill critical program schedule and production-readiness milestones at its LEAP facilities in Rochester, New Hampshire and Commercy, France, as well as at the third LEAP facility in Queretaro, Mexico, which recently broke ground and is targeted to come on line in 2017. In the medium-term, AEC will be required to continue to ramp up all three LEAP plants to full production. AEC’s ability to realize the full growth potential of the LEAP program will depend on how effectively it accomplishes these goals. The Company’s recent acquisition of the composite aerostructures business of Harris Corporation also poses a number of risks. Such risks include, but are not limited to, those associated with the assimilation and integration of operations, business systems and business methods, and the diversion of management attention from other business concerns. Failure by AEC to accomplish these LEAP execution goals, or to successfully manage these integration risks, could have a material adverse impact on the amount and timing of anticipated AEC sales and profitability, which could in turn have a material adverse impact on our consolidated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4"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We made no share purchases during the third quarter of 2016. We remain authorized by the Board of Directors to purchase up to 2 million shares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43" w:right="2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9"/>
        </w:trPr>
        <w:tc>
          <w:tcPr>
            <w:tcW w:w="14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8200" w:type="dxa"/>
            <w:vAlign w:val="bottom"/>
          </w:tcPr>
          <w:p>
            <w:pPr>
              <w:spacing w:after="0"/>
              <w:rPr>
                <w:sz w:val="20"/>
                <w:szCs w:val="20"/>
                <w:color w:val="auto"/>
              </w:rPr>
            </w:pPr>
          </w:p>
        </w:tc>
      </w:tr>
      <w:tr>
        <w:trPr>
          <w:trHeight w:val="419"/>
        </w:trPr>
        <w:tc>
          <w:tcPr>
            <w:tcW w:w="1480" w:type="dxa"/>
            <w:vAlign w:val="bottom"/>
          </w:tcPr>
          <w:p>
            <w:pPr>
              <w:spacing w:after="0"/>
              <w:rPr>
                <w:sz w:val="20"/>
                <w:szCs w:val="20"/>
                <w:color w:val="auto"/>
              </w:rPr>
            </w:pPr>
            <w:r>
              <w:rPr>
                <w:rFonts w:ascii="Arial" w:cs="Arial" w:eastAsia="Arial" w:hAnsi="Arial"/>
                <w:sz w:val="18"/>
                <w:szCs w:val="18"/>
                <w:color w:val="auto"/>
              </w:rPr>
              <w:t>Exhibit No.</w:t>
            </w:r>
          </w:p>
        </w:tc>
        <w:tc>
          <w:tcPr>
            <w:tcW w:w="8200" w:type="dxa"/>
            <w:vAlign w:val="bottom"/>
          </w:tcPr>
          <w:p>
            <w:pPr>
              <w:ind w:left="140"/>
              <w:spacing w:after="0"/>
              <w:rPr>
                <w:sz w:val="20"/>
                <w:szCs w:val="20"/>
                <w:color w:val="auto"/>
              </w:rPr>
            </w:pPr>
            <w:r>
              <w:rPr>
                <w:rFonts w:ascii="Arial" w:cs="Arial" w:eastAsia="Arial" w:hAnsi="Arial"/>
                <w:sz w:val="18"/>
                <w:szCs w:val="18"/>
                <w:color w:val="auto"/>
              </w:rPr>
              <w:t>Description</w:t>
            </w:r>
          </w:p>
        </w:tc>
      </w:tr>
      <w:tr>
        <w:trPr>
          <w:trHeight w:val="378"/>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8200" w:type="dxa"/>
            <w:vAlign w:val="bottom"/>
          </w:tcPr>
          <w:p>
            <w:pPr>
              <w:ind w:left="140"/>
              <w:spacing w:after="0"/>
              <w:rPr>
                <w:sz w:val="20"/>
                <w:szCs w:val="20"/>
                <w:color w:val="auto"/>
              </w:rPr>
            </w:pPr>
            <w:r>
              <w:rPr>
                <w:rFonts w:ascii="Arial" w:cs="Arial" w:eastAsia="Arial" w:hAnsi="Arial"/>
                <w:sz w:val="18"/>
                <w:szCs w:val="18"/>
                <w:color w:val="auto"/>
                <w:w w:val="99"/>
              </w:rPr>
              <w:t>Certification of the Chief Executive Officer pursuant to Rule 13a-14(a)/15d-14(a) of the Exchange Act.</w:t>
            </w:r>
          </w:p>
        </w:tc>
      </w:tr>
      <w:tr>
        <w:trPr>
          <w:trHeight w:val="419"/>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8200" w:type="dxa"/>
            <w:vAlign w:val="bottom"/>
          </w:tcPr>
          <w:p>
            <w:pPr>
              <w:ind w:left="140"/>
              <w:spacing w:after="0"/>
              <w:rPr>
                <w:sz w:val="20"/>
                <w:szCs w:val="20"/>
                <w:color w:val="auto"/>
              </w:rPr>
            </w:pPr>
            <w:r>
              <w:rPr>
                <w:rFonts w:ascii="Arial" w:cs="Arial" w:eastAsia="Arial" w:hAnsi="Arial"/>
                <w:sz w:val="18"/>
                <w:szCs w:val="18"/>
                <w:color w:val="auto"/>
              </w:rPr>
              <w:t>Certification of the Chief Financial Officer pursuant to Rule 13a-14(a)/15d-14(a) of the Exchange Act.</w:t>
            </w:r>
          </w:p>
        </w:tc>
      </w:tr>
      <w:tr>
        <w:trPr>
          <w:trHeight w:val="419"/>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8200" w:type="dxa"/>
            <w:vAlign w:val="bottom"/>
          </w:tcPr>
          <w:p>
            <w:pPr>
              <w:ind w:left="140"/>
              <w:spacing w:after="0"/>
              <w:rPr>
                <w:sz w:val="20"/>
                <w:szCs w:val="20"/>
                <w:color w:val="auto"/>
              </w:rPr>
            </w:pPr>
            <w:r>
              <w:rPr>
                <w:rFonts w:ascii="Arial" w:cs="Arial" w:eastAsia="Arial" w:hAnsi="Arial"/>
                <w:sz w:val="18"/>
                <w:szCs w:val="18"/>
                <w:color w:val="auto"/>
              </w:rPr>
              <w:t>Certification pursuant to Section 906 of the Sarbanes-Oxley Act of 2002 (Subsections (a) and (b) of</w:t>
            </w:r>
          </w:p>
        </w:tc>
      </w:tr>
      <w:tr>
        <w:trPr>
          <w:trHeight w:val="392"/>
        </w:trPr>
        <w:tc>
          <w:tcPr>
            <w:tcW w:w="1480" w:type="dxa"/>
            <w:vAlign w:val="bottom"/>
          </w:tcPr>
          <w:p>
            <w:pPr>
              <w:spacing w:after="0"/>
              <w:rPr>
                <w:sz w:val="24"/>
                <w:szCs w:val="24"/>
                <w:color w:val="auto"/>
              </w:rPr>
            </w:pPr>
          </w:p>
        </w:tc>
        <w:tc>
          <w:tcPr>
            <w:tcW w:w="8200" w:type="dxa"/>
            <w:vAlign w:val="bottom"/>
          </w:tcPr>
          <w:p>
            <w:pPr>
              <w:ind w:left="140"/>
              <w:spacing w:after="0"/>
              <w:rPr>
                <w:sz w:val="20"/>
                <w:szCs w:val="20"/>
                <w:color w:val="auto"/>
              </w:rPr>
            </w:pPr>
            <w:r>
              <w:rPr>
                <w:rFonts w:ascii="Arial" w:cs="Arial" w:eastAsia="Arial" w:hAnsi="Arial"/>
                <w:sz w:val="18"/>
                <w:szCs w:val="18"/>
                <w:color w:val="auto"/>
              </w:rPr>
              <w:t>Section 1350, Chapter 63 of Title 18, United States Code).</w:t>
            </w:r>
          </w:p>
        </w:tc>
      </w:tr>
      <w:tr>
        <w:trPr>
          <w:trHeight w:val="378"/>
        </w:trPr>
        <w:tc>
          <w:tcPr>
            <w:tcW w:w="1480" w:type="dxa"/>
            <w:vAlign w:val="bottom"/>
          </w:tcPr>
          <w:p>
            <w:pPr>
              <w:spacing w:after="0"/>
              <w:rPr>
                <w:sz w:val="20"/>
                <w:szCs w:val="20"/>
                <w:color w:val="auto"/>
              </w:rPr>
            </w:pPr>
            <w:r>
              <w:rPr>
                <w:rFonts w:ascii="Arial" w:cs="Arial" w:eastAsia="Arial" w:hAnsi="Arial"/>
                <w:sz w:val="18"/>
                <w:szCs w:val="18"/>
                <w:color w:val="auto"/>
              </w:rPr>
              <w:t>99.1</w:t>
            </w:r>
          </w:p>
        </w:tc>
        <w:tc>
          <w:tcPr>
            <w:tcW w:w="820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risks as reported at September 30, 2016.</w:t>
            </w:r>
          </w:p>
        </w:tc>
      </w:tr>
    </w:tbl>
    <w:p>
      <w:pPr>
        <w:spacing w:after="0" w:line="202" w:lineRule="exact"/>
        <w:rPr>
          <w:sz w:val="20"/>
          <w:szCs w:val="20"/>
          <w:color w:val="auto"/>
        </w:rPr>
      </w:pPr>
    </w:p>
    <w:p>
      <w:pPr>
        <w:ind w:left="1620" w:right="180" w:hanging="1612"/>
        <w:spacing w:after="0" w:line="246"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September 30, 2016, formatted in extensible Business Reporting Language (XBRL), filed herewith:</w:t>
      </w:r>
    </w:p>
    <w:p>
      <w:pPr>
        <w:spacing w:after="0" w:line="156" w:lineRule="exact"/>
        <w:rPr>
          <w:rFonts w:ascii="Arial" w:cs="Arial" w:eastAsia="Arial" w:hAnsi="Arial"/>
          <w:sz w:val="18"/>
          <w:szCs w:val="18"/>
          <w:color w:val="auto"/>
        </w:rPr>
      </w:pPr>
    </w:p>
    <w:p>
      <w:pPr>
        <w:ind w:left="2080" w:hanging="465"/>
        <w:spacing w:after="0"/>
        <w:tabs>
          <w:tab w:leader="none" w:pos="2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Consolidated Statements of Income for the three and nine months ended September 30, 2016 and 2015.</w:t>
      </w:r>
    </w:p>
    <w:p>
      <w:pPr>
        <w:spacing w:after="0" w:line="103" w:lineRule="exact"/>
        <w:rPr>
          <w:rFonts w:ascii="Arial" w:cs="Arial" w:eastAsia="Arial" w:hAnsi="Arial"/>
          <w:sz w:val="18"/>
          <w:szCs w:val="18"/>
          <w:color w:val="auto"/>
        </w:rPr>
      </w:pPr>
    </w:p>
    <w:p>
      <w:pPr>
        <w:ind w:left="2080" w:hanging="465"/>
        <w:spacing w:after="0" w:line="246" w:lineRule="auto"/>
        <w:tabs>
          <w:tab w:leader="none" w:pos="2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Consolidated Statements of Comprehensive Income/(Loss) for the three and nine months ended September 30, 2016 and 2015.</w:t>
      </w:r>
    </w:p>
    <w:p>
      <w:pPr>
        <w:spacing w:after="0" w:line="88" w:lineRule="exact"/>
        <w:rPr>
          <w:rFonts w:ascii="Arial" w:cs="Arial" w:eastAsia="Arial" w:hAnsi="Arial"/>
          <w:sz w:val="18"/>
          <w:szCs w:val="18"/>
          <w:color w:val="auto"/>
        </w:rPr>
      </w:pPr>
    </w:p>
    <w:p>
      <w:pPr>
        <w:ind w:left="2080" w:hanging="465"/>
        <w:spacing w:after="0"/>
        <w:tabs>
          <w:tab w:leader="none" w:pos="2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Consolidated Balance Sheets at September 30, 2016 and December 31, 2015.</w:t>
      </w:r>
    </w:p>
    <w:p>
      <w:pPr>
        <w:spacing w:after="0" w:line="103" w:lineRule="exact"/>
        <w:rPr>
          <w:rFonts w:ascii="Arial" w:cs="Arial" w:eastAsia="Arial" w:hAnsi="Arial"/>
          <w:sz w:val="18"/>
          <w:szCs w:val="18"/>
          <w:color w:val="auto"/>
        </w:rPr>
      </w:pPr>
    </w:p>
    <w:p>
      <w:pPr>
        <w:ind w:left="2080" w:hanging="465"/>
        <w:spacing w:after="0"/>
        <w:tabs>
          <w:tab w:leader="none" w:pos="2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and nine months ended September 30, 2016 and 2015.</w:t>
      </w:r>
    </w:p>
    <w:p>
      <w:pPr>
        <w:spacing w:after="0" w:line="103" w:lineRule="exact"/>
        <w:rPr>
          <w:rFonts w:ascii="Arial" w:cs="Arial" w:eastAsia="Arial" w:hAnsi="Arial"/>
          <w:sz w:val="18"/>
          <w:szCs w:val="18"/>
          <w:color w:val="auto"/>
        </w:rPr>
      </w:pPr>
    </w:p>
    <w:p>
      <w:pPr>
        <w:ind w:left="2080" w:hanging="465"/>
        <w:spacing w:after="0"/>
        <w:tabs>
          <w:tab w:leader="none" w:pos="2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1600" w:right="20"/>
        <w:spacing w:after="0" w:line="275" w:lineRule="auto"/>
        <w:rPr>
          <w:sz w:val="20"/>
          <w:szCs w:val="20"/>
          <w:color w:val="auto"/>
        </w:rPr>
      </w:pPr>
      <w:r>
        <w:rPr>
          <w:rFonts w:ascii="Arial" w:cs="Arial" w:eastAsia="Arial" w:hAnsi="Arial"/>
          <w:sz w:val="17"/>
          <w:szCs w:val="17"/>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0" w:name="page51"/>
    <w:bookmarkEnd w:id="50"/>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p>
      <w:pPr>
        <w:jc w:val="center"/>
        <w:ind w:left="5720"/>
        <w:spacing w:after="0"/>
        <w:rPr>
          <w:sz w:val="20"/>
          <w:szCs w:val="20"/>
          <w:color w:val="auto"/>
        </w:rPr>
      </w:pPr>
      <w:r>
        <w:rPr>
          <w:rFonts w:ascii="Arial" w:cs="Arial" w:eastAsia="Arial" w:hAnsi="Arial"/>
          <w:sz w:val="18"/>
          <w:szCs w:val="18"/>
          <w:u w:val="single" w:color="auto"/>
          <w:color w:val="auto"/>
        </w:rPr>
        <w:t>ALBANY INTERNATIONAL CORP.</w:t>
      </w:r>
    </w:p>
    <w:p>
      <w:pPr>
        <w:jc w:val="center"/>
        <w:ind w:left="572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spacing w:after="0" w:line="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John B. Cozzolino</w:t>
      </w:r>
    </w:p>
    <w:p>
      <w:pPr>
        <w:ind w:left="720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Officer)</w:t>
      </w:r>
    </w:p>
    <w:p>
      <w:pPr>
        <w:spacing w:after="0" w:line="21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657" w:right="6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7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84" w:lineRule="exact"/>
        <w:rPr>
          <w:rFonts w:ascii="Arial" w:cs="Arial" w:eastAsia="Arial" w:hAnsi="Arial"/>
          <w:sz w:val="18"/>
          <w:szCs w:val="18"/>
          <w:color w:val="auto"/>
        </w:rPr>
      </w:pPr>
    </w:p>
    <w:p>
      <w:pPr>
        <w:ind w:left="980" w:right="30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980" w:right="10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980" w:right="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1300" w:right="18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16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300" w:right="10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ind w:left="1300" w:right="24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980" w:right="14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1300" w:right="100" w:hanging="320"/>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300" w:right="20" w:hanging="320"/>
        <w:spacing w:after="0" w:line="246"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ind w:left="5700"/>
              <w:spacing w:after="0"/>
              <w:rPr>
                <w:sz w:val="20"/>
                <w:szCs w:val="20"/>
                <w:color w:val="auto"/>
              </w:rPr>
            </w:pPr>
            <w:r>
              <w:rPr>
                <w:rFonts w:ascii="Arial" w:cs="Arial" w:eastAsia="Arial" w:hAnsi="Arial"/>
                <w:sz w:val="18"/>
                <w:szCs w:val="18"/>
                <w:color w:val="auto"/>
              </w:rPr>
              <w:t>By</w:t>
            </w: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Joseph G. Morone</w:t>
            </w:r>
          </w:p>
        </w:tc>
        <w:tc>
          <w:tcPr>
            <w:tcW w:w="3420" w:type="dxa"/>
            <w:vAlign w:val="bottom"/>
          </w:tcPr>
          <w:p>
            <w:pPr>
              <w:spacing w:after="0"/>
              <w:rPr>
                <w:sz w:val="18"/>
                <w:szCs w:val="18"/>
                <w:color w:val="auto"/>
              </w:rPr>
            </w:pPr>
          </w:p>
        </w:tc>
      </w:tr>
      <w:tr>
        <w:trPr>
          <w:trHeight w:val="209"/>
        </w:trPr>
        <w:tc>
          <w:tcPr>
            <w:tcW w:w="62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Joseph G. Morone</w:t>
            </w:r>
          </w:p>
        </w:tc>
      </w:tr>
      <w:tr>
        <w:trPr>
          <w:trHeight w:val="203"/>
        </w:trPr>
        <w:tc>
          <w:tcPr>
            <w:tcW w:w="6280" w:type="dxa"/>
            <w:vAlign w:val="bottom"/>
          </w:tcPr>
          <w:p>
            <w:pPr>
              <w:spacing w:after="0"/>
              <w:rPr>
                <w:sz w:val="17"/>
                <w:szCs w:val="17"/>
                <w:color w:val="auto"/>
              </w:rPr>
            </w:pPr>
          </w:p>
        </w:tc>
        <w:tc>
          <w:tcPr>
            <w:tcW w:w="5140" w:type="dxa"/>
            <w:vAlign w:val="bottom"/>
            <w:gridSpan w:val="2"/>
          </w:tcPr>
          <w:p>
            <w:pPr>
              <w:spacing w:after="0" w:line="202" w:lineRule="exact"/>
              <w:rPr>
                <w:sz w:val="20"/>
                <w:szCs w:val="20"/>
                <w:color w:val="auto"/>
              </w:rPr>
            </w:pPr>
            <w:r>
              <w:rPr>
                <w:rFonts w:ascii="Arial" w:cs="Arial" w:eastAsia="Arial" w:hAnsi="Arial"/>
                <w:sz w:val="18"/>
                <w:szCs w:val="18"/>
                <w:color w:val="auto"/>
              </w:rPr>
              <w:t>President and Chief Executive Officer</w:t>
            </w:r>
          </w:p>
        </w:tc>
      </w:tr>
      <w:tr>
        <w:trPr>
          <w:trHeight w:val="217"/>
        </w:trPr>
        <w:tc>
          <w:tcPr>
            <w:tcW w:w="62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345"/>
        </w:trPr>
        <w:tc>
          <w:tcPr>
            <w:tcW w:w="6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2" w:name="page53"/>
    <w:bookmarkEnd w:id="52"/>
    <w:p>
      <w:pPr>
        <w:jc w:val="center"/>
        <w:ind w:left="1320"/>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ind w:left="1320"/>
        <w:spacing w:after="0"/>
        <w:rPr>
          <w:sz w:val="20"/>
          <w:szCs w:val="20"/>
          <w:color w:val="auto"/>
        </w:rPr>
      </w:pPr>
      <w:r>
        <w:rPr>
          <w:rFonts w:ascii="Arial" w:cs="Arial" w:eastAsia="Arial" w:hAnsi="Arial"/>
          <w:sz w:val="18"/>
          <w:szCs w:val="18"/>
          <w:b w:val="1"/>
          <w:bCs w:val="1"/>
          <w:color w:val="auto"/>
        </w:rPr>
        <w:t>CERTIFICATION PURSUANT TO</w:t>
      </w:r>
    </w:p>
    <w:p>
      <w:pPr>
        <w:jc w:val="center"/>
        <w:ind w:left="1320"/>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left="1320"/>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left="132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71"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84" w:lineRule="exact"/>
        <w:rPr>
          <w:rFonts w:ascii="Arial" w:cs="Arial" w:eastAsia="Arial" w:hAnsi="Arial"/>
          <w:sz w:val="18"/>
          <w:szCs w:val="18"/>
          <w:color w:val="auto"/>
        </w:rPr>
      </w:pPr>
    </w:p>
    <w:p>
      <w:pPr>
        <w:ind w:left="980" w:right="2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980" w:right="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jc w:val="both"/>
        <w:ind w:left="980" w:right="6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1300" w:right="16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14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300" w:right="8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ind w:left="1300" w:right="22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980" w:right="12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1300" w:right="8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2016</w:t>
      </w:r>
    </w:p>
    <w:p>
      <w:pPr>
        <w:spacing w:after="0" w:line="16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ind w:left="6040"/>
        <w:spacing w:after="0" w:line="234" w:lineRule="auto"/>
        <w:rPr>
          <w:sz w:val="20"/>
          <w:szCs w:val="20"/>
          <w:color w:val="auto"/>
        </w:rPr>
      </w:pPr>
      <w:r>
        <w:rPr>
          <w:rFonts w:ascii="Arial" w:cs="Arial" w:eastAsia="Arial" w:hAnsi="Arial"/>
          <w:sz w:val="18"/>
          <w:szCs w:val="18"/>
          <w:color w:val="auto"/>
        </w:rPr>
        <w:t>John B. Cozzolino</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 and Treasurer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3" w:name="page54"/>
    <w:bookmarkEnd w:id="53"/>
    <w:p>
      <w:pPr>
        <w:jc w:val="center"/>
        <w:ind w:right="-119"/>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w:t>
      </w:r>
    </w:p>
    <w:p>
      <w:pPr>
        <w:jc w:val="center"/>
        <w:ind w:right="-11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11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left="600" w:firstLine="648"/>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September 30, 2016,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202" w:lineRule="exact"/>
        <w:rPr>
          <w:sz w:val="20"/>
          <w:szCs w:val="20"/>
          <w:color w:val="auto"/>
        </w:rPr>
      </w:pPr>
    </w:p>
    <w:p>
      <w:pPr>
        <w:ind w:left="920" w:hanging="324"/>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11" w:lineRule="exact"/>
        <w:rPr>
          <w:rFonts w:ascii="Arial" w:cs="Arial" w:eastAsia="Arial" w:hAnsi="Arial"/>
          <w:sz w:val="18"/>
          <w:szCs w:val="18"/>
          <w:color w:val="auto"/>
        </w:rPr>
      </w:pPr>
    </w:p>
    <w:p>
      <w:pPr>
        <w:ind w:left="920" w:hanging="324"/>
        <w:spacing w:after="0" w:line="246"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2016</w:t>
      </w:r>
    </w:p>
    <w:p>
      <w:pPr>
        <w:ind w:left="6800"/>
        <w:spacing w:after="0" w:line="234" w:lineRule="auto"/>
        <w:rPr>
          <w:sz w:val="20"/>
          <w:szCs w:val="20"/>
          <w:color w:val="auto"/>
        </w:rPr>
      </w:pPr>
      <w:r>
        <w:rPr>
          <w:rFonts w:ascii="Arial" w:cs="Arial" w:eastAsia="Arial" w:hAnsi="Arial"/>
          <w:sz w:val="18"/>
          <w:szCs w:val="18"/>
          <w:u w:val="single" w:color="auto"/>
          <w:color w:val="auto"/>
        </w:rPr>
        <w:t>/s/ Joseph G. Morone</w:t>
      </w:r>
    </w:p>
    <w:p>
      <w:pPr>
        <w:ind w:left="6800"/>
        <w:spacing w:after="0" w:line="235" w:lineRule="auto"/>
        <w:rPr>
          <w:sz w:val="20"/>
          <w:szCs w:val="20"/>
          <w:color w:val="auto"/>
        </w:rPr>
      </w:pPr>
      <w:r>
        <w:rPr>
          <w:rFonts w:ascii="Arial" w:cs="Arial" w:eastAsia="Arial" w:hAnsi="Arial"/>
          <w:sz w:val="18"/>
          <w:szCs w:val="18"/>
          <w:color w:val="auto"/>
        </w:rPr>
        <w:t>Joseph G. Morone</w:t>
      </w:r>
    </w:p>
    <w:p>
      <w:pPr>
        <w:ind w:left="680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ind w:left="6800"/>
        <w:spacing w:after="0"/>
        <w:rPr>
          <w:sz w:val="20"/>
          <w:szCs w:val="20"/>
          <w:color w:val="auto"/>
        </w:rPr>
      </w:pPr>
      <w:r>
        <w:rPr>
          <w:rFonts w:ascii="Arial" w:cs="Arial" w:eastAsia="Arial" w:hAnsi="Arial"/>
          <w:sz w:val="18"/>
          <w:szCs w:val="18"/>
          <w:u w:val="single" w:color="auto"/>
          <w:color w:val="auto"/>
        </w:rPr>
        <w:t>/s/ John B. Cozzolino</w:t>
      </w:r>
    </w:p>
    <w:p>
      <w:pPr>
        <w:ind w:left="6800"/>
        <w:spacing w:after="0" w:line="234" w:lineRule="auto"/>
        <w:rPr>
          <w:sz w:val="20"/>
          <w:szCs w:val="20"/>
          <w:color w:val="auto"/>
        </w:rPr>
      </w:pPr>
      <w:r>
        <w:rPr>
          <w:rFonts w:ascii="Arial" w:cs="Arial" w:eastAsia="Arial" w:hAnsi="Arial"/>
          <w:sz w:val="18"/>
          <w:szCs w:val="18"/>
          <w:color w:val="auto"/>
        </w:rPr>
        <w:t>John B. Cozzolino</w:t>
      </w:r>
    </w:p>
    <w:p>
      <w:pPr>
        <w:ind w:left="680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203835</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00"/>
          </w:cols>
          <w:pgMar w:left="300" w:top="118" w:right="399" w:bottom="1440" w:gutter="0" w:footer="0" w:header="0"/>
        </w:sectPr>
      </w:pPr>
    </w:p>
    <w:bookmarkStart w:id="54" w:name="page55"/>
    <w:bookmarkEnd w:id="54"/>
    <w:p>
      <w:pPr>
        <w:jc w:val="center"/>
        <w:ind w:left="1300"/>
        <w:spacing w:after="0"/>
        <w:rPr>
          <w:sz w:val="20"/>
          <w:szCs w:val="20"/>
          <w:color w:val="auto"/>
        </w:rPr>
      </w:pPr>
      <w:r>
        <w:rPr>
          <w:rFonts w:ascii="Arial" w:cs="Arial" w:eastAsia="Arial" w:hAnsi="Arial"/>
          <w:sz w:val="18"/>
          <w:szCs w:val="18"/>
          <w:b w:val="1"/>
          <w:bCs w:val="1"/>
          <w:color w:val="auto"/>
        </w:rPr>
        <w:t>EXHIBIT (99.1)</w:t>
      </w:r>
    </w:p>
    <w:p>
      <w:pPr>
        <w:spacing w:after="0" w:line="12" w:lineRule="exact"/>
        <w:rPr>
          <w:sz w:val="20"/>
          <w:szCs w:val="20"/>
          <w:color w:val="auto"/>
        </w:rPr>
      </w:pPr>
    </w:p>
    <w:p>
      <w:pPr>
        <w:jc w:val="center"/>
        <w:ind w:left="1300"/>
        <w:spacing w:after="0"/>
        <w:rPr>
          <w:sz w:val="20"/>
          <w:szCs w:val="20"/>
          <w:color w:val="auto"/>
        </w:rPr>
      </w:pPr>
      <w:r>
        <w:rPr>
          <w:rFonts w:ascii="Arial" w:cs="Arial" w:eastAsia="Arial" w:hAnsi="Arial"/>
          <w:sz w:val="18"/>
          <w:szCs w:val="18"/>
          <w:b w:val="1"/>
          <w:bCs w:val="1"/>
          <w:color w:val="auto"/>
        </w:rPr>
        <w:t>MARKET RISK SENSITIVITY – AS OF September 30, 2016</w:t>
      </w:r>
    </w:p>
    <w:p>
      <w:pPr>
        <w:ind w:right="22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0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$426.3 million. The potential loss in fair value resulting from a hypothetical 10% adverse change in quoted foreign currency exchange rates amounts to $42.6 million. Furthermore, related to foreign currency transactions, we have exposure to various nonfunctional currency balances totaling $140.7 million. This amount includes, on an absolute basis, exposures to assets and liabilities held in currencies other than our local entity’s functional currency. On a net basis, we had $116.7 million of foreign currency liabilities as of September 30, 2016. As currency rates change, these nonfunctional currency balances are revalued, and the corresponding adjustment is recorded in the income statement. A hypothetical change of 10% in currency rates could result in an adjustment to the income statement of approximately $11.7 million. Actual results may differ.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September 30, 2016,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263525</wp:posOffset>
            </wp:positionV>
            <wp:extent cx="5342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11430</wp:posOffset>
            </wp:positionV>
            <wp:extent cx="5342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30"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6900" w:type="dxa"/>
            <w:vAlign w:val="bottom"/>
          </w:tcPr>
          <w:p>
            <w:pPr>
              <w:spacing w:after="0"/>
              <w:rPr>
                <w:sz w:val="20"/>
                <w:szCs w:val="20"/>
                <w:color w:val="auto"/>
              </w:rPr>
            </w:pPr>
            <w:r>
              <w:rPr>
                <w:rFonts w:ascii="Arial" w:cs="Arial" w:eastAsia="Arial" w:hAnsi="Arial"/>
                <w:sz w:val="18"/>
                <w:szCs w:val="18"/>
                <w:b w:val="1"/>
                <w:bCs w:val="1"/>
                <w:color w:val="auto"/>
              </w:rPr>
              <w:t>Short-term debt</w:t>
            </w:r>
          </w:p>
        </w:tc>
        <w:tc>
          <w:tcPr>
            <w:tcW w:w="1520" w:type="dxa"/>
            <w:vAlign w:val="bottom"/>
          </w:tcPr>
          <w:p>
            <w:pPr>
              <w:spacing w:after="0"/>
              <w:rPr>
                <w:sz w:val="20"/>
                <w:szCs w:val="20"/>
                <w:color w:val="auto"/>
              </w:rPr>
            </w:pPr>
          </w:p>
        </w:tc>
      </w:tr>
      <w:tr>
        <w:trPr>
          <w:trHeight w:val="243"/>
        </w:trPr>
        <w:tc>
          <w:tcPr>
            <w:tcW w:w="6900" w:type="dxa"/>
            <w:vAlign w:val="bottom"/>
          </w:tcPr>
          <w:p>
            <w:pPr>
              <w:spacing w:after="0"/>
              <w:rPr>
                <w:sz w:val="20"/>
                <w:szCs w:val="20"/>
                <w:color w:val="auto"/>
              </w:rPr>
            </w:pPr>
            <w:r>
              <w:rPr>
                <w:rFonts w:ascii="Arial" w:cs="Arial" w:eastAsia="Arial" w:hAnsi="Arial"/>
                <w:sz w:val="18"/>
                <w:szCs w:val="18"/>
                <w:color w:val="auto"/>
              </w:rPr>
              <w:t>Notes payable, end of period interest rate of 1.580%</w:t>
            </w:r>
          </w:p>
        </w:tc>
        <w:tc>
          <w:tcPr>
            <w:tcW w:w="152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690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520" w:type="dxa"/>
            <w:vAlign w:val="bottom"/>
          </w:tcPr>
          <w:p>
            <w:pPr>
              <w:spacing w:after="0"/>
              <w:rPr>
                <w:sz w:val="19"/>
                <w:szCs w:val="19"/>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Credit agreement with borrowings outstanding, net of fixed rate portion, at an</w:t>
            </w:r>
          </w:p>
        </w:tc>
        <w:tc>
          <w:tcPr>
            <w:tcW w:w="1520" w:type="dxa"/>
            <w:vAlign w:val="bottom"/>
          </w:tcPr>
          <w:p>
            <w:pPr>
              <w:spacing w:after="0"/>
              <w:rPr>
                <w:sz w:val="17"/>
                <w:szCs w:val="17"/>
                <w:color w:val="auto"/>
              </w:rPr>
            </w:pPr>
          </w:p>
        </w:tc>
      </w:tr>
      <w:tr>
        <w:trPr>
          <w:trHeight w:val="217"/>
        </w:trPr>
        <w:tc>
          <w:tcPr>
            <w:tcW w:w="6900" w:type="dxa"/>
            <w:vAlign w:val="bottom"/>
          </w:tcPr>
          <w:p>
            <w:pPr>
              <w:spacing w:after="0"/>
              <w:rPr>
                <w:sz w:val="20"/>
                <w:szCs w:val="20"/>
                <w:color w:val="auto"/>
              </w:rPr>
            </w:pPr>
            <w:r>
              <w:rPr>
                <w:rFonts w:ascii="Arial" w:cs="Arial" w:eastAsia="Arial" w:hAnsi="Arial"/>
                <w:sz w:val="18"/>
                <w:szCs w:val="18"/>
                <w:color w:val="auto"/>
              </w:rPr>
              <w:t>end of period interest rate of 2.001% in 2016</w:t>
            </w:r>
          </w:p>
        </w:tc>
        <w:tc>
          <w:tcPr>
            <w:tcW w:w="152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30"/>
        </w:trPr>
        <w:tc>
          <w:tcPr>
            <w:tcW w:w="6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466"/>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$125,343</w:t>
            </w:r>
          </w:p>
        </w:tc>
      </w:tr>
    </w:tbl>
    <w:p>
      <w:pPr>
        <w:spacing w:after="0" w:line="202" w:lineRule="exact"/>
        <w:rPr>
          <w:sz w:val="20"/>
          <w:szCs w:val="20"/>
          <w:color w:val="auto"/>
        </w:rPr>
      </w:pPr>
    </w:p>
    <w:p>
      <w:pPr>
        <w:jc w:val="both"/>
        <w:ind w:right="220" w:firstLine="648"/>
        <w:spacing w:after="0"/>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$1.3 million. To manage interest rate risk, we may periodically enter into interest rate swap agreements to effectively fix the interest rates on variable debt to a specific 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198120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700"/>
      </w:cols>
      <w:pgMar w:left="90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lvl w:ilvl="1">
      <w:lvlJc w:val="left"/>
      <w:lvlText w:val="·"/>
      <w:numFmt w:val="bullet"/>
      <w:start w:val="1"/>
    </w:lvl>
  </w:abstractNum>
  <w:abstractNum w:abstractNumId="8">
    <w:nsid w:val="75A2A8D4"/>
    <w:multiLevelType w:val="hybridMultilevel"/>
    <w:lvl w:ilvl="0">
      <w:lvlJc w:val="left"/>
      <w:lvlText w:val="·"/>
      <w:numFmt w:val="bullet"/>
      <w:start w:val="1"/>
    </w:lvl>
    <w:lvl w:ilvl="1">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2"/>
    </w:lvl>
  </w:abstractNum>
  <w:abstractNum w:abstractNumId="35">
    <w:nsid w:val="7724C67E"/>
    <w:multiLevelType w:val="hybridMultilevel"/>
    <w:lvl w:ilvl="0">
      <w:lvlJc w:val="left"/>
      <w:lvlText w:val="%1"/>
      <w:numFmt w:val="decimal"/>
      <w:start w:val="101"/>
    </w:lvl>
    <w:lvl w:ilvl="1">
      <w:lvlJc w:val="left"/>
      <w:lvlText w:val="(%2)"/>
      <w:numFmt w:val="lowerRoman"/>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2019-12-29T09:56:26Z</dcterms:created>
  <dcterms:modified xsi:type="dcterms:W3CDTF">2019-12-29T09:56:26Z</dcterms:modified>
</cp:coreProperties>
</file>