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22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Schedule 13G</w:t>
      </w:r>
    </w:p>
    <w:p>
      <w:pPr>
        <w:jc w:val="center"/>
        <w:ind w:right="209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jc w:val="center"/>
        <w:ind w:right="2099"/>
        <w:spacing w:after="0"/>
        <w:rPr>
          <w:sz w:val="20"/>
          <w:szCs w:val="20"/>
          <w:color w:val="auto"/>
        </w:rPr>
      </w:pPr>
      <w:r>
        <w:rPr>
          <w:rFonts w:ascii="Courier New" w:cs="Courier New" w:eastAsia="Courier New" w:hAnsi="Courier New"/>
          <w:sz w:val="18"/>
          <w:szCs w:val="18"/>
          <w:color w:val="auto"/>
        </w:rPr>
        <w:t>(Amendment No. 7)</w:t>
      </w:r>
    </w:p>
    <w:p>
      <w:pPr>
        <w:ind w:left="2860"/>
        <w:spacing w:after="0" w:line="237" w:lineRule="auto"/>
        <w:rPr>
          <w:sz w:val="20"/>
          <w:szCs w:val="20"/>
          <w:color w:val="auto"/>
        </w:rPr>
      </w:pPr>
      <w:r>
        <w:rPr>
          <w:rFonts w:ascii="Courier New" w:cs="Courier New" w:eastAsia="Courier New" w:hAnsi="Courier New"/>
          <w:sz w:val="18"/>
          <w:szCs w:val="18"/>
          <w:color w:val="auto"/>
        </w:rPr>
        <w:t>_______________________</w:t>
      </w:r>
    </w:p>
    <w:p>
      <w:pPr>
        <w:spacing w:after="0" w:line="200" w:lineRule="exact"/>
        <w:rPr>
          <w:sz w:val="24"/>
          <w:szCs w:val="24"/>
          <w:color w:val="auto"/>
        </w:rPr>
      </w:pPr>
    </w:p>
    <w:p>
      <w:pPr>
        <w:spacing w:after="0" w:line="204"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Albany International Corporation</w:t>
      </w:r>
    </w:p>
    <w:p>
      <w:pPr>
        <w:ind w:left="3160"/>
        <w:spacing w:after="0" w:line="238" w:lineRule="auto"/>
        <w:rPr>
          <w:sz w:val="20"/>
          <w:szCs w:val="20"/>
          <w:color w:val="auto"/>
        </w:rPr>
      </w:pPr>
      <w:r>
        <w:rPr>
          <w:rFonts w:ascii="Courier New" w:cs="Courier New" w:eastAsia="Courier New" w:hAnsi="Courier New"/>
          <w:sz w:val="18"/>
          <w:szCs w:val="18"/>
          <w:color w:val="auto"/>
        </w:rPr>
        <w:t>____________________</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Common Stock</w:t>
      </w:r>
    </w:p>
    <w:p>
      <w:pPr>
        <w:ind w:left="3160"/>
        <w:spacing w:after="0" w:line="238" w:lineRule="auto"/>
        <w:rPr>
          <w:sz w:val="20"/>
          <w:szCs w:val="20"/>
          <w:color w:val="auto"/>
        </w:rPr>
      </w:pPr>
      <w:r>
        <w:rPr>
          <w:rFonts w:ascii="Courier New" w:cs="Courier New" w:eastAsia="Courier New" w:hAnsi="Courier New"/>
          <w:sz w:val="18"/>
          <w:szCs w:val="18"/>
          <w:color w:val="auto"/>
        </w:rPr>
        <w:t>____________________</w:t>
      </w:r>
    </w:p>
    <w:p>
      <w:pPr>
        <w:spacing w:after="0" w:line="202"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012348108</w:t>
      </w:r>
    </w:p>
    <w:p>
      <w:pPr>
        <w:ind w:left="3480"/>
        <w:spacing w:after="0" w:line="238" w:lineRule="auto"/>
        <w:rPr>
          <w:sz w:val="20"/>
          <w:szCs w:val="20"/>
          <w:color w:val="auto"/>
        </w:rPr>
      </w:pPr>
      <w:r>
        <w:rPr>
          <w:rFonts w:ascii="Courier New" w:cs="Courier New" w:eastAsia="Courier New" w:hAnsi="Courier New"/>
          <w:sz w:val="18"/>
          <w:szCs w:val="18"/>
          <w:color w:val="auto"/>
        </w:rPr>
        <w:t>____________</w:t>
      </w:r>
    </w:p>
    <w:p>
      <w:pPr>
        <w:spacing w:after="0" w:line="202"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9"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Page 1 of 5</w:t>
      </w:r>
    </w:p>
    <w:p>
      <w:pPr>
        <w:sectPr>
          <w:pgSz w:w="11900" w:h="16838" w:orient="portrait"/>
          <w:cols w:equalWidth="0" w:num="1">
            <w:col w:w="10219"/>
          </w:cols>
          <w:pgMar w:left="240" w:top="447" w:right="1440" w:bottom="1440" w:gutter="0" w:footer="0" w:header="0"/>
        </w:sectPr>
      </w:pPr>
    </w:p>
    <w:bookmarkStart w:id="1" w:name="page2"/>
    <w:bookmarkEnd w:id="1"/>
    <w:p>
      <w:pPr>
        <w:spacing w:after="0"/>
        <w:tabs>
          <w:tab w:leader="none" w:pos="3680" w:val="left"/>
          <w:tab w:leader="none" w:pos="6100" w:val="left"/>
        </w:tabs>
        <w:rPr>
          <w:sz w:val="20"/>
          <w:szCs w:val="20"/>
          <w:color w:val="auto"/>
        </w:rPr>
      </w:pPr>
      <w:r>
        <w:rPr>
          <w:rFonts w:ascii="Courier New" w:cs="Courier New" w:eastAsia="Courier New" w:hAnsi="Courier New"/>
          <w:sz w:val="18"/>
          <w:szCs w:val="18"/>
          <w:color w:val="auto"/>
        </w:rPr>
        <w:t>CUSIP No. 012348108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5</w:t>
      </w:r>
    </w:p>
    <w:p>
      <w:pPr>
        <w:spacing w:after="0" w:line="201" w:lineRule="exact"/>
        <w:rPr>
          <w:sz w:val="20"/>
          <w:szCs w:val="20"/>
          <w:color w:val="auto"/>
        </w:rPr>
      </w:pPr>
    </w:p>
    <w:p>
      <w:pPr>
        <w:ind w:left="420" w:hanging="412"/>
        <w:spacing w:after="0"/>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Reporting Person:</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MARSHALL &amp; ILSLEY CORPORATION, I.D. No. 39-0452805</w:t>
      </w:r>
    </w:p>
    <w:p>
      <w:pPr>
        <w:spacing w:after="0" w:line="200" w:lineRule="exact"/>
        <w:rPr>
          <w:sz w:val="20"/>
          <w:szCs w:val="20"/>
          <w:color w:val="auto"/>
        </w:rPr>
      </w:pPr>
    </w:p>
    <w:p>
      <w:pPr>
        <w:spacing w:after="0" w:line="209" w:lineRule="exact"/>
        <w:rPr>
          <w:sz w:val="20"/>
          <w:szCs w:val="20"/>
          <w:color w:val="auto"/>
        </w:rPr>
      </w:pPr>
    </w:p>
    <w:p>
      <w:pPr>
        <w:ind w:left="540" w:right="2619" w:hanging="532"/>
        <w:spacing w:after="0" w:line="235" w:lineRule="auto"/>
        <w:tabs>
          <w:tab w:leader="none" w:pos="435"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 (a)[ ]</w:t>
      </w:r>
    </w:p>
    <w:p>
      <w:pPr>
        <w:spacing w:after="0" w:line="1" w:lineRule="exact"/>
        <w:rPr>
          <w:rFonts w:ascii="Courier New" w:cs="Courier New" w:eastAsia="Courier New" w:hAnsi="Courier New"/>
          <w:sz w:val="18"/>
          <w:szCs w:val="18"/>
          <w:color w:val="auto"/>
        </w:rPr>
      </w:pP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20" w:type="dxa"/>
            <w:vAlign w:val="bottom"/>
          </w:tcPr>
          <w:p>
            <w:pPr>
              <w:spacing w:after="0"/>
              <w:rPr>
                <w:sz w:val="17"/>
                <w:szCs w:val="17"/>
                <w:color w:val="auto"/>
              </w:rPr>
            </w:pPr>
          </w:p>
        </w:tc>
        <w:tc>
          <w:tcPr>
            <w:tcW w:w="326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Wisconsin</w:t>
            </w:r>
          </w:p>
        </w:tc>
        <w:tc>
          <w:tcPr>
            <w:tcW w:w="1060" w:type="dxa"/>
            <w:vAlign w:val="bottom"/>
          </w:tcPr>
          <w:p>
            <w:pPr>
              <w:spacing w:after="0"/>
              <w:rPr>
                <w:sz w:val="17"/>
                <w:szCs w:val="17"/>
                <w:color w:val="auto"/>
              </w:rPr>
            </w:pPr>
          </w:p>
        </w:tc>
      </w:tr>
      <w:tr>
        <w:trPr>
          <w:trHeight w:val="608"/>
        </w:trPr>
        <w:tc>
          <w:tcPr>
            <w:tcW w:w="212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52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420,384</w:t>
            </w: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5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5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825,728</w:t>
            </w:r>
          </w:p>
        </w:tc>
      </w:tr>
      <w:tr>
        <w:trPr>
          <w:trHeight w:val="405"/>
        </w:trPr>
        <w:tc>
          <w:tcPr>
            <w:tcW w:w="2120" w:type="dxa"/>
            <w:vAlign w:val="bottom"/>
          </w:tcPr>
          <w:p>
            <w:pPr>
              <w:spacing w:after="0"/>
              <w:rPr>
                <w:sz w:val="24"/>
                <w:szCs w:val="24"/>
                <w:color w:val="auto"/>
              </w:rPr>
            </w:pPr>
          </w:p>
        </w:tc>
        <w:tc>
          <w:tcPr>
            <w:tcW w:w="520" w:type="dxa"/>
            <w:vAlign w:val="bottom"/>
          </w:tcPr>
          <w:p>
            <w:pPr>
              <w:ind w:left="200"/>
              <w:spacing w:after="0"/>
              <w:rPr>
                <w:sz w:val="20"/>
                <w:szCs w:val="20"/>
                <w:color w:val="auto"/>
              </w:rPr>
            </w:pPr>
            <w:r>
              <w:rPr>
                <w:rFonts w:ascii="Courier New" w:cs="Courier New" w:eastAsia="Courier New" w:hAnsi="Courier New"/>
                <w:sz w:val="18"/>
                <w:szCs w:val="18"/>
                <w:color w:val="auto"/>
              </w:rPr>
              <w:t>7)</w:t>
            </w:r>
          </w:p>
        </w:tc>
        <w:tc>
          <w:tcPr>
            <w:tcW w:w="2740" w:type="dxa"/>
            <w:vAlign w:val="bottom"/>
          </w:tcPr>
          <w:p>
            <w:pPr>
              <w:ind w:left="100"/>
              <w:spacing w:after="0"/>
              <w:rPr>
                <w:sz w:val="20"/>
                <w:szCs w:val="20"/>
                <w:color w:val="auto"/>
              </w:rPr>
            </w:pPr>
            <w:r>
              <w:rPr>
                <w:rFonts w:ascii="Courier New" w:cs="Courier New" w:eastAsia="Courier New" w:hAnsi="Courier New"/>
                <w:sz w:val="18"/>
                <w:szCs w:val="18"/>
                <w:color w:val="auto"/>
              </w:rPr>
              <w:t>Sole Dispositive Power</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18,760</w:t>
            </w:r>
          </w:p>
        </w:tc>
      </w:tr>
    </w:tbl>
    <w:p>
      <w:pPr>
        <w:spacing w:after="0" w:line="201" w:lineRule="exact"/>
        <w:rPr>
          <w:sz w:val="20"/>
          <w:szCs w:val="20"/>
          <w:color w:val="auto"/>
        </w:rPr>
      </w:pPr>
    </w:p>
    <w:p>
      <w:pPr>
        <w:ind w:left="2740" w:hanging="414"/>
        <w:spacing w:after="0"/>
        <w:tabs>
          <w:tab w:leader="none" w:pos="274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1,227,352</w:t>
      </w:r>
    </w:p>
    <w:p>
      <w:pPr>
        <w:spacing w:after="0" w:line="206" w:lineRule="exact"/>
        <w:rPr>
          <w:rFonts w:ascii="Courier New" w:cs="Courier New" w:eastAsia="Courier New" w:hAnsi="Courier New"/>
          <w:sz w:val="18"/>
          <w:szCs w:val="18"/>
          <w:color w:val="auto"/>
        </w:rPr>
      </w:pPr>
    </w:p>
    <w:p>
      <w:pPr>
        <w:ind w:left="2440" w:right="3359" w:hanging="2432"/>
        <w:spacing w:after="0" w:line="235" w:lineRule="auto"/>
        <w:tabs>
          <w:tab w:leader="none" w:pos="439"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1,246,112</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right="2419" w:firstLine="8"/>
        <w:spacing w:after="0" w:line="235" w:lineRule="auto"/>
        <w:tabs>
          <w:tab w:leader="none" w:pos="527"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 Instructions):</w:t>
      </w:r>
    </w:p>
    <w:p>
      <w:pPr>
        <w:ind w:left="2540"/>
        <w:spacing w:after="0"/>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line="209" w:lineRule="exact"/>
        <w:rPr>
          <w:sz w:val="20"/>
          <w:szCs w:val="20"/>
          <w:color w:val="auto"/>
        </w:rPr>
      </w:pPr>
    </w:p>
    <w:p>
      <w:pPr>
        <w:ind w:left="2540" w:right="4619" w:hanging="2532"/>
        <w:spacing w:after="0" w:line="235" w:lineRule="auto"/>
        <w:tabs>
          <w:tab w:leader="none" w:pos="539"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4.97%</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w:t>
      </w:r>
    </w:p>
    <w:p>
      <w:pPr>
        <w:ind w:left="2740"/>
        <w:spacing w:after="0" w:line="238" w:lineRule="auto"/>
        <w:rPr>
          <w:sz w:val="20"/>
          <w:szCs w:val="20"/>
          <w:color w:val="auto"/>
        </w:rPr>
      </w:pPr>
      <w:r>
        <w:rPr>
          <w:rFonts w:ascii="Courier New" w:cs="Courier New" w:eastAsia="Courier New" w:hAnsi="Courier New"/>
          <w:sz w:val="18"/>
          <w:szCs w:val="18"/>
          <w:color w:val="auto"/>
        </w:rPr>
        <w:t>HC</w:t>
      </w:r>
    </w:p>
    <w:p>
      <w:pPr>
        <w:sectPr>
          <w:pgSz w:w="11900" w:h="16838" w:orient="portrait"/>
          <w:cols w:equalWidth="0" w:num="1">
            <w:col w:w="10219"/>
          </w:cols>
          <w:pgMar w:left="240" w:top="514" w:right="1440" w:bottom="1440" w:gutter="0" w:footer="0" w:header="0"/>
        </w:sectPr>
      </w:pPr>
    </w:p>
    <w:bookmarkStart w:id="2" w:name="page3"/>
    <w:bookmarkEnd w:id="2"/>
    <w:p>
      <w:pPr>
        <w:spacing w:after="0"/>
        <w:tabs>
          <w:tab w:leader="none" w:pos="3680" w:val="left"/>
          <w:tab w:leader="none" w:pos="6100" w:val="left"/>
        </w:tabs>
        <w:rPr>
          <w:sz w:val="20"/>
          <w:szCs w:val="20"/>
          <w:color w:val="auto"/>
        </w:rPr>
      </w:pPr>
      <w:r>
        <w:rPr>
          <w:rFonts w:ascii="Courier New" w:cs="Courier New" w:eastAsia="Courier New" w:hAnsi="Courier New"/>
          <w:sz w:val="18"/>
          <w:szCs w:val="18"/>
          <w:color w:val="auto"/>
        </w:rPr>
        <w:t>CUSIP No. 012348108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1(a).Name of Issuer:</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Albany International Corporation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1(b).Address of Issuer's Principal Executive Offices:</w:t>
      </w:r>
    </w:p>
    <w:p>
      <w:pPr>
        <w:spacing w:after="0" w:line="201" w:lineRule="exact"/>
        <w:rPr>
          <w:sz w:val="20"/>
          <w:szCs w:val="20"/>
          <w:color w:val="auto"/>
        </w:rPr>
      </w:pPr>
    </w:p>
    <w:p>
      <w:pPr>
        <w:ind w:left="2960"/>
        <w:spacing w:after="0"/>
        <w:tabs>
          <w:tab w:leader="none" w:pos="6300" w:val="left"/>
        </w:tabs>
        <w:rPr>
          <w:sz w:val="20"/>
          <w:szCs w:val="20"/>
          <w:color w:val="auto"/>
        </w:rPr>
      </w:pPr>
      <w:r>
        <w:rPr>
          <w:rFonts w:ascii="Courier New" w:cs="Courier New" w:eastAsia="Courier New" w:hAnsi="Courier New"/>
          <w:sz w:val="18"/>
          <w:szCs w:val="18"/>
          <w:color w:val="auto"/>
        </w:rPr>
        <w:t>P.O. Box 1907, Albany New York</w:t>
        <w:tab/>
        <w:t>12201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2(a).Name of Person Filing:</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Marshall &amp; Ilsley Corporation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2(b).Address or Principal Business Office or, if none, Residence:</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770 North Water Street, Milwaukee, Wisconsin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2(c).Citizenship:</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Wisconsin Corporation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2(d).Title of Class of Securities:</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New Class A 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2(e).CUSIP Number:</w:t>
      </w:r>
    </w:p>
    <w:p>
      <w:pPr>
        <w:ind w:left="3060"/>
        <w:spacing w:after="0" w:line="238" w:lineRule="auto"/>
        <w:rPr>
          <w:sz w:val="20"/>
          <w:szCs w:val="20"/>
          <w:color w:val="auto"/>
        </w:rPr>
      </w:pPr>
      <w:r>
        <w:rPr>
          <w:rFonts w:ascii="Courier New" w:cs="Courier New" w:eastAsia="Courier New" w:hAnsi="Courier New"/>
          <w:sz w:val="18"/>
          <w:szCs w:val="18"/>
          <w:color w:val="auto"/>
        </w:rPr>
        <w:t>012348108</w:t>
      </w:r>
    </w:p>
    <w:p>
      <w:pPr>
        <w:spacing w:after="0" w:line="200" w:lineRule="exact"/>
        <w:rPr>
          <w:sz w:val="20"/>
          <w:szCs w:val="20"/>
          <w:color w:val="auto"/>
        </w:rPr>
      </w:pPr>
    </w:p>
    <w:p>
      <w:pPr>
        <w:spacing w:after="0" w:line="210"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Item 3. If this statement is filed pursuant to rules 13d-1 (b) (1), or 13d-2 (b), check whether the person filing is a:</w:t>
      </w:r>
    </w:p>
    <w:p>
      <w:pPr>
        <w:ind w:left="1380" w:hanging="529"/>
        <w:spacing w:after="0"/>
        <w:tabs>
          <w:tab w:leader="none" w:pos="13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1380" w:hanging="529"/>
        <w:spacing w:after="0" w:line="238" w:lineRule="auto"/>
        <w:tabs>
          <w:tab w:leader="none" w:pos="13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 (a) (6) of the Act</w:t>
      </w:r>
    </w:p>
    <w:p>
      <w:pPr>
        <w:spacing w:after="0" w:line="4" w:lineRule="exact"/>
        <w:rPr>
          <w:rFonts w:ascii="Courier New" w:cs="Courier New" w:eastAsia="Courier New" w:hAnsi="Courier New"/>
          <w:sz w:val="18"/>
          <w:szCs w:val="18"/>
          <w:color w:val="auto"/>
        </w:rPr>
      </w:pPr>
    </w:p>
    <w:p>
      <w:pPr>
        <w:ind w:left="1380" w:hanging="529"/>
        <w:spacing w:after="0"/>
        <w:tabs>
          <w:tab w:leader="none" w:pos="138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]Insurance Company as defined in Section 3 (a) (19) of the Act</w:t>
      </w:r>
    </w:p>
    <w:p>
      <w:pPr>
        <w:spacing w:after="0" w:line="21" w:lineRule="exact"/>
        <w:rPr>
          <w:rFonts w:ascii="Courier New" w:cs="Courier New" w:eastAsia="Courier New" w:hAnsi="Courier New"/>
          <w:sz w:val="16"/>
          <w:szCs w:val="16"/>
          <w:color w:val="auto"/>
        </w:rPr>
      </w:pPr>
    </w:p>
    <w:p>
      <w:pPr>
        <w:ind w:left="1580" w:right="2939" w:hanging="729"/>
        <w:spacing w:after="0" w:line="235" w:lineRule="auto"/>
        <w:tabs>
          <w:tab w:leader="none" w:pos="1369"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w:t>
      </w:r>
    </w:p>
    <w:p>
      <w:pPr>
        <w:spacing w:after="0" w:line="5" w:lineRule="exact"/>
        <w:rPr>
          <w:rFonts w:ascii="Courier New" w:cs="Courier New" w:eastAsia="Courier New" w:hAnsi="Courier New"/>
          <w:sz w:val="18"/>
          <w:szCs w:val="18"/>
          <w:color w:val="auto"/>
        </w:rPr>
      </w:pPr>
    </w:p>
    <w:p>
      <w:pPr>
        <w:ind w:left="1580" w:right="2739" w:hanging="729"/>
        <w:spacing w:after="0" w:line="235" w:lineRule="auto"/>
        <w:tabs>
          <w:tab w:leader="none" w:pos="1369"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registered under Section 203 of the Investment Advisers Act of 1940</w:t>
      </w:r>
    </w:p>
    <w:p>
      <w:pPr>
        <w:spacing w:after="0" w:line="5" w:lineRule="exact"/>
        <w:rPr>
          <w:rFonts w:ascii="Courier New" w:cs="Courier New" w:eastAsia="Courier New" w:hAnsi="Courier New"/>
          <w:sz w:val="18"/>
          <w:szCs w:val="18"/>
          <w:color w:val="auto"/>
        </w:rPr>
      </w:pPr>
    </w:p>
    <w:p>
      <w:pPr>
        <w:ind w:left="1580" w:right="2199" w:hanging="729"/>
        <w:spacing w:after="0" w:line="268" w:lineRule="auto"/>
        <w:tabs>
          <w:tab w:leader="none" w:pos="1369"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]Employee Benefit Plan, Pension fund which is subject to the provisions of the Employee Retirement Income Security Act of 1974 or Endowment fund: see Sec. 240.13d-1(b) (1) (ii) (F)</w:t>
      </w:r>
    </w:p>
    <w:p>
      <w:pPr>
        <w:ind w:left="1580" w:right="2419" w:hanging="729"/>
        <w:spacing w:after="0" w:line="235" w:lineRule="auto"/>
        <w:tabs>
          <w:tab w:leader="none" w:pos="1369"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[XX]Parent Holding Company, in accordance with Sec. 240.13d-1 (b)(1)(ii)(G) (Note: See Item 7)</w:t>
      </w:r>
    </w:p>
    <w:p>
      <w:pPr>
        <w:spacing w:after="0" w:line="1" w:lineRule="exact"/>
        <w:rPr>
          <w:rFonts w:ascii="Courier New" w:cs="Courier New" w:eastAsia="Courier New" w:hAnsi="Courier New"/>
          <w:sz w:val="18"/>
          <w:szCs w:val="18"/>
          <w:color w:val="auto"/>
        </w:rPr>
      </w:pPr>
    </w:p>
    <w:p>
      <w:pPr>
        <w:ind w:left="1380" w:hanging="529"/>
        <w:spacing w:after="0" w:line="238" w:lineRule="auto"/>
        <w:tabs>
          <w:tab w:leader="none" w:pos="13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 240.13d-1 (b) (1) (h) (H)</w:t>
      </w:r>
    </w:p>
    <w:p>
      <w:pPr>
        <w:sectPr>
          <w:pgSz w:w="11900" w:h="16838" w:orient="portrait"/>
          <w:cols w:equalWidth="0" w:num="1">
            <w:col w:w="10219"/>
          </w:cols>
          <w:pgMar w:left="240" w:top="514" w:right="1440" w:bottom="1440" w:gutter="0" w:footer="0" w:header="0"/>
        </w:sectPr>
      </w:pPr>
    </w:p>
    <w:bookmarkStart w:id="3" w:name="page4"/>
    <w:bookmarkEnd w:id="3"/>
    <w:p>
      <w:pPr>
        <w:spacing w:after="0"/>
        <w:tabs>
          <w:tab w:leader="none" w:pos="3680" w:val="left"/>
          <w:tab w:leader="none" w:pos="6100" w:val="left"/>
        </w:tabs>
        <w:rPr>
          <w:sz w:val="20"/>
          <w:szCs w:val="20"/>
          <w:color w:val="auto"/>
        </w:rPr>
      </w:pPr>
      <w:r>
        <w:rPr>
          <w:rFonts w:ascii="Courier New" w:cs="Courier New" w:eastAsia="Courier New" w:hAnsi="Courier New"/>
          <w:sz w:val="18"/>
          <w:szCs w:val="18"/>
          <w:color w:val="auto"/>
        </w:rPr>
        <w:t>CUSIP No. 012348108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5</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4" w:lineRule="exact"/>
        <w:rPr>
          <w:sz w:val="20"/>
          <w:szCs w:val="20"/>
          <w:color w:val="auto"/>
        </w:rPr>
      </w:pPr>
    </w:p>
    <w:p>
      <w:pPr>
        <w:ind w:left="3060" w:right="6199" w:hanging="2525"/>
        <w:spacing w:after="0" w:line="290" w:lineRule="auto"/>
        <w:tabs>
          <w:tab w:leader="none" w:pos="1058"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1,246,112</w:t>
      </w:r>
    </w:p>
    <w:p>
      <w:pPr>
        <w:spacing w:after="0" w:line="164" w:lineRule="exact"/>
        <w:rPr>
          <w:rFonts w:ascii="Courier New" w:cs="Courier New" w:eastAsia="Courier New" w:hAnsi="Courier New"/>
          <w:sz w:val="16"/>
          <w:szCs w:val="16"/>
          <w:color w:val="auto"/>
        </w:rPr>
      </w:pPr>
    </w:p>
    <w:p>
      <w:pPr>
        <w:ind w:left="1060" w:hanging="525"/>
        <w:spacing w:after="0"/>
        <w:tabs>
          <w:tab w:leader="none" w:pos="10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3160"/>
        <w:spacing w:after="0" w:line="238" w:lineRule="auto"/>
        <w:rPr>
          <w:sz w:val="20"/>
          <w:szCs w:val="20"/>
          <w:color w:val="auto"/>
        </w:rPr>
      </w:pPr>
      <w:r>
        <w:rPr>
          <w:rFonts w:ascii="Courier New" w:cs="Courier New" w:eastAsia="Courier New" w:hAnsi="Courier New"/>
          <w:sz w:val="18"/>
          <w:szCs w:val="18"/>
          <w:color w:val="auto"/>
        </w:rPr>
        <w:t>4.97%</w:t>
      </w:r>
    </w:p>
    <w:p>
      <w:pPr>
        <w:spacing w:after="0" w:line="202" w:lineRule="exact"/>
        <w:rPr>
          <w:sz w:val="20"/>
          <w:szCs w:val="20"/>
          <w:color w:val="auto"/>
        </w:rPr>
      </w:pPr>
    </w:p>
    <w:p>
      <w:pPr>
        <w:ind w:left="1060" w:hanging="525"/>
        <w:spacing w:after="0"/>
        <w:tabs>
          <w:tab w:leader="none" w:pos="10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4" w:lineRule="exact"/>
        <w:rPr>
          <w:rFonts w:ascii="Courier New" w:cs="Courier New" w:eastAsia="Courier New" w:hAnsi="Courier New"/>
          <w:sz w:val="18"/>
          <w:szCs w:val="18"/>
          <w:color w:val="auto"/>
        </w:rPr>
      </w:pPr>
    </w:p>
    <w:p>
      <w:pPr>
        <w:ind w:left="3160" w:right="4739" w:hanging="2415"/>
        <w:spacing w:after="0" w:line="235" w:lineRule="auto"/>
        <w:tabs>
          <w:tab w:leader="none" w:pos="1264"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420,384</w:t>
      </w:r>
    </w:p>
    <w:p>
      <w:pPr>
        <w:spacing w:after="0" w:line="5" w:lineRule="exact"/>
        <w:rPr>
          <w:rFonts w:ascii="Courier New" w:cs="Courier New" w:eastAsia="Courier New" w:hAnsi="Courier New"/>
          <w:sz w:val="18"/>
          <w:szCs w:val="18"/>
          <w:color w:val="auto"/>
        </w:rPr>
      </w:pPr>
    </w:p>
    <w:p>
      <w:pPr>
        <w:jc w:val="center"/>
        <w:ind w:left="3160" w:right="4419" w:hanging="2415"/>
        <w:spacing w:after="0" w:line="235" w:lineRule="auto"/>
        <w:tabs>
          <w:tab w:leader="none" w:pos="1369"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825,728</w:t>
      </w:r>
    </w:p>
    <w:p>
      <w:pPr>
        <w:spacing w:after="0" w:line="5" w:lineRule="exact"/>
        <w:rPr>
          <w:rFonts w:ascii="Courier New" w:cs="Courier New" w:eastAsia="Courier New" w:hAnsi="Courier New"/>
          <w:sz w:val="18"/>
          <w:szCs w:val="18"/>
          <w:color w:val="auto"/>
        </w:rPr>
      </w:pPr>
    </w:p>
    <w:p>
      <w:pPr>
        <w:ind w:left="3160" w:right="3159" w:hanging="2415"/>
        <w:spacing w:after="0" w:line="235" w:lineRule="auto"/>
        <w:tabs>
          <w:tab w:leader="none" w:pos="1475"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18,760</w:t>
      </w:r>
    </w:p>
    <w:p>
      <w:pPr>
        <w:spacing w:after="0" w:line="5" w:lineRule="exact"/>
        <w:rPr>
          <w:rFonts w:ascii="Courier New" w:cs="Courier New" w:eastAsia="Courier New" w:hAnsi="Courier New"/>
          <w:sz w:val="18"/>
          <w:szCs w:val="18"/>
          <w:color w:val="auto"/>
        </w:rPr>
      </w:pPr>
    </w:p>
    <w:p>
      <w:pPr>
        <w:ind w:left="3280" w:right="3039" w:hanging="2535"/>
        <w:spacing w:after="0" w:line="235" w:lineRule="auto"/>
        <w:tabs>
          <w:tab w:leader="none" w:pos="1384"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1,227,352</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response to Item 6, bank trust beneficiaries and customers are known to have the right to receive or the power to direct the receipt of dividends from or the proceeds from the sale of the subject securities. No such person is known to possess such in interest relating to more than 5% of the class of subject securities.</w:t>
      </w:r>
    </w:p>
    <w:p>
      <w:pPr>
        <w:spacing w:after="0" w:line="209"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8"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The parent holding company has filed this schedule pursuant to Rule 13d-1(b)(1)(ii)(g) and each relevant subsidiary hereby consents to the filing of this statement on its behalf by the parent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Marshall &amp; Ilsley Trust Company</w:t>
      </w:r>
    </w:p>
    <w:p>
      <w:pPr>
        <w:spacing w:after="0" w:line="238" w:lineRule="auto"/>
        <w:rPr>
          <w:sz w:val="20"/>
          <w:szCs w:val="20"/>
          <w:color w:val="auto"/>
        </w:rPr>
      </w:pPr>
      <w:r>
        <w:rPr>
          <w:rFonts w:ascii="Courier New" w:cs="Courier New" w:eastAsia="Courier New" w:hAnsi="Courier New"/>
          <w:sz w:val="18"/>
          <w:szCs w:val="18"/>
          <w:color w:val="auto"/>
        </w:rPr>
        <w:t>a Wisconsin banking corporation</w:t>
      </w:r>
    </w:p>
    <w:p>
      <w:pPr>
        <w:spacing w:after="0"/>
        <w:rPr>
          <w:sz w:val="20"/>
          <w:szCs w:val="20"/>
          <w:color w:val="auto"/>
        </w:rPr>
      </w:pPr>
      <w:r>
        <w:rPr>
          <w:rFonts w:ascii="Courier New" w:cs="Courier New" w:eastAsia="Courier New" w:hAnsi="Courier New"/>
          <w:sz w:val="18"/>
          <w:szCs w:val="18"/>
          <w:color w:val="auto"/>
        </w:rPr>
        <w:t>Tax Identification No. 39-1186267</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M&amp;I Marshall &amp; Ilsley Trust Company of Arizona</w:t>
      </w:r>
    </w:p>
    <w:p>
      <w:pPr>
        <w:spacing w:after="0" w:line="238" w:lineRule="auto"/>
        <w:rPr>
          <w:sz w:val="20"/>
          <w:szCs w:val="20"/>
          <w:color w:val="auto"/>
        </w:rPr>
      </w:pPr>
      <w:r>
        <w:rPr>
          <w:rFonts w:ascii="Courier New" w:cs="Courier New" w:eastAsia="Courier New" w:hAnsi="Courier New"/>
          <w:sz w:val="18"/>
          <w:szCs w:val="18"/>
          <w:color w:val="auto"/>
        </w:rPr>
        <w:t>an Arizona trust company</w:t>
      </w:r>
    </w:p>
    <w:p>
      <w:pPr>
        <w:spacing w:after="0"/>
        <w:tabs>
          <w:tab w:leader="none" w:pos="2520" w:val="left"/>
        </w:tabs>
        <w:rPr>
          <w:sz w:val="20"/>
          <w:szCs w:val="20"/>
          <w:color w:val="auto"/>
        </w:rPr>
      </w:pPr>
      <w:r>
        <w:rPr>
          <w:rFonts w:ascii="Courier New" w:cs="Courier New" w:eastAsia="Courier New" w:hAnsi="Courier New"/>
          <w:sz w:val="18"/>
          <w:szCs w:val="18"/>
          <w:color w:val="auto"/>
        </w:rPr>
        <w:t>Tax Identification No.</w:t>
      </w:r>
      <w:r>
        <w:rPr>
          <w:sz w:val="20"/>
          <w:szCs w:val="20"/>
          <w:color w:val="auto"/>
        </w:rPr>
        <w:tab/>
      </w:r>
      <w:r>
        <w:rPr>
          <w:rFonts w:ascii="Courier New" w:cs="Courier New" w:eastAsia="Courier New" w:hAnsi="Courier New"/>
          <w:sz w:val="16"/>
          <w:szCs w:val="16"/>
          <w:color w:val="auto"/>
        </w:rPr>
        <w:t>86-0320597</w:t>
      </w:r>
    </w:p>
    <w:p>
      <w:pPr>
        <w:spacing w:after="0" w:line="20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514" w:right="1440" w:bottom="1440" w:gutter="0" w:footer="0" w:header="0"/>
        </w:sectPr>
      </w:pPr>
    </w:p>
    <w:bookmarkStart w:id="4" w:name="page5"/>
    <w:bookmarkEnd w:id="4"/>
    <w:p>
      <w:pPr>
        <w:spacing w:after="0"/>
        <w:tabs>
          <w:tab w:leader="none" w:pos="3680" w:val="left"/>
          <w:tab w:leader="none" w:pos="6100" w:val="left"/>
        </w:tabs>
        <w:rPr>
          <w:sz w:val="20"/>
          <w:szCs w:val="20"/>
          <w:color w:val="auto"/>
        </w:rPr>
      </w:pPr>
      <w:r>
        <w:rPr>
          <w:rFonts w:ascii="Courier New" w:cs="Courier New" w:eastAsia="Courier New" w:hAnsi="Courier New"/>
          <w:sz w:val="18"/>
          <w:szCs w:val="18"/>
          <w:color w:val="auto"/>
        </w:rPr>
        <w:t>CUSIP No. 012348108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5 of 5</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The following certification shall be included if the statement is filed pursuant to Rule 13d-1 (b):</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64"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13, 1998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 /s/ M.A. Hatfield</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6"/>
          <w:szCs w:val="16"/>
          <w:color w:val="auto"/>
        </w:rPr>
        <w:t>M. A. Hatfield, Senior Vice President &amp; Secretary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(13G-ALBANY)</w:t>
      </w:r>
    </w:p>
    <w:sectPr>
      <w:pgSz w:w="11900" w:h="16838" w:orient="portrait"/>
      <w:cols w:equalWidth="0" w:num="1">
        <w:col w:w="10219"/>
      </w:cols>
      <w:pgMar w:left="240" w:top="5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1"/>
    </w:lvl>
    <w:lvl w:ilvl="1">
      <w:lvlJc w:val="left"/>
      <w:lvlText w:val="%2)"/>
      <w:numFmt w:val="decimal"/>
      <w:start w:val="8"/>
    </w:lvl>
  </w:abstractNum>
  <w:abstractNum w:abstractNumId="3">
    <w:nsid w:val="507ED7AB"/>
    <w:multiLevelType w:val="hybridMultilevel"/>
    <w:lvl w:ilvl="0">
      <w:lvlJc w:val="left"/>
      <w:lvlText w:val="%1)"/>
      <w:numFmt w:val="decimal"/>
      <w:start w:val="9"/>
    </w:lvl>
    <w:lvl w:ilvl="1">
      <w:lvlJc w:val="left"/>
      <w:lvlText w:val="%2"/>
      <w:numFmt w:val="decimal"/>
      <w:start w:val="1"/>
    </w:lvl>
  </w:abstractNum>
  <w:abstractNum w:abstractNumId="4">
    <w:nsid w:val="2EB141F2"/>
    <w:multiLevelType w:val="hybridMultilevel"/>
    <w:lvl w:ilvl="0">
      <w:lvlJc w:val="left"/>
      <w:lvlText w:val="%1)"/>
      <w:numFmt w:val="decimal"/>
      <w:start w:val="1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2019-12-19T21:04:54Z</dcterms:created>
  <dcterms:modified xsi:type="dcterms:W3CDTF">2019-12-19T21:04:54Z</dcterms:modified>
</cp:coreProperties>
</file>