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Albany International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012348 10 8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012348 10 8</w:t>
      </w:r>
    </w:p>
    <w:p>
      <w:pPr>
        <w:spacing w:after="0" w:line="200" w:lineRule="exact"/>
        <w:rPr>
          <w:sz w:val="24"/>
          <w:szCs w:val="24"/>
          <w:color w:val="auto"/>
        </w:rPr>
      </w:pPr>
    </w:p>
    <w:p>
      <w:pPr>
        <w:spacing w:after="0" w:line="204" w:lineRule="exact"/>
        <w:rPr>
          <w:sz w:val="24"/>
          <w:szCs w:val="24"/>
          <w:color w:val="auto"/>
        </w:rPr>
      </w:pPr>
    </w:p>
    <w:p>
      <w:pPr>
        <w:ind w:left="1060" w:hanging="1052"/>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680" w:type="dxa"/>
            <w:vAlign w:val="bottom"/>
          </w:tcPr>
          <w:p>
            <w:pPr>
              <w:ind w:left="640"/>
              <w:spacing w:after="0"/>
              <w:rPr>
                <w:sz w:val="20"/>
                <w:szCs w:val="20"/>
                <w:color w:val="auto"/>
              </w:rPr>
            </w:pPr>
            <w:r>
              <w:rPr>
                <w:rFonts w:ascii="Courier New" w:cs="Courier New" w:eastAsia="Courier New" w:hAnsi="Courier New"/>
                <w:sz w:val="18"/>
                <w:szCs w:val="18"/>
                <w:color w:val="auto"/>
                <w:w w:val="98"/>
              </w:rPr>
              <w:t>Norwest Corporation</w:t>
            </w:r>
          </w:p>
        </w:tc>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1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Tax Identification No.</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41-0449260</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6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2)</w:t>
            </w:r>
          </w:p>
        </w:tc>
        <w:tc>
          <w:tcPr>
            <w:tcW w:w="2680" w:type="dxa"/>
            <w:vAlign w:val="bottom"/>
          </w:tcPr>
          <w:p>
            <w:pPr>
              <w:ind w:left="420"/>
              <w:spacing w:after="0"/>
              <w:rPr>
                <w:sz w:val="20"/>
                <w:szCs w:val="20"/>
                <w:color w:val="auto"/>
              </w:rPr>
            </w:pPr>
            <w:r>
              <w:rPr>
                <w:rFonts w:ascii="Courier New" w:cs="Courier New" w:eastAsia="Courier New" w:hAnsi="Courier New"/>
                <w:sz w:val="18"/>
                <w:szCs w:val="18"/>
                <w:color w:val="auto"/>
                <w:w w:val="98"/>
              </w:rPr>
              <w:t>CHECK THE APPROPRIATE</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BOX</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060" w:hanging="1052"/>
        <w:spacing w:after="0" w:line="238"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Delaware</w:t>
            </w:r>
          </w:p>
        </w:tc>
        <w:tc>
          <w:tcPr>
            <w:tcW w:w="262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1,224,300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1,190,600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35,000</w:t>
            </w:r>
          </w:p>
        </w:tc>
      </w:tr>
    </w:tbl>
    <w:p>
      <w:pPr>
        <w:spacing w:after="0" w:line="207" w:lineRule="exact"/>
        <w:rPr>
          <w:sz w:val="24"/>
          <w:szCs w:val="24"/>
          <w:color w:val="auto"/>
        </w:rPr>
      </w:pPr>
    </w:p>
    <w:p>
      <w:pPr>
        <w:ind w:left="1380" w:right="2739" w:hanging="1372"/>
        <w:spacing w:after="0" w:line="235" w:lineRule="auto"/>
        <w:tabs>
          <w:tab w:leader="none" w:pos="11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1,226,700</w:t>
      </w:r>
    </w:p>
    <w:p>
      <w:pPr>
        <w:spacing w:after="0" w:line="208" w:lineRule="exact"/>
        <w:rPr>
          <w:rFonts w:ascii="Courier New" w:cs="Courier New" w:eastAsia="Courier New" w:hAnsi="Courier New"/>
          <w:sz w:val="18"/>
          <w:szCs w:val="18"/>
          <w:color w:val="auto"/>
        </w:rPr>
      </w:pPr>
    </w:p>
    <w:p>
      <w:pPr>
        <w:ind w:left="1160" w:right="3039" w:hanging="1152"/>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2" w:lineRule="exact"/>
        <w:rPr>
          <w:rFonts w:ascii="Courier New" w:cs="Courier New" w:eastAsia="Courier New" w:hAnsi="Courier New"/>
          <w:sz w:val="18"/>
          <w:szCs w:val="18"/>
          <w:color w:val="auto"/>
        </w:rPr>
      </w:pPr>
    </w:p>
    <w:p>
      <w:pPr>
        <w:ind w:left="1160" w:hanging="1152"/>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380"/>
        <w:spacing w:after="0" w:line="238" w:lineRule="auto"/>
        <w:rPr>
          <w:sz w:val="20"/>
          <w:szCs w:val="20"/>
          <w:color w:val="auto"/>
        </w:rPr>
      </w:pPr>
      <w:r>
        <w:rPr>
          <w:rFonts w:ascii="Courier New" w:cs="Courier New" w:eastAsia="Courier New" w:hAnsi="Courier New"/>
          <w:sz w:val="18"/>
          <w:szCs w:val="18"/>
          <w:color w:val="auto"/>
        </w:rPr>
        <w:t>Less than 5%</w:t>
      </w:r>
    </w:p>
    <w:p>
      <w:pPr>
        <w:sectPr>
          <w:pgSz w:w="11900" w:h="16838" w:orient="portrait"/>
          <w:cols w:equalWidth="0" w:num="1">
            <w:col w:w="10219"/>
          </w:cols>
          <w:pgMar w:left="240" w:top="1440" w:right="1440" w:bottom="0" w:gutter="0" w:footer="0" w:header="0"/>
        </w:sectPr>
      </w:pPr>
    </w:p>
    <w:bookmarkStart w:id="1" w:name="page2"/>
    <w:bookmarkEnd w:id="1"/>
    <w:p>
      <w:pPr>
        <w:ind w:left="1380" w:right="6419" w:hanging="1372"/>
        <w:spacing w:after="0" w:line="470" w:lineRule="auto"/>
        <w:tabs>
          <w:tab w:leader="none" w:pos="11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012348 10 8</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3000" w:type="dxa"/>
            <w:vAlign w:val="bottom"/>
          </w:tcPr>
          <w:p>
            <w:pPr>
              <w:ind w:left="640"/>
              <w:spacing w:after="0"/>
              <w:rPr>
                <w:sz w:val="20"/>
                <w:szCs w:val="20"/>
                <w:color w:val="auto"/>
              </w:rPr>
            </w:pPr>
            <w:r>
              <w:rPr>
                <w:rFonts w:ascii="Courier New" w:cs="Courier New" w:eastAsia="Courier New" w:hAnsi="Courier New"/>
                <w:sz w:val="18"/>
                <w:szCs w:val="18"/>
                <w:color w:val="auto"/>
                <w:w w:val="98"/>
              </w:rPr>
              <w:t>Norwest Bank Colorado,</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National Association</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Tax Identification No.</w:t>
            </w:r>
          </w:p>
        </w:tc>
        <w:tc>
          <w:tcPr>
            <w:tcW w:w="100" w:type="dxa"/>
            <w:vAlign w:val="bottom"/>
          </w:tcPr>
          <w:p>
            <w:pPr>
              <w:spacing w:after="0"/>
              <w:rPr>
                <w:sz w:val="17"/>
                <w:szCs w:val="17"/>
                <w:color w:val="auto"/>
              </w:rPr>
            </w:pP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84-0187632</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6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2)</w:t>
            </w:r>
          </w:p>
        </w:tc>
        <w:tc>
          <w:tcPr>
            <w:tcW w:w="31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CHECK THE APPROPRIATE BOX</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060" w:hanging="1052"/>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1280" w:right="5359" w:hanging="1272"/>
        <w:spacing w:after="0" w:line="536" w:lineRule="auto"/>
        <w:tabs>
          <w:tab w:leader="none" w:pos="10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199"/>
        </w:trPr>
        <w:tc>
          <w:tcPr>
            <w:tcW w:w="1640" w:type="dxa"/>
            <w:vAlign w:val="bottom"/>
          </w:tcPr>
          <w:p>
            <w:pPr>
              <w:spacing w:after="0" w:line="199"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32"/>
              <w:spacing w:after="0" w:line="199" w:lineRule="exact"/>
              <w:rPr>
                <w:sz w:val="20"/>
                <w:szCs w:val="20"/>
                <w:color w:val="auto"/>
              </w:rPr>
            </w:pPr>
            <w:r>
              <w:rPr>
                <w:rFonts w:ascii="Courier New" w:cs="Courier New" w:eastAsia="Courier New" w:hAnsi="Courier New"/>
                <w:sz w:val="18"/>
                <w:szCs w:val="18"/>
                <w:color w:val="auto"/>
              </w:rPr>
              <w:t>(5)</w:t>
            </w:r>
          </w:p>
        </w:tc>
        <w:tc>
          <w:tcPr>
            <w:tcW w:w="2620" w:type="dxa"/>
            <w:vAlign w:val="bottom"/>
          </w:tcPr>
          <w:p>
            <w:pPr>
              <w:ind w:left="10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1,219,000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0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1,185,300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0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35,000</w:t>
            </w:r>
          </w:p>
        </w:tc>
      </w:tr>
    </w:tbl>
    <w:p>
      <w:pPr>
        <w:spacing w:after="0" w:line="207" w:lineRule="exact"/>
        <w:rPr>
          <w:sz w:val="20"/>
          <w:szCs w:val="20"/>
          <w:color w:val="auto"/>
        </w:rPr>
      </w:pPr>
    </w:p>
    <w:p>
      <w:pPr>
        <w:ind w:left="1380" w:right="2739" w:hanging="1372"/>
        <w:spacing w:after="0" w:line="235" w:lineRule="auto"/>
        <w:tabs>
          <w:tab w:leader="none" w:pos="11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1,221,400</w:t>
      </w:r>
    </w:p>
    <w:p>
      <w:pPr>
        <w:spacing w:after="0" w:line="208" w:lineRule="exact"/>
        <w:rPr>
          <w:rFonts w:ascii="Courier New" w:cs="Courier New" w:eastAsia="Courier New" w:hAnsi="Courier New"/>
          <w:sz w:val="18"/>
          <w:szCs w:val="18"/>
          <w:color w:val="auto"/>
        </w:rPr>
      </w:pPr>
    </w:p>
    <w:p>
      <w:pPr>
        <w:ind w:left="1160" w:right="3039" w:hanging="1152"/>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2" w:lineRule="exact"/>
        <w:rPr>
          <w:rFonts w:ascii="Courier New" w:cs="Courier New" w:eastAsia="Courier New" w:hAnsi="Courier New"/>
          <w:sz w:val="18"/>
          <w:szCs w:val="18"/>
          <w:color w:val="auto"/>
        </w:rPr>
      </w:pPr>
    </w:p>
    <w:p>
      <w:pPr>
        <w:ind w:left="1160" w:hanging="1152"/>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380"/>
        <w:spacing w:after="0" w:line="238" w:lineRule="auto"/>
        <w:rPr>
          <w:sz w:val="20"/>
          <w:szCs w:val="20"/>
          <w:color w:val="auto"/>
        </w:rPr>
      </w:pPr>
      <w:r>
        <w:rPr>
          <w:rFonts w:ascii="Courier New" w:cs="Courier New" w:eastAsia="Courier New" w:hAnsi="Courier New"/>
          <w:sz w:val="18"/>
          <w:szCs w:val="18"/>
          <w:color w:val="auto"/>
        </w:rPr>
        <w:t>Less than 5%</w:t>
      </w:r>
    </w:p>
    <w:p>
      <w:pPr>
        <w:spacing w:after="0" w:line="207" w:lineRule="exact"/>
        <w:rPr>
          <w:sz w:val="20"/>
          <w:szCs w:val="20"/>
          <w:color w:val="auto"/>
        </w:rPr>
      </w:pPr>
    </w:p>
    <w:p>
      <w:pPr>
        <w:ind w:left="1380" w:right="6419" w:hanging="1372"/>
        <w:spacing w:after="0" w:line="470" w:lineRule="auto"/>
        <w:tabs>
          <w:tab w:leader="none" w:pos="11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0"/>
          <w:szCs w:val="20"/>
          <w:color w:val="auto"/>
        </w:rPr>
      </w:pP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DISCLAIMER: Information in this Schedule 13G is provided solely for the purpose of complying with Sections 13(d) and 13(g) of the Act and regulations promulgated thereunder, and is not to be construed as an admission that Norwest Corporation or any of its subsidiaries is the beneficial owner of the securities covered by this Schedule 13G for any purpose whatsoever.</w:t>
      </w: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Albany International Corporation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1373 Broadway</w:t>
      </w:r>
    </w:p>
    <w:p>
      <w:pPr>
        <w:ind w:left="1160"/>
        <w:spacing w:after="0"/>
        <w:tabs>
          <w:tab w:leader="none" w:pos="2420" w:val="left"/>
        </w:tabs>
        <w:rPr>
          <w:sz w:val="20"/>
          <w:szCs w:val="20"/>
          <w:color w:val="auto"/>
        </w:rPr>
      </w:pPr>
      <w:r>
        <w:rPr>
          <w:rFonts w:ascii="Courier New" w:cs="Courier New" w:eastAsia="Courier New" w:hAnsi="Courier New"/>
          <w:sz w:val="18"/>
          <w:szCs w:val="18"/>
          <w:color w:val="auto"/>
        </w:rPr>
        <w:t>Albany, NY</w:t>
      </w:r>
      <w:r>
        <w:rPr>
          <w:sz w:val="20"/>
          <w:szCs w:val="20"/>
          <w:color w:val="auto"/>
        </w:rPr>
        <w:tab/>
      </w:r>
      <w:r>
        <w:rPr>
          <w:rFonts w:ascii="Courier New" w:cs="Courier New" w:eastAsia="Courier New" w:hAnsi="Courier New"/>
          <w:sz w:val="16"/>
          <w:szCs w:val="16"/>
          <w:color w:val="auto"/>
        </w:rPr>
        <w:t>12204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580" w:hanging="413"/>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Corporation</w:t>
      </w:r>
    </w:p>
    <w:p>
      <w:pPr>
        <w:ind w:left="1580" w:hanging="413"/>
        <w:spacing w:after="0" w:line="238"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Bank Colorado, Inc.  (NBC)</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580" w:right="5779" w:hanging="413"/>
        <w:spacing w:after="0" w:line="237"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Corporation Norwest Center Sixth and Marquette Minneapolis, MN 55479-1026</w:t>
      </w:r>
    </w:p>
    <w:p>
      <w:pPr>
        <w:sectPr>
          <w:pgSz w:w="11900" w:h="16838" w:orient="portrait"/>
          <w:cols w:equalWidth="0" w:num="1">
            <w:col w:w="10219"/>
          </w:cols>
          <w:pgMar w:left="240" w:top="142" w:right="1440" w:bottom="0" w:gutter="0" w:footer="0" w:header="0"/>
        </w:sectPr>
      </w:pPr>
    </w:p>
    <w:bookmarkStart w:id="2" w:name="page3"/>
    <w:bookmarkEnd w:id="2"/>
    <w:p>
      <w:pPr>
        <w:ind w:left="1580" w:right="4099" w:hanging="413"/>
        <w:spacing w:after="0" w:line="235"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Bank Colorado, National Association 1740 Broadway</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  80274-8677</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580" w:hanging="413"/>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Corporation:  Delaware</w:t>
      </w:r>
    </w:p>
    <w:p>
      <w:pPr>
        <w:ind w:left="1580" w:hanging="413"/>
        <w:spacing w:after="0" w:line="238"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NBC:  United States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012348 10 8</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is a:</w:t>
      </w:r>
    </w:p>
    <w:p>
      <w:pPr>
        <w:spacing w:after="0" w:line="207" w:lineRule="exact"/>
        <w:rPr>
          <w:sz w:val="20"/>
          <w:szCs w:val="20"/>
          <w:color w:val="auto"/>
        </w:rPr>
      </w:pPr>
    </w:p>
    <w:p>
      <w:pPr>
        <w:ind w:left="1580" w:right="3679" w:hanging="413"/>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Corporation: Parent Holding Company in accordance with 240.13d-1(b)(1)(ii)(G)</w:t>
      </w:r>
    </w:p>
    <w:p>
      <w:pPr>
        <w:spacing w:after="0" w:line="1" w:lineRule="exact"/>
        <w:rPr>
          <w:rFonts w:ascii="Courier New" w:cs="Courier New" w:eastAsia="Courier New" w:hAnsi="Courier New"/>
          <w:sz w:val="18"/>
          <w:szCs w:val="18"/>
          <w:color w:val="auto"/>
        </w:rPr>
      </w:pPr>
    </w:p>
    <w:p>
      <w:pPr>
        <w:ind w:left="1580" w:hanging="413"/>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NBC:  Bank as defined in Section 3(a)(6) of the Act</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700" w:right="2839" w:hanging="533"/>
        <w:spacing w:after="0" w:line="236"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1,226,700 shares (includes 1,221,400 shares deemed to be beneficially owned by NBC)</w:t>
      </w:r>
    </w:p>
    <w:p>
      <w:pPr>
        <w:spacing w:after="0" w:line="203"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Less than 5%</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direct the vote:  1,224,300</w:t>
      </w:r>
    </w:p>
    <w:p>
      <w:pPr>
        <w:spacing w:after="0" w:line="218" w:lineRule="exact"/>
        <w:rPr>
          <w:rFonts w:ascii="Courier New" w:cs="Courier New" w:eastAsia="Courier New" w:hAnsi="Courier New"/>
          <w:sz w:val="16"/>
          <w:szCs w:val="16"/>
          <w:color w:val="auto"/>
        </w:rPr>
      </w:pPr>
    </w:p>
    <w:p>
      <w:pPr>
        <w:ind w:left="2320" w:hanging="732"/>
        <w:spacing w:after="0"/>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206" w:lineRule="exact"/>
        <w:rPr>
          <w:rFonts w:ascii="Courier New" w:cs="Courier New" w:eastAsia="Courier New" w:hAnsi="Courier New"/>
          <w:sz w:val="18"/>
          <w:szCs w:val="18"/>
          <w:color w:val="auto"/>
        </w:rPr>
      </w:pPr>
    </w:p>
    <w:p>
      <w:pPr>
        <w:ind w:left="2320" w:right="3899" w:hanging="732"/>
        <w:spacing w:after="0" w:line="235" w:lineRule="auto"/>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1,190,600</w:t>
      </w:r>
    </w:p>
    <w:p>
      <w:pPr>
        <w:spacing w:after="0" w:line="208" w:lineRule="exact"/>
        <w:rPr>
          <w:rFonts w:ascii="Courier New" w:cs="Courier New" w:eastAsia="Courier New" w:hAnsi="Courier New"/>
          <w:sz w:val="18"/>
          <w:szCs w:val="18"/>
          <w:color w:val="auto"/>
        </w:rPr>
      </w:pPr>
    </w:p>
    <w:p>
      <w:pPr>
        <w:ind w:left="2320" w:right="2739" w:hanging="732"/>
        <w:spacing w:after="0" w:line="235" w:lineRule="auto"/>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35,000</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1160" w:right="28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persons have ceased to be beneficial owners of more than five percent of the class of securities, check the following [X].</w:t>
      </w:r>
    </w:p>
    <w:p>
      <w:pPr>
        <w:spacing w:after="0" w:line="207" w:lineRule="exact"/>
        <w:rPr>
          <w:sz w:val="20"/>
          <w:szCs w:val="20"/>
          <w:color w:val="auto"/>
        </w:rPr>
      </w:pPr>
    </w:p>
    <w:p>
      <w:pPr>
        <w:ind w:left="1160" w:right="315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160" w:right="2839"/>
        <w:spacing w:after="0" w:line="237" w:lineRule="auto"/>
        <w:rPr>
          <w:sz w:val="20"/>
          <w:szCs w:val="20"/>
          <w:color w:val="auto"/>
        </w:rPr>
      </w:pPr>
      <w:r>
        <w:rPr>
          <w:rFonts w:ascii="Courier New" w:cs="Courier New" w:eastAsia="Courier New" w:hAnsi="Courier New"/>
          <w:sz w:val="18"/>
          <w:szCs w:val="18"/>
          <w:color w:val="auto"/>
        </w:rPr>
        <w:t>Persons other than Norwest Corporation and its subsidiaries have the right to receive, or the power to direct the receipt of, dividends from, or the proceeds from the sale of, such securities. To the knowledge of Norwest Corporation, no interest of any such person represents more than 5% of the class.</w:t>
      </w:r>
    </w:p>
    <w:p>
      <w:pPr>
        <w:spacing w:after="0" w:line="210" w:lineRule="exact"/>
        <w:rPr>
          <w:sz w:val="20"/>
          <w:szCs w:val="20"/>
          <w:color w:val="auto"/>
        </w:rPr>
      </w:pPr>
    </w:p>
    <w:p>
      <w:pPr>
        <w:ind w:left="1160" w:right="303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Attachment A.</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2839"/>
        <w:spacing w:after="0" w:line="279"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w:t>
      </w:r>
    </w:p>
    <w:p>
      <w:pPr>
        <w:sectPr>
          <w:pgSz w:w="11900" w:h="16838" w:orient="portrait"/>
          <w:cols w:equalWidth="0" w:num="1">
            <w:col w:w="10219"/>
          </w:cols>
          <w:pgMar w:left="240" w:top="142" w:right="1440" w:bottom="0" w:gutter="0" w:footer="0" w:header="0"/>
        </w:sectPr>
      </w:pPr>
    </w:p>
    <w:bookmarkStart w:id="3" w:name="page4"/>
    <w:bookmarkEnd w:id="3"/>
    <w:p>
      <w:pPr>
        <w:ind w:left="1160" w:right="2839"/>
        <w:spacing w:after="0" w:line="237" w:lineRule="auto"/>
        <w:rPr>
          <w:sz w:val="20"/>
          <w:szCs w:val="20"/>
          <w:color w:val="auto"/>
        </w:rPr>
      </w:pPr>
      <w:r>
        <w:rPr>
          <w:rFonts w:ascii="Courier New" w:cs="Courier New" w:eastAsia="Courier New" w:hAnsi="Courier New"/>
          <w:sz w:val="18"/>
          <w:szCs w:val="18"/>
          <w:color w:val="auto"/>
        </w:rPr>
        <w:t>acquired for the purpose of and do not have the effect 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9,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Laurel A. Holschuh</w:t>
      </w:r>
    </w:p>
    <w:p>
      <w:pPr>
        <w:ind w:left="960"/>
        <w:spacing w:after="0" w:line="238" w:lineRule="auto"/>
        <w:rPr>
          <w:sz w:val="20"/>
          <w:szCs w:val="20"/>
          <w:color w:val="auto"/>
        </w:rPr>
      </w:pPr>
      <w:r>
        <w:rPr>
          <w:rFonts w:ascii="Courier New" w:cs="Courier New" w:eastAsia="Courier New" w:hAnsi="Courier New"/>
          <w:sz w:val="18"/>
          <w:szCs w:val="18"/>
          <w:color w:val="auto"/>
        </w:rPr>
        <w:t>Laurel A. Holschuh, Senior Vice President</w:t>
      </w:r>
    </w:p>
    <w:p>
      <w:pPr>
        <w:ind w:left="106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A</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Schedule 13G to which this attachment is appended is filed on behalf of the subsidiaries listed below, all of which are classified for purposes of Regulation 13d-1(b)(1)(ii)(B) as banks.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Bank Colorado,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Bank Minnesota, National Association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3"/>
    </w:lvl>
  </w:abstractNum>
  <w:abstractNum w:abstractNumId="2">
    <w:nsid w:val="515F007C"/>
    <w:multiLevelType w:val="hybridMultilevel"/>
    <w:lvl w:ilvl="0">
      <w:lvlJc w:val="left"/>
      <w:lvlText w:val="%1)"/>
      <w:numFmt w:val="decimal"/>
      <w:start w:val="9"/>
    </w:lvl>
  </w:abstractNum>
  <w:abstractNum w:abstractNumId="3">
    <w:nsid w:val="5BD062C2"/>
    <w:multiLevelType w:val="hybridMultilevel"/>
    <w:lvl w:ilvl="0">
      <w:lvlJc w:val="left"/>
      <w:lvlText w:val="%1)"/>
      <w:numFmt w:val="decimal"/>
      <w:start w:val="1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2"/>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2019-12-19T20:43:10Z</dcterms:created>
  <dcterms:modified xsi:type="dcterms:W3CDTF">2019-12-19T20:43:10Z</dcterms:modified>
</cp:coreProperties>
</file>