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left="4000" w:right="1000" w:hanging="2992"/>
        <w:spacing w:after="0" w:line="261" w:lineRule="auto"/>
        <w:tabs>
          <w:tab w:leader="none" w:pos="12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2013</w:t>
      </w:r>
    </w:p>
    <w:p>
      <w:pPr>
        <w:spacing w:after="0" w:line="180" w:lineRule="exact"/>
        <w:rPr>
          <w:sz w:val="24"/>
          <w:szCs w:val="24"/>
          <w:color w:val="auto"/>
        </w:rPr>
      </w:pPr>
    </w:p>
    <w:p>
      <w:pPr>
        <w:jc w:val="center"/>
        <w:ind w:left="3600" w:right="1000" w:hanging="2594"/>
        <w:spacing w:after="0" w:line="261" w:lineRule="auto"/>
        <w:tabs>
          <w:tab w:leader="none" w:pos="114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ind w:left="448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9" w:lineRule="exact"/>
        <w:rPr>
          <w:rFonts w:ascii="Arial" w:cs="Arial" w:eastAsia="Arial" w:hAnsi="Arial"/>
          <w:sz w:val="18"/>
          <w:szCs w:val="18"/>
          <w:b w:val="1"/>
          <w:bCs w:val="1"/>
          <w:color w:val="auto"/>
        </w:rPr>
      </w:pPr>
    </w:p>
    <w:p>
      <w:pPr>
        <w:ind w:left="432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ALBANY INTERNATIONAL CORP.</w:t>
      </w:r>
    </w:p>
    <w:p>
      <w:pPr>
        <w:spacing w:after="0" w:line="9" w:lineRule="exact"/>
        <w:rPr>
          <w:rFonts w:ascii="Arial" w:cs="Arial" w:eastAsia="Arial" w:hAnsi="Arial"/>
          <w:sz w:val="18"/>
          <w:szCs w:val="18"/>
          <w:b w:val="1"/>
          <w:bCs w:val="1"/>
          <w:color w:val="auto"/>
        </w:rPr>
      </w:pPr>
    </w:p>
    <w:p>
      <w:pPr>
        <w:ind w:left="3860"/>
        <w:spacing w:after="0"/>
        <w:rPr>
          <w:rFonts w:ascii="Arial" w:cs="Arial" w:eastAsia="Arial" w:hAnsi="Arial"/>
          <w:sz w:val="18"/>
          <w:szCs w:val="18"/>
          <w:b w:val="1"/>
          <w:bCs w:val="1"/>
          <w:color w:val="auto"/>
        </w:rPr>
      </w:pPr>
      <w:r>
        <w:rPr>
          <w:rFonts w:ascii="Arial" w:cs="Arial" w:eastAsia="Arial" w:hAnsi="Arial"/>
          <w:sz w:val="18"/>
          <w:szCs w:val="18"/>
          <w:color w:val="auto"/>
        </w:rPr>
        <w:t>(Exact name of registrant as specified in its charter)</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jc w:val="center"/>
              <w:ind w:right="1340"/>
              <w:spacing w:after="0"/>
              <w:rPr>
                <w:sz w:val="20"/>
                <w:szCs w:val="20"/>
                <w:color w:val="auto"/>
              </w:rPr>
            </w:pPr>
            <w:r>
              <w:rPr>
                <w:rFonts w:ascii="Arial" w:cs="Arial" w:eastAsia="Arial" w:hAnsi="Arial"/>
                <w:sz w:val="18"/>
                <w:szCs w:val="18"/>
                <w:color w:val="auto"/>
                <w:w w:val="92"/>
              </w:rPr>
              <w:t>Delaware</w:t>
            </w:r>
          </w:p>
        </w:tc>
        <w:tc>
          <w:tcPr>
            <w:tcW w:w="4780" w:type="dxa"/>
            <w:vAlign w:val="bottom"/>
          </w:tcPr>
          <w:p>
            <w:pPr>
              <w:jc w:val="right"/>
              <w:ind w:right="1850"/>
              <w:spacing w:after="0"/>
              <w:rPr>
                <w:sz w:val="20"/>
                <w:szCs w:val="20"/>
                <w:color w:val="auto"/>
              </w:rPr>
            </w:pPr>
            <w:r>
              <w:rPr>
                <w:rFonts w:ascii="Arial" w:cs="Arial" w:eastAsia="Arial" w:hAnsi="Arial"/>
                <w:sz w:val="18"/>
                <w:szCs w:val="18"/>
                <w:color w:val="auto"/>
              </w:rPr>
              <w:t>14-0462060</w:t>
            </w:r>
          </w:p>
        </w:tc>
      </w:tr>
      <w:tr>
        <w:trPr>
          <w:trHeight w:val="195"/>
        </w:trPr>
        <w:tc>
          <w:tcPr>
            <w:tcW w:w="52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1380" w:type="dxa"/>
            <w:vAlign w:val="bottom"/>
          </w:tcPr>
          <w:p>
            <w:pPr>
              <w:spacing w:after="0"/>
              <w:rPr>
                <w:sz w:val="16"/>
                <w:szCs w:val="16"/>
                <w:color w:val="auto"/>
              </w:rPr>
            </w:pPr>
          </w:p>
        </w:tc>
        <w:tc>
          <w:tcPr>
            <w:tcW w:w="4780" w:type="dxa"/>
            <w:vAlign w:val="bottom"/>
            <w:tcBorders>
              <w:top w:val="single" w:sz="8" w:color="auto"/>
            </w:tcBorders>
          </w:tcPr>
          <w:p>
            <w:pPr>
              <w:ind w:left="116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6640" w:type="dxa"/>
            <w:vAlign w:val="bottom"/>
            <w:gridSpan w:val="2"/>
          </w:tcPr>
          <w:p>
            <w:pPr>
              <w:ind w:left="152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20"/>
                <w:szCs w:val="20"/>
                <w:color w:val="auto"/>
              </w:rPr>
            </w:pPr>
          </w:p>
        </w:tc>
      </w:tr>
      <w:tr>
        <w:trPr>
          <w:trHeight w:val="432"/>
        </w:trPr>
        <w:tc>
          <w:tcPr>
            <w:tcW w:w="6640" w:type="dxa"/>
            <w:vAlign w:val="bottom"/>
            <w:gridSpan w:val="2"/>
          </w:tcPr>
          <w:p>
            <w:pPr>
              <w:jc w:val="center"/>
              <w:ind w:right="1340"/>
              <w:spacing w:after="0"/>
              <w:rPr>
                <w:sz w:val="20"/>
                <w:szCs w:val="20"/>
                <w:color w:val="auto"/>
              </w:rPr>
            </w:pPr>
            <w:r>
              <w:rPr>
                <w:rFonts w:ascii="Arial" w:cs="Arial" w:eastAsia="Arial" w:hAnsi="Arial"/>
                <w:sz w:val="18"/>
                <w:szCs w:val="18"/>
                <w:color w:val="auto"/>
                <w:w w:val="92"/>
              </w:rPr>
              <w:t>216 Airport Drive, Rochester, New Hampshire</w:t>
            </w:r>
          </w:p>
        </w:tc>
        <w:tc>
          <w:tcPr>
            <w:tcW w:w="4780" w:type="dxa"/>
            <w:vAlign w:val="bottom"/>
          </w:tcPr>
          <w:p>
            <w:pPr>
              <w:jc w:val="right"/>
              <w:ind w:right="2070"/>
              <w:spacing w:after="0"/>
              <w:rPr>
                <w:sz w:val="20"/>
                <w:szCs w:val="20"/>
                <w:color w:val="auto"/>
              </w:rPr>
            </w:pPr>
            <w:r>
              <w:rPr>
                <w:rFonts w:ascii="Arial" w:cs="Arial" w:eastAsia="Arial" w:hAnsi="Arial"/>
                <w:sz w:val="18"/>
                <w:szCs w:val="18"/>
                <w:color w:val="auto"/>
              </w:rPr>
              <w:t>03867</w:t>
            </w:r>
          </w:p>
        </w:tc>
      </w:tr>
      <w:tr>
        <w:trPr>
          <w:trHeight w:val="224"/>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380" w:type="dxa"/>
            <w:vAlign w:val="bottom"/>
          </w:tcPr>
          <w:p>
            <w:pPr>
              <w:spacing w:after="0"/>
              <w:rPr>
                <w:sz w:val="19"/>
                <w:szCs w:val="19"/>
                <w:color w:val="auto"/>
              </w:rPr>
            </w:pPr>
          </w:p>
        </w:tc>
        <w:tc>
          <w:tcPr>
            <w:tcW w:w="4780" w:type="dxa"/>
            <w:vAlign w:val="bottom"/>
            <w:tcBorders>
              <w:top w:val="single" w:sz="8" w:color="auto"/>
            </w:tcBorders>
          </w:tcPr>
          <w:p>
            <w:pPr>
              <w:ind w:left="19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1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 ]</w:t>
            </w:r>
          </w:p>
        </w:tc>
        <w:tc>
          <w:tcPr>
            <w:tcW w:w="422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640"/>
              <w:spacing w:after="0"/>
              <w:rPr>
                <w:sz w:val="20"/>
                <w:szCs w:val="20"/>
                <w:color w:val="auto"/>
              </w:rPr>
            </w:pPr>
            <w:r>
              <w:rPr>
                <w:rFonts w:ascii="Arial" w:cs="Arial" w:eastAsia="Arial" w:hAnsi="Arial"/>
                <w:sz w:val="18"/>
                <w:szCs w:val="18"/>
                <w:color w:val="auto"/>
              </w:rPr>
              <w:t>[  ]</w:t>
            </w:r>
          </w:p>
        </w:tc>
        <w:tc>
          <w:tcPr>
            <w:tcW w:w="422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868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No [ √ ]</w:t>
            </w:r>
          </w:p>
        </w:tc>
      </w:tr>
    </w:tbl>
    <w:p>
      <w:pPr>
        <w:spacing w:after="0" w:line="94"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28.4 million shares of Class A Common Stock and 3.2 million shares of Class B Common Stock outstanding as of March 31, 2013.</w:t>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Page</w:t>
            </w:r>
          </w:p>
        </w:tc>
      </w:tr>
      <w:tr>
        <w:trPr>
          <w:trHeight w:val="203"/>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No.</w:t>
            </w:r>
          </w:p>
        </w:tc>
      </w:tr>
      <w:tr>
        <w:trPr>
          <w:trHeight w:val="412"/>
        </w:trPr>
        <w:tc>
          <w:tcPr>
            <w:tcW w:w="1074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1028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680" w:type="dxa"/>
            <w:vAlign w:val="bottom"/>
          </w:tcPr>
          <w:p>
            <w:pPr>
              <w:spacing w:after="0"/>
              <w:rPr>
                <w:sz w:val="24"/>
                <w:szCs w:val="24"/>
                <w:color w:val="auto"/>
              </w:rPr>
            </w:pPr>
          </w:p>
        </w:tc>
      </w:tr>
      <w:tr>
        <w:trPr>
          <w:trHeight w:val="176"/>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80" w:type="dxa"/>
            <w:vAlign w:val="bottom"/>
            <w:tcBorders>
              <w:bottom w:val="single" w:sz="8" w:color="0000EE"/>
            </w:tcBorders>
            <w:gridSpan w:val="12"/>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statements of income– three months ended March 31, 2013 and 2012</w:t>
              </w:r>
            </w:hyperlink>
          </w:p>
        </w:tc>
        <w:tc>
          <w:tcPr>
            <w:tcW w:w="3460" w:type="dxa"/>
            <w:vAlign w:val="bottom"/>
            <w:gridSpan w:val="4"/>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three months ended March 31, 2013 and 2012</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 March 31, 2013 and December 31, 2012</w:t>
              </w:r>
            </w:hyperlink>
          </w:p>
        </w:tc>
        <w:tc>
          <w:tcPr>
            <w:tcW w:w="220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40" w:type="dxa"/>
            <w:vAlign w:val="bottom"/>
            <w:gridSpan w:val="16"/>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March 31, 2013 and 2012</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3600" w:type="dxa"/>
            <w:vAlign w:val="bottom"/>
            <w:tcBorders>
              <w:top w:val="single" w:sz="8" w:color="0000EE"/>
            </w:tcBorders>
            <w:gridSpan w:val="5"/>
          </w:tcPr>
          <w:p>
            <w:pPr>
              <w:spacing w:after="0"/>
              <w:rPr>
                <w:sz w:val="15"/>
                <w:szCs w:val="15"/>
                <w:color w:val="auto"/>
              </w:rPr>
            </w:pPr>
          </w:p>
        </w:tc>
        <w:tc>
          <w:tcPr>
            <w:tcW w:w="3160" w:type="dxa"/>
            <w:vAlign w:val="bottom"/>
            <w:gridSpan w:val="3"/>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460" w:type="dxa"/>
            <w:vAlign w:val="bottom"/>
          </w:tcPr>
          <w:p>
            <w:pPr>
              <w:spacing w:after="0"/>
              <w:rPr>
                <w:sz w:val="15"/>
                <w:szCs w:val="15"/>
                <w:color w:val="auto"/>
              </w:rPr>
            </w:pPr>
          </w:p>
        </w:tc>
        <w:tc>
          <w:tcPr>
            <w:tcW w:w="22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Forward-looking statements</w:t>
              </w:r>
            </w:hyperlink>
          </w:p>
        </w:tc>
        <w:tc>
          <w:tcPr>
            <w:tcW w:w="8060" w:type="dxa"/>
            <w:vAlign w:val="bottom"/>
            <w:gridSpan w:val="1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460" w:type="dxa"/>
            <w:vAlign w:val="bottom"/>
          </w:tcPr>
          <w:p>
            <w:pPr>
              <w:spacing w:after="0"/>
              <w:rPr>
                <w:sz w:val="15"/>
                <w:szCs w:val="15"/>
                <w:color w:val="auto"/>
              </w:rPr>
            </w:pPr>
          </w:p>
        </w:tc>
        <w:tc>
          <w:tcPr>
            <w:tcW w:w="7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Item 2. Management’s Discussion and Analysis of Financial Condition and Results of Operations</w:t>
              </w:r>
            </w:hyperlink>
          </w:p>
        </w:tc>
        <w:tc>
          <w:tcPr>
            <w:tcW w:w="260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183"/>
        </w:trPr>
        <w:tc>
          <w:tcPr>
            <w:tcW w:w="460" w:type="dxa"/>
            <w:vAlign w:val="bottom"/>
          </w:tcPr>
          <w:p>
            <w:pPr>
              <w:spacing w:after="0"/>
              <w:rPr>
                <w:sz w:val="15"/>
                <w:szCs w:val="15"/>
                <w:color w:val="auto"/>
              </w:rPr>
            </w:pPr>
          </w:p>
        </w:tc>
        <w:tc>
          <w:tcPr>
            <w:tcW w:w="52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Item 4. Controls and Procedures</w:t>
              </w:r>
            </w:hyperlink>
          </w:p>
        </w:tc>
        <w:tc>
          <w:tcPr>
            <w:tcW w:w="5000" w:type="dxa"/>
            <w:vAlign w:val="bottom"/>
            <w:gridSpan w:val="7"/>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480" w:type="dxa"/>
            <w:vAlign w:val="bottom"/>
            <w:gridSpan w:val="2"/>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26"/>
        </w:trPr>
        <w:tc>
          <w:tcPr>
            <w:tcW w:w="10740" w:type="dxa"/>
            <w:vAlign w:val="bottom"/>
            <w:gridSpan w:val="19"/>
          </w:tcPr>
          <w:p>
            <w:pPr>
              <w:ind w:left="100"/>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24"/>
                <w:szCs w:val="24"/>
                <w:color w:val="auto"/>
              </w:rPr>
            </w:pPr>
          </w:p>
        </w:tc>
      </w:tr>
      <w:tr>
        <w:trPr>
          <w:trHeight w:val="365"/>
        </w:trPr>
        <w:tc>
          <w:tcPr>
            <w:tcW w:w="46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 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83"/>
        </w:trPr>
        <w:tc>
          <w:tcPr>
            <w:tcW w:w="4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5"/>
                <w:szCs w:val="15"/>
                <w:color w:val="auto"/>
              </w:rPr>
            </w:pPr>
          </w:p>
        </w:tc>
        <w:tc>
          <w:tcPr>
            <w:tcW w:w="8200" w:type="dxa"/>
            <w:vAlign w:val="bottom"/>
            <w:gridSpan w:val="1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2. Unregistered Sales of Equity Securities and Use of Proceeds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46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5"/>
                <w:szCs w:val="15"/>
                <w:color w:val="auto"/>
              </w:rPr>
            </w:pPr>
          </w:p>
        </w:tc>
        <w:tc>
          <w:tcPr>
            <w:tcW w:w="4840" w:type="dxa"/>
            <w:vAlign w:val="bottom"/>
            <w:gridSpan w:val="6"/>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Item 4. Mine Safety Disclosures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4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3"/>
          </w:tcPr>
          <w:p>
            <w:pPr>
              <w:spacing w:after="0"/>
              <w:rPr>
                <w:sz w:val="15"/>
                <w:szCs w:val="15"/>
                <w:color w:val="auto"/>
              </w:rPr>
            </w:pPr>
          </w:p>
        </w:tc>
        <w:tc>
          <w:tcPr>
            <w:tcW w:w="7700" w:type="dxa"/>
            <w:vAlign w:val="bottom"/>
            <w:gridSpan w:val="10"/>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460" w:type="dxa"/>
            <w:vAlign w:val="bottom"/>
          </w:tcPr>
          <w:p>
            <w:pPr>
              <w:spacing w:after="0"/>
              <w:rPr>
                <w:sz w:val="15"/>
                <w:szCs w:val="15"/>
                <w:color w:val="auto"/>
              </w:rPr>
            </w:pPr>
          </w:p>
        </w:tc>
        <w:tc>
          <w:tcPr>
            <w:tcW w:w="10280" w:type="dxa"/>
            <w:vAlign w:val="bottom"/>
            <w:gridSpan w:val="18"/>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825"/>
        </w:trPr>
        <w:tc>
          <w:tcPr>
            <w:tcW w:w="480" w:type="dxa"/>
            <w:vAlign w:val="bottom"/>
            <w:gridSpan w:val="2"/>
          </w:tcPr>
          <w:p>
            <w:pPr>
              <w:spacing w:after="0"/>
              <w:rPr>
                <w:sz w:val="24"/>
                <w:szCs w:val="24"/>
                <w:color w:val="auto"/>
              </w:rPr>
            </w:pPr>
          </w:p>
        </w:tc>
        <w:tc>
          <w:tcPr>
            <w:tcW w:w="1200" w:type="dxa"/>
            <w:vAlign w:val="bottom"/>
            <w:tcBorders>
              <w:top w:val="single" w:sz="8" w:color="0000EE"/>
            </w:tcBorders>
            <w:gridSpan w:val="2"/>
          </w:tcPr>
          <w:p>
            <w:pPr>
              <w:spacing w:after="0"/>
              <w:rPr>
                <w:sz w:val="24"/>
                <w:szCs w:val="24"/>
                <w:color w:val="auto"/>
              </w:rPr>
            </w:pPr>
          </w:p>
        </w:tc>
        <w:tc>
          <w:tcPr>
            <w:tcW w:w="4220" w:type="dxa"/>
            <w:vAlign w:val="bottom"/>
            <w:gridSpan w:val="9"/>
          </w:tcPr>
          <w:p>
            <w:pPr>
              <w:jc w:val="right"/>
              <w:ind w:right="140"/>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65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260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Three Months Ended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600" w:type="dxa"/>
            <w:vAlign w:val="bottom"/>
            <w:gridSpan w:val="3"/>
          </w:tcPr>
          <w:p>
            <w:pPr>
              <w:jc w:val="center"/>
              <w:ind w:left="790"/>
              <w:spacing w:after="0"/>
              <w:rPr>
                <w:sz w:val="20"/>
                <w:szCs w:val="20"/>
                <w:color w:val="auto"/>
              </w:rPr>
            </w:pPr>
            <w:r>
              <w:rPr>
                <w:rFonts w:ascii="Arial" w:cs="Arial" w:eastAsia="Arial" w:hAnsi="Arial"/>
                <w:sz w:val="18"/>
                <w:szCs w:val="18"/>
                <w:color w:val="auto"/>
                <w:w w:val="99"/>
              </w:rPr>
              <w:t>March 31,</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4"/>
              </w:rPr>
              <w:t>2012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2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Net sales</w:t>
            </w:r>
          </w:p>
        </w:tc>
        <w:tc>
          <w:tcPr>
            <w:tcW w:w="2120" w:type="dxa"/>
            <w:vAlign w:val="bottom"/>
            <w:gridSpan w:val="2"/>
            <w:shd w:val="clear" w:color="auto" w:fill="C0C0C0"/>
          </w:tcPr>
          <w:p>
            <w:pPr>
              <w:jc w:val="right"/>
              <w:ind w:right="440"/>
              <w:spacing w:after="0" w:line="202" w:lineRule="exact"/>
              <w:rPr>
                <w:sz w:val="20"/>
                <w:szCs w:val="20"/>
                <w:color w:val="auto"/>
              </w:rPr>
            </w:pPr>
            <w:r>
              <w:rPr>
                <w:rFonts w:ascii="Arial" w:cs="Arial" w:eastAsia="Arial" w:hAnsi="Arial"/>
                <w:sz w:val="18"/>
                <w:szCs w:val="18"/>
                <w:color w:val="auto"/>
              </w:rPr>
              <w:t>$186,654</w:t>
            </w:r>
          </w:p>
        </w:tc>
        <w:tc>
          <w:tcPr>
            <w:tcW w:w="480" w:type="dxa"/>
            <w:vAlign w:val="bottom"/>
            <w:shd w:val="clear" w:color="auto" w:fill="C0C0C0"/>
          </w:tcPr>
          <w:p>
            <w:pPr>
              <w:spacing w:after="0"/>
              <w:rPr>
                <w:sz w:val="17"/>
                <w:szCs w:val="17"/>
                <w:color w:val="auto"/>
              </w:rPr>
            </w:pPr>
          </w:p>
        </w:tc>
        <w:tc>
          <w:tcPr>
            <w:tcW w:w="8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$180,077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2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113,885</w:t>
            </w: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111,791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20" w:type="dxa"/>
            <w:vAlign w:val="bottom"/>
            <w:shd w:val="clear" w:color="auto" w:fill="C0C0C0"/>
          </w:tcPr>
          <w:p>
            <w:pPr>
              <w:spacing w:after="0" w:line="202" w:lineRule="exact"/>
              <w:rPr>
                <w:sz w:val="20"/>
                <w:szCs w:val="20"/>
                <w:color w:val="auto"/>
              </w:rPr>
            </w:pPr>
            <w:r>
              <w:rPr>
                <w:rFonts w:ascii="Arial" w:cs="Arial" w:eastAsia="Arial" w:hAnsi="Arial"/>
                <w:sz w:val="18"/>
                <w:szCs w:val="18"/>
                <w:color w:val="auto"/>
              </w:rPr>
              <w:t>Gross profit</w:t>
            </w:r>
          </w:p>
        </w:tc>
        <w:tc>
          <w:tcPr>
            <w:tcW w:w="2120" w:type="dxa"/>
            <w:vAlign w:val="bottom"/>
            <w:gridSpan w:val="2"/>
            <w:shd w:val="clear" w:color="auto" w:fill="C0C0C0"/>
          </w:tcPr>
          <w:p>
            <w:pPr>
              <w:jc w:val="right"/>
              <w:ind w:right="440"/>
              <w:spacing w:after="0" w:line="202" w:lineRule="exact"/>
              <w:rPr>
                <w:sz w:val="20"/>
                <w:szCs w:val="20"/>
                <w:color w:val="auto"/>
              </w:rPr>
            </w:pPr>
            <w:r>
              <w:rPr>
                <w:rFonts w:ascii="Arial" w:cs="Arial" w:eastAsia="Arial" w:hAnsi="Arial"/>
                <w:sz w:val="18"/>
                <w:szCs w:val="18"/>
                <w:color w:val="auto"/>
              </w:rPr>
              <w:t>72,769</w:t>
            </w:r>
          </w:p>
        </w:tc>
        <w:tc>
          <w:tcPr>
            <w:tcW w:w="480" w:type="dxa"/>
            <w:vAlign w:val="bottom"/>
            <w:shd w:val="clear" w:color="auto" w:fill="C0C0C0"/>
          </w:tcPr>
          <w:p>
            <w:pPr>
              <w:spacing w:after="0"/>
              <w:rPr>
                <w:sz w:val="17"/>
                <w:szCs w:val="17"/>
                <w:color w:val="auto"/>
              </w:rPr>
            </w:pPr>
          </w:p>
        </w:tc>
        <w:tc>
          <w:tcPr>
            <w:tcW w:w="8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68,286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36,553</w:t>
            </w: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2120" w:type="dxa"/>
            <w:vAlign w:val="bottom"/>
            <w:gridSpan w:val="2"/>
            <w:shd w:val="clear" w:color="auto" w:fill="BFBFBF"/>
          </w:tcPr>
          <w:p>
            <w:pPr>
              <w:jc w:val="right"/>
              <w:ind w:right="440"/>
              <w:spacing w:after="0" w:line="202" w:lineRule="exact"/>
              <w:rPr>
                <w:sz w:val="20"/>
                <w:szCs w:val="20"/>
                <w:color w:val="auto"/>
              </w:rPr>
            </w:pPr>
            <w:r>
              <w:rPr>
                <w:rFonts w:ascii="Arial" w:cs="Arial" w:eastAsia="Arial" w:hAnsi="Arial"/>
                <w:sz w:val="18"/>
                <w:szCs w:val="18"/>
                <w:color w:val="auto"/>
              </w:rPr>
              <w:t>13,062</w:t>
            </w:r>
          </w:p>
        </w:tc>
        <w:tc>
          <w:tcPr>
            <w:tcW w:w="480" w:type="dxa"/>
            <w:vAlign w:val="bottom"/>
            <w:shd w:val="clear" w:color="auto" w:fill="BFBFBF"/>
          </w:tcPr>
          <w:p>
            <w:pPr>
              <w:spacing w:after="0"/>
              <w:rPr>
                <w:sz w:val="17"/>
                <w:szCs w:val="17"/>
                <w:color w:val="auto"/>
              </w:rPr>
            </w:pPr>
          </w:p>
        </w:tc>
        <w:tc>
          <w:tcPr>
            <w:tcW w:w="8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12,739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40"/>
              <w:spacing w:after="0" w:line="202" w:lineRule="exact"/>
              <w:rPr>
                <w:sz w:val="20"/>
                <w:szCs w:val="20"/>
                <w:color w:val="auto"/>
              </w:rPr>
            </w:pPr>
            <w:r>
              <w:rPr>
                <w:rFonts w:ascii="Arial" w:cs="Arial" w:eastAsia="Arial" w:hAnsi="Arial"/>
                <w:sz w:val="18"/>
                <w:szCs w:val="18"/>
                <w:color w:val="auto"/>
              </w:rPr>
              <w:t>Restructuring and other, net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BFBFBF"/>
          </w:tcPr>
          <w:p>
            <w:pPr>
              <w:ind w:left="140"/>
              <w:spacing w:after="0"/>
              <w:rPr>
                <w:sz w:val="20"/>
                <w:szCs w:val="20"/>
                <w:color w:val="auto"/>
              </w:rPr>
            </w:pPr>
            <w:r>
              <w:rPr>
                <w:rFonts w:ascii="Arial" w:cs="Arial" w:eastAsia="Arial" w:hAnsi="Arial"/>
                <w:sz w:val="18"/>
                <w:szCs w:val="18"/>
                <w:color w:val="auto"/>
              </w:rPr>
              <w:t>Pension settlement expense</w:t>
            </w:r>
          </w:p>
        </w:tc>
        <w:tc>
          <w:tcPr>
            <w:tcW w:w="1680" w:type="dxa"/>
            <w:vAlign w:val="bottom"/>
            <w:tcBorders>
              <w:bottom w:val="single" w:sz="8" w:color="auto"/>
            </w:tcBorders>
            <w:shd w:val="clear" w:color="auto" w:fill="BFBFB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8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9,175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Operating income/(loss)</w:t>
            </w:r>
          </w:p>
        </w:tc>
        <w:tc>
          <w:tcPr>
            <w:tcW w:w="2120" w:type="dxa"/>
            <w:vAlign w:val="bottom"/>
            <w:gridSpan w:val="2"/>
            <w:shd w:val="clear" w:color="auto" w:fill="BFBFBF"/>
          </w:tcPr>
          <w:p>
            <w:pPr>
              <w:jc w:val="right"/>
              <w:ind w:right="440"/>
              <w:spacing w:after="0" w:line="202" w:lineRule="exact"/>
              <w:rPr>
                <w:sz w:val="20"/>
                <w:szCs w:val="20"/>
                <w:color w:val="auto"/>
              </w:rPr>
            </w:pPr>
            <w:r>
              <w:rPr>
                <w:rFonts w:ascii="Arial" w:cs="Arial" w:eastAsia="Arial" w:hAnsi="Arial"/>
                <w:sz w:val="18"/>
                <w:szCs w:val="18"/>
                <w:color w:val="auto"/>
              </w:rPr>
              <w:t>22,518</w:t>
            </w:r>
          </w:p>
        </w:tc>
        <w:tc>
          <w:tcPr>
            <w:tcW w:w="480" w:type="dxa"/>
            <w:vAlign w:val="bottom"/>
            <w:shd w:val="clear" w:color="auto" w:fill="BFBFBF"/>
          </w:tcPr>
          <w:p>
            <w:pPr>
              <w:spacing w:after="0"/>
              <w:rPr>
                <w:sz w:val="17"/>
                <w:szCs w:val="17"/>
                <w:color w:val="auto"/>
              </w:rPr>
            </w:pPr>
          </w:p>
        </w:tc>
        <w:tc>
          <w:tcPr>
            <w:tcW w:w="8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2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4,025</w:t>
            </w: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Other expense, net</w:t>
            </w:r>
          </w:p>
        </w:tc>
        <w:tc>
          <w:tcPr>
            <w:tcW w:w="16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734</w:t>
            </w:r>
          </w:p>
        </w:tc>
        <w:tc>
          <w:tcPr>
            <w:tcW w:w="440" w:type="dxa"/>
            <w:vAlign w:val="bottom"/>
            <w:shd w:val="clear" w:color="auto" w:fill="BFBFBF"/>
          </w:tcPr>
          <w:p>
            <w:pPr>
              <w:spacing w:after="0"/>
              <w:rPr>
                <w:sz w:val="17"/>
                <w:szCs w:val="17"/>
                <w:color w:val="auto"/>
              </w:rPr>
            </w:pPr>
          </w:p>
        </w:tc>
        <w:tc>
          <w:tcPr>
            <w:tcW w:w="480" w:type="dxa"/>
            <w:vAlign w:val="bottom"/>
            <w:tcBorders>
              <w:bottom w:val="single" w:sz="8" w:color="auto"/>
            </w:tcBorders>
            <w:shd w:val="clear" w:color="auto" w:fill="BFBFBF"/>
          </w:tcPr>
          <w:p>
            <w:pPr>
              <w:spacing w:after="0"/>
              <w:rPr>
                <w:sz w:val="17"/>
                <w:szCs w:val="17"/>
                <w:color w:val="auto"/>
              </w:rPr>
            </w:pPr>
          </w:p>
        </w:tc>
        <w:tc>
          <w:tcPr>
            <w:tcW w:w="8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4,548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940" w:type="dxa"/>
            <w:vAlign w:val="bottom"/>
            <w:gridSpan w:val="2"/>
          </w:tcPr>
          <w:p>
            <w:pPr>
              <w:spacing w:after="0"/>
              <w:rPr>
                <w:sz w:val="20"/>
                <w:szCs w:val="20"/>
                <w:color w:val="auto"/>
              </w:rPr>
            </w:pPr>
            <w:r>
              <w:rPr>
                <w:rFonts w:ascii="Arial" w:cs="Arial" w:eastAsia="Arial" w:hAnsi="Arial"/>
                <w:sz w:val="18"/>
                <w:szCs w:val="18"/>
                <w:color w:val="auto"/>
              </w:rPr>
              <w:t>Income/(loss) before income taxes</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17,759</w:t>
            </w:r>
          </w:p>
        </w:tc>
        <w:tc>
          <w:tcPr>
            <w:tcW w:w="4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ind w:left="140"/>
              <w:spacing w:after="0" w:line="202" w:lineRule="exact"/>
              <w:rPr>
                <w:sz w:val="20"/>
                <w:szCs w:val="20"/>
                <w:color w:val="auto"/>
              </w:rPr>
            </w:pPr>
            <w:r>
              <w:rPr>
                <w:rFonts w:ascii="Arial" w:cs="Arial" w:eastAsia="Arial" w:hAnsi="Arial"/>
                <w:sz w:val="18"/>
                <w:szCs w:val="18"/>
                <w:color w:val="auto"/>
              </w:rPr>
              <w:t>Income tax expense/(benefit)</w:t>
            </w:r>
          </w:p>
        </w:tc>
        <w:tc>
          <w:tcPr>
            <w:tcW w:w="16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6,248</w:t>
            </w:r>
          </w:p>
        </w:tc>
        <w:tc>
          <w:tcPr>
            <w:tcW w:w="440" w:type="dxa"/>
            <w:vAlign w:val="bottom"/>
            <w:shd w:val="clear" w:color="auto" w:fill="BFBFBF"/>
          </w:tcPr>
          <w:p>
            <w:pPr>
              <w:spacing w:after="0"/>
              <w:rPr>
                <w:sz w:val="17"/>
                <w:szCs w:val="17"/>
                <w:color w:val="auto"/>
              </w:rPr>
            </w:pPr>
          </w:p>
        </w:tc>
        <w:tc>
          <w:tcPr>
            <w:tcW w:w="480" w:type="dxa"/>
            <w:vAlign w:val="bottom"/>
            <w:tcBorders>
              <w:bottom w:val="single" w:sz="8" w:color="auto"/>
            </w:tcBorders>
            <w:shd w:val="clear" w:color="auto" w:fill="BFBFBF"/>
          </w:tcPr>
          <w:p>
            <w:pPr>
              <w:spacing w:after="0"/>
              <w:rPr>
                <w:sz w:val="17"/>
                <w:szCs w:val="17"/>
                <w:color w:val="auto"/>
              </w:rPr>
            </w:pPr>
          </w:p>
        </w:tc>
        <w:tc>
          <w:tcPr>
            <w:tcW w:w="880" w:type="dxa"/>
            <w:vAlign w:val="bottom"/>
            <w:tcBorders>
              <w:bottom w:val="single" w:sz="8" w:color="auto"/>
            </w:tcBorders>
            <w:shd w:val="clear" w:color="auto" w:fill="BFBFBF"/>
          </w:tcPr>
          <w:p>
            <w:pPr>
              <w:jc w:val="right"/>
              <w:spacing w:after="0" w:line="202" w:lineRule="exact"/>
              <w:rPr>
                <w:sz w:val="20"/>
                <w:szCs w:val="20"/>
                <w:color w:val="auto"/>
              </w:rPr>
            </w:pPr>
            <w:r>
              <w:rPr>
                <w:rFonts w:ascii="Arial" w:cs="Arial" w:eastAsia="Arial" w:hAnsi="Arial"/>
                <w:sz w:val="18"/>
                <w:szCs w:val="18"/>
                <w:color w:val="auto"/>
              </w:rPr>
              <w:t>(9,972)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940" w:type="dxa"/>
            <w:vAlign w:val="bottom"/>
            <w:gridSpan w:val="2"/>
          </w:tcPr>
          <w:p>
            <w:pPr>
              <w:spacing w:after="0"/>
              <w:rPr>
                <w:sz w:val="20"/>
                <w:szCs w:val="20"/>
                <w:color w:val="auto"/>
              </w:rPr>
            </w:pPr>
            <w:r>
              <w:rPr>
                <w:rFonts w:ascii="Arial" w:cs="Arial" w:eastAsia="Arial" w:hAnsi="Arial"/>
                <w:sz w:val="18"/>
                <w:szCs w:val="18"/>
                <w:color w:val="auto"/>
              </w:rPr>
              <w:t>Income/(loss) from continuing operations</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11,511</w:t>
            </w:r>
          </w:p>
        </w:tc>
        <w:tc>
          <w:tcPr>
            <w:tcW w:w="4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from operations of discontinued business</w:t>
            </w:r>
          </w:p>
        </w:tc>
        <w:tc>
          <w:tcPr>
            <w:tcW w:w="1680" w:type="dxa"/>
            <w:vAlign w:val="bottom"/>
            <w:shd w:val="clear" w:color="auto" w:fill="BFBFB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BFBFBF"/>
          </w:tcPr>
          <w:p>
            <w:pPr>
              <w:spacing w:after="0"/>
              <w:rPr>
                <w:sz w:val="18"/>
                <w:szCs w:val="18"/>
                <w:color w:val="auto"/>
              </w:rPr>
            </w:pPr>
          </w:p>
        </w:tc>
        <w:tc>
          <w:tcPr>
            <w:tcW w:w="480" w:type="dxa"/>
            <w:vAlign w:val="bottom"/>
            <w:shd w:val="clear" w:color="auto" w:fill="BFBFBF"/>
          </w:tcPr>
          <w:p>
            <w:pPr>
              <w:spacing w:after="0"/>
              <w:rPr>
                <w:sz w:val="18"/>
                <w:szCs w:val="18"/>
                <w:color w:val="auto"/>
              </w:rPr>
            </w:pPr>
          </w:p>
        </w:tc>
        <w:tc>
          <w:tcPr>
            <w:tcW w:w="880" w:type="dxa"/>
            <w:vAlign w:val="bottom"/>
            <w:shd w:val="clear" w:color="auto" w:fill="BFBFBF"/>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40"/>
              <w:spacing w:after="0"/>
              <w:rPr>
                <w:sz w:val="20"/>
                <w:szCs w:val="20"/>
                <w:color w:val="auto"/>
              </w:rPr>
            </w:pPr>
            <w:r>
              <w:rPr>
                <w:rFonts w:ascii="Arial" w:cs="Arial" w:eastAsia="Arial" w:hAnsi="Arial"/>
                <w:sz w:val="18"/>
                <w:szCs w:val="18"/>
                <w:color w:val="auto"/>
              </w:rPr>
              <w:t>Gain on sale of discontinued business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BFBFBF"/>
          </w:tcPr>
          <w:p>
            <w:pPr>
              <w:ind w:left="140"/>
              <w:spacing w:after="0"/>
              <w:rPr>
                <w:sz w:val="20"/>
                <w:szCs w:val="20"/>
                <w:color w:val="auto"/>
              </w:rPr>
            </w:pPr>
            <w:r>
              <w:rPr>
                <w:rFonts w:ascii="Arial" w:cs="Arial" w:eastAsia="Arial" w:hAnsi="Arial"/>
                <w:sz w:val="18"/>
                <w:szCs w:val="18"/>
                <w:color w:val="auto"/>
              </w:rPr>
              <w:t>Income taxes on discontinued operations</w:t>
            </w:r>
          </w:p>
        </w:tc>
        <w:tc>
          <w:tcPr>
            <w:tcW w:w="1680" w:type="dxa"/>
            <w:vAlign w:val="bottom"/>
            <w:tcBorders>
              <w:bottom w:val="single" w:sz="8" w:color="auto"/>
            </w:tcBorders>
            <w:shd w:val="clear" w:color="auto" w:fill="BFBFB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8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12,814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4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top w:val="single" w:sz="8" w:color="BFBFBF"/>
              <w:bottom w:val="single" w:sz="8" w:color="BFBFBF"/>
            </w:tcBorders>
            <w:shd w:val="clear" w:color="auto" w:fill="BFBFBF"/>
          </w:tcPr>
          <w:p>
            <w:pPr>
              <w:spacing w:after="0" w:line="196" w:lineRule="exact"/>
              <w:rPr>
                <w:sz w:val="20"/>
                <w:szCs w:val="20"/>
                <w:color w:val="auto"/>
              </w:rPr>
            </w:pPr>
            <w:r>
              <w:rPr>
                <w:rFonts w:ascii="Arial" w:cs="Arial" w:eastAsia="Arial" w:hAnsi="Arial"/>
                <w:sz w:val="18"/>
                <w:szCs w:val="18"/>
                <w:color w:val="auto"/>
              </w:rPr>
              <w:t>Net income</w:t>
            </w:r>
          </w:p>
        </w:tc>
        <w:tc>
          <w:tcPr>
            <w:tcW w:w="16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$11,511</w:t>
            </w:r>
          </w:p>
        </w:tc>
        <w:tc>
          <w:tcPr>
            <w:tcW w:w="440" w:type="dxa"/>
            <w:vAlign w:val="bottom"/>
            <w:tcBorders>
              <w:top w:val="single" w:sz="8" w:color="BFBFBF"/>
              <w:bottom w:val="single" w:sz="8" w:color="BFBFBF"/>
            </w:tcBorders>
            <w:shd w:val="clear" w:color="auto" w:fill="BFBFBF"/>
          </w:tcPr>
          <w:p>
            <w:pPr>
              <w:spacing w:after="0"/>
              <w:rPr>
                <w:sz w:val="18"/>
                <w:szCs w:val="18"/>
                <w:color w:val="auto"/>
              </w:rPr>
            </w:pPr>
          </w:p>
        </w:tc>
        <w:tc>
          <w:tcPr>
            <w:tcW w:w="480" w:type="dxa"/>
            <w:vAlign w:val="bottom"/>
            <w:tcBorders>
              <w:top w:val="single" w:sz="8" w:color="auto"/>
              <w:bottom w:val="single" w:sz="8" w:color="auto"/>
            </w:tcBorders>
            <w:shd w:val="clear" w:color="auto" w:fill="BFBFBF"/>
          </w:tcPr>
          <w:p>
            <w:pPr>
              <w:spacing w:after="0"/>
              <w:rPr>
                <w:sz w:val="18"/>
                <w:szCs w:val="18"/>
                <w:color w:val="auto"/>
              </w:rPr>
            </w:pPr>
          </w:p>
        </w:tc>
        <w:tc>
          <w:tcPr>
            <w:tcW w:w="8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$47,041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94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120" w:type="dxa"/>
            <w:vAlign w:val="bottom"/>
            <w:gridSpan w:val="2"/>
            <w:shd w:val="clear" w:color="auto" w:fill="BFBFBF"/>
          </w:tcPr>
          <w:p>
            <w:pPr>
              <w:jc w:val="right"/>
              <w:ind w:right="440"/>
              <w:spacing w:after="0" w:line="202" w:lineRule="exact"/>
              <w:rPr>
                <w:sz w:val="20"/>
                <w:szCs w:val="20"/>
                <w:color w:val="auto"/>
              </w:rPr>
            </w:pPr>
            <w:r>
              <w:rPr>
                <w:rFonts w:ascii="Arial" w:cs="Arial" w:eastAsia="Arial" w:hAnsi="Arial"/>
                <w:sz w:val="18"/>
                <w:szCs w:val="18"/>
                <w:color w:val="auto"/>
              </w:rPr>
              <w:t>$0.37</w:t>
            </w:r>
          </w:p>
        </w:tc>
        <w:tc>
          <w:tcPr>
            <w:tcW w:w="480" w:type="dxa"/>
            <w:vAlign w:val="bottom"/>
            <w:shd w:val="clear" w:color="auto" w:fill="BFBFBF"/>
          </w:tcPr>
          <w:p>
            <w:pPr>
              <w:spacing w:after="0"/>
              <w:rPr>
                <w:sz w:val="17"/>
                <w:szCs w:val="17"/>
                <w:color w:val="auto"/>
              </w:rPr>
            </w:pPr>
          </w:p>
        </w:tc>
        <w:tc>
          <w:tcPr>
            <w:tcW w:w="8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Borders>
              <w:bottom w:val="single" w:sz="8" w:color="BFBFBF"/>
            </w:tcBorders>
          </w:tcPr>
          <w:p>
            <w:pPr>
              <w:spacing w:after="0" w:line="202" w:lineRule="exact"/>
              <w:rPr>
                <w:sz w:val="20"/>
                <w:szCs w:val="20"/>
                <w:color w:val="auto"/>
              </w:rPr>
            </w:pPr>
            <w:r>
              <w:rPr>
                <w:rFonts w:ascii="Arial" w:cs="Arial" w:eastAsia="Arial" w:hAnsi="Arial"/>
                <w:sz w:val="18"/>
                <w:szCs w:val="18"/>
                <w:color w:val="auto"/>
              </w:rPr>
              <w:t>Discontinued operations</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tcBorders>
              <w:bottom w:val="single" w:sz="8" w:color="BFBFB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BFBFBF"/>
            </w:tcBorders>
            <w:shd w:val="clear" w:color="auto" w:fill="BFBFBF"/>
          </w:tcPr>
          <w:p>
            <w:pPr>
              <w:spacing w:after="0" w:line="196" w:lineRule="exact"/>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$0.37</w:t>
            </w:r>
          </w:p>
        </w:tc>
        <w:tc>
          <w:tcPr>
            <w:tcW w:w="44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8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94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120" w:type="dxa"/>
            <w:vAlign w:val="bottom"/>
            <w:gridSpan w:val="2"/>
            <w:shd w:val="clear" w:color="auto" w:fill="BFBFBF"/>
          </w:tcPr>
          <w:p>
            <w:pPr>
              <w:jc w:val="right"/>
              <w:ind w:right="440"/>
              <w:spacing w:after="0" w:line="202" w:lineRule="exact"/>
              <w:rPr>
                <w:sz w:val="20"/>
                <w:szCs w:val="20"/>
                <w:color w:val="auto"/>
              </w:rPr>
            </w:pPr>
            <w:r>
              <w:rPr>
                <w:rFonts w:ascii="Arial" w:cs="Arial" w:eastAsia="Arial" w:hAnsi="Arial"/>
                <w:sz w:val="18"/>
                <w:szCs w:val="18"/>
                <w:color w:val="auto"/>
              </w:rPr>
              <w:t>$0.36</w:t>
            </w:r>
          </w:p>
        </w:tc>
        <w:tc>
          <w:tcPr>
            <w:tcW w:w="480" w:type="dxa"/>
            <w:vAlign w:val="bottom"/>
            <w:shd w:val="clear" w:color="auto" w:fill="BFBFBF"/>
          </w:tcPr>
          <w:p>
            <w:pPr>
              <w:spacing w:after="0"/>
              <w:rPr>
                <w:sz w:val="17"/>
                <w:szCs w:val="17"/>
                <w:color w:val="auto"/>
              </w:rPr>
            </w:pPr>
          </w:p>
        </w:tc>
        <w:tc>
          <w:tcPr>
            <w:tcW w:w="8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Borders>
              <w:bottom w:val="single" w:sz="8" w:color="BFBFBF"/>
            </w:tcBorders>
          </w:tcPr>
          <w:p>
            <w:pPr>
              <w:spacing w:after="0" w:line="202" w:lineRule="exact"/>
              <w:rPr>
                <w:sz w:val="20"/>
                <w:szCs w:val="20"/>
                <w:color w:val="auto"/>
              </w:rPr>
            </w:pPr>
            <w:r>
              <w:rPr>
                <w:rFonts w:ascii="Arial" w:cs="Arial" w:eastAsia="Arial" w:hAnsi="Arial"/>
                <w:sz w:val="18"/>
                <w:szCs w:val="18"/>
                <w:color w:val="auto"/>
              </w:rPr>
              <w:t>Discontinued operations</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0.00</w:t>
            </w:r>
          </w:p>
        </w:tc>
        <w:tc>
          <w:tcPr>
            <w:tcW w:w="440" w:type="dxa"/>
            <w:vAlign w:val="bottom"/>
            <w:tcBorders>
              <w:bottom w:val="single" w:sz="8" w:color="BFBFB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BFBFBF"/>
            </w:tcBorders>
            <w:shd w:val="clear" w:color="auto" w:fill="BFBFBF"/>
          </w:tcPr>
          <w:p>
            <w:pPr>
              <w:spacing w:after="0" w:line="196" w:lineRule="exact"/>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$0.36</w:t>
            </w:r>
          </w:p>
        </w:tc>
        <w:tc>
          <w:tcPr>
            <w:tcW w:w="440" w:type="dxa"/>
            <w:vAlign w:val="bottom"/>
            <w:tcBorders>
              <w:bottom w:val="single" w:sz="8" w:color="BFBFBF"/>
            </w:tcBorders>
            <w:shd w:val="clear" w:color="auto" w:fill="BFBFBF"/>
          </w:tcPr>
          <w:p>
            <w:pPr>
              <w:spacing w:after="0"/>
              <w:rPr>
                <w:sz w:val="18"/>
                <w:szCs w:val="18"/>
                <w:color w:val="auto"/>
              </w:rPr>
            </w:pPr>
          </w:p>
        </w:tc>
        <w:tc>
          <w:tcPr>
            <w:tcW w:w="480" w:type="dxa"/>
            <w:vAlign w:val="bottom"/>
            <w:tcBorders>
              <w:bottom w:val="single" w:sz="8" w:color="auto"/>
            </w:tcBorders>
            <w:shd w:val="clear" w:color="auto" w:fill="BFBFBF"/>
          </w:tcPr>
          <w:p>
            <w:pPr>
              <w:spacing w:after="0"/>
              <w:rPr>
                <w:sz w:val="18"/>
                <w:szCs w:val="18"/>
                <w:color w:val="auto"/>
              </w:rPr>
            </w:pPr>
          </w:p>
        </w:tc>
        <w:tc>
          <w:tcPr>
            <w:tcW w:w="8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940" w:type="dxa"/>
            <w:vAlign w:val="bottom"/>
            <w:gridSpan w:val="2"/>
          </w:tcPr>
          <w:p>
            <w:pPr>
              <w:spacing w:after="0"/>
              <w:rPr>
                <w:sz w:val="20"/>
                <w:szCs w:val="20"/>
                <w:color w:val="auto"/>
              </w:rPr>
            </w:pPr>
            <w:r>
              <w:rPr>
                <w:rFonts w:ascii="Arial" w:cs="Arial" w:eastAsia="Arial" w:hAnsi="Arial"/>
                <w:sz w:val="18"/>
                <w:szCs w:val="18"/>
                <w:color w:val="auto"/>
              </w:rPr>
              <w:t>Shares used in computing earnings per share:</w:t>
            </w: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tcPr>
          <w:p>
            <w:pPr>
              <w:ind w:left="80"/>
              <w:spacing w:after="0" w:line="203" w:lineRule="exact"/>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31,496</w:t>
            </w:r>
          </w:p>
        </w:tc>
        <w:tc>
          <w:tcPr>
            <w:tcW w:w="480" w:type="dxa"/>
            <w:vAlign w:val="bottom"/>
          </w:tcPr>
          <w:p>
            <w:pPr>
              <w:spacing w:after="0"/>
              <w:rPr>
                <w:sz w:val="17"/>
                <w:szCs w:val="17"/>
                <w:color w:val="auto"/>
              </w:rPr>
            </w:pPr>
          </w:p>
        </w:tc>
        <w:tc>
          <w:tcPr>
            <w:tcW w:w="9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31,309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2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Diluted</w:t>
            </w:r>
          </w:p>
        </w:tc>
        <w:tc>
          <w:tcPr>
            <w:tcW w:w="2120" w:type="dxa"/>
            <w:vAlign w:val="bottom"/>
            <w:gridSpan w:val="2"/>
            <w:shd w:val="clear" w:color="auto" w:fill="BFBFBF"/>
          </w:tcPr>
          <w:p>
            <w:pPr>
              <w:jc w:val="right"/>
              <w:ind w:right="440"/>
              <w:spacing w:after="0" w:line="202" w:lineRule="exact"/>
              <w:rPr>
                <w:sz w:val="20"/>
                <w:szCs w:val="20"/>
                <w:color w:val="auto"/>
              </w:rPr>
            </w:pPr>
            <w:r>
              <w:rPr>
                <w:rFonts w:ascii="Arial" w:cs="Arial" w:eastAsia="Arial" w:hAnsi="Arial"/>
                <w:sz w:val="18"/>
                <w:szCs w:val="18"/>
                <w:color w:val="auto"/>
              </w:rPr>
              <w:t>31,782</w:t>
            </w:r>
          </w:p>
        </w:tc>
        <w:tc>
          <w:tcPr>
            <w:tcW w:w="480" w:type="dxa"/>
            <w:vAlign w:val="bottom"/>
            <w:shd w:val="clear" w:color="auto" w:fill="BFBFBF"/>
          </w:tcPr>
          <w:p>
            <w:pPr>
              <w:spacing w:after="0"/>
              <w:rPr>
                <w:sz w:val="17"/>
                <w:szCs w:val="17"/>
                <w:color w:val="auto"/>
              </w:rPr>
            </w:pPr>
          </w:p>
        </w:tc>
        <w:tc>
          <w:tcPr>
            <w:tcW w:w="8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31,533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7940" w:type="dxa"/>
            <w:vAlign w:val="bottom"/>
            <w:gridSpan w:val="2"/>
          </w:tcPr>
          <w:p>
            <w:pPr>
              <w:spacing w:after="0"/>
              <w:rPr>
                <w:sz w:val="20"/>
                <w:szCs w:val="20"/>
                <w:color w:val="auto"/>
              </w:rPr>
            </w:pPr>
            <w:r>
              <w:rPr>
                <w:rFonts w:ascii="Arial" w:cs="Arial" w:eastAsia="Arial" w:hAnsi="Arial"/>
                <w:sz w:val="18"/>
                <w:szCs w:val="18"/>
                <w:color w:val="auto"/>
              </w:rPr>
              <w:t>Dividends per share</w:t>
            </w:r>
          </w:p>
        </w:tc>
        <w:tc>
          <w:tcPr>
            <w:tcW w:w="2120" w:type="dxa"/>
            <w:vAlign w:val="bottom"/>
            <w:gridSpan w:val="2"/>
          </w:tcPr>
          <w:p>
            <w:pPr>
              <w:jc w:val="right"/>
              <w:ind w:right="440"/>
              <w:spacing w:after="0"/>
              <w:rPr>
                <w:sz w:val="20"/>
                <w:szCs w:val="20"/>
                <w:color w:val="auto"/>
              </w:rPr>
            </w:pPr>
            <w:r>
              <w:rPr>
                <w:rFonts w:ascii="Arial" w:cs="Arial" w:eastAsia="Arial" w:hAnsi="Arial"/>
                <w:sz w:val="18"/>
                <w:szCs w:val="18"/>
                <w:color w:val="auto"/>
              </w:rPr>
              <w:t>$0.14</w:t>
            </w:r>
          </w:p>
        </w:tc>
        <w:tc>
          <w:tcPr>
            <w:tcW w:w="4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r>
      <w:tr>
        <w:trPr>
          <w:trHeight w:val="203"/>
        </w:trPr>
        <w:tc>
          <w:tcPr>
            <w:tcW w:w="2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920" w:type="dxa"/>
            <w:vAlign w:val="bottom"/>
            <w:gridSpan w:val="3"/>
          </w:tcPr>
          <w:p>
            <w:pPr>
              <w:jc w:val="center"/>
              <w:ind w:left="910"/>
              <w:spacing w:after="0" w:line="202" w:lineRule="exact"/>
              <w:rPr>
                <w:sz w:val="20"/>
                <w:szCs w:val="20"/>
                <w:color w:val="auto"/>
              </w:rPr>
            </w:pPr>
            <w:r>
              <w:rPr>
                <w:rFonts w:ascii="Arial" w:cs="Arial" w:eastAsia="Arial" w:hAnsi="Arial"/>
                <w:sz w:val="18"/>
                <w:szCs w:val="18"/>
                <w:color w:val="auto"/>
                <w:w w:val="99"/>
              </w:rPr>
              <w:t>March 31,</w:t>
            </w: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00" w:type="dxa"/>
            <w:vAlign w:val="bottom"/>
            <w:tcBorders>
              <w:bottom w:val="single" w:sz="8" w:color="BFBFBF"/>
            </w:tcBorders>
          </w:tcPr>
          <w:p>
            <w:pPr>
              <w:spacing w:after="0"/>
              <w:rPr>
                <w:sz w:val="17"/>
                <w:szCs w:val="17"/>
                <w:color w:val="auto"/>
              </w:rPr>
            </w:pPr>
          </w:p>
        </w:tc>
        <w:tc>
          <w:tcPr>
            <w:tcW w:w="13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2013</w:t>
            </w:r>
          </w:p>
        </w:tc>
        <w:tc>
          <w:tcPr>
            <w:tcW w:w="200" w:type="dxa"/>
            <w:vAlign w:val="bottom"/>
            <w:tcBorders>
              <w:bottom w:val="single" w:sz="8" w:color="BFBFB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rPr>
              <w:t>2012</w:t>
            </w:r>
          </w:p>
        </w:tc>
      </w:tr>
      <w:tr>
        <w:trPr>
          <w:trHeight w:val="196"/>
        </w:trPr>
        <w:tc>
          <w:tcPr>
            <w:tcW w:w="20" w:type="dxa"/>
            <w:vAlign w:val="bottom"/>
          </w:tcPr>
          <w:p>
            <w:pPr>
              <w:spacing w:after="0"/>
              <w:rPr>
                <w:sz w:val="17"/>
                <w:szCs w:val="17"/>
                <w:color w:val="auto"/>
              </w:rPr>
            </w:pPr>
          </w:p>
        </w:tc>
        <w:tc>
          <w:tcPr>
            <w:tcW w:w="8500" w:type="dxa"/>
            <w:vAlign w:val="bottom"/>
            <w:shd w:val="clear" w:color="auto" w:fill="BFBFBF"/>
          </w:tcPr>
          <w:p>
            <w:pPr>
              <w:spacing w:after="0" w:line="196" w:lineRule="exact"/>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$11,511</w:t>
            </w:r>
          </w:p>
        </w:tc>
        <w:tc>
          <w:tcPr>
            <w:tcW w:w="200" w:type="dxa"/>
            <w:vAlign w:val="bottom"/>
            <w:shd w:val="clear" w:color="auto" w:fill="BFBFBF"/>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9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$47,041</w:t>
            </w:r>
          </w:p>
        </w:tc>
      </w:tr>
      <w:tr>
        <w:trPr>
          <w:trHeight w:val="399"/>
        </w:trPr>
        <w:tc>
          <w:tcPr>
            <w:tcW w:w="8520" w:type="dxa"/>
            <w:vAlign w:val="bottom"/>
            <w:gridSpan w:val="2"/>
          </w:tcPr>
          <w:p>
            <w:pPr>
              <w:spacing w:after="0"/>
              <w:rPr>
                <w:sz w:val="20"/>
                <w:szCs w:val="20"/>
                <w:color w:val="auto"/>
              </w:rPr>
            </w:pPr>
            <w:r>
              <w:rPr>
                <w:rFonts w:ascii="Arial" w:cs="Arial" w:eastAsia="Arial" w:hAnsi="Arial"/>
                <w:sz w:val="18"/>
                <w:szCs w:val="18"/>
                <w:color w:val="auto"/>
              </w:rPr>
              <w:t>Other comprehensive (loss)/income, before tax:</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(10,622)</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13,318</w:t>
            </w:r>
          </w:p>
        </w:tc>
      </w:tr>
      <w:tr>
        <w:trPr>
          <w:trHeight w:val="202"/>
        </w:trPr>
        <w:tc>
          <w:tcPr>
            <w:tcW w:w="20" w:type="dxa"/>
            <w:vAlign w:val="bottom"/>
          </w:tcPr>
          <w:p>
            <w:pPr>
              <w:spacing w:after="0"/>
              <w:rPr>
                <w:sz w:val="17"/>
                <w:szCs w:val="17"/>
                <w:color w:val="auto"/>
              </w:rPr>
            </w:pPr>
          </w:p>
        </w:tc>
        <w:tc>
          <w:tcPr>
            <w:tcW w:w="8500" w:type="dxa"/>
            <w:vAlign w:val="bottom"/>
          </w:tcPr>
          <w:p>
            <w:pPr>
              <w:ind w:left="40"/>
              <w:spacing w:after="0" w:line="201" w:lineRule="exact"/>
              <w:rPr>
                <w:sz w:val="20"/>
                <w:szCs w:val="20"/>
                <w:color w:val="auto"/>
              </w:rPr>
            </w:pPr>
            <w:r>
              <w:rPr>
                <w:rFonts w:ascii="Arial" w:cs="Arial" w:eastAsia="Arial" w:hAnsi="Arial"/>
                <w:sz w:val="18"/>
                <w:szCs w:val="18"/>
                <w:color w:val="auto"/>
              </w:rPr>
              <w:t>Pension settlement</w:t>
            </w:r>
          </w:p>
        </w:tc>
        <w:tc>
          <w:tcPr>
            <w:tcW w:w="15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8,153</w:t>
            </w:r>
          </w:p>
        </w:tc>
      </w:tr>
      <w:tr>
        <w:trPr>
          <w:trHeight w:val="203"/>
        </w:trPr>
        <w:tc>
          <w:tcPr>
            <w:tcW w:w="20" w:type="dxa"/>
            <w:vAlign w:val="bottom"/>
          </w:tcPr>
          <w:p>
            <w:pPr>
              <w:spacing w:after="0"/>
              <w:rPr>
                <w:sz w:val="17"/>
                <w:szCs w:val="17"/>
                <w:color w:val="auto"/>
              </w:rPr>
            </w:pPr>
          </w:p>
        </w:tc>
        <w:tc>
          <w:tcPr>
            <w:tcW w:w="8500" w:type="dxa"/>
            <w:vAlign w:val="bottom"/>
          </w:tcPr>
          <w:p>
            <w:pPr>
              <w:ind w:left="20"/>
              <w:spacing w:after="0" w:line="203" w:lineRule="exact"/>
              <w:rPr>
                <w:sz w:val="20"/>
                <w:szCs w:val="20"/>
                <w:color w:val="auto"/>
              </w:rPr>
            </w:pPr>
            <w:r>
              <w:rPr>
                <w:rFonts w:ascii="Arial" w:cs="Arial" w:eastAsia="Arial" w:hAnsi="Arial"/>
                <w:sz w:val="18"/>
                <w:szCs w:val="18"/>
                <w:color w:val="auto"/>
              </w:rPr>
              <w:t>Amortization of pension liability adjustment</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Transition obligation</w:t>
            </w:r>
          </w:p>
        </w:tc>
        <w:tc>
          <w:tcPr>
            <w:tcW w:w="150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17</w:t>
            </w:r>
          </w:p>
        </w:tc>
        <w:tc>
          <w:tcPr>
            <w:tcW w:w="420" w:type="dxa"/>
            <w:vAlign w:val="bottom"/>
            <w:shd w:val="clear" w:color="auto" w:fill="BFBFBF"/>
          </w:tcPr>
          <w:p>
            <w:pPr>
              <w:spacing w:after="0"/>
              <w:rPr>
                <w:sz w:val="17"/>
                <w:szCs w:val="17"/>
                <w:color w:val="auto"/>
              </w:rPr>
            </w:pPr>
          </w:p>
        </w:tc>
        <w:tc>
          <w:tcPr>
            <w:tcW w:w="9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20" w:type="dxa"/>
            <w:vAlign w:val="bottom"/>
          </w:tcPr>
          <w:p>
            <w:pPr>
              <w:spacing w:after="0"/>
              <w:rPr>
                <w:sz w:val="17"/>
                <w:szCs w:val="17"/>
                <w:color w:val="auto"/>
              </w:rPr>
            </w:pPr>
          </w:p>
        </w:tc>
        <w:tc>
          <w:tcPr>
            <w:tcW w:w="850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cost/(credit)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r>
      <w:tr>
        <w:trPr>
          <w:trHeight w:val="203"/>
        </w:trPr>
        <w:tc>
          <w:tcPr>
            <w:tcW w:w="20" w:type="dxa"/>
            <w:vAlign w:val="bottom"/>
          </w:tcPr>
          <w:p>
            <w:pPr>
              <w:spacing w:after="0"/>
              <w:rPr>
                <w:sz w:val="17"/>
                <w:szCs w:val="17"/>
                <w:color w:val="auto"/>
              </w:rPr>
            </w:pPr>
          </w:p>
        </w:tc>
        <w:tc>
          <w:tcPr>
            <w:tcW w:w="85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Net actuarial loss</w:t>
            </w:r>
          </w:p>
        </w:tc>
        <w:tc>
          <w:tcPr>
            <w:tcW w:w="1500" w:type="dxa"/>
            <w:vAlign w:val="bottom"/>
            <w:gridSpan w:val="2"/>
            <w:shd w:val="clear" w:color="auto" w:fill="BFBFBF"/>
          </w:tcPr>
          <w:p>
            <w:pPr>
              <w:jc w:val="right"/>
              <w:ind w:right="200"/>
              <w:spacing w:after="0" w:line="202" w:lineRule="exact"/>
              <w:rPr>
                <w:sz w:val="20"/>
                <w:szCs w:val="20"/>
                <w:color w:val="auto"/>
              </w:rPr>
            </w:pPr>
            <w:r>
              <w:rPr>
                <w:rFonts w:ascii="Arial" w:cs="Arial" w:eastAsia="Arial" w:hAnsi="Arial"/>
                <w:sz w:val="18"/>
                <w:szCs w:val="18"/>
                <w:color w:val="auto"/>
              </w:rPr>
              <w:t>1,664</w:t>
            </w:r>
          </w:p>
        </w:tc>
        <w:tc>
          <w:tcPr>
            <w:tcW w:w="420" w:type="dxa"/>
            <w:vAlign w:val="bottom"/>
            <w:shd w:val="clear" w:color="auto" w:fill="BFBFBF"/>
          </w:tcPr>
          <w:p>
            <w:pPr>
              <w:spacing w:after="0"/>
              <w:rPr>
                <w:sz w:val="17"/>
                <w:szCs w:val="17"/>
                <w:color w:val="auto"/>
              </w:rPr>
            </w:pPr>
          </w:p>
        </w:tc>
        <w:tc>
          <w:tcPr>
            <w:tcW w:w="9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2,577</w:t>
            </w:r>
          </w:p>
        </w:tc>
      </w:tr>
      <w:tr>
        <w:trPr>
          <w:trHeight w:val="217"/>
        </w:trPr>
        <w:tc>
          <w:tcPr>
            <w:tcW w:w="20" w:type="dxa"/>
            <w:vAlign w:val="bottom"/>
          </w:tcPr>
          <w:p>
            <w:pPr>
              <w:spacing w:after="0"/>
              <w:rPr>
                <w:sz w:val="18"/>
                <w:szCs w:val="18"/>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Derivative valuation adjustment</w:t>
            </w:r>
          </w:p>
        </w:tc>
        <w:tc>
          <w:tcPr>
            <w:tcW w:w="130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390"/>
        </w:trPr>
        <w:tc>
          <w:tcPr>
            <w:tcW w:w="8520" w:type="dxa"/>
            <w:vAlign w:val="bottom"/>
            <w:gridSpan w:val="2"/>
          </w:tcPr>
          <w:p>
            <w:pPr>
              <w:spacing w:after="0"/>
              <w:rPr>
                <w:sz w:val="20"/>
                <w:szCs w:val="20"/>
                <w:color w:val="auto"/>
              </w:rPr>
            </w:pPr>
            <w:r>
              <w:rPr>
                <w:rFonts w:ascii="Arial" w:cs="Arial" w:eastAsia="Arial" w:hAnsi="Arial"/>
                <w:sz w:val="18"/>
                <w:szCs w:val="18"/>
                <w:color w:val="auto"/>
              </w:rPr>
              <w:t>Income taxes related to items of other comprehensive (loss)/income:</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500" w:type="dxa"/>
            <w:vAlign w:val="bottom"/>
          </w:tcPr>
          <w:p>
            <w:pPr>
              <w:ind w:left="40"/>
              <w:spacing w:after="0" w:line="203" w:lineRule="exact"/>
              <w:rPr>
                <w:sz w:val="20"/>
                <w:szCs w:val="20"/>
                <w:color w:val="auto"/>
              </w:rPr>
            </w:pPr>
            <w:r>
              <w:rPr>
                <w:rFonts w:ascii="Arial" w:cs="Arial" w:eastAsia="Arial" w:hAnsi="Arial"/>
                <w:sz w:val="18"/>
                <w:szCs w:val="18"/>
                <w:color w:val="auto"/>
              </w:rPr>
              <w:t>Pension settlement</w:t>
            </w:r>
          </w:p>
        </w:tc>
        <w:tc>
          <w:tcPr>
            <w:tcW w:w="15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(2,144)</w:t>
            </w:r>
          </w:p>
        </w:tc>
      </w:tr>
      <w:tr>
        <w:trPr>
          <w:trHeight w:val="203"/>
        </w:trPr>
        <w:tc>
          <w:tcPr>
            <w:tcW w:w="20" w:type="dxa"/>
            <w:vAlign w:val="bottom"/>
          </w:tcPr>
          <w:p>
            <w:pPr>
              <w:spacing w:after="0"/>
              <w:rPr>
                <w:sz w:val="17"/>
                <w:szCs w:val="17"/>
                <w:color w:val="auto"/>
              </w:rPr>
            </w:pPr>
          </w:p>
        </w:tc>
        <w:tc>
          <w:tcPr>
            <w:tcW w:w="8500" w:type="dxa"/>
            <w:vAlign w:val="bottom"/>
            <w:shd w:val="clear" w:color="auto" w:fill="BFBFBF"/>
          </w:tcPr>
          <w:p>
            <w:pPr>
              <w:ind w:left="20"/>
              <w:spacing w:after="0" w:line="202" w:lineRule="exact"/>
              <w:rPr>
                <w:sz w:val="20"/>
                <w:szCs w:val="20"/>
                <w:color w:val="auto"/>
              </w:rPr>
            </w:pPr>
            <w:r>
              <w:rPr>
                <w:rFonts w:ascii="Arial" w:cs="Arial" w:eastAsia="Arial" w:hAnsi="Arial"/>
                <w:sz w:val="18"/>
                <w:szCs w:val="18"/>
                <w:color w:val="auto"/>
              </w:rPr>
              <w:t>Amortization of pension liability adjustment</w:t>
            </w:r>
          </w:p>
        </w:tc>
        <w:tc>
          <w:tcPr>
            <w:tcW w:w="13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(270)</w:t>
            </w:r>
          </w:p>
        </w:tc>
        <w:tc>
          <w:tcPr>
            <w:tcW w:w="200" w:type="dxa"/>
            <w:vAlign w:val="bottom"/>
            <w:shd w:val="clear" w:color="auto" w:fill="BFBFBF"/>
          </w:tcPr>
          <w:p>
            <w:pPr>
              <w:spacing w:after="0"/>
              <w:rPr>
                <w:sz w:val="17"/>
                <w:szCs w:val="17"/>
                <w:color w:val="auto"/>
              </w:rPr>
            </w:pPr>
          </w:p>
        </w:tc>
        <w:tc>
          <w:tcPr>
            <w:tcW w:w="420" w:type="dxa"/>
            <w:vAlign w:val="bottom"/>
            <w:shd w:val="clear" w:color="auto" w:fill="BFBFBF"/>
          </w:tcPr>
          <w:p>
            <w:pPr>
              <w:spacing w:after="0"/>
              <w:rPr>
                <w:sz w:val="17"/>
                <w:szCs w:val="17"/>
                <w:color w:val="auto"/>
              </w:rPr>
            </w:pPr>
          </w:p>
        </w:tc>
        <w:tc>
          <w:tcPr>
            <w:tcW w:w="9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(523)</w:t>
            </w:r>
          </w:p>
        </w:tc>
      </w:tr>
      <w:tr>
        <w:trPr>
          <w:trHeight w:val="217"/>
        </w:trPr>
        <w:tc>
          <w:tcPr>
            <w:tcW w:w="20" w:type="dxa"/>
            <w:vAlign w:val="bottom"/>
          </w:tcPr>
          <w:p>
            <w:pPr>
              <w:spacing w:after="0"/>
              <w:rPr>
                <w:sz w:val="18"/>
                <w:szCs w:val="18"/>
                <w:color w:val="auto"/>
              </w:rPr>
            </w:pPr>
          </w:p>
        </w:tc>
        <w:tc>
          <w:tcPr>
            <w:tcW w:w="8500" w:type="dxa"/>
            <w:vAlign w:val="bottom"/>
          </w:tcPr>
          <w:p>
            <w:pPr>
              <w:ind w:left="40"/>
              <w:spacing w:after="0"/>
              <w:rPr>
                <w:sz w:val="20"/>
                <w:szCs w:val="20"/>
                <w:color w:val="auto"/>
              </w:rPr>
            </w:pPr>
            <w:r>
              <w:rPr>
                <w:rFonts w:ascii="Arial" w:cs="Arial" w:eastAsia="Arial" w:hAnsi="Arial"/>
                <w:sz w:val="18"/>
                <w:szCs w:val="18"/>
                <w:color w:val="auto"/>
              </w:rPr>
              <w:t>Derivative valuation adjustment</w:t>
            </w:r>
          </w:p>
        </w:tc>
        <w:tc>
          <w:tcPr>
            <w:tcW w:w="13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188"/>
        </w:trPr>
        <w:tc>
          <w:tcPr>
            <w:tcW w:w="20" w:type="dxa"/>
            <w:vAlign w:val="bottom"/>
          </w:tcPr>
          <w:p>
            <w:pPr>
              <w:spacing w:after="0"/>
              <w:rPr>
                <w:sz w:val="16"/>
                <w:szCs w:val="16"/>
                <w:color w:val="auto"/>
              </w:rPr>
            </w:pPr>
          </w:p>
        </w:tc>
        <w:tc>
          <w:tcPr>
            <w:tcW w:w="8500" w:type="dxa"/>
            <w:vAlign w:val="bottom"/>
            <w:tcBorders>
              <w:bottom w:val="single" w:sz="8" w:color="BFBFBF"/>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0" w:type="dxa"/>
            <w:vAlign w:val="bottom"/>
            <w:tcBorders>
              <w:bottom w:val="single" w:sz="8" w:color="BFBFB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BFBFBF"/>
          </w:tcPr>
          <w:p>
            <w:pPr>
              <w:spacing w:after="0" w:line="196" w:lineRule="exact"/>
              <w:rPr>
                <w:sz w:val="20"/>
                <w:szCs w:val="20"/>
                <w:color w:val="auto"/>
              </w:rPr>
            </w:pPr>
            <w:r>
              <w:rPr>
                <w:rFonts w:ascii="Arial" w:cs="Arial" w:eastAsia="Arial" w:hAnsi="Arial"/>
                <w:sz w:val="18"/>
                <w:szCs w:val="18"/>
                <w:color w:val="auto"/>
              </w:rPr>
              <w:t>Other comprehensive (loss)/income, net of tax</w:t>
            </w:r>
          </w:p>
        </w:tc>
        <w:tc>
          <w:tcPr>
            <w:tcW w:w="130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(9,840)</w:t>
            </w:r>
          </w:p>
        </w:tc>
        <w:tc>
          <w:tcPr>
            <w:tcW w:w="200" w:type="dxa"/>
            <w:vAlign w:val="bottom"/>
            <w:shd w:val="clear" w:color="auto" w:fill="BFBFBF"/>
          </w:tcPr>
          <w:p>
            <w:pPr>
              <w:spacing w:after="0"/>
              <w:rPr>
                <w:sz w:val="17"/>
                <w:szCs w:val="17"/>
                <w:color w:val="auto"/>
              </w:rPr>
            </w:pPr>
          </w:p>
        </w:tc>
        <w:tc>
          <w:tcPr>
            <w:tcW w:w="420" w:type="dxa"/>
            <w:vAlign w:val="bottom"/>
            <w:tcBorders>
              <w:bottom w:val="single" w:sz="8" w:color="auto"/>
            </w:tcBorders>
            <w:shd w:val="clear" w:color="auto" w:fill="BFBFBF"/>
          </w:tcPr>
          <w:p>
            <w:pPr>
              <w:spacing w:after="0"/>
              <w:rPr>
                <w:sz w:val="17"/>
                <w:szCs w:val="17"/>
                <w:color w:val="auto"/>
              </w:rPr>
            </w:pPr>
          </w:p>
        </w:tc>
        <w:tc>
          <w:tcPr>
            <w:tcW w:w="980" w:type="dxa"/>
            <w:vAlign w:val="bottom"/>
            <w:tcBorders>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20,281</w:t>
            </w:r>
          </w:p>
        </w:tc>
      </w:tr>
      <w:tr>
        <w:trPr>
          <w:trHeight w:val="203"/>
        </w:trPr>
        <w:tc>
          <w:tcPr>
            <w:tcW w:w="8520" w:type="dxa"/>
            <w:vAlign w:val="bottom"/>
            <w:gridSpan w:val="2"/>
          </w:tcPr>
          <w:p>
            <w:pPr>
              <w:spacing w:after="0" w:line="196" w:lineRule="exact"/>
              <w:rPr>
                <w:sz w:val="20"/>
                <w:szCs w:val="20"/>
                <w:color w:val="auto"/>
              </w:rPr>
            </w:pPr>
            <w:r>
              <w:rPr>
                <w:rFonts w:ascii="Arial" w:cs="Arial" w:eastAsia="Arial" w:hAnsi="Arial"/>
                <w:sz w:val="18"/>
                <w:szCs w:val="18"/>
                <w:color w:val="auto"/>
              </w:rPr>
              <w:t>Comprehensive income</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$1,671</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$67,322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BALANCE SHEETS</w:t>
      </w:r>
    </w:p>
    <w:p>
      <w:pPr>
        <w:jc w:val="center"/>
        <w:spacing w:after="0" w:line="235" w:lineRule="auto"/>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March 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84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2013</w:t>
            </w:r>
          </w:p>
        </w:tc>
        <w:tc>
          <w:tcPr>
            <w:tcW w:w="580" w:type="dxa"/>
            <w:vAlign w:val="bottom"/>
          </w:tcPr>
          <w:p>
            <w:pPr>
              <w:spacing w:after="0"/>
              <w:rPr>
                <w:sz w:val="17"/>
                <w:szCs w:val="17"/>
                <w:color w:val="auto"/>
              </w:rPr>
            </w:pPr>
          </w:p>
        </w:tc>
        <w:tc>
          <w:tcPr>
            <w:tcW w:w="128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0C0C0"/>
          </w:tcPr>
          <w:p>
            <w:pPr>
              <w:jc w:val="right"/>
              <w:ind w:right="580"/>
              <w:spacing w:after="0" w:line="202" w:lineRule="exact"/>
              <w:rPr>
                <w:sz w:val="20"/>
                <w:szCs w:val="20"/>
                <w:color w:val="auto"/>
              </w:rPr>
            </w:pPr>
            <w:r>
              <w:rPr>
                <w:rFonts w:ascii="Arial" w:cs="Arial" w:eastAsia="Arial" w:hAnsi="Arial"/>
                <w:sz w:val="18"/>
                <w:szCs w:val="18"/>
                <w:color w:val="auto"/>
              </w:rPr>
              <w:t>$199,833</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$190,718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171,483</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171,535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Inventories</w:t>
            </w:r>
          </w:p>
        </w:tc>
        <w:tc>
          <w:tcPr>
            <w:tcW w:w="1740" w:type="dxa"/>
            <w:vAlign w:val="bottom"/>
            <w:gridSpan w:val="2"/>
            <w:shd w:val="clear" w:color="auto" w:fill="C0C0C0"/>
          </w:tcPr>
          <w:p>
            <w:pPr>
              <w:jc w:val="right"/>
              <w:ind w:right="580"/>
              <w:spacing w:after="0" w:line="202" w:lineRule="exact"/>
              <w:rPr>
                <w:sz w:val="20"/>
                <w:szCs w:val="20"/>
                <w:color w:val="auto"/>
              </w:rPr>
            </w:pPr>
            <w:r>
              <w:rPr>
                <w:rFonts w:ascii="Arial" w:cs="Arial" w:eastAsia="Arial" w:hAnsi="Arial"/>
                <w:sz w:val="18"/>
                <w:szCs w:val="18"/>
                <w:color w:val="auto"/>
              </w:rPr>
              <w:t>121,032</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119,183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Income taxes receivable and deferred</w:t>
            </w:r>
          </w:p>
        </w:tc>
        <w:tc>
          <w:tcPr>
            <w:tcW w:w="17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20,473</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20,594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740" w:type="dxa"/>
            <w:vAlign w:val="bottom"/>
            <w:gridSpan w:val="2"/>
            <w:shd w:val="clear" w:color="auto" w:fill="C0C0C0"/>
          </w:tcPr>
          <w:p>
            <w:pPr>
              <w:jc w:val="right"/>
              <w:ind w:right="560"/>
              <w:spacing w:after="0" w:line="202" w:lineRule="exact"/>
              <w:rPr>
                <w:sz w:val="20"/>
                <w:szCs w:val="20"/>
                <w:color w:val="auto"/>
              </w:rPr>
            </w:pPr>
            <w:r>
              <w:rPr>
                <w:rFonts w:ascii="Arial" w:cs="Arial" w:eastAsia="Arial" w:hAnsi="Arial"/>
                <w:sz w:val="18"/>
                <w:szCs w:val="18"/>
                <w:color w:val="auto"/>
              </w:rPr>
              <w:t>13,986</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10,435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526,807</w:t>
            </w:r>
          </w:p>
        </w:tc>
        <w:tc>
          <w:tcPr>
            <w:tcW w:w="5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1740" w:type="dxa"/>
            <w:vAlign w:val="bottom"/>
            <w:gridSpan w:val="2"/>
            <w:shd w:val="clear" w:color="auto" w:fill="C0C0C0"/>
          </w:tcPr>
          <w:p>
            <w:pPr>
              <w:jc w:val="right"/>
              <w:ind w:right="580"/>
              <w:spacing w:after="0" w:line="202" w:lineRule="exact"/>
              <w:rPr>
                <w:sz w:val="20"/>
                <w:szCs w:val="20"/>
                <w:color w:val="auto"/>
              </w:rPr>
            </w:pPr>
            <w:r>
              <w:rPr>
                <w:rFonts w:ascii="Arial" w:cs="Arial" w:eastAsia="Arial" w:hAnsi="Arial"/>
                <w:sz w:val="18"/>
                <w:szCs w:val="18"/>
                <w:color w:val="auto"/>
              </w:rPr>
              <w:t>411,398</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420,154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Intangibles</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790</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1740" w:type="dxa"/>
            <w:vAlign w:val="bottom"/>
            <w:gridSpan w:val="2"/>
            <w:shd w:val="clear" w:color="auto" w:fill="C0C0C0"/>
          </w:tcPr>
          <w:p>
            <w:pPr>
              <w:jc w:val="right"/>
              <w:ind w:right="560"/>
              <w:spacing w:after="0" w:line="202" w:lineRule="exact"/>
              <w:rPr>
                <w:sz w:val="20"/>
                <w:szCs w:val="20"/>
                <w:color w:val="auto"/>
              </w:rPr>
            </w:pPr>
            <w:r>
              <w:rPr>
                <w:rFonts w:ascii="Arial" w:cs="Arial" w:eastAsia="Arial" w:hAnsi="Arial"/>
                <w:sz w:val="18"/>
                <w:szCs w:val="18"/>
                <w:color w:val="auto"/>
              </w:rPr>
              <w:t>74,876</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76,522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Deferred taxes</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113,237</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123,886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Other assets</w:t>
            </w:r>
          </w:p>
        </w:tc>
        <w:tc>
          <w:tcPr>
            <w:tcW w:w="1740" w:type="dxa"/>
            <w:vAlign w:val="bottom"/>
            <w:gridSpan w:val="2"/>
            <w:shd w:val="clear" w:color="auto" w:fill="C0C0C0"/>
          </w:tcPr>
          <w:p>
            <w:pPr>
              <w:jc w:val="right"/>
              <w:ind w:right="560"/>
              <w:spacing w:after="0" w:line="202" w:lineRule="exact"/>
              <w:rPr>
                <w:sz w:val="20"/>
                <w:szCs w:val="20"/>
                <w:color w:val="auto"/>
              </w:rPr>
            </w:pPr>
            <w:r>
              <w:rPr>
                <w:rFonts w:ascii="Arial" w:cs="Arial" w:eastAsia="Arial" w:hAnsi="Arial"/>
                <w:sz w:val="18"/>
                <w:szCs w:val="18"/>
                <w:color w:val="auto"/>
              </w:rPr>
              <w:t>24,211</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22,822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00"/>
              <w:spacing w:after="0" w:line="196" w:lineRule="exact"/>
              <w:rPr>
                <w:sz w:val="20"/>
                <w:szCs w:val="20"/>
                <w:color w:val="auto"/>
              </w:rPr>
            </w:pPr>
            <w:r>
              <w:rPr>
                <w:rFonts w:ascii="Arial" w:cs="Arial" w:eastAsia="Arial" w:hAnsi="Arial"/>
                <w:sz w:val="18"/>
                <w:szCs w:val="18"/>
                <w:color w:val="auto"/>
              </w:rPr>
              <w:t>Total assets</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$1,151,319</w:t>
            </w:r>
          </w:p>
        </w:tc>
        <w:tc>
          <w:tcPr>
            <w:tcW w:w="5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$1,156,697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4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$780</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7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35,309</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35,117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101,435</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103,257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7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55,014</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83,276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Income taxes payable and deferred</w:t>
            </w:r>
          </w:p>
        </w:tc>
        <w:tc>
          <w:tcPr>
            <w:tcW w:w="1740" w:type="dxa"/>
            <w:vAlign w:val="bottom"/>
            <w:gridSpan w:val="2"/>
            <w:shd w:val="clear" w:color="auto" w:fill="C0C0C0"/>
          </w:tcPr>
          <w:p>
            <w:pPr>
              <w:jc w:val="right"/>
              <w:ind w:right="580"/>
              <w:spacing w:after="0" w:line="202" w:lineRule="exact"/>
              <w:rPr>
                <w:sz w:val="20"/>
                <w:szCs w:val="20"/>
                <w:color w:val="auto"/>
              </w:rPr>
            </w:pPr>
            <w:r>
              <w:rPr>
                <w:rFonts w:ascii="Arial" w:cs="Arial" w:eastAsia="Arial" w:hAnsi="Arial"/>
                <w:sz w:val="18"/>
                <w:szCs w:val="18"/>
                <w:color w:val="auto"/>
              </w:rPr>
              <w:t>7,648</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13,552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200,186</w:t>
            </w:r>
          </w:p>
        </w:tc>
        <w:tc>
          <w:tcPr>
            <w:tcW w:w="5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Long-term debt</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278,622</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235,877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130,586</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136,012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Deferred taxes and other credits</w:t>
            </w:r>
          </w:p>
        </w:tc>
        <w:tc>
          <w:tcPr>
            <w:tcW w:w="1740" w:type="dxa"/>
            <w:vAlign w:val="bottom"/>
            <w:gridSpan w:val="2"/>
            <w:shd w:val="clear" w:color="auto" w:fill="C0C0C0"/>
          </w:tcPr>
          <w:p>
            <w:pPr>
              <w:jc w:val="right"/>
              <w:ind w:right="560"/>
              <w:spacing w:after="0" w:line="202" w:lineRule="exact"/>
              <w:rPr>
                <w:sz w:val="20"/>
                <w:szCs w:val="20"/>
                <w:color w:val="auto"/>
              </w:rPr>
            </w:pPr>
            <w:r>
              <w:rPr>
                <w:rFonts w:ascii="Arial" w:cs="Arial" w:eastAsia="Arial" w:hAnsi="Arial"/>
                <w:sz w:val="18"/>
                <w:szCs w:val="18"/>
                <w:color w:val="auto"/>
              </w:rPr>
              <w:t>49,547</w:t>
            </w:r>
          </w:p>
        </w:tc>
        <w:tc>
          <w:tcPr>
            <w:tcW w:w="128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55,509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658,941</w:t>
            </w:r>
          </w:p>
        </w:tc>
        <w:tc>
          <w:tcPr>
            <w:tcW w:w="5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663,186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400" w:type="dxa"/>
            <w:vAlign w:val="bottom"/>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2" w:lineRule="exact"/>
              <w:rPr>
                <w:sz w:val="20"/>
                <w:szCs w:val="20"/>
                <w:color w:val="auto"/>
              </w:rPr>
            </w:pPr>
            <w:r>
              <w:rPr>
                <w:rFonts w:ascii="Arial" w:cs="Arial" w:eastAsia="Arial" w:hAnsi="Arial"/>
                <w:sz w:val="18"/>
                <w:szCs w:val="18"/>
                <w:color w:val="auto"/>
              </w:rPr>
              <w:t>Preferred stock, par value $5.00 per share;</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00"/>
              <w:spacing w:after="0" w:line="203" w:lineRule="exact"/>
              <w:rPr>
                <w:sz w:val="20"/>
                <w:szCs w:val="20"/>
                <w:color w:val="auto"/>
              </w:rPr>
            </w:pPr>
            <w:r>
              <w:rPr>
                <w:rFonts w:ascii="Arial" w:cs="Arial" w:eastAsia="Arial" w:hAnsi="Arial"/>
                <w:sz w:val="18"/>
                <w:szCs w:val="18"/>
                <w:color w:val="auto"/>
              </w:rPr>
              <w:t>authorized 2,000,000 shares; none issued</w:t>
            </w:r>
          </w:p>
        </w:tc>
        <w:tc>
          <w:tcPr>
            <w:tcW w:w="1740" w:type="dxa"/>
            <w:vAlign w:val="bottom"/>
            <w:gridSpan w:val="2"/>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00" w:type="dxa"/>
            <w:vAlign w:val="bottom"/>
            <w:shd w:val="clear" w:color="auto" w:fill="BFBFBF"/>
          </w:tcPr>
          <w:p>
            <w:pPr>
              <w:ind w:left="100"/>
              <w:spacing w:after="0" w:line="201" w:lineRule="exact"/>
              <w:rPr>
                <w:sz w:val="20"/>
                <w:szCs w:val="20"/>
                <w:color w:val="auto"/>
              </w:rPr>
            </w:pPr>
            <w:r>
              <w:rPr>
                <w:rFonts w:ascii="Arial" w:cs="Arial" w:eastAsia="Arial" w:hAnsi="Arial"/>
                <w:sz w:val="18"/>
                <w:szCs w:val="18"/>
                <w:color w:val="auto"/>
              </w:rPr>
              <w:t>Class A Common Stock, par value $.001 per share;</w:t>
            </w:r>
          </w:p>
        </w:tc>
        <w:tc>
          <w:tcPr>
            <w:tcW w:w="116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28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100,000,000 shares; issued</w:t>
            </w:r>
          </w:p>
        </w:tc>
        <w:tc>
          <w:tcPr>
            <w:tcW w:w="116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128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200"/>
              <w:spacing w:after="0" w:line="203" w:lineRule="exact"/>
              <w:rPr>
                <w:sz w:val="20"/>
                <w:szCs w:val="20"/>
                <w:color w:val="auto"/>
              </w:rPr>
            </w:pPr>
            <w:r>
              <w:rPr>
                <w:rFonts w:ascii="Arial" w:cs="Arial" w:eastAsia="Arial" w:hAnsi="Arial"/>
                <w:sz w:val="18"/>
                <w:szCs w:val="18"/>
                <w:color w:val="auto"/>
              </w:rPr>
              <w:t>36,827,227 in 2013 and 36,642,204 in 2012</w:t>
            </w:r>
          </w:p>
        </w:tc>
        <w:tc>
          <w:tcPr>
            <w:tcW w:w="116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580" w:type="dxa"/>
            <w:vAlign w:val="bottom"/>
            <w:shd w:val="clear" w:color="auto" w:fill="BFBFBF"/>
          </w:tcPr>
          <w:p>
            <w:pPr>
              <w:spacing w:after="0"/>
              <w:rPr>
                <w:sz w:val="17"/>
                <w:szCs w:val="17"/>
                <w:color w:val="auto"/>
              </w:rPr>
            </w:pPr>
          </w:p>
        </w:tc>
        <w:tc>
          <w:tcPr>
            <w:tcW w:w="1280" w:type="dxa"/>
            <w:vAlign w:val="bottom"/>
            <w:shd w:val="clear" w:color="auto" w:fill="BFBFBF"/>
          </w:tcPr>
          <w:p>
            <w:pPr>
              <w:jc w:val="right"/>
              <w:spacing w:after="0" w:line="203"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100"/>
              <w:spacing w:after="0" w:line="201" w:lineRule="exact"/>
              <w:rPr>
                <w:sz w:val="20"/>
                <w:szCs w:val="20"/>
                <w:color w:val="auto"/>
              </w:rPr>
            </w:pPr>
            <w:r>
              <w:rPr>
                <w:rFonts w:ascii="Arial" w:cs="Arial" w:eastAsia="Arial" w:hAnsi="Arial"/>
                <w:sz w:val="18"/>
                <w:szCs w:val="18"/>
                <w:color w:val="auto"/>
              </w:rPr>
              <w:t>Class B Common Stock, par value $.001 per share;</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00"/>
              <w:spacing w:after="0" w:line="203" w:lineRule="exact"/>
              <w:rPr>
                <w:sz w:val="20"/>
                <w:szCs w:val="20"/>
                <w:color w:val="auto"/>
              </w:rPr>
            </w:pPr>
            <w:r>
              <w:rPr>
                <w:rFonts w:ascii="Arial" w:cs="Arial" w:eastAsia="Arial" w:hAnsi="Arial"/>
                <w:sz w:val="18"/>
                <w:szCs w:val="18"/>
                <w:color w:val="auto"/>
              </w:rPr>
              <w:t>outstanding 3,236,098 in 2013 and 2012</w:t>
            </w:r>
          </w:p>
        </w:tc>
        <w:tc>
          <w:tcPr>
            <w:tcW w:w="174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3</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396,998</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395,381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100"/>
              <w:spacing w:after="0" w:line="201" w:lineRule="exact"/>
              <w:rPr>
                <w:sz w:val="20"/>
                <w:szCs w:val="20"/>
                <w:color w:val="auto"/>
              </w:rPr>
            </w:pPr>
            <w:r>
              <w:rPr>
                <w:rFonts w:ascii="Arial" w:cs="Arial" w:eastAsia="Arial" w:hAnsi="Arial"/>
                <w:sz w:val="18"/>
                <w:szCs w:val="18"/>
                <w:color w:val="auto"/>
              </w:rPr>
              <w:t>Retained earnings</w:t>
            </w:r>
          </w:p>
        </w:tc>
        <w:tc>
          <w:tcPr>
            <w:tcW w:w="1740" w:type="dxa"/>
            <w:vAlign w:val="bottom"/>
            <w:gridSpan w:val="2"/>
          </w:tcPr>
          <w:p>
            <w:pPr>
              <w:jc w:val="right"/>
              <w:ind w:right="580"/>
              <w:spacing w:after="0" w:line="201" w:lineRule="exact"/>
              <w:rPr>
                <w:sz w:val="20"/>
                <w:szCs w:val="20"/>
                <w:color w:val="auto"/>
              </w:rPr>
            </w:pPr>
            <w:r>
              <w:rPr>
                <w:rFonts w:ascii="Arial" w:cs="Arial" w:eastAsia="Arial" w:hAnsi="Arial"/>
                <w:sz w:val="18"/>
                <w:szCs w:val="18"/>
                <w:color w:val="auto"/>
              </w:rPr>
              <w:t>442,865</w:t>
            </w:r>
          </w:p>
        </w:tc>
        <w:tc>
          <w:tcPr>
            <w:tcW w:w="1280" w:type="dxa"/>
            <w:vAlign w:val="bottom"/>
          </w:tcPr>
          <w:p>
            <w:pPr>
              <w:jc w:val="right"/>
              <w:spacing w:after="0" w:line="201" w:lineRule="exact"/>
              <w:rPr>
                <w:sz w:val="20"/>
                <w:szCs w:val="20"/>
                <w:color w:val="auto"/>
              </w:rPr>
            </w:pPr>
            <w:r>
              <w:rPr>
                <w:rFonts w:ascii="Arial" w:cs="Arial" w:eastAsia="Arial" w:hAnsi="Arial"/>
                <w:sz w:val="18"/>
                <w:szCs w:val="18"/>
                <w:color w:val="auto"/>
              </w:rPr>
              <w:t>435,775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100"/>
              <w:spacing w:after="0" w:line="203" w:lineRule="exact"/>
              <w:rPr>
                <w:sz w:val="20"/>
                <w:szCs w:val="20"/>
                <w:color w:val="auto"/>
              </w:rPr>
            </w:pPr>
            <w:r>
              <w:rPr>
                <w:rFonts w:ascii="Arial" w:cs="Arial" w:eastAsia="Arial" w:hAnsi="Arial"/>
                <w:sz w:val="18"/>
                <w:szCs w:val="18"/>
                <w:color w:val="auto"/>
              </w:rPr>
              <w:t>Accumulated items of other comprehensive income:</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(18,947)</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(7,659)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74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(68,315)</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(69,484)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174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(2,599)</w:t>
            </w:r>
          </w:p>
        </w:tc>
        <w:tc>
          <w:tcPr>
            <w:tcW w:w="12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00" w:type="dxa"/>
            <w:vAlign w:val="bottom"/>
          </w:tcPr>
          <w:p>
            <w:pPr>
              <w:ind w:left="100"/>
              <w:spacing w:after="0" w:line="201" w:lineRule="exact"/>
              <w:rPr>
                <w:sz w:val="20"/>
                <w:szCs w:val="20"/>
                <w:color w:val="auto"/>
              </w:rPr>
            </w:pPr>
            <w:r>
              <w:rPr>
                <w:rFonts w:ascii="Arial" w:cs="Arial" w:eastAsia="Arial" w:hAnsi="Arial"/>
                <w:sz w:val="18"/>
                <w:szCs w:val="18"/>
                <w:color w:val="auto"/>
              </w:rPr>
              <w:t>Treasury stock (Class A), at cost 8,467,873 shares</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00"/>
              <w:spacing w:after="0" w:line="203" w:lineRule="exact"/>
              <w:rPr>
                <w:sz w:val="20"/>
                <w:szCs w:val="20"/>
                <w:color w:val="auto"/>
              </w:rPr>
            </w:pPr>
            <w:r>
              <w:rPr>
                <w:rFonts w:ascii="Arial" w:cs="Arial" w:eastAsia="Arial" w:hAnsi="Arial"/>
                <w:sz w:val="18"/>
                <w:szCs w:val="18"/>
                <w:color w:val="auto"/>
              </w:rPr>
              <w:t>in 2013 and 2012</w:t>
            </w:r>
          </w:p>
        </w:tc>
        <w:tc>
          <w:tcPr>
            <w:tcW w:w="174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(257,664)</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(257,664)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0" w:type="dxa"/>
            <w:vAlign w:val="bottom"/>
            <w:tcBorders>
              <w:top w:val="single" w:sz="8" w:color="BFBFBF"/>
            </w:tcBorders>
            <w:shd w:val="clear" w:color="auto" w:fill="BFBFBF"/>
          </w:tcPr>
          <w:p>
            <w:pPr>
              <w:ind w:left="300"/>
              <w:spacing w:after="0" w:line="196" w:lineRule="exact"/>
              <w:rPr>
                <w:sz w:val="20"/>
                <w:szCs w:val="20"/>
                <w:color w:val="auto"/>
              </w:rPr>
            </w:pPr>
            <w:r>
              <w:rPr>
                <w:rFonts w:ascii="Arial" w:cs="Arial" w:eastAsia="Arial" w:hAnsi="Arial"/>
                <w:sz w:val="18"/>
                <w:szCs w:val="18"/>
                <w:color w:val="auto"/>
              </w:rPr>
              <w:t>Total shareholders' equity</w:t>
            </w:r>
          </w:p>
        </w:tc>
        <w:tc>
          <w:tcPr>
            <w:tcW w:w="11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492,378</w:t>
            </w:r>
          </w:p>
        </w:tc>
        <w:tc>
          <w:tcPr>
            <w:tcW w:w="580" w:type="dxa"/>
            <w:vAlign w:val="bottom"/>
            <w:tcBorders>
              <w:top w:val="single" w:sz="8" w:color="BFBFBF"/>
            </w:tcBorders>
            <w:shd w:val="clear" w:color="auto" w:fill="BFBFBF"/>
          </w:tcPr>
          <w:p>
            <w:pPr>
              <w:spacing w:after="0"/>
              <w:rPr>
                <w:sz w:val="17"/>
                <w:szCs w:val="17"/>
                <w:color w:val="auto"/>
              </w:rPr>
            </w:pPr>
          </w:p>
        </w:tc>
        <w:tc>
          <w:tcPr>
            <w:tcW w:w="12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493,511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$1,151,319</w:t>
            </w:r>
          </w:p>
        </w:tc>
        <w:tc>
          <w:tcPr>
            <w:tcW w:w="58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$1,156,697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jc w:val="center"/>
        <w:spacing w:after="0" w:line="234" w:lineRule="auto"/>
        <w:rPr>
          <w:sz w:val="20"/>
          <w:szCs w:val="20"/>
          <w:color w:val="auto"/>
        </w:rPr>
      </w:pPr>
      <w:r>
        <w:rPr>
          <w:rFonts w:ascii="Arial" w:cs="Arial" w:eastAsia="Arial" w:hAnsi="Arial"/>
          <w:sz w:val="18"/>
          <w:szCs w:val="18"/>
          <w:color w:val="auto"/>
        </w:rPr>
        <w:t>CONSOLIDATED STATEMENTS OF CASH FLOWS</w:t>
      </w:r>
    </w:p>
    <w:p>
      <w:pPr>
        <w:jc w:val="center"/>
        <w:spacing w:after="0" w:line="235"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Three Months Ended</w:t>
      </w:r>
    </w:p>
    <w:p>
      <w:pPr>
        <w:jc w:val="center"/>
        <w:ind w:left="7320"/>
        <w:spacing w:after="0"/>
        <w:rPr>
          <w:sz w:val="20"/>
          <w:szCs w:val="20"/>
          <w:color w:val="auto"/>
        </w:rPr>
      </w:pPr>
      <w:r>
        <w:rPr>
          <w:rFonts w:ascii="Arial" w:cs="Arial" w:eastAsia="Arial" w:hAnsi="Arial"/>
          <w:sz w:val="18"/>
          <w:szCs w:val="18"/>
          <w:color w:val="auto"/>
        </w:rPr>
        <w:t>March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2013</w:t>
            </w:r>
          </w:p>
        </w:tc>
        <w:tc>
          <w:tcPr>
            <w:tcW w:w="90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20" w:type="dxa"/>
            <w:vAlign w:val="bottom"/>
            <w:gridSpan w:val="2"/>
            <w:vMerge w:val="continue"/>
          </w:tcPr>
          <w:p>
            <w:pPr>
              <w:spacing w:after="0"/>
              <w:rPr>
                <w:sz w:val="17"/>
                <w:szCs w:val="17"/>
                <w:color w:val="auto"/>
              </w:rPr>
            </w:pP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$11,511</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$47,041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by/(used in) operating</w:t>
            </w: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activities:</w:t>
            </w: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Depreciation</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14,211</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Amortization</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1,663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Noncash interest expense</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3,873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(67,119)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Write-off of pension liability adjustment due to settlement</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44</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(Gain) on disposition of assets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(3,763)</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(57,968)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(352)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(698)</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3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business divestitures:</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receivable</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(1,723)</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Inventories</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(2,988)</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(3,912)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(3,577)</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Income taxes prepaid and receivable</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152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547</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6,174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(8,983)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Income taxes payable</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(5,318)</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500" w:type="dxa"/>
            <w:vAlign w:val="bottom"/>
            <w:gridSpan w:val="2"/>
          </w:tcPr>
          <w:p>
            <w:pPr>
              <w:jc w:val="right"/>
              <w:ind w:right="900"/>
              <w:spacing w:after="0"/>
              <w:rPr>
                <w:sz w:val="20"/>
                <w:szCs w:val="20"/>
                <w:color w:val="auto"/>
              </w:rPr>
            </w:pPr>
            <w:r>
              <w:rPr>
                <w:rFonts w:ascii="Arial" w:cs="Arial" w:eastAsia="Arial" w:hAnsi="Arial"/>
                <w:sz w:val="18"/>
                <w:szCs w:val="18"/>
                <w:color w:val="auto"/>
              </w:rPr>
              <w:t>(438)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provided by/(used in) operating activities</w:t>
            </w: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4,161</w:t>
            </w:r>
          </w:p>
        </w:tc>
        <w:tc>
          <w:tcPr>
            <w:tcW w:w="900" w:type="dxa"/>
            <w:vAlign w:val="bottom"/>
            <w:tcBorders>
              <w:top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(42,668)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3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(13,188)</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Purchased software</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(93)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sale of assets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6,268</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Proceeds from sale of discontinued operations, net of expenses</w:t>
            </w:r>
          </w:p>
        </w:tc>
        <w:tc>
          <w:tcPr>
            <w:tcW w:w="25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112,573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(used in)/provided by investing activities</w:t>
            </w: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(7,013)</w:t>
            </w:r>
          </w:p>
        </w:tc>
        <w:tc>
          <w:tcPr>
            <w:tcW w:w="900" w:type="dxa"/>
            <w:vAlign w:val="bottom"/>
            <w:tcBorders>
              <w:top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108,234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3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borrowings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46,868</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Principal payments on debt</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(32,183)</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(57,242)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Proceeds from options exercised</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1,964</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2" w:lineRule="exact"/>
              <w:rPr>
                <w:sz w:val="20"/>
                <w:szCs w:val="20"/>
                <w:color w:val="auto"/>
              </w:rPr>
            </w:pPr>
            <w:r>
              <w:rPr>
                <w:rFonts w:ascii="Arial" w:cs="Arial" w:eastAsia="Arial" w:hAnsi="Arial"/>
                <w:sz w:val="18"/>
                <w:szCs w:val="18"/>
                <w:color w:val="auto"/>
              </w:rPr>
              <w:t>Excess tax benefit of options exercised</w:t>
            </w:r>
          </w:p>
        </w:tc>
        <w:tc>
          <w:tcPr>
            <w:tcW w:w="250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352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Debt acquisition costs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(1,563)</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5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Net cash provided by/(used in) financing activities</w:t>
            </w: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15,438</w:t>
            </w:r>
          </w:p>
        </w:tc>
        <w:tc>
          <w:tcPr>
            <w:tcW w:w="900" w:type="dxa"/>
            <w:vAlign w:val="bottom"/>
            <w:tcBorders>
              <w:top w:val="single" w:sz="8" w:color="BFBFBF"/>
            </w:tcBorders>
            <w:shd w:val="clear" w:color="auto" w:fill="BFBFBF"/>
          </w:tcPr>
          <w:p>
            <w:pPr>
              <w:spacing w:after="0"/>
              <w:rPr>
                <w:sz w:val="17"/>
                <w:szCs w:val="17"/>
                <w:color w:val="auto"/>
              </w:rPr>
            </w:pPr>
          </w:p>
        </w:tc>
        <w:tc>
          <w:tcPr>
            <w:tcW w:w="16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(52,119)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500" w:type="dxa"/>
            <w:vAlign w:val="bottom"/>
            <w:gridSpan w:val="2"/>
          </w:tcPr>
          <w:p>
            <w:pPr>
              <w:jc w:val="right"/>
              <w:ind w:right="900"/>
              <w:spacing w:after="0"/>
              <w:rPr>
                <w:sz w:val="20"/>
                <w:szCs w:val="20"/>
                <w:color w:val="auto"/>
              </w:rPr>
            </w:pPr>
            <w:r>
              <w:rPr>
                <w:rFonts w:ascii="Arial" w:cs="Arial" w:eastAsia="Arial" w:hAnsi="Arial"/>
                <w:sz w:val="18"/>
                <w:szCs w:val="18"/>
                <w:color w:val="auto"/>
              </w:rPr>
              <w:t>(3,471)</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0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Increase in cash and cash equivalents</w:t>
            </w:r>
          </w:p>
        </w:tc>
        <w:tc>
          <w:tcPr>
            <w:tcW w:w="2500" w:type="dxa"/>
            <w:vAlign w:val="bottom"/>
            <w:gridSpan w:val="2"/>
            <w:shd w:val="clear" w:color="auto" w:fill="BFBFBF"/>
          </w:tcPr>
          <w:p>
            <w:pPr>
              <w:jc w:val="right"/>
              <w:ind w:right="900"/>
              <w:spacing w:after="0" w:line="202" w:lineRule="exact"/>
              <w:rPr>
                <w:sz w:val="20"/>
                <w:szCs w:val="20"/>
                <w:color w:val="auto"/>
              </w:rPr>
            </w:pPr>
            <w:r>
              <w:rPr>
                <w:rFonts w:ascii="Arial" w:cs="Arial" w:eastAsia="Arial" w:hAnsi="Arial"/>
                <w:sz w:val="18"/>
                <w:szCs w:val="18"/>
                <w:color w:val="auto"/>
              </w:rPr>
              <w:t>9,115</w:t>
            </w:r>
          </w:p>
        </w:tc>
        <w:tc>
          <w:tcPr>
            <w:tcW w:w="16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22,016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500" w:type="dxa"/>
            <w:vAlign w:val="bottom"/>
            <w:gridSpan w:val="2"/>
          </w:tcPr>
          <w:p>
            <w:pPr>
              <w:jc w:val="right"/>
              <w:ind w:right="900"/>
              <w:spacing w:after="0"/>
              <w:rPr>
                <w:sz w:val="20"/>
                <w:szCs w:val="20"/>
                <w:color w:val="auto"/>
              </w:rPr>
            </w:pPr>
            <w:r>
              <w:rPr>
                <w:rFonts w:ascii="Arial" w:cs="Arial" w:eastAsia="Arial" w:hAnsi="Arial"/>
                <w:sz w:val="18"/>
                <w:szCs w:val="18"/>
                <w:color w:val="auto"/>
              </w:rPr>
              <w:t>190,718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shd w:val="clear" w:color="auto" w:fill="BFBFBF"/>
          </w:tcPr>
          <w:p>
            <w:pPr>
              <w:spacing w:after="0"/>
              <w:rPr>
                <w:sz w:val="20"/>
                <w:szCs w:val="20"/>
                <w:color w:val="auto"/>
              </w:rPr>
            </w:pPr>
            <w:r>
              <w:rPr>
                <w:rFonts w:ascii="Arial" w:cs="Arial" w:eastAsia="Arial" w:hAnsi="Arial"/>
                <w:sz w:val="18"/>
                <w:szCs w:val="18"/>
                <w:color w:val="auto"/>
              </w:rPr>
              <w:t>Cash and cash equivalents at end of period</w:t>
            </w:r>
          </w:p>
        </w:tc>
        <w:tc>
          <w:tcPr>
            <w:tcW w:w="1600" w:type="dxa"/>
            <w:vAlign w:val="bottom"/>
            <w:shd w:val="clear" w:color="auto" w:fill="000000"/>
          </w:tcPr>
          <w:p>
            <w:pPr>
              <w:spacing w:after="0" w:line="20" w:lineRule="exact"/>
              <w:rPr>
                <w:sz w:val="1"/>
                <w:szCs w:val="1"/>
                <w:color w:val="auto"/>
              </w:rPr>
            </w:pPr>
          </w:p>
        </w:tc>
        <w:tc>
          <w:tcPr>
            <w:tcW w:w="900" w:type="dxa"/>
            <w:vAlign w:val="bottom"/>
            <w:shd w:val="clear" w:color="auto" w:fill="BFBFB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vMerge w:val="continue"/>
            <w:shd w:val="clear" w:color="auto" w:fill="BFBFBF"/>
          </w:tcPr>
          <w:p>
            <w:pPr>
              <w:spacing w:after="0"/>
              <w:rPr>
                <w:sz w:val="18"/>
                <w:szCs w:val="18"/>
                <w:color w:val="auto"/>
              </w:rPr>
            </w:pPr>
          </w:p>
        </w:tc>
        <w:tc>
          <w:tcPr>
            <w:tcW w:w="2500" w:type="dxa"/>
            <w:vAlign w:val="bottom"/>
            <w:gridSpan w:val="2"/>
            <w:shd w:val="clear" w:color="auto" w:fill="BFBFBF"/>
          </w:tcPr>
          <w:p>
            <w:pPr>
              <w:jc w:val="right"/>
              <w:ind w:right="900"/>
              <w:spacing w:after="0"/>
              <w:rPr>
                <w:sz w:val="20"/>
                <w:szCs w:val="20"/>
                <w:color w:val="auto"/>
              </w:rPr>
            </w:pPr>
            <w:r>
              <w:rPr>
                <w:rFonts w:ascii="Arial" w:cs="Arial" w:eastAsia="Arial" w:hAnsi="Arial"/>
                <w:sz w:val="18"/>
                <w:szCs w:val="18"/>
                <w:color w:val="auto"/>
              </w:rPr>
              <w:t>$199,833</w:t>
            </w:r>
          </w:p>
        </w:tc>
        <w:tc>
          <w:tcPr>
            <w:tcW w:w="16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$140,925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BFBFB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BFBFB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jc w:val="center"/>
        <w:ind w:right="-19"/>
        <w:spacing w:after="0" w:line="234" w:lineRule="auto"/>
        <w:rPr>
          <w:sz w:val="20"/>
          <w:szCs w:val="20"/>
          <w:color w:val="auto"/>
        </w:rPr>
      </w:pPr>
      <w:r>
        <w:rPr>
          <w:rFonts w:ascii="Arial" w:cs="Arial" w:eastAsia="Arial" w:hAnsi="Arial"/>
          <w:sz w:val="18"/>
          <w:szCs w:val="18"/>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6" w:lineRule="exact"/>
        <w:rPr>
          <w:sz w:val="20"/>
          <w:szCs w:val="20"/>
          <w:color w:val="auto"/>
        </w:rPr>
      </w:pPr>
    </w:p>
    <w:p>
      <w:pPr>
        <w:ind w:right="80" w:firstLine="360"/>
        <w:spacing w:after="0" w:line="236" w:lineRule="auto"/>
        <w:rPr>
          <w:sz w:val="20"/>
          <w:szCs w:val="20"/>
          <w:color w:val="auto"/>
        </w:rPr>
      </w:pPr>
      <w:r>
        <w:rPr>
          <w:rFonts w:ascii="Arial" w:cs="Arial" w:eastAsia="Arial" w:hAnsi="Arial"/>
          <w:sz w:val="18"/>
          <w:szCs w:val="18"/>
          <w:color w:val="auto"/>
        </w:rPr>
        <w:t>In our opinion, the accompanying unaudited consolidated financial statements contain all adjustments, consisting of only normal, recurring adjustments, necessary for a fair presentation of results for such periods. The results for any interim period are not necessarily indicative of results for the full year. The preparation of financial statements for interim periods does not require all of the disclosures normally included in financial statements prepared in accordance with accounting principles generally accepted in the United States of America (U.S. GAAP). Accordingly, certain information and footnote disclosures normally included in financial statements prepared in accordance with accounting principles generally accepted in the United States of America have been omitted. The December 31, 2012 financial position data included herein was derived from the audited consolidated financial statements included in the 2012 Form 10-K but does not include all disclosures required by U.S. GAAP. These consolidated financial statements should be read in conjunction with our Annual Report on Form 10-K as filed with the SEC for the year ended December 31, 2012.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Discontinued Operations</w:t>
      </w:r>
    </w:p>
    <w:p>
      <w:pPr>
        <w:spacing w:after="0" w:line="126"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In October 2011 we entered into a contract to sell the assets and liabilities of our Albany Door Systems business to Assa Abloy AB for $130 million. Closing on the transaction occurred on January 11, 2012. Under the terms of the contract, Assa Abloy AB acquired our equity ownership of Albany Doors Systems GmbH in Germany, Albany Door Systems AB in Sweden, and other ADS affiliates in Germany, France, the Netherlands, Turkey, Poland, Belgium, New Zealand, and other countries, as well as the remaining ADS business assets, most of which are located in the United States, Australia, China, and Italy. In the first quarter of 2012 the Company recorded a pre-tax gain of $58.0 million, including $17.4 million which was payable by the purchaser as of March 31, 2012. The initial purchase price of $130 million included $13 million to be paid in July 2013. We recorded the value of that consideration on a present value basis and, as of March 31, 2013, we have a receivable of $12.9 million included in Accounts receivable.</w:t>
      </w:r>
    </w:p>
    <w:p>
      <w:pPr>
        <w:spacing w:after="0" w:line="101" w:lineRule="exact"/>
        <w:rPr>
          <w:sz w:val="20"/>
          <w:szCs w:val="20"/>
          <w:color w:val="auto"/>
        </w:rPr>
      </w:pPr>
    </w:p>
    <w:p>
      <w:pPr>
        <w:ind w:right="120" w:firstLine="360"/>
        <w:spacing w:after="0" w:line="218" w:lineRule="auto"/>
        <w:rPr>
          <w:sz w:val="20"/>
          <w:szCs w:val="20"/>
          <w:color w:val="auto"/>
        </w:rPr>
      </w:pPr>
      <w:r>
        <w:rPr>
          <w:rFonts w:ascii="Arial" w:cs="Arial" w:eastAsia="Arial" w:hAnsi="Arial"/>
          <w:sz w:val="18"/>
          <w:szCs w:val="18"/>
          <w:color w:val="auto"/>
        </w:rPr>
        <w:t>In May 2012, we announced an agreement to sell our PrimaLoft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business and that transaction closed on June 29, 2012. Under the terms of the agreement, the purchaser acquired all of the assets of that business, which were located in the United States, Italy and Germany. The purchase price of $38.0 million included $3.8 million held in an escrow account which is included in Accounts receivable and is expected to be received in December 2013. The Company recorded a pre-tax gain in the second quarter of 2012 of $34.9 million as result of that sale.</w:t>
      </w:r>
    </w:p>
    <w:p>
      <w:pPr>
        <w:spacing w:after="0" w:line="96" w:lineRule="exact"/>
        <w:rPr>
          <w:sz w:val="20"/>
          <w:szCs w:val="20"/>
          <w:color w:val="auto"/>
        </w:rPr>
      </w:pPr>
    </w:p>
    <w:p>
      <w:pPr>
        <w:ind w:right="180" w:firstLine="360"/>
        <w:spacing w:after="0" w:line="238" w:lineRule="auto"/>
        <w:rPr>
          <w:sz w:val="20"/>
          <w:szCs w:val="20"/>
          <w:color w:val="auto"/>
        </w:rPr>
      </w:pPr>
      <w:r>
        <w:rPr>
          <w:rFonts w:ascii="Arial" w:cs="Arial" w:eastAsia="Arial" w:hAnsi="Arial"/>
          <w:sz w:val="18"/>
          <w:szCs w:val="18"/>
          <w:color w:val="auto"/>
        </w:rPr>
        <w:t>We have provided customary representations and warranties in the sale of both of these businesses but we do not expect any material negative financial consequence will result from these arrangements. In accordance with the applicable accounting guidance for discontinued businesses, the associated results of operations and financial position are reported separately in the accompanying Consolidated Statements of Income and Balance Sheets. Cash flows of the discontinued operation were combined with cash flows from continuing operations in the Consolidated Statements of Cash Flows.</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operating results of the discontinued operations:</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572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left="1070"/>
              <w:spacing w:after="0"/>
              <w:rPr>
                <w:sz w:val="20"/>
                <w:szCs w:val="20"/>
                <w:color w:val="auto"/>
              </w:rPr>
            </w:pPr>
            <w:r>
              <w:rPr>
                <w:rFonts w:ascii="Arial" w:cs="Arial" w:eastAsia="Arial" w:hAnsi="Arial"/>
                <w:sz w:val="18"/>
                <w:szCs w:val="18"/>
                <w:color w:val="auto"/>
                <w:w w:val="99"/>
              </w:rPr>
              <w:t>Three months</w:t>
            </w: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Three months</w:t>
            </w:r>
          </w:p>
        </w:tc>
      </w:tr>
      <w:tr>
        <w:trPr>
          <w:trHeight w:val="194"/>
        </w:trPr>
        <w:tc>
          <w:tcPr>
            <w:tcW w:w="5720" w:type="dxa"/>
            <w:vAlign w:val="bottom"/>
          </w:tcPr>
          <w:p>
            <w:pPr>
              <w:spacing w:after="0"/>
              <w:rPr>
                <w:sz w:val="16"/>
                <w:szCs w:val="16"/>
                <w:color w:val="auto"/>
              </w:rPr>
            </w:pPr>
          </w:p>
        </w:tc>
        <w:tc>
          <w:tcPr>
            <w:tcW w:w="2660" w:type="dxa"/>
            <w:vAlign w:val="bottom"/>
          </w:tcPr>
          <w:p>
            <w:pPr>
              <w:jc w:val="right"/>
              <w:ind w:right="390"/>
              <w:spacing w:after="0" w:line="195" w:lineRule="exact"/>
              <w:rPr>
                <w:sz w:val="20"/>
                <w:szCs w:val="20"/>
                <w:color w:val="auto"/>
              </w:rPr>
            </w:pPr>
            <w:r>
              <w:rPr>
                <w:rFonts w:ascii="Arial" w:cs="Arial" w:eastAsia="Arial" w:hAnsi="Arial"/>
                <w:sz w:val="18"/>
                <w:szCs w:val="18"/>
                <w:color w:val="auto"/>
              </w:rPr>
              <w:t>ended</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9"/>
              </w:rPr>
              <w:t>ended</w:t>
            </w:r>
          </w:p>
        </w:tc>
      </w:tr>
      <w:tr>
        <w:trPr>
          <w:trHeight w:val="225"/>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b w:val="1"/>
                <w:bCs w:val="1"/>
                <w:color w:val="auto"/>
                <w:w w:val="99"/>
              </w:rPr>
              <w:t>March 31, 2013</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March 31, 2012</w:t>
            </w:r>
          </w:p>
        </w:tc>
      </w:tr>
      <w:tr>
        <w:trPr>
          <w:trHeight w:val="412"/>
        </w:trPr>
        <w:tc>
          <w:tcPr>
            <w:tcW w:w="5720" w:type="dxa"/>
            <w:vAlign w:val="bottom"/>
          </w:tcPr>
          <w:p>
            <w:pPr>
              <w:ind w:left="100"/>
              <w:spacing w:after="0"/>
              <w:rPr>
                <w:sz w:val="20"/>
                <w:szCs w:val="20"/>
                <w:color w:val="auto"/>
              </w:rPr>
            </w:pPr>
            <w:r>
              <w:rPr>
                <w:rFonts w:ascii="Arial" w:cs="Arial" w:eastAsia="Arial" w:hAnsi="Arial"/>
                <w:sz w:val="18"/>
                <w:szCs w:val="18"/>
                <w:color w:val="auto"/>
              </w:rPr>
              <w:t>Net sales</w:t>
            </w:r>
          </w:p>
        </w:tc>
        <w:tc>
          <w:tcPr>
            <w:tcW w:w="2660" w:type="dxa"/>
            <w:vAlign w:val="bottom"/>
          </w:tcPr>
          <w:p>
            <w:pPr>
              <w:jc w:val="right"/>
              <w:ind w:right="16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9,491</w:t>
            </w:r>
          </w:p>
        </w:tc>
      </w:tr>
      <w:tr>
        <w:trPr>
          <w:trHeight w:val="405"/>
        </w:trPr>
        <w:tc>
          <w:tcPr>
            <w:tcW w:w="5720" w:type="dxa"/>
            <w:vAlign w:val="bottom"/>
          </w:tcPr>
          <w:p>
            <w:pPr>
              <w:ind w:left="100"/>
              <w:spacing w:after="0"/>
              <w:rPr>
                <w:sz w:val="20"/>
                <w:szCs w:val="20"/>
                <w:color w:val="auto"/>
              </w:rPr>
            </w:pPr>
            <w:r>
              <w:rPr>
                <w:rFonts w:ascii="Arial" w:cs="Arial" w:eastAsia="Arial" w:hAnsi="Arial"/>
                <w:sz w:val="18"/>
                <w:szCs w:val="18"/>
                <w:color w:val="auto"/>
              </w:rPr>
              <w:t>Income from operations of discontinued business before tax</w:t>
            </w:r>
          </w:p>
        </w:tc>
        <w:tc>
          <w:tcPr>
            <w:tcW w:w="266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r>
      <w:tr>
        <w:trPr>
          <w:trHeight w:val="405"/>
        </w:trPr>
        <w:tc>
          <w:tcPr>
            <w:tcW w:w="5720" w:type="dxa"/>
            <w:vAlign w:val="bottom"/>
          </w:tcPr>
          <w:p>
            <w:pPr>
              <w:ind w:left="100"/>
              <w:spacing w:after="0"/>
              <w:rPr>
                <w:sz w:val="20"/>
                <w:szCs w:val="20"/>
                <w:color w:val="auto"/>
              </w:rPr>
            </w:pPr>
            <w:r>
              <w:rPr>
                <w:rFonts w:ascii="Arial" w:cs="Arial" w:eastAsia="Arial" w:hAnsi="Arial"/>
                <w:sz w:val="18"/>
                <w:szCs w:val="18"/>
                <w:color w:val="auto"/>
              </w:rPr>
              <w:t>Gain on disposition of discontinued operations</w:t>
            </w:r>
          </w:p>
        </w:tc>
        <w:tc>
          <w:tcPr>
            <w:tcW w:w="2660" w:type="dxa"/>
            <w:vAlign w:val="bottom"/>
          </w:tcPr>
          <w:p>
            <w:pPr>
              <w:spacing w:after="0"/>
              <w:rPr>
                <w:sz w:val="24"/>
                <w:szCs w:val="24"/>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57,968</w:t>
            </w:r>
          </w:p>
        </w:tc>
      </w:tr>
      <w:tr>
        <w:trPr>
          <w:trHeight w:val="392"/>
        </w:trPr>
        <w:tc>
          <w:tcPr>
            <w:tcW w:w="5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expense</w:t>
            </w: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12,814</w:t>
            </w:r>
          </w:p>
        </w:tc>
      </w:tr>
    </w:tbl>
    <w:p>
      <w:pPr>
        <w:spacing w:after="0" w:line="202" w:lineRule="exact"/>
        <w:rPr>
          <w:sz w:val="20"/>
          <w:szCs w:val="20"/>
          <w:color w:val="auto"/>
        </w:rPr>
      </w:pPr>
    </w:p>
    <w:p>
      <w:pPr>
        <w:ind w:right="160" w:firstLine="360"/>
        <w:spacing w:after="0" w:line="246" w:lineRule="auto"/>
        <w:rPr>
          <w:sz w:val="20"/>
          <w:szCs w:val="20"/>
          <w:color w:val="auto"/>
        </w:rPr>
      </w:pPr>
      <w:r>
        <w:rPr>
          <w:rFonts w:ascii="Arial" w:cs="Arial" w:eastAsia="Arial" w:hAnsi="Arial"/>
          <w:sz w:val="18"/>
          <w:szCs w:val="18"/>
          <w:color w:val="auto"/>
        </w:rPr>
        <w:t>Income tax expense in 2012 included a charge of $5.4 million pertaining to cash repatriations that occurred in 2012 as a result of the sale of the Albany Doors business.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rPr>
                <w:sz w:val="16"/>
                <w:szCs w:val="16"/>
                <w:color w:val="auto"/>
              </w:rPr>
            </w:pPr>
          </w:p>
        </w:tc>
        <w:tc>
          <w:tcPr>
            <w:tcW w:w="350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5"/>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080" w:type="dxa"/>
            <w:vAlign w:val="bottom"/>
          </w:tcPr>
          <w:p>
            <w:pPr>
              <w:jc w:val="right"/>
              <w:ind w:right="910"/>
              <w:spacing w:after="0"/>
              <w:rPr>
                <w:sz w:val="20"/>
                <w:szCs w:val="20"/>
                <w:color w:val="auto"/>
              </w:rPr>
            </w:pPr>
            <w:r>
              <w:rPr>
                <w:rFonts w:ascii="Arial" w:cs="Arial" w:eastAsia="Arial" w:hAnsi="Arial"/>
                <w:sz w:val="18"/>
                <w:szCs w:val="18"/>
                <w:b w:val="1"/>
                <w:bCs w:val="1"/>
                <w:color w:val="auto"/>
              </w:rPr>
              <w:t>2013</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Net sales</w:t>
            </w:r>
          </w:p>
        </w:tc>
        <w:tc>
          <w:tcPr>
            <w:tcW w:w="208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8"/>
                <w:szCs w:val="18"/>
                <w:b w:val="1"/>
                <w:bCs w:val="1"/>
                <w:color w:val="auto"/>
              </w:rPr>
              <w:t>$167,409</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80"/>
              <w:spacing w:after="0" w:line="181" w:lineRule="exact"/>
              <w:rPr>
                <w:sz w:val="20"/>
                <w:szCs w:val="20"/>
                <w:color w:val="auto"/>
              </w:rPr>
            </w:pPr>
            <w:r>
              <w:rPr>
                <w:rFonts w:ascii="Arial" w:cs="Arial" w:eastAsia="Arial" w:hAnsi="Arial"/>
                <w:sz w:val="18"/>
                <w:szCs w:val="18"/>
                <w:color w:val="auto"/>
              </w:rPr>
              <w:t>Machine Clothing</w:t>
            </w:r>
          </w:p>
        </w:tc>
        <w:tc>
          <w:tcPr>
            <w:tcW w:w="2080" w:type="dxa"/>
            <w:vAlign w:val="bottom"/>
            <w:vMerge w:val="continue"/>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$164,288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Engineered Composites</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19,245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2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$186,654</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$180,077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Pr>
          <w:p>
            <w:pPr>
              <w:ind w:left="80"/>
              <w:spacing w:after="0" w:line="195" w:lineRule="exact"/>
              <w:rPr>
                <w:sz w:val="20"/>
                <w:szCs w:val="20"/>
                <w:color w:val="auto"/>
              </w:rPr>
            </w:pPr>
            <w:r>
              <w:rPr>
                <w:rFonts w:ascii="Arial" w:cs="Arial" w:eastAsia="Arial" w:hAnsi="Arial"/>
                <w:sz w:val="18"/>
                <w:szCs w:val="18"/>
                <w:b w:val="1"/>
                <w:bCs w:val="1"/>
                <w:color w:val="auto"/>
              </w:rPr>
              <w:t>Operating income/(loss)</w:t>
            </w:r>
          </w:p>
        </w:tc>
        <w:tc>
          <w:tcPr>
            <w:tcW w:w="20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$42,908</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80"/>
              <w:spacing w:after="0" w:line="181" w:lineRule="exact"/>
              <w:rPr>
                <w:sz w:val="20"/>
                <w:szCs w:val="20"/>
                <w:color w:val="auto"/>
              </w:rPr>
            </w:pPr>
            <w:r>
              <w:rPr>
                <w:rFonts w:ascii="Arial" w:cs="Arial" w:eastAsia="Arial" w:hAnsi="Arial"/>
                <w:sz w:val="18"/>
                <w:szCs w:val="18"/>
                <w:color w:val="auto"/>
              </w:rPr>
              <w:t>Machine Clothing</w:t>
            </w:r>
          </w:p>
        </w:tc>
        <w:tc>
          <w:tcPr>
            <w:tcW w:w="2080" w:type="dxa"/>
            <w:vAlign w:val="bottom"/>
            <w:vMerge w:val="continue"/>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$30,845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80"/>
              <w:spacing w:after="0" w:line="202" w:lineRule="exact"/>
              <w:rPr>
                <w:sz w:val="20"/>
                <w:szCs w:val="20"/>
                <w:color w:val="auto"/>
              </w:rPr>
            </w:pPr>
            <w:r>
              <w:rPr>
                <w:rFonts w:ascii="Arial" w:cs="Arial" w:eastAsia="Arial" w:hAnsi="Arial"/>
                <w:sz w:val="18"/>
                <w:szCs w:val="18"/>
                <w:color w:val="auto"/>
              </w:rPr>
              <w:t>Engineered Composites</w:t>
            </w:r>
          </w:p>
        </w:tc>
        <w:tc>
          <w:tcPr>
            <w:tcW w:w="20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(2,063)</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80"/>
              <w:spacing w:after="0" w:line="202" w:lineRule="exact"/>
              <w:rPr>
                <w:sz w:val="20"/>
                <w:szCs w:val="20"/>
                <w:color w:val="auto"/>
              </w:rPr>
            </w:pPr>
            <w:r>
              <w:rPr>
                <w:rFonts w:ascii="Arial" w:cs="Arial" w:eastAsia="Arial" w:hAnsi="Arial"/>
                <w:sz w:val="18"/>
                <w:szCs w:val="18"/>
                <w:color w:val="auto"/>
              </w:rPr>
              <w:t>Research expense</w:t>
            </w:r>
          </w:p>
        </w:tc>
        <w:tc>
          <w:tcPr>
            <w:tcW w:w="208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(6,991)</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Unallocated expenses</w:t>
            </w:r>
          </w:p>
        </w:tc>
        <w:tc>
          <w:tcPr>
            <w:tcW w:w="2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(11,336)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tcPr>
          <w:p>
            <w:pPr>
              <w:ind w:left="80"/>
              <w:spacing w:after="0" w:line="195" w:lineRule="exact"/>
              <w:rPr>
                <w:sz w:val="20"/>
                <w:szCs w:val="20"/>
                <w:color w:val="auto"/>
              </w:rPr>
            </w:pPr>
            <w:r>
              <w:rPr>
                <w:rFonts w:ascii="Arial" w:cs="Arial" w:eastAsia="Arial" w:hAnsi="Arial"/>
                <w:sz w:val="18"/>
                <w:szCs w:val="18"/>
                <w:color w:val="auto"/>
              </w:rPr>
              <w:t>Operating income/(loss) before reconciling items</w:t>
            </w:r>
          </w:p>
        </w:tc>
        <w:tc>
          <w:tcPr>
            <w:tcW w:w="2080" w:type="dxa"/>
            <w:vAlign w:val="bottom"/>
          </w:tcPr>
          <w:p>
            <w:pPr>
              <w:jc w:val="right"/>
              <w:ind w:right="570"/>
              <w:spacing w:after="0" w:line="195" w:lineRule="exact"/>
              <w:rPr>
                <w:sz w:val="20"/>
                <w:szCs w:val="20"/>
                <w:color w:val="auto"/>
              </w:rPr>
            </w:pPr>
            <w:r>
              <w:rPr>
                <w:rFonts w:ascii="Arial" w:cs="Arial" w:eastAsia="Arial" w:hAnsi="Arial"/>
                <w:sz w:val="18"/>
                <w:szCs w:val="18"/>
                <w:b w:val="1"/>
                <w:bCs w:val="1"/>
                <w:color w:val="auto"/>
              </w:rPr>
              <w:t>22,518</w:t>
            </w:r>
          </w:p>
        </w:tc>
        <w:tc>
          <w:tcPr>
            <w:tcW w:w="1420" w:type="dxa"/>
            <w:vAlign w:val="bottom"/>
          </w:tcPr>
          <w:p>
            <w:pPr>
              <w:jc w:val="right"/>
              <w:spacing w:after="0" w:line="195"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80"/>
              <w:spacing w:after="0" w:line="202" w:lineRule="exact"/>
              <w:rPr>
                <w:sz w:val="20"/>
                <w:szCs w:val="20"/>
                <w:color w:val="auto"/>
              </w:rPr>
            </w:pPr>
            <w:r>
              <w:rPr>
                <w:rFonts w:ascii="Arial" w:cs="Arial" w:eastAsia="Arial" w:hAnsi="Arial"/>
                <w:sz w:val="18"/>
                <w:szCs w:val="18"/>
                <w:color w:val="auto"/>
              </w:rPr>
              <w:t>Reconciling items:</w:t>
            </w: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(299)</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620" w:type="dxa"/>
            <w:vAlign w:val="bottom"/>
          </w:tcPr>
          <w:p>
            <w:pPr>
              <w:ind w:left="240"/>
              <w:spacing w:after="0" w:line="181" w:lineRule="exact"/>
              <w:rPr>
                <w:sz w:val="20"/>
                <w:szCs w:val="20"/>
                <w:color w:val="auto"/>
              </w:rPr>
            </w:pPr>
            <w:r>
              <w:rPr>
                <w:rFonts w:ascii="Arial" w:cs="Arial" w:eastAsia="Arial" w:hAnsi="Arial"/>
                <w:sz w:val="18"/>
                <w:szCs w:val="18"/>
                <w:color w:val="auto"/>
              </w:rPr>
              <w:t>Interest income</w:t>
            </w:r>
          </w:p>
        </w:tc>
        <w:tc>
          <w:tcPr>
            <w:tcW w:w="2080" w:type="dxa"/>
            <w:vAlign w:val="bottom"/>
            <w:vMerge w:val="continue"/>
          </w:tcPr>
          <w:p>
            <w:pPr>
              <w:spacing w:after="0"/>
              <w:rPr>
                <w:sz w:val="15"/>
                <w:szCs w:val="15"/>
                <w:color w:val="auto"/>
              </w:rPr>
            </w:pPr>
          </w:p>
        </w:tc>
        <w:tc>
          <w:tcPr>
            <w:tcW w:w="1420" w:type="dxa"/>
            <w:vAlign w:val="bottom"/>
          </w:tcPr>
          <w:p>
            <w:pPr>
              <w:jc w:val="right"/>
              <w:spacing w:after="0" w:line="181"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ind w:left="240"/>
              <w:spacing w:after="0" w:line="202" w:lineRule="exact"/>
              <w:rPr>
                <w:sz w:val="20"/>
                <w:szCs w:val="20"/>
                <w:color w:val="auto"/>
              </w:rPr>
            </w:pPr>
            <w:r>
              <w:rPr>
                <w:rFonts w:ascii="Arial" w:cs="Arial" w:eastAsia="Arial" w:hAnsi="Arial"/>
                <w:sz w:val="18"/>
                <w:szCs w:val="18"/>
                <w:color w:val="auto"/>
              </w:rPr>
              <w:t>Interest expense</w:t>
            </w:r>
          </w:p>
        </w:tc>
        <w:tc>
          <w:tcPr>
            <w:tcW w:w="20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4,324</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expense/ (income), net</w:t>
            </w:r>
          </w:p>
        </w:tc>
        <w:tc>
          <w:tcPr>
            <w:tcW w:w="2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734</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Income/(loss) from continuing operations before income taxes</w:t>
            </w:r>
          </w:p>
        </w:tc>
        <w:tc>
          <w:tcPr>
            <w:tcW w:w="20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b w:val="1"/>
                <w:bCs w:val="1"/>
                <w:color w:val="auto"/>
              </w:rPr>
              <w:t>$17,759</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($10,101)</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pension settlement and restructuring costs by reportable segment (also see Note 5):</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4980" w:type="dxa"/>
            <w:vAlign w:val="bottom"/>
            <w:tcBorders>
              <w:top w:val="single" w:sz="8" w:color="auto"/>
            </w:tcBorders>
            <w:gridSpan w:val="2"/>
          </w:tcPr>
          <w:p>
            <w:pPr>
              <w:jc w:val="right"/>
              <w:ind w:right="290"/>
              <w:spacing w:after="0" w:line="194" w:lineRule="exact"/>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520" w:type="dxa"/>
            <w:vAlign w:val="bottom"/>
          </w:tcPr>
          <w:p>
            <w:pPr>
              <w:jc w:val="right"/>
              <w:ind w:right="870"/>
              <w:spacing w:after="0"/>
              <w:rPr>
                <w:sz w:val="20"/>
                <w:szCs w:val="20"/>
                <w:color w:val="auto"/>
              </w:rPr>
            </w:pPr>
            <w:r>
              <w:rPr>
                <w:rFonts w:ascii="Arial" w:cs="Arial" w:eastAsia="Arial" w:hAnsi="Arial"/>
                <w:sz w:val="18"/>
                <w:szCs w:val="18"/>
                <w:b w:val="1"/>
                <w:bCs w:val="1"/>
                <w:color w:val="auto"/>
              </w:rPr>
              <w:t>2013</w:t>
            </w:r>
          </w:p>
        </w:tc>
        <w:tc>
          <w:tcPr>
            <w:tcW w:w="146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b w:val="1"/>
                <w:bCs w:val="1"/>
                <w:color w:val="auto"/>
              </w:rPr>
              <w:t>Pension settlement</w:t>
            </w:r>
          </w:p>
        </w:tc>
        <w:tc>
          <w:tcPr>
            <w:tcW w:w="352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b w:val="1"/>
                <w:bCs w:val="1"/>
                <w:color w:val="auto"/>
              </w:rPr>
              <w:t>$  -</w:t>
            </w: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Unallocated expenses</w:t>
            </w:r>
          </w:p>
        </w:tc>
        <w:tc>
          <w:tcPr>
            <w:tcW w:w="35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b w:val="1"/>
                <w:bCs w:val="1"/>
                <w:color w:val="auto"/>
              </w:rPr>
              <w:t>Restructuring expense</w:t>
            </w:r>
          </w:p>
        </w:tc>
        <w:tc>
          <w:tcPr>
            <w:tcW w:w="35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$193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40" w:type="dxa"/>
            <w:vAlign w:val="bottom"/>
          </w:tcPr>
          <w:p>
            <w:pPr>
              <w:ind w:left="80"/>
              <w:spacing w:after="0" w:line="181" w:lineRule="exact"/>
              <w:rPr>
                <w:sz w:val="20"/>
                <w:szCs w:val="20"/>
                <w:color w:val="auto"/>
              </w:rPr>
            </w:pPr>
            <w:r>
              <w:rPr>
                <w:rFonts w:ascii="Arial" w:cs="Arial" w:eastAsia="Arial" w:hAnsi="Arial"/>
                <w:sz w:val="18"/>
                <w:szCs w:val="18"/>
                <w:color w:val="auto"/>
              </w:rPr>
              <w:t>Machine Clothing</w:t>
            </w:r>
          </w:p>
        </w:tc>
        <w:tc>
          <w:tcPr>
            <w:tcW w:w="3520" w:type="dxa"/>
            <w:vAlign w:val="bottom"/>
            <w:vMerge w:val="continue"/>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80"/>
              <w:spacing w:after="0" w:line="202" w:lineRule="exact"/>
              <w:rPr>
                <w:sz w:val="20"/>
                <w:szCs w:val="20"/>
                <w:color w:val="auto"/>
              </w:rPr>
            </w:pPr>
            <w:r>
              <w:rPr>
                <w:rFonts w:ascii="Arial" w:cs="Arial" w:eastAsia="Arial" w:hAnsi="Arial"/>
                <w:sz w:val="18"/>
                <w:szCs w:val="18"/>
                <w:color w:val="auto"/>
              </w:rPr>
              <w:t>Engineered Composites</w:t>
            </w:r>
          </w:p>
        </w:tc>
        <w:tc>
          <w:tcPr>
            <w:tcW w:w="352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443</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Unallocated expenses</w:t>
            </w:r>
          </w:p>
        </w:tc>
        <w:tc>
          <w:tcPr>
            <w:tcW w:w="3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Consolidated total</w:t>
            </w:r>
          </w:p>
        </w:tc>
        <w:tc>
          <w:tcPr>
            <w:tcW w:w="352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$636</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The 2013 restructuring expense was principally related to a strategic realignment within Engineered Composites operations. The 2012 restructuring expense was principally due to curtailment of manufacturing in New York and Wisconsin.</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material changes in the total assets of the reportable segments during this period.</w:t>
      </w: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40"/>
          </w:cols>
          <w:pgMar w:left="240" w:top="657" w:right="6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4 .. Pensions and Other Postretirement Benefit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22" w:lineRule="exact"/>
        <w:rPr>
          <w:sz w:val="20"/>
          <w:szCs w:val="20"/>
          <w:color w:val="auto"/>
        </w:rPr>
      </w:pPr>
    </w:p>
    <w:p>
      <w:pPr>
        <w:ind w:right="120" w:firstLine="360"/>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ind w:right="40" w:firstLine="360"/>
        <w:spacing w:after="0" w:line="237" w:lineRule="auto"/>
        <w:rPr>
          <w:sz w:val="20"/>
          <w:szCs w:val="20"/>
          <w:color w:val="auto"/>
        </w:rPr>
      </w:pPr>
      <w:r>
        <w:rPr>
          <w:rFonts w:ascii="Arial" w:cs="Arial" w:eastAsia="Arial" w:hAnsi="Arial"/>
          <w:sz w:val="18"/>
          <w:szCs w:val="18"/>
          <w:color w:val="auto"/>
        </w:rPr>
        <w:t>In addition to providing pension benefits, the Company provides various medical, dental, and life insurance benefits for certain retired United States employees. U.S. employees hired prior to 2005 may become eligible for these benefits if they reach normal retirement age while working for the Company. Benefits provided under this plan are subject to change. Retirees share in the cost of these benefits. Effective January 2005, any new employees who wish to be covered under this plan will be responsible for the full cost of such benefits, except for life insurance benefits, which continue to be provided. In September 2008, we changed the cost sharing arrangement under this program such that increases in health care costs are the responsibility of plan participants.</w:t>
      </w:r>
    </w:p>
    <w:p>
      <w:pPr>
        <w:spacing w:after="0" w:line="97" w:lineRule="exact"/>
        <w:rPr>
          <w:sz w:val="20"/>
          <w:szCs w:val="20"/>
          <w:color w:val="auto"/>
        </w:rPr>
      </w:pPr>
    </w:p>
    <w:p>
      <w:pPr>
        <w:ind w:right="80" w:firstLine="360"/>
        <w:spacing w:after="0"/>
        <w:rPr>
          <w:sz w:val="20"/>
          <w:szCs w:val="20"/>
          <w:color w:val="auto"/>
        </w:rPr>
      </w:pPr>
      <w:r>
        <w:rPr>
          <w:rFonts w:ascii="Arial" w:cs="Arial" w:eastAsia="Arial" w:hAnsi="Arial"/>
          <w:sz w:val="18"/>
          <w:szCs w:val="18"/>
          <w:color w:val="auto"/>
        </w:rPr>
        <w:t>The Company also provides certain postretirement life insurance benefits to retired employees in Canada. The Company accrues the cost of providing postretirement benefits during the active service period of the employees. The Company currently funds the plan as claims are paid.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the net periodic benefit plan cost for the three months ended March 31, 2013 and 2012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Pension plans</w:t>
            </w:r>
          </w:p>
        </w:tc>
        <w:tc>
          <w:tcPr>
            <w:tcW w:w="1260" w:type="dxa"/>
            <w:vAlign w:val="bottom"/>
            <w:tcBorders>
              <w:top w:val="single" w:sz="8" w:color="auto"/>
            </w:tcBorders>
          </w:tcPr>
          <w:p>
            <w:pPr>
              <w:spacing w:after="0"/>
              <w:rPr>
                <w:sz w:val="16"/>
                <w:szCs w:val="16"/>
                <w:color w:val="auto"/>
              </w:rPr>
            </w:pPr>
          </w:p>
        </w:tc>
        <w:tc>
          <w:tcPr>
            <w:tcW w:w="3060" w:type="dxa"/>
            <w:vAlign w:val="bottom"/>
            <w:tcBorders>
              <w:top w:val="single" w:sz="8" w:color="auto"/>
            </w:tcBorders>
            <w:gridSpan w:val="2"/>
          </w:tcPr>
          <w:p>
            <w:pPr>
              <w:jc w:val="right"/>
              <w:ind w:right="270"/>
              <w:spacing w:after="0" w:line="194" w:lineRule="exact"/>
              <w:rPr>
                <w:sz w:val="20"/>
                <w:szCs w:val="20"/>
                <w:color w:val="auto"/>
              </w:rPr>
            </w:pPr>
            <w:r>
              <w:rPr>
                <w:rFonts w:ascii="Arial" w:cs="Arial" w:eastAsia="Arial" w:hAnsi="Arial"/>
                <w:sz w:val="18"/>
                <w:szCs w:val="18"/>
                <w:color w:val="auto"/>
              </w:rPr>
              <w:t>Other postretirement benefits</w:t>
            </w:r>
          </w:p>
        </w:tc>
        <w:tc>
          <w:tcPr>
            <w:tcW w:w="0" w:type="dxa"/>
            <w:vAlign w:val="bottom"/>
          </w:tcPr>
          <w:p>
            <w:pPr>
              <w:spacing w:after="0"/>
              <w:rPr>
                <w:sz w:val="1"/>
                <w:szCs w:val="1"/>
                <w:color w:val="auto"/>
              </w:rPr>
            </w:pPr>
          </w:p>
        </w:tc>
      </w:tr>
      <w:tr>
        <w:trPr>
          <w:trHeight w:val="225"/>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27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2013</w:t>
            </w: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2012</w:t>
            </w:r>
          </w:p>
        </w:tc>
        <w:tc>
          <w:tcPr>
            <w:tcW w:w="17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98"/>
        </w:trPr>
        <w:tc>
          <w:tcPr>
            <w:tcW w:w="4380" w:type="dxa"/>
            <w:vAlign w:val="bottom"/>
          </w:tcPr>
          <w:p>
            <w:pPr>
              <w:ind w:left="100"/>
              <w:spacing w:after="0"/>
              <w:rPr>
                <w:sz w:val="20"/>
                <w:szCs w:val="20"/>
                <w:color w:val="auto"/>
              </w:rPr>
            </w:pPr>
            <w:r>
              <w:rPr>
                <w:rFonts w:ascii="Arial" w:cs="Arial" w:eastAsia="Arial" w:hAnsi="Arial"/>
                <w:sz w:val="18"/>
                <w:szCs w:val="18"/>
                <w:color w:val="auto"/>
              </w:rPr>
              <w:t>Components of net periodic benefit cost:</w:t>
            </w:r>
          </w:p>
        </w:tc>
        <w:tc>
          <w:tcPr>
            <w:tcW w:w="272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$842</w:t>
            </w:r>
          </w:p>
        </w:tc>
        <w:tc>
          <w:tcPr>
            <w:tcW w:w="1260" w:type="dxa"/>
            <w:vAlign w:val="bottom"/>
          </w:tcPr>
          <w:p>
            <w:pPr>
              <w:spacing w:after="0"/>
              <w:rPr>
                <w:sz w:val="24"/>
                <w:szCs w:val="24"/>
                <w:color w:val="auto"/>
              </w:rPr>
            </w:pPr>
          </w:p>
        </w:tc>
        <w:tc>
          <w:tcPr>
            <w:tcW w:w="17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$285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380" w:type="dxa"/>
            <w:vAlign w:val="bottom"/>
          </w:tcPr>
          <w:p>
            <w:pPr>
              <w:ind w:left="100"/>
              <w:spacing w:after="0" w:line="181" w:lineRule="exact"/>
              <w:rPr>
                <w:sz w:val="20"/>
                <w:szCs w:val="20"/>
                <w:color w:val="auto"/>
              </w:rPr>
            </w:pPr>
            <w:r>
              <w:rPr>
                <w:rFonts w:ascii="Arial" w:cs="Arial" w:eastAsia="Arial" w:hAnsi="Arial"/>
                <w:sz w:val="18"/>
                <w:szCs w:val="18"/>
                <w:color w:val="auto"/>
              </w:rPr>
              <w:t>Service cost</w:t>
            </w:r>
          </w:p>
        </w:tc>
        <w:tc>
          <w:tcPr>
            <w:tcW w:w="2720" w:type="dxa"/>
            <w:vAlign w:val="bottom"/>
            <w:vMerge w:val="continue"/>
          </w:tcPr>
          <w:p>
            <w:pPr>
              <w:spacing w:after="0"/>
              <w:rPr>
                <w:sz w:val="15"/>
                <w:szCs w:val="15"/>
                <w:color w:val="auto"/>
              </w:rPr>
            </w:pPr>
          </w:p>
        </w:tc>
        <w:tc>
          <w:tcPr>
            <w:tcW w:w="1260" w:type="dxa"/>
            <w:vAlign w:val="bottom"/>
          </w:tcPr>
          <w:p>
            <w:pPr>
              <w:jc w:val="right"/>
              <w:ind w:right="350"/>
              <w:spacing w:after="0" w:line="181" w:lineRule="exact"/>
              <w:rPr>
                <w:sz w:val="20"/>
                <w:szCs w:val="20"/>
                <w:color w:val="auto"/>
              </w:rPr>
            </w:pPr>
            <w:r>
              <w:rPr>
                <w:rFonts w:ascii="Arial" w:cs="Arial" w:eastAsia="Arial" w:hAnsi="Arial"/>
                <w:sz w:val="18"/>
                <w:szCs w:val="18"/>
                <w:color w:val="auto"/>
              </w:rPr>
              <w:t>$849</w:t>
            </w:r>
          </w:p>
        </w:tc>
        <w:tc>
          <w:tcPr>
            <w:tcW w:w="1760" w:type="dxa"/>
            <w:vAlign w:val="bottom"/>
            <w:vMerge w:val="continue"/>
          </w:tcPr>
          <w:p>
            <w:pPr>
              <w:spacing w:after="0"/>
              <w:rPr>
                <w:sz w:val="15"/>
                <w:szCs w:val="15"/>
                <w:color w:val="auto"/>
              </w:rPr>
            </w:pPr>
          </w:p>
        </w:tc>
        <w:tc>
          <w:tcPr>
            <w:tcW w:w="130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Interest cost</w:t>
            </w:r>
          </w:p>
        </w:tc>
        <w:tc>
          <w:tcPr>
            <w:tcW w:w="27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2,000</w:t>
            </w:r>
          </w:p>
        </w:tc>
        <w:tc>
          <w:tcPr>
            <w:tcW w:w="12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4,602</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802</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Expected return on assets</w:t>
            </w:r>
          </w:p>
        </w:tc>
        <w:tc>
          <w:tcPr>
            <w:tcW w:w="272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(2,034)</w:t>
            </w:r>
          </w:p>
        </w:tc>
        <w:tc>
          <w:tcPr>
            <w:tcW w:w="12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(4,168)</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7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9</w:t>
            </w:r>
          </w:p>
        </w:tc>
        <w:tc>
          <w:tcPr>
            <w:tcW w:w="12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w:t>
            </w:r>
          </w:p>
        </w:tc>
        <w:tc>
          <w:tcPr>
            <w:tcW w:w="17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(917)</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transition obligation</w:t>
            </w:r>
          </w:p>
        </w:tc>
        <w:tc>
          <w:tcPr>
            <w:tcW w:w="27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17</w:t>
            </w:r>
          </w:p>
        </w:tc>
        <w:tc>
          <w:tcPr>
            <w:tcW w:w="12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19</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net actuarial loss</w:t>
            </w:r>
          </w:p>
        </w:tc>
        <w:tc>
          <w:tcPr>
            <w:tcW w:w="2720" w:type="dxa"/>
            <w:vAlign w:val="bottom"/>
          </w:tcPr>
          <w:p>
            <w:pPr>
              <w:jc w:val="right"/>
              <w:ind w:right="810"/>
              <w:spacing w:after="0" w:line="202" w:lineRule="exact"/>
              <w:rPr>
                <w:sz w:val="20"/>
                <w:szCs w:val="20"/>
                <w:color w:val="auto"/>
              </w:rPr>
            </w:pPr>
            <w:r>
              <w:rPr>
                <w:rFonts w:ascii="Arial" w:cs="Arial" w:eastAsia="Arial" w:hAnsi="Arial"/>
                <w:sz w:val="18"/>
                <w:szCs w:val="18"/>
                <w:b w:val="1"/>
                <w:bCs w:val="1"/>
                <w:color w:val="auto"/>
              </w:rPr>
              <w:t>785</w:t>
            </w:r>
          </w:p>
        </w:tc>
        <w:tc>
          <w:tcPr>
            <w:tcW w:w="12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1,773</w:t>
            </w:r>
          </w:p>
        </w:tc>
        <w:tc>
          <w:tcPr>
            <w:tcW w:w="176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879</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5"/>
        </w:trPr>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Settlement</w:t>
            </w:r>
          </w:p>
        </w:tc>
        <w:tc>
          <w:tcPr>
            <w:tcW w:w="27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9,175</w:t>
            </w:r>
          </w:p>
        </w:tc>
        <w:tc>
          <w:tcPr>
            <w:tcW w:w="17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periodic benefit cost</w:t>
            </w:r>
          </w:p>
        </w:tc>
        <w:tc>
          <w:tcPr>
            <w:tcW w:w="27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b w:val="1"/>
                <w:bCs w:val="1"/>
                <w:color w:val="auto"/>
              </w:rPr>
              <w:t>$1,619</w:t>
            </w:r>
          </w:p>
        </w:tc>
        <w:tc>
          <w:tcPr>
            <w:tcW w:w="12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$12,259</w:t>
            </w:r>
          </w:p>
        </w:tc>
        <w:tc>
          <w:tcPr>
            <w:tcW w:w="17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$1,049</w:t>
            </w:r>
          </w:p>
        </w:tc>
        <w:tc>
          <w:tcPr>
            <w:tcW w:w="13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60"/>
        <w:spacing w:after="0"/>
        <w:rPr>
          <w:sz w:val="20"/>
          <w:szCs w:val="20"/>
          <w:color w:val="auto"/>
        </w:rPr>
      </w:pPr>
      <w:r>
        <w:rPr>
          <w:rFonts w:ascii="Arial" w:cs="Arial" w:eastAsia="Arial" w:hAnsi="Arial"/>
          <w:sz w:val="18"/>
          <w:szCs w:val="18"/>
          <w:color w:val="auto"/>
        </w:rPr>
        <w:t>In the first quarter of 2012, the Company announced a plan to significantly reduce its pension plan liabilities by settling certain pension obligations, which led to settlement charges totaling $9.2 million for the first three months of 2012 related to the extinguishment of our pension plan liability in Sweden.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ind w:right="200" w:firstLine="360"/>
        <w:spacing w:after="0"/>
        <w:rPr>
          <w:sz w:val="20"/>
          <w:szCs w:val="20"/>
          <w:color w:val="auto"/>
        </w:rPr>
      </w:pPr>
      <w:r>
        <w:rPr>
          <w:rFonts w:ascii="Arial" w:cs="Arial" w:eastAsia="Arial" w:hAnsi="Arial"/>
          <w:sz w:val="18"/>
          <w:szCs w:val="18"/>
          <w:color w:val="auto"/>
        </w:rPr>
        <w:t>Restructuring expenses in 2013 were principally related to a strategic realignment within Engineered Composites operations. The 2012 restructuring expense was principally due to curtailment of manufacturing in New York and Wisconsin which was related to the lower demand for paper machine clothing. Those costs were partially offset by a reduction in accruals related to the Company’s headquarters.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ind w:left="3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and other”:</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Borders>
              <w:top w:val="single" w:sz="8" w:color="auto"/>
            </w:tcBorders>
          </w:tcPr>
          <w:p>
            <w:pPr>
              <w:spacing w:after="0"/>
              <w:rPr>
                <w:sz w:val="16"/>
                <w:szCs w:val="16"/>
                <w:color w:val="auto"/>
              </w:rPr>
            </w:pPr>
          </w:p>
        </w:tc>
        <w:tc>
          <w:tcPr>
            <w:tcW w:w="5020" w:type="dxa"/>
            <w:vAlign w:val="bottom"/>
            <w:tcBorders>
              <w:top w:val="single" w:sz="8" w:color="auto"/>
            </w:tcBorders>
            <w:gridSpan w:val="2"/>
          </w:tcPr>
          <w:p>
            <w:pPr>
              <w:jc w:val="right"/>
              <w:ind w:right="230"/>
              <w:spacing w:after="0" w:line="194" w:lineRule="exact"/>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6"/>
                <w:szCs w:val="16"/>
                <w:color w:val="auto"/>
              </w:rPr>
            </w:pPr>
          </w:p>
        </w:tc>
      </w:tr>
      <w:tr>
        <w:trPr>
          <w:trHeight w:val="225"/>
        </w:trPr>
        <w:tc>
          <w:tcPr>
            <w:tcW w:w="41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7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r>
      <w:tr>
        <w:trPr>
          <w:trHeight w:val="195"/>
        </w:trPr>
        <w:tc>
          <w:tcPr>
            <w:tcW w:w="41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Machine Clothing</w:t>
            </w:r>
          </w:p>
        </w:tc>
        <w:tc>
          <w:tcPr>
            <w:tcW w:w="3780" w:type="dxa"/>
            <w:vAlign w:val="bottom"/>
            <w:tcBorders>
              <w:top w:val="single" w:sz="8" w:color="auto"/>
            </w:tcBorders>
          </w:tcPr>
          <w:p>
            <w:pPr>
              <w:jc w:val="right"/>
              <w:ind w:right="750"/>
              <w:spacing w:after="0" w:line="195" w:lineRule="exact"/>
              <w:rPr>
                <w:sz w:val="20"/>
                <w:szCs w:val="20"/>
                <w:color w:val="auto"/>
              </w:rPr>
            </w:pPr>
            <w:r>
              <w:rPr>
                <w:rFonts w:ascii="Arial" w:cs="Arial" w:eastAsia="Arial" w:hAnsi="Arial"/>
                <w:sz w:val="18"/>
                <w:szCs w:val="18"/>
                <w:color w:val="auto"/>
              </w:rPr>
              <w:t>$193</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$673</w:t>
            </w:r>
          </w:p>
        </w:tc>
        <w:tc>
          <w:tcPr>
            <w:tcW w:w="20" w:type="dxa"/>
            <w:vAlign w:val="bottom"/>
          </w:tcPr>
          <w:p>
            <w:pPr>
              <w:spacing w:after="0"/>
              <w:rPr>
                <w:sz w:val="16"/>
                <w:szCs w:val="16"/>
                <w:color w:val="auto"/>
              </w:rPr>
            </w:pPr>
          </w:p>
        </w:tc>
      </w:tr>
      <w:tr>
        <w:trPr>
          <w:trHeight w:val="203"/>
        </w:trPr>
        <w:tc>
          <w:tcPr>
            <w:tcW w:w="4120" w:type="dxa"/>
            <w:vAlign w:val="bottom"/>
          </w:tcPr>
          <w:p>
            <w:pPr>
              <w:ind w:left="160"/>
              <w:spacing w:after="0" w:line="202" w:lineRule="exact"/>
              <w:rPr>
                <w:sz w:val="20"/>
                <w:szCs w:val="20"/>
                <w:color w:val="auto"/>
              </w:rPr>
            </w:pPr>
            <w:r>
              <w:rPr>
                <w:rFonts w:ascii="Arial" w:cs="Arial" w:eastAsia="Arial" w:hAnsi="Arial"/>
                <w:sz w:val="18"/>
                <w:szCs w:val="18"/>
                <w:color w:val="auto"/>
              </w:rPr>
              <w:t>Engineered Composites</w:t>
            </w:r>
          </w:p>
        </w:tc>
        <w:tc>
          <w:tcPr>
            <w:tcW w:w="378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443</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12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Unallocated expenses</w:t>
            </w:r>
          </w:p>
        </w:tc>
        <w:tc>
          <w:tcPr>
            <w:tcW w:w="3780" w:type="dxa"/>
            <w:vAlign w:val="bottom"/>
            <w:tcBorders>
              <w:bottom w:val="single" w:sz="8" w:color="auto"/>
            </w:tcBorders>
          </w:tcPr>
          <w:p>
            <w:pPr>
              <w:jc w:val="right"/>
              <w:ind w:right="750"/>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w:t>
            </w:r>
          </w:p>
        </w:tc>
        <w:tc>
          <w:tcPr>
            <w:tcW w:w="20" w:type="dxa"/>
            <w:vAlign w:val="bottom"/>
          </w:tcPr>
          <w:p>
            <w:pPr>
              <w:spacing w:after="0"/>
              <w:rPr>
                <w:sz w:val="17"/>
                <w:szCs w:val="17"/>
                <w:color w:val="auto"/>
              </w:rPr>
            </w:pPr>
          </w:p>
        </w:tc>
      </w:tr>
      <w:tr>
        <w:trPr>
          <w:trHeight w:val="196"/>
        </w:trPr>
        <w:tc>
          <w:tcPr>
            <w:tcW w:w="412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37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$636</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306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14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Impairment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0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restructuring</w:t>
            </w:r>
          </w:p>
        </w:tc>
        <w:tc>
          <w:tcPr>
            <w:tcW w:w="21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Termination and</w:t>
            </w:r>
          </w:p>
        </w:tc>
        <w:tc>
          <w:tcPr>
            <w:tcW w:w="1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plant and</w:t>
            </w: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costs incurred</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 costs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equipment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Machine Clothing</w:t>
            </w:r>
          </w:p>
        </w:tc>
        <w:tc>
          <w:tcPr>
            <w:tcW w:w="306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$193</w:t>
            </w:r>
          </w:p>
        </w:tc>
        <w:tc>
          <w:tcPr>
            <w:tcW w:w="2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$193</w:t>
            </w:r>
          </w:p>
        </w:tc>
        <w:tc>
          <w:tcPr>
            <w:tcW w:w="16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Engineered Composites</w:t>
            </w:r>
          </w:p>
        </w:tc>
        <w:tc>
          <w:tcPr>
            <w:tcW w:w="30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443</w:t>
            </w:r>
          </w:p>
        </w:tc>
        <w:tc>
          <w:tcPr>
            <w:tcW w:w="21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353</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Unallocated expenses</w:t>
            </w:r>
          </w:p>
        </w:tc>
        <w:tc>
          <w:tcPr>
            <w:tcW w:w="30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$636</w:t>
            </w:r>
          </w:p>
        </w:tc>
        <w:tc>
          <w:tcPr>
            <w:tcW w:w="21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$546</w:t>
            </w:r>
          </w:p>
        </w:tc>
        <w:tc>
          <w:tcPr>
            <w:tcW w:w="16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Three months ended March 31, 2012</w:t>
            </w:r>
          </w:p>
        </w:tc>
        <w:tc>
          <w:tcPr>
            <w:tcW w:w="30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140" w:type="dxa"/>
            <w:vAlign w:val="bottom"/>
          </w:tcPr>
          <w:p>
            <w:pPr>
              <w:spacing w:after="0"/>
              <w:rPr>
                <w:sz w:val="20"/>
                <w:szCs w:val="20"/>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Impairment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60" w:type="dxa"/>
            <w:vAlign w:val="bottom"/>
            <w:vMerge w:val="continue"/>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30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restructuring</w:t>
            </w:r>
          </w:p>
        </w:tc>
        <w:tc>
          <w:tcPr>
            <w:tcW w:w="214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Termination and</w:t>
            </w:r>
          </w:p>
        </w:tc>
        <w:tc>
          <w:tcPr>
            <w:tcW w:w="1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plant and</w:t>
            </w: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06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costs incurred</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other costs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equipment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Machine Clothing</w:t>
            </w:r>
          </w:p>
        </w:tc>
        <w:tc>
          <w:tcPr>
            <w:tcW w:w="306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$673</w:t>
            </w:r>
          </w:p>
        </w:tc>
        <w:tc>
          <w:tcPr>
            <w:tcW w:w="2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$673</w:t>
            </w:r>
          </w:p>
        </w:tc>
        <w:tc>
          <w:tcPr>
            <w:tcW w:w="16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Pr>
          <w:p>
            <w:pPr>
              <w:ind w:left="140"/>
              <w:spacing w:after="0" w:line="202" w:lineRule="exact"/>
              <w:rPr>
                <w:sz w:val="20"/>
                <w:szCs w:val="20"/>
                <w:color w:val="auto"/>
              </w:rPr>
            </w:pPr>
            <w:r>
              <w:rPr>
                <w:rFonts w:ascii="Arial" w:cs="Arial" w:eastAsia="Arial" w:hAnsi="Arial"/>
                <w:sz w:val="18"/>
                <w:szCs w:val="18"/>
                <w:color w:val="auto"/>
              </w:rPr>
              <w:t>Engineered Composites</w:t>
            </w:r>
          </w:p>
        </w:tc>
        <w:tc>
          <w:tcPr>
            <w:tcW w:w="30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21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ind w:left="140"/>
              <w:spacing w:after="0" w:line="203" w:lineRule="exact"/>
              <w:rPr>
                <w:sz w:val="20"/>
                <w:szCs w:val="20"/>
                <w:color w:val="auto"/>
              </w:rPr>
            </w:pPr>
            <w:r>
              <w:rPr>
                <w:rFonts w:ascii="Arial" w:cs="Arial" w:eastAsia="Arial" w:hAnsi="Arial"/>
                <w:sz w:val="18"/>
                <w:szCs w:val="18"/>
                <w:color w:val="auto"/>
              </w:rPr>
              <w:t>Unallocated expenses</w:t>
            </w:r>
          </w:p>
        </w:tc>
        <w:tc>
          <w:tcPr>
            <w:tcW w:w="30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(415)</w:t>
            </w:r>
          </w:p>
        </w:tc>
        <w:tc>
          <w:tcPr>
            <w:tcW w:w="21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131</w:t>
            </w: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w:t>
            </w:r>
          </w:p>
        </w:tc>
        <w:tc>
          <w:tcPr>
            <w:tcW w:w="30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$258</w:t>
            </w:r>
          </w:p>
        </w:tc>
        <w:tc>
          <w:tcPr>
            <w:tcW w:w="21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$804</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360"/>
        <w:spacing w:after="0" w:line="246" w:lineRule="auto"/>
        <w:rPr>
          <w:sz w:val="20"/>
          <w:szCs w:val="20"/>
          <w:color w:val="auto"/>
        </w:rPr>
      </w:pPr>
      <w:r>
        <w:rPr>
          <w:rFonts w:ascii="Arial" w:cs="Arial" w:eastAsia="Arial" w:hAnsi="Arial"/>
          <w:sz w:val="18"/>
          <w:szCs w:val="18"/>
          <w:color w:val="auto"/>
        </w:rPr>
        <w:t>We expect that substantially all accruals for restructuring liabilities will be paid within one year. The table below presents year-to-date changes in restructuring liabilities for 2013 and 2012: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ind w:right="10"/>
              <w:spacing w:after="0" w:line="194" w:lineRule="exact"/>
              <w:rPr>
                <w:sz w:val="20"/>
                <w:szCs w:val="20"/>
                <w:color w:val="auto"/>
              </w:rPr>
            </w:pPr>
            <w:r>
              <w:rPr>
                <w:rFonts w:ascii="Arial" w:cs="Arial" w:eastAsia="Arial" w:hAnsi="Arial"/>
                <w:sz w:val="18"/>
                <w:szCs w:val="18"/>
                <w:b w:val="1"/>
                <w:bCs w:val="1"/>
                <w:color w:val="auto"/>
              </w:rPr>
              <w:t>December 31,</w:t>
            </w:r>
          </w:p>
        </w:tc>
        <w:tc>
          <w:tcPr>
            <w:tcW w:w="1840" w:type="dxa"/>
            <w:vAlign w:val="bottom"/>
            <w:tcBorders>
              <w:top w:val="single" w:sz="8" w:color="auto"/>
            </w:tcBorders>
          </w:tcPr>
          <w:p>
            <w:pPr>
              <w:jc w:val="right"/>
              <w:ind w:right="211"/>
              <w:spacing w:after="0" w:line="194" w:lineRule="exact"/>
              <w:rPr>
                <w:sz w:val="20"/>
                <w:szCs w:val="20"/>
                <w:color w:val="auto"/>
              </w:rPr>
            </w:pPr>
            <w:r>
              <w:rPr>
                <w:rFonts w:ascii="Arial" w:cs="Arial" w:eastAsia="Arial" w:hAnsi="Arial"/>
                <w:sz w:val="18"/>
                <w:szCs w:val="18"/>
                <w:b w:val="1"/>
                <w:bCs w:val="1"/>
                <w:color w:val="auto"/>
              </w:rPr>
              <w:t>Restructuring</w:t>
            </w:r>
          </w:p>
        </w:tc>
        <w:tc>
          <w:tcPr>
            <w:tcW w:w="1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90"/>
              <w:spacing w:after="0" w:line="194" w:lineRule="exact"/>
              <w:rPr>
                <w:sz w:val="20"/>
                <w:szCs w:val="20"/>
                <w:color w:val="auto"/>
              </w:rPr>
            </w:pPr>
            <w:r>
              <w:rPr>
                <w:rFonts w:ascii="Arial" w:cs="Arial" w:eastAsia="Arial" w:hAnsi="Arial"/>
                <w:sz w:val="18"/>
                <w:szCs w:val="18"/>
                <w:b w:val="1"/>
                <w:bCs w:val="1"/>
                <w:color w:val="auto"/>
                <w:w w:val="98"/>
              </w:rPr>
              <w:t>Currency</w:t>
            </w:r>
          </w:p>
        </w:tc>
        <w:tc>
          <w:tcPr>
            <w:tcW w:w="1160" w:type="dxa"/>
            <w:vAlign w:val="bottom"/>
            <w:tcBorders>
              <w:top w:val="single" w:sz="8" w:color="auto"/>
            </w:tcBorders>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2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1840" w:type="dxa"/>
            <w:vAlign w:val="bottom"/>
          </w:tcPr>
          <w:p>
            <w:pPr>
              <w:jc w:val="right"/>
              <w:ind w:right="211"/>
              <w:spacing w:after="0"/>
              <w:rPr>
                <w:sz w:val="20"/>
                <w:szCs w:val="20"/>
                <w:color w:val="auto"/>
              </w:rPr>
            </w:pPr>
            <w:r>
              <w:rPr>
                <w:rFonts w:ascii="Arial" w:cs="Arial" w:eastAsia="Arial" w:hAnsi="Arial"/>
                <w:sz w:val="18"/>
                <w:szCs w:val="18"/>
                <w:b w:val="1"/>
                <w:bCs w:val="1"/>
                <w:color w:val="auto"/>
              </w:rPr>
              <w:t>charges accrued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Payments</w:t>
            </w: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translation/other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399"/>
        </w:trPr>
        <w:tc>
          <w:tcPr>
            <w:tcW w:w="2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Termination costs</w:t>
            </w:r>
          </w:p>
        </w:tc>
        <w:tc>
          <w:tcPr>
            <w:tcW w:w="2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$4,947</w:t>
            </w:r>
          </w:p>
        </w:tc>
        <w:tc>
          <w:tcPr>
            <w:tcW w:w="1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$636</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($1,716)</w:t>
            </w:r>
          </w:p>
        </w:tc>
        <w:tc>
          <w:tcPr>
            <w:tcW w:w="1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$71</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$4,947</w:t>
            </w:r>
          </w:p>
        </w:tc>
        <w:tc>
          <w:tcPr>
            <w:tcW w:w="1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$636</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($1,716)</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$71</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56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December 31,</w:t>
            </w:r>
          </w:p>
        </w:tc>
        <w:tc>
          <w:tcPr>
            <w:tcW w:w="1840" w:type="dxa"/>
            <w:vAlign w:val="bottom"/>
          </w:tcPr>
          <w:p>
            <w:pPr>
              <w:jc w:val="right"/>
              <w:ind w:right="211"/>
              <w:spacing w:after="0" w:line="173" w:lineRule="exact"/>
              <w:rPr>
                <w:sz w:val="20"/>
                <w:szCs w:val="20"/>
                <w:color w:val="auto"/>
              </w:rPr>
            </w:pPr>
            <w:r>
              <w:rPr>
                <w:rFonts w:ascii="Arial" w:cs="Arial" w:eastAsia="Arial" w:hAnsi="Arial"/>
                <w:sz w:val="18"/>
                <w:szCs w:val="18"/>
                <w:b w:val="1"/>
                <w:bCs w:val="1"/>
                <w:color w:val="auto"/>
              </w:rPr>
              <w:t>Restructuring</w:t>
            </w:r>
          </w:p>
        </w:tc>
        <w:tc>
          <w:tcPr>
            <w:tcW w:w="1240" w:type="dxa"/>
            <w:vAlign w:val="bottom"/>
          </w:tcPr>
          <w:p>
            <w:pPr>
              <w:spacing w:after="0"/>
              <w:rPr>
                <w:sz w:val="15"/>
                <w:szCs w:val="15"/>
                <w:color w:val="auto"/>
              </w:rPr>
            </w:pPr>
          </w:p>
        </w:tc>
        <w:tc>
          <w:tcPr>
            <w:tcW w:w="1840" w:type="dxa"/>
            <w:vAlign w:val="bottom"/>
          </w:tcPr>
          <w:p>
            <w:pPr>
              <w:jc w:val="center"/>
              <w:ind w:right="90"/>
              <w:spacing w:after="0" w:line="173" w:lineRule="exact"/>
              <w:rPr>
                <w:sz w:val="20"/>
                <w:szCs w:val="20"/>
                <w:color w:val="auto"/>
              </w:rPr>
            </w:pPr>
            <w:r>
              <w:rPr>
                <w:rFonts w:ascii="Arial" w:cs="Arial" w:eastAsia="Arial" w:hAnsi="Arial"/>
                <w:sz w:val="18"/>
                <w:szCs w:val="18"/>
                <w:b w:val="1"/>
                <w:bCs w:val="1"/>
                <w:color w:val="auto"/>
                <w:w w:val="98"/>
              </w:rPr>
              <w:t>Currency</w:t>
            </w:r>
          </w:p>
        </w:tc>
        <w:tc>
          <w:tcPr>
            <w:tcW w:w="1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March 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1840" w:type="dxa"/>
            <w:vAlign w:val="bottom"/>
          </w:tcPr>
          <w:p>
            <w:pPr>
              <w:jc w:val="right"/>
              <w:ind w:right="211"/>
              <w:spacing w:after="0"/>
              <w:rPr>
                <w:sz w:val="20"/>
                <w:szCs w:val="20"/>
                <w:color w:val="auto"/>
              </w:rPr>
            </w:pPr>
            <w:r>
              <w:rPr>
                <w:rFonts w:ascii="Arial" w:cs="Arial" w:eastAsia="Arial" w:hAnsi="Arial"/>
                <w:sz w:val="18"/>
                <w:szCs w:val="18"/>
                <w:b w:val="1"/>
                <w:bCs w:val="1"/>
                <w:color w:val="auto"/>
              </w:rPr>
              <w:t>charges accrued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Payments</w:t>
            </w:r>
          </w:p>
        </w:tc>
        <w:tc>
          <w:tcPr>
            <w:tcW w:w="18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translation/other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9"/>
        </w:trPr>
        <w:tc>
          <w:tcPr>
            <w:tcW w:w="28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Termination costs</w:t>
            </w:r>
          </w:p>
        </w:tc>
        <w:tc>
          <w:tcPr>
            <w:tcW w:w="2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$6,979</w:t>
            </w:r>
          </w:p>
        </w:tc>
        <w:tc>
          <w:tcPr>
            <w:tcW w:w="1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$803</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($1,536)</w:t>
            </w:r>
          </w:p>
        </w:tc>
        <w:tc>
          <w:tcPr>
            <w:tcW w:w="1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$59</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$6,979</w:t>
            </w:r>
          </w:p>
        </w:tc>
        <w:tc>
          <w:tcPr>
            <w:tcW w:w="1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$803</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($1,536)</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$59</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1"/>
        </w:trPr>
        <w:tc>
          <w:tcPr>
            <w:tcW w:w="2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40" w:type="dxa"/>
            <w:vAlign w:val="bottom"/>
          </w:tcPr>
          <w:p>
            <w:pPr>
              <w:jc w:val="right"/>
              <w:ind w:right="1311"/>
              <w:spacing w:after="0"/>
              <w:rPr>
                <w:sz w:val="20"/>
                <w:szCs w:val="20"/>
                <w:color w:val="auto"/>
              </w:rPr>
            </w:pPr>
            <w:r>
              <w:rPr>
                <w:rFonts w:ascii="Arial" w:cs="Arial" w:eastAsia="Arial" w:hAnsi="Arial"/>
                <w:sz w:val="16"/>
                <w:szCs w:val="16"/>
                <w:color w:val="auto"/>
              </w:rPr>
              <w:t>10</w:t>
            </w:r>
          </w:p>
        </w:tc>
        <w:tc>
          <w:tcPr>
            <w:tcW w:w="1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6. Other Expense/(Income), net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expense/(income), net, 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80" w:type="dxa"/>
            <w:vAlign w:val="bottom"/>
            <w:tcBorders>
              <w:top w:val="single" w:sz="8" w:color="auto"/>
            </w:tcBorders>
          </w:tcPr>
          <w:p>
            <w:pPr>
              <w:spacing w:after="0"/>
              <w:rPr>
                <w:sz w:val="16"/>
                <w:szCs w:val="16"/>
                <w:color w:val="auto"/>
              </w:rPr>
            </w:pPr>
          </w:p>
        </w:tc>
        <w:tc>
          <w:tcPr>
            <w:tcW w:w="5240" w:type="dxa"/>
            <w:vAlign w:val="bottom"/>
            <w:tcBorders>
              <w:top w:val="single" w:sz="8" w:color="auto"/>
            </w:tcBorders>
            <w:gridSpan w:val="2"/>
          </w:tcPr>
          <w:p>
            <w:pPr>
              <w:jc w:val="right"/>
              <w:ind w:right="410"/>
              <w:spacing w:after="0" w:line="194" w:lineRule="exact"/>
              <w:rPr>
                <w:sz w:val="20"/>
                <w:szCs w:val="20"/>
                <w:color w:val="auto"/>
              </w:rPr>
            </w:pPr>
            <w:r>
              <w:rPr>
                <w:rFonts w:ascii="Arial" w:cs="Arial" w:eastAsia="Arial" w:hAnsi="Arial"/>
                <w:sz w:val="18"/>
                <w:szCs w:val="18"/>
                <w:color w:val="auto"/>
              </w:rPr>
              <w:t>Three months ended March 31,</w:t>
            </w:r>
          </w:p>
        </w:tc>
      </w:tr>
      <w:tr>
        <w:trPr>
          <w:trHeight w:val="225"/>
        </w:trPr>
        <w:tc>
          <w:tcPr>
            <w:tcW w:w="61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 thousands)</w:t>
            </w:r>
          </w:p>
        </w:tc>
        <w:tc>
          <w:tcPr>
            <w:tcW w:w="3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2013</w:t>
            </w:r>
          </w:p>
        </w:tc>
        <w:tc>
          <w:tcPr>
            <w:tcW w:w="1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r>
      <w:tr>
        <w:trPr>
          <w:trHeight w:val="173"/>
        </w:trPr>
        <w:tc>
          <w:tcPr>
            <w:tcW w:w="6180" w:type="dxa"/>
            <w:vAlign w:val="bottom"/>
          </w:tcPr>
          <w:p>
            <w:pPr>
              <w:ind w:left="160"/>
              <w:spacing w:after="0" w:line="173" w:lineRule="exact"/>
              <w:rPr>
                <w:sz w:val="20"/>
                <w:szCs w:val="20"/>
                <w:color w:val="auto"/>
              </w:rPr>
            </w:pPr>
            <w:r>
              <w:rPr>
                <w:rFonts w:ascii="Arial" w:cs="Arial" w:eastAsia="Arial" w:hAnsi="Arial"/>
                <w:sz w:val="18"/>
                <w:szCs w:val="18"/>
                <w:color w:val="auto"/>
              </w:rPr>
              <w:t>Currency transactions</w:t>
            </w:r>
          </w:p>
        </w:tc>
        <w:tc>
          <w:tcPr>
            <w:tcW w:w="3560" w:type="dxa"/>
            <w:vAlign w:val="bottom"/>
          </w:tcPr>
          <w:p>
            <w:pPr>
              <w:jc w:val="right"/>
              <w:ind w:right="830"/>
              <w:spacing w:after="0" w:line="173" w:lineRule="exact"/>
              <w:rPr>
                <w:sz w:val="20"/>
                <w:szCs w:val="20"/>
                <w:color w:val="auto"/>
              </w:rPr>
            </w:pPr>
            <w:r>
              <w:rPr>
                <w:rFonts w:ascii="Arial" w:cs="Arial" w:eastAsia="Arial" w:hAnsi="Arial"/>
                <w:sz w:val="18"/>
                <w:szCs w:val="18"/>
                <w:b w:val="1"/>
                <w:bCs w:val="1"/>
                <w:color w:val="auto"/>
              </w:rPr>
              <w:t>$9</w:t>
            </w:r>
          </w:p>
        </w:tc>
        <w:tc>
          <w:tcPr>
            <w:tcW w:w="16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$3,832</w:t>
            </w:r>
          </w:p>
        </w:tc>
      </w:tr>
      <w:tr>
        <w:trPr>
          <w:trHeight w:val="203"/>
        </w:trPr>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356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621</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676</w:t>
            </w:r>
          </w:p>
        </w:tc>
      </w:tr>
      <w:tr>
        <w:trPr>
          <w:trHeight w:val="203"/>
        </w:trPr>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Letter of credit fees</w:t>
            </w:r>
          </w:p>
        </w:tc>
        <w:tc>
          <w:tcPr>
            <w:tcW w:w="356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419</w:t>
            </w:r>
          </w:p>
        </w:tc>
      </w:tr>
      <w:tr>
        <w:trPr>
          <w:trHeight w:val="225"/>
        </w:trPr>
        <w:tc>
          <w:tcPr>
            <w:tcW w:w="61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104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196"/>
        </w:trPr>
        <w:tc>
          <w:tcPr>
            <w:tcW w:w="618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w:t>
            </w:r>
          </w:p>
        </w:tc>
        <w:tc>
          <w:tcPr>
            <w:tcW w:w="356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$734</w:t>
            </w:r>
          </w:p>
        </w:tc>
        <w:tc>
          <w:tcPr>
            <w:tcW w:w="16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$4,548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components of income tax expense/(benefit) for the three month period ended March 31, 2013 and 2012: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2"/>
          </w:tcPr>
          <w:p>
            <w:pPr>
              <w:jc w:val="right"/>
              <w:ind w:right="41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80" w:type="dxa"/>
            <w:vAlign w:val="bottom"/>
          </w:tcPr>
          <w:p>
            <w:pPr>
              <w:jc w:val="right"/>
              <w:ind w:right="810"/>
              <w:spacing w:after="0"/>
              <w:rPr>
                <w:sz w:val="20"/>
                <w:szCs w:val="20"/>
                <w:color w:val="auto"/>
              </w:rPr>
            </w:pPr>
            <w:r>
              <w:rPr>
                <w:rFonts w:ascii="Arial" w:cs="Arial" w:eastAsia="Arial" w:hAnsi="Arial"/>
                <w:sz w:val="18"/>
                <w:szCs w:val="18"/>
                <w:b w:val="1"/>
                <w:bCs w:val="1"/>
                <w:color w:val="auto"/>
              </w:rPr>
              <w:t>2013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398"/>
        </w:trPr>
        <w:tc>
          <w:tcPr>
            <w:tcW w:w="7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Income tax based on income from continuing operations, at estimated tax rates</w:t>
            </w:r>
          </w:p>
        </w:tc>
        <w:tc>
          <w:tcPr>
            <w:tcW w:w="2480" w:type="dxa"/>
            <w:vAlign w:val="bottom"/>
            <w:tcBorders>
              <w:top w:val="single" w:sz="8" w:color="auto"/>
            </w:tcBorders>
            <w:vMerge w:val="restart"/>
          </w:tcPr>
          <w:p>
            <w:pPr>
              <w:jc w:val="right"/>
              <w:ind w:right="910"/>
              <w:spacing w:after="0"/>
              <w:rPr>
                <w:sz w:val="20"/>
                <w:szCs w:val="20"/>
                <w:color w:val="auto"/>
              </w:rPr>
            </w:pPr>
            <w:r>
              <w:rPr>
                <w:rFonts w:ascii="Arial" w:cs="Arial" w:eastAsia="Arial" w:hAnsi="Arial"/>
                <w:sz w:val="18"/>
                <w:szCs w:val="18"/>
                <w:b w:val="1"/>
                <w:bCs w:val="1"/>
                <w:color w:val="auto"/>
              </w:rPr>
              <w:t>$6,038</w:t>
            </w:r>
          </w:p>
        </w:tc>
        <w:tc>
          <w:tcPr>
            <w:tcW w:w="16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   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ind w:left="100"/>
              <w:spacing w:after="0" w:line="181" w:lineRule="exact"/>
              <w:rPr>
                <w:sz w:val="20"/>
                <w:szCs w:val="20"/>
                <w:color w:val="auto"/>
              </w:rPr>
            </w:pPr>
            <w:r>
              <w:rPr>
                <w:rFonts w:ascii="Arial" w:cs="Arial" w:eastAsia="Arial" w:hAnsi="Arial"/>
                <w:sz w:val="18"/>
                <w:szCs w:val="18"/>
                <w:color w:val="auto"/>
              </w:rPr>
              <w:t>of 34.0% and (6.5%), respectively</w:t>
            </w:r>
          </w:p>
        </w:tc>
        <w:tc>
          <w:tcPr>
            <w:tcW w:w="24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100"/>
              <w:spacing w:after="0"/>
              <w:rPr>
                <w:sz w:val="20"/>
                <w:szCs w:val="20"/>
                <w:color w:val="auto"/>
              </w:rPr>
            </w:pPr>
            <w:r>
              <w:rPr>
                <w:rFonts w:ascii="Arial" w:cs="Arial" w:eastAsia="Arial" w:hAnsi="Arial"/>
                <w:sz w:val="18"/>
                <w:szCs w:val="18"/>
                <w:color w:val="auto"/>
              </w:rPr>
              <w:t>Pension plan settlement</w:t>
            </w:r>
          </w:p>
        </w:tc>
        <w:tc>
          <w:tcPr>
            <w:tcW w:w="2480" w:type="dxa"/>
            <w:vAlign w:val="bottom"/>
          </w:tcPr>
          <w:p>
            <w:pPr>
              <w:jc w:val="right"/>
              <w:ind w:right="910"/>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73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340" w:type="dxa"/>
            <w:vAlign w:val="bottom"/>
          </w:tcPr>
          <w:p>
            <w:pPr>
              <w:ind w:left="100"/>
              <w:spacing w:after="0"/>
              <w:rPr>
                <w:sz w:val="20"/>
                <w:szCs w:val="20"/>
                <w:color w:val="auto"/>
              </w:rPr>
            </w:pPr>
            <w:r>
              <w:rPr>
                <w:rFonts w:ascii="Arial" w:cs="Arial" w:eastAsia="Arial" w:hAnsi="Arial"/>
                <w:sz w:val="18"/>
                <w:szCs w:val="18"/>
                <w:color w:val="auto"/>
              </w:rPr>
              <w:t>Income tax before discrete items</w:t>
            </w:r>
          </w:p>
        </w:tc>
        <w:tc>
          <w:tcPr>
            <w:tcW w:w="2480" w:type="dxa"/>
            <w:vAlign w:val="bottom"/>
          </w:tcPr>
          <w:p>
            <w:pPr>
              <w:jc w:val="right"/>
              <w:ind w:right="910"/>
              <w:spacing w:after="0"/>
              <w:rPr>
                <w:sz w:val="20"/>
                <w:szCs w:val="20"/>
                <w:color w:val="auto"/>
              </w:rPr>
            </w:pPr>
            <w:r>
              <w:rPr>
                <w:rFonts w:ascii="Arial" w:cs="Arial" w:eastAsia="Arial" w:hAnsi="Arial"/>
                <w:sz w:val="18"/>
                <w:szCs w:val="18"/>
                <w:b w:val="1"/>
                <w:bCs w:val="1"/>
                <w:color w:val="auto"/>
              </w:rPr>
              <w:t>6,038</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(3,239)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340" w:type="dxa"/>
            <w:vAlign w:val="bottom"/>
          </w:tcPr>
          <w:p>
            <w:pPr>
              <w:ind w:left="100"/>
              <w:spacing w:after="0"/>
              <w:rPr>
                <w:sz w:val="20"/>
                <w:szCs w:val="20"/>
                <w:color w:val="auto"/>
              </w:rPr>
            </w:pPr>
            <w:r>
              <w:rPr>
                <w:rFonts w:ascii="Arial" w:cs="Arial" w:eastAsia="Arial" w:hAnsi="Arial"/>
                <w:sz w:val="18"/>
                <w:szCs w:val="18"/>
                <w:color w:val="auto"/>
              </w:rPr>
              <w:t>Discrete tax expense/(benefit):</w:t>
            </w:r>
          </w:p>
        </w:tc>
        <w:tc>
          <w:tcPr>
            <w:tcW w:w="248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ind w:left="200"/>
              <w:spacing w:after="0" w:line="181" w:lineRule="exact"/>
              <w:rPr>
                <w:sz w:val="20"/>
                <w:szCs w:val="20"/>
                <w:color w:val="auto"/>
              </w:rPr>
            </w:pPr>
            <w:r>
              <w:rPr>
                <w:rFonts w:ascii="Arial" w:cs="Arial" w:eastAsia="Arial" w:hAnsi="Arial"/>
                <w:sz w:val="18"/>
                <w:szCs w:val="18"/>
                <w:color w:val="auto"/>
              </w:rPr>
              <w:t>Provision for/resolution of tax audits and contingencies, net</w:t>
            </w:r>
          </w:p>
        </w:tc>
        <w:tc>
          <w:tcPr>
            <w:tcW w:w="248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Adjustments to prior period tax liabilities</w:t>
            </w:r>
          </w:p>
        </w:tc>
        <w:tc>
          <w:tcPr>
            <w:tcW w:w="2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210</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income tax expense/(benefit)</w:t>
            </w:r>
          </w:p>
        </w:tc>
        <w:tc>
          <w:tcPr>
            <w:tcW w:w="2480" w:type="dxa"/>
            <w:vAlign w:val="bottom"/>
            <w:tcBorders>
              <w:bottom w:val="single" w:sz="8" w:color="auto"/>
            </w:tcBorders>
          </w:tcPr>
          <w:p>
            <w:pPr>
              <w:jc w:val="right"/>
              <w:ind w:right="910"/>
              <w:spacing w:after="0" w:line="196" w:lineRule="exact"/>
              <w:rPr>
                <w:sz w:val="20"/>
                <w:szCs w:val="20"/>
                <w:color w:val="auto"/>
              </w:rPr>
            </w:pPr>
            <w:r>
              <w:rPr>
                <w:rFonts w:ascii="Arial" w:cs="Arial" w:eastAsia="Arial" w:hAnsi="Arial"/>
                <w:sz w:val="18"/>
                <w:szCs w:val="18"/>
                <w:b w:val="1"/>
                <w:bCs w:val="1"/>
                <w:color w:val="auto"/>
              </w:rPr>
              <w:t>$6,248</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$(9,972)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The first quarter estimated effective tax rate on continuing operations was 34.0 percent in 2013, as compared to (6.5) percent for the same period in 2012. The change in the estimated effective tax rate was primarily attributable to the amount and distribution of income and loss among the countries in which we operate. The 2012 first quarter tax rate was also impacted by operating losses generated in tax jurisdictions where no tax benefit was recognized.</w:t>
      </w:r>
    </w:p>
    <w:p>
      <w:pPr>
        <w:spacing w:after="0" w:line="94" w:lineRule="exact"/>
        <w:rPr>
          <w:sz w:val="20"/>
          <w:szCs w:val="20"/>
          <w:color w:val="auto"/>
        </w:rPr>
      </w:pPr>
    </w:p>
    <w:p>
      <w:pPr>
        <w:ind w:right="100" w:firstLine="360"/>
        <w:spacing w:after="0" w:line="239" w:lineRule="auto"/>
        <w:rPr>
          <w:sz w:val="20"/>
          <w:szCs w:val="20"/>
          <w:color w:val="auto"/>
        </w:rPr>
      </w:pPr>
      <w:r>
        <w:rPr>
          <w:rFonts w:ascii="Arial" w:cs="Arial" w:eastAsia="Arial" w:hAnsi="Arial"/>
          <w:sz w:val="18"/>
          <w:szCs w:val="18"/>
          <w:color w:val="auto"/>
        </w:rPr>
        <w:t>The Company records the residual U.S. and foreign taxes on certain amounts of current foreign earnings that have been targeted for repatriation to the U.S. As a result, such amounts are not considered to be permanently reinvested, and the Company accrued for the residual taxes on these earnings to the extent they cannot be repatriated in a tax-free manner. At March 31, 2013 the Company reported a deferred tax liability of $1.5 million on $19.4 million of non-U.S. earnings that have been targeted for future repatriation to the U.S.</w:t>
      </w:r>
    </w:p>
    <w:p>
      <w:pPr>
        <w:spacing w:after="0" w:line="94"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We conduct business globally and, as a result, the Company or one or more of our subsidiaries files income tax returns in the U.S. federal jurisdiction and various state and foreign jurisdictions. In the normal course of business we are subject to examination by taxing authorities throughout the world, including major jurisdictions as the United States, Brazil, Canada, France, Germany, Italy, Mexico, and Switzerland. Open tax years in these jurisdictions range from 2000 to 2012. We are currently under audit in the U.S. and non-U.S. tax jurisdictions, including but not limited to Canada, Germany, and France.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1" w:name="page12"/>
    <w:bookmarkEnd w:id="11"/>
    <w:p>
      <w:pPr>
        <w:ind w:firstLine="360"/>
        <w:spacing w:after="0" w:line="236"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$0 million to a net decrease of $0.8 million, from the reevaluation of uncertain tax positions arising in examinations, in appeals, or in the courts, or from the closure of tax statutes. Not included in the range is $22.3 million of tax benefits in Germany related to a 1999 reorganization that have been challenged by the German tax authorities in the course of an audit, of which $11.4 million would have a direct impact on our statement of income if resolved unfavorably.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Although we were required to pay tax and interest of approximately $12.8 million to the German tax authorities in order to continue to pursue the position; when taking into consideration the ECJ decision, the latest FTC decision and the lower court decision, we believe that it is more likely than not that the relevant German law is violative of EU principles and accordingly we have not accrued tax expense on this matter. As we continue to monitor developments, it may become necessary for us to accrue tax expense and related interest.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328" w:lineRule="exact"/>
        <w:rPr>
          <w:sz w:val="20"/>
          <w:szCs w:val="20"/>
          <w:color w:val="auto"/>
        </w:rPr>
      </w:pPr>
    </w:p>
    <w:p>
      <w:pPr>
        <w:ind w:right="180" w:firstLine="360"/>
        <w:spacing w:after="0" w:line="246" w:lineRule="auto"/>
        <w:rPr>
          <w:sz w:val="20"/>
          <w:szCs w:val="20"/>
          <w:color w:val="auto"/>
        </w:rPr>
      </w:pPr>
      <w:r>
        <w:rPr>
          <w:rFonts w:ascii="Arial" w:cs="Arial" w:eastAsia="Arial" w:hAnsi="Arial"/>
          <w:sz w:val="18"/>
          <w:szCs w:val="18"/>
          <w:color w:val="auto"/>
        </w:rPr>
        <w:t>Earnings per share are computed using the weighted average number of shares of Class A Common Stock and Class B Common Stock outstanding during the period. Diluted earnings per share include the effect of all potentially dilutive securities.</w:t>
      </w:r>
    </w:p>
    <w:p>
      <w:pPr>
        <w:spacing w:after="0" w:line="89"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34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tcPr>
          <w:p>
            <w:pPr>
              <w:spacing w:after="0"/>
              <w:rPr>
                <w:sz w:val="16"/>
                <w:szCs w:val="16"/>
                <w:color w:val="auto"/>
              </w:rPr>
            </w:pPr>
          </w:p>
        </w:tc>
        <w:tc>
          <w:tcPr>
            <w:tcW w:w="4240" w:type="dxa"/>
            <w:vAlign w:val="bottom"/>
            <w:tcBorders>
              <w:top w:val="single" w:sz="8" w:color="auto"/>
            </w:tcBorders>
            <w:gridSpan w:val="2"/>
          </w:tcPr>
          <w:p>
            <w:pPr>
              <w:jc w:val="right"/>
              <w:ind w:right="47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60" w:type="dxa"/>
            <w:vAlign w:val="bottom"/>
          </w:tcPr>
          <w:p>
            <w:pPr>
              <w:spacing w:after="0"/>
              <w:rPr>
                <w:sz w:val="20"/>
                <w:szCs w:val="20"/>
                <w:color w:val="auto"/>
              </w:rPr>
            </w:pPr>
            <w:r>
              <w:rPr>
                <w:rFonts w:ascii="Arial" w:cs="Arial" w:eastAsia="Arial" w:hAnsi="Arial"/>
                <w:sz w:val="18"/>
                <w:szCs w:val="18"/>
                <w:b w:val="1"/>
                <w:bCs w:val="1"/>
                <w:color w:val="auto"/>
                <w:w w:val="99"/>
              </w:rPr>
              <w:t>(in thousands, except market price data)</w:t>
            </w:r>
          </w:p>
        </w:tc>
        <w:tc>
          <w:tcPr>
            <w:tcW w:w="1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99"/>
        </w:trPr>
        <w:tc>
          <w:tcPr>
            <w:tcW w:w="500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2180" w:type="dxa"/>
            <w:vAlign w:val="bottom"/>
            <w:tcBorders>
              <w:top w:val="single" w:sz="8" w:color="auto"/>
              <w:bottom w:val="single" w:sz="8" w:color="auto"/>
            </w:tcBorders>
          </w:tcPr>
          <w:p>
            <w:pPr>
              <w:spacing w:after="0"/>
              <w:rPr>
                <w:sz w:val="24"/>
                <w:szCs w:val="24"/>
                <w:color w:val="auto"/>
              </w:rPr>
            </w:pPr>
          </w:p>
        </w:tc>
        <w:tc>
          <w:tcPr>
            <w:tcW w:w="23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$11,511</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$47,041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60" w:type="dxa"/>
            <w:vAlign w:val="bottom"/>
          </w:tcPr>
          <w:p>
            <w:pPr>
              <w:ind w:left="100"/>
              <w:spacing w:after="0"/>
              <w:rPr>
                <w:sz w:val="20"/>
                <w:szCs w:val="20"/>
                <w:color w:val="auto"/>
              </w:rPr>
            </w:pPr>
            <w:r>
              <w:rPr>
                <w:rFonts w:ascii="Arial" w:cs="Arial" w:eastAsia="Arial" w:hAnsi="Arial"/>
                <w:sz w:val="18"/>
                <w:szCs w:val="18"/>
                <w:b w:val="1"/>
                <w:bCs w:val="1"/>
                <w:color w:val="auto"/>
              </w:rPr>
              <w:t>Weighted average number of shares:</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000" w:type="dxa"/>
            <w:vAlign w:val="bottom"/>
            <w:gridSpan w:val="2"/>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2180" w:type="dxa"/>
            <w:vAlign w:val="bottom"/>
          </w:tcPr>
          <w:p>
            <w:pPr>
              <w:spacing w:after="0"/>
              <w:rPr>
                <w:sz w:val="24"/>
                <w:szCs w:val="24"/>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31,496</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00" w:type="dxa"/>
            <w:vAlign w:val="bottom"/>
            <w:gridSpan w:val="2"/>
          </w:tcPr>
          <w:p>
            <w:pPr>
              <w:ind w:left="260"/>
              <w:spacing w:after="0"/>
              <w:rPr>
                <w:sz w:val="20"/>
                <w:szCs w:val="20"/>
                <w:color w:val="auto"/>
              </w:rPr>
            </w:pPr>
            <w:r>
              <w:rPr>
                <w:rFonts w:ascii="Arial" w:cs="Arial" w:eastAsia="Arial" w:hAnsi="Arial"/>
                <w:sz w:val="18"/>
                <w:szCs w:val="18"/>
                <w:color w:val="auto"/>
              </w:rPr>
              <w:t>calculating basic net income/(loss) per share</w:t>
            </w:r>
          </w:p>
        </w:tc>
        <w:tc>
          <w:tcPr>
            <w:tcW w:w="218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31,309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000" w:type="dxa"/>
            <w:vAlign w:val="bottom"/>
            <w:gridSpan w:val="2"/>
          </w:tcPr>
          <w:p>
            <w:pPr>
              <w:ind w:left="100"/>
              <w:spacing w:after="0"/>
              <w:rPr>
                <w:sz w:val="20"/>
                <w:szCs w:val="20"/>
                <w:color w:val="auto"/>
              </w:rPr>
            </w:pPr>
            <w:r>
              <w:rPr>
                <w:rFonts w:ascii="Arial" w:cs="Arial" w:eastAsia="Arial" w:hAnsi="Arial"/>
                <w:sz w:val="18"/>
                <w:szCs w:val="18"/>
                <w:b w:val="1"/>
                <w:bCs w:val="1"/>
                <w:color w:val="auto"/>
              </w:rPr>
              <w:t>Effect of dilutive stock-based compensation plans:</w:t>
            </w: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630"/>
              <w:spacing w:after="0"/>
              <w:rPr>
                <w:sz w:val="20"/>
                <w:szCs w:val="20"/>
                <w:color w:val="auto"/>
              </w:rPr>
            </w:pPr>
            <w:r>
              <w:rPr>
                <w:rFonts w:ascii="Arial" w:cs="Arial" w:eastAsia="Arial" w:hAnsi="Arial"/>
                <w:sz w:val="18"/>
                <w:szCs w:val="18"/>
                <w:b w:val="1"/>
                <w:bCs w:val="1"/>
                <w:color w:val="auto"/>
              </w:rPr>
              <w:t>113</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Long-term incentive plan</w:t>
            </w:r>
          </w:p>
        </w:tc>
        <w:tc>
          <w:tcPr>
            <w:tcW w:w="1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173</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Weighted average number of shares used in</w:t>
            </w:r>
          </w:p>
        </w:tc>
        <w:tc>
          <w:tcPr>
            <w:tcW w:w="2180" w:type="dxa"/>
            <w:vAlign w:val="bottom"/>
          </w:tcPr>
          <w:p>
            <w:pPr>
              <w:spacing w:after="0"/>
              <w:rPr>
                <w:sz w:val="24"/>
                <w:szCs w:val="24"/>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31,782</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calculating diluted net income per share</w:t>
            </w:r>
          </w:p>
        </w:tc>
        <w:tc>
          <w:tcPr>
            <w:tcW w:w="15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3460" w:type="dxa"/>
            <w:vAlign w:val="bottom"/>
          </w:tcPr>
          <w:p>
            <w:pPr>
              <w:ind w:left="100"/>
              <w:spacing w:after="0"/>
              <w:rPr>
                <w:sz w:val="20"/>
                <w:szCs w:val="20"/>
                <w:color w:val="auto"/>
              </w:rPr>
            </w:pPr>
            <w:r>
              <w:rPr>
                <w:rFonts w:ascii="Arial" w:cs="Arial" w:eastAsia="Arial" w:hAnsi="Arial"/>
                <w:sz w:val="18"/>
                <w:szCs w:val="18"/>
                <w:color w:val="auto"/>
              </w:rPr>
              <w:t>Effect of stock-based compensation plans</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that were not included in the computation of</w:t>
            </w:r>
          </w:p>
        </w:tc>
        <w:tc>
          <w:tcPr>
            <w:tcW w:w="2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line="202" w:lineRule="exact"/>
              <w:rPr>
                <w:sz w:val="20"/>
                <w:szCs w:val="20"/>
                <w:color w:val="auto"/>
              </w:rPr>
            </w:pPr>
            <w:r>
              <w:rPr>
                <w:rFonts w:ascii="Arial" w:cs="Arial" w:eastAsia="Arial" w:hAnsi="Arial"/>
                <w:sz w:val="18"/>
                <w:szCs w:val="18"/>
                <w:color w:val="auto"/>
              </w:rPr>
              <w:t>diluted earnings per share because</w:t>
            </w:r>
          </w:p>
        </w:tc>
        <w:tc>
          <w:tcPr>
            <w:tcW w:w="1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w:t>
            </w: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to do so would have been antidilutive</w:t>
            </w:r>
          </w:p>
        </w:tc>
        <w:tc>
          <w:tcPr>
            <w:tcW w:w="15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5000" w:type="dxa"/>
            <w:vAlign w:val="bottom"/>
            <w:gridSpan w:val="2"/>
          </w:tcPr>
          <w:p>
            <w:pPr>
              <w:ind w:left="100"/>
              <w:spacing w:after="0"/>
              <w:rPr>
                <w:sz w:val="20"/>
                <w:szCs w:val="20"/>
                <w:color w:val="auto"/>
              </w:rPr>
            </w:pPr>
            <w:r>
              <w:rPr>
                <w:rFonts w:ascii="Arial" w:cs="Arial" w:eastAsia="Arial" w:hAnsi="Arial"/>
                <w:sz w:val="18"/>
                <w:szCs w:val="18"/>
                <w:color w:val="auto"/>
              </w:rPr>
              <w:t>Average market price of common stock used</w:t>
            </w:r>
          </w:p>
        </w:tc>
        <w:tc>
          <w:tcPr>
            <w:tcW w:w="2180" w:type="dxa"/>
            <w:vAlign w:val="bottom"/>
          </w:tcPr>
          <w:p>
            <w:pPr>
              <w:spacing w:after="0"/>
              <w:rPr>
                <w:sz w:val="24"/>
                <w:szCs w:val="24"/>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$26.41</w:t>
            </w: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for calculation of dilutive shares</w:t>
            </w:r>
          </w:p>
        </w:tc>
        <w:tc>
          <w:tcPr>
            <w:tcW w:w="15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460" w:type="dxa"/>
            <w:vAlign w:val="bottom"/>
          </w:tcPr>
          <w:p>
            <w:pPr>
              <w:ind w:left="100"/>
              <w:spacing w:after="0"/>
              <w:rPr>
                <w:sz w:val="20"/>
                <w:szCs w:val="20"/>
                <w:color w:val="auto"/>
              </w:rPr>
            </w:pPr>
            <w:r>
              <w:rPr>
                <w:rFonts w:ascii="Arial" w:cs="Arial" w:eastAsia="Arial" w:hAnsi="Arial"/>
                <w:sz w:val="18"/>
                <w:szCs w:val="18"/>
                <w:b w:val="1"/>
                <w:bCs w:val="1"/>
                <w:color w:val="auto"/>
              </w:rPr>
              <w:t>Net income per share:</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60" w:type="dxa"/>
            <w:vAlign w:val="bottom"/>
          </w:tcPr>
          <w:p>
            <w:pPr>
              <w:ind w:left="260"/>
              <w:spacing w:after="0"/>
              <w:rPr>
                <w:sz w:val="20"/>
                <w:szCs w:val="20"/>
                <w:color w:val="auto"/>
              </w:rPr>
            </w:pPr>
            <w:r>
              <w:rPr>
                <w:rFonts w:ascii="Arial" w:cs="Arial" w:eastAsia="Arial" w:hAnsi="Arial"/>
                <w:sz w:val="18"/>
                <w:szCs w:val="18"/>
                <w:color w:val="auto"/>
              </w:rPr>
              <w:t>Basic</w:t>
            </w:r>
          </w:p>
        </w:tc>
        <w:tc>
          <w:tcPr>
            <w:tcW w:w="1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630"/>
              <w:spacing w:after="0"/>
              <w:rPr>
                <w:sz w:val="20"/>
                <w:szCs w:val="20"/>
                <w:color w:val="auto"/>
              </w:rPr>
            </w:pPr>
            <w:r>
              <w:rPr>
                <w:rFonts w:ascii="Arial" w:cs="Arial" w:eastAsia="Arial" w:hAnsi="Arial"/>
                <w:sz w:val="18"/>
                <w:szCs w:val="18"/>
                <w:b w:val="1"/>
                <w:bCs w:val="1"/>
                <w:color w:val="auto"/>
              </w:rPr>
              <w:t>$0.37</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Diluted</w:t>
            </w:r>
          </w:p>
        </w:tc>
        <w:tc>
          <w:tcPr>
            <w:tcW w:w="1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$0.36</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180" w:type="dxa"/>
            <w:vAlign w:val="bottom"/>
            <w:gridSpan w:val="3"/>
          </w:tcPr>
          <w:p>
            <w:pPr>
              <w:ind w:left="360"/>
              <w:spacing w:after="0"/>
              <w:rPr>
                <w:sz w:val="20"/>
                <w:szCs w:val="20"/>
                <w:color w:val="auto"/>
              </w:rPr>
            </w:pPr>
            <w:r>
              <w:rPr>
                <w:rFonts w:ascii="Arial" w:cs="Arial" w:eastAsia="Arial" w:hAnsi="Arial"/>
                <w:sz w:val="18"/>
                <w:szCs w:val="18"/>
                <w:color w:val="auto"/>
              </w:rPr>
              <w:t>The following table presents the number of shares issued and outstanding:</w:t>
            </w: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000" w:type="dxa"/>
            <w:vAlign w:val="bottom"/>
            <w:gridSpan w:val="2"/>
          </w:tcPr>
          <w:p>
            <w:pPr>
              <w:spacing w:after="0"/>
              <w:rPr>
                <w:sz w:val="8"/>
                <w:szCs w:val="8"/>
                <w:color w:val="auto"/>
              </w:rPr>
            </w:pPr>
          </w:p>
        </w:tc>
        <w:tc>
          <w:tcPr>
            <w:tcW w:w="2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5000" w:type="dxa"/>
            <w:vAlign w:val="bottom"/>
            <w:tcBorders>
              <w:top w:val="single" w:sz="8" w:color="auto"/>
            </w:tcBorders>
            <w:gridSpan w:val="2"/>
          </w:tcPr>
          <w:p>
            <w:pPr>
              <w:ind w:left="3140"/>
              <w:spacing w:after="0" w:line="195" w:lineRule="exact"/>
              <w:rPr>
                <w:sz w:val="20"/>
                <w:szCs w:val="20"/>
                <w:color w:val="auto"/>
              </w:rPr>
            </w:pPr>
            <w:r>
              <w:rPr>
                <w:rFonts w:ascii="Arial" w:cs="Arial" w:eastAsia="Arial" w:hAnsi="Arial"/>
                <w:sz w:val="18"/>
                <w:szCs w:val="18"/>
                <w:color w:val="auto"/>
              </w:rPr>
              <w:t>Class A</w:t>
            </w:r>
          </w:p>
        </w:tc>
        <w:tc>
          <w:tcPr>
            <w:tcW w:w="2180" w:type="dxa"/>
            <w:vAlign w:val="bottom"/>
            <w:tcBorders>
              <w:top w:val="single" w:sz="8" w:color="auto"/>
            </w:tcBorders>
          </w:tcPr>
          <w:p>
            <w:pPr>
              <w:jc w:val="right"/>
              <w:ind w:right="911"/>
              <w:spacing w:after="0" w:line="195" w:lineRule="exact"/>
              <w:rPr>
                <w:sz w:val="20"/>
                <w:szCs w:val="20"/>
                <w:color w:val="auto"/>
              </w:rPr>
            </w:pPr>
            <w:r>
              <w:rPr>
                <w:rFonts w:ascii="Arial" w:cs="Arial" w:eastAsia="Arial" w:hAnsi="Arial"/>
                <w:sz w:val="18"/>
                <w:szCs w:val="18"/>
                <w:color w:val="auto"/>
              </w:rPr>
              <w:t>Class B</w:t>
            </w:r>
          </w:p>
        </w:tc>
        <w:tc>
          <w:tcPr>
            <w:tcW w:w="2360" w:type="dxa"/>
            <w:vAlign w:val="bottom"/>
            <w:tcBorders>
              <w:top w:val="single" w:sz="8" w:color="auto"/>
            </w:tcBorders>
          </w:tcPr>
          <w:p>
            <w:pPr>
              <w:jc w:val="right"/>
              <w:ind w:right="670"/>
              <w:spacing w:after="0" w:line="195" w:lineRule="exact"/>
              <w:rPr>
                <w:sz w:val="20"/>
                <w:szCs w:val="20"/>
                <w:color w:val="auto"/>
              </w:rPr>
            </w:pPr>
            <w:r>
              <w:rPr>
                <w:rFonts w:ascii="Arial" w:cs="Arial" w:eastAsia="Arial" w:hAnsi="Arial"/>
                <w:sz w:val="18"/>
                <w:szCs w:val="18"/>
                <w:color w:val="auto"/>
              </w:rPr>
              <w:t>Less: Treasury</w:t>
            </w: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Net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ind w:left="3180"/>
              <w:spacing w:after="0" w:line="203" w:lineRule="exact"/>
              <w:rPr>
                <w:sz w:val="20"/>
                <w:szCs w:val="20"/>
                <w:color w:val="auto"/>
              </w:rPr>
            </w:pPr>
            <w:r>
              <w:rPr>
                <w:rFonts w:ascii="Arial" w:cs="Arial" w:eastAsia="Arial" w:hAnsi="Arial"/>
                <w:sz w:val="18"/>
                <w:szCs w:val="18"/>
                <w:color w:val="auto"/>
              </w:rPr>
              <w:t>Shares</w:t>
            </w:r>
          </w:p>
        </w:tc>
        <w:tc>
          <w:tcPr>
            <w:tcW w:w="2180" w:type="dxa"/>
            <w:vAlign w:val="bottom"/>
          </w:tcPr>
          <w:p>
            <w:pPr>
              <w:jc w:val="right"/>
              <w:ind w:right="951"/>
              <w:spacing w:after="0" w:line="203" w:lineRule="exact"/>
              <w:rPr>
                <w:sz w:val="20"/>
                <w:szCs w:val="20"/>
                <w:color w:val="auto"/>
              </w:rPr>
            </w:pPr>
            <w:r>
              <w:rPr>
                <w:rFonts w:ascii="Arial" w:cs="Arial" w:eastAsia="Arial" w:hAnsi="Arial"/>
                <w:sz w:val="18"/>
                <w:szCs w:val="18"/>
                <w:color w:val="auto"/>
              </w:rPr>
              <w:t>Shares</w:t>
            </w:r>
          </w:p>
        </w:tc>
        <w:tc>
          <w:tcPr>
            <w:tcW w:w="2360" w:type="dxa"/>
            <w:vAlign w:val="bottom"/>
          </w:tcPr>
          <w:p>
            <w:pPr>
              <w:jc w:val="right"/>
              <w:ind w:right="970"/>
              <w:spacing w:after="0" w:line="203" w:lineRule="exact"/>
              <w:rPr>
                <w:sz w:val="20"/>
                <w:szCs w:val="20"/>
                <w:color w:val="auto"/>
              </w:rPr>
            </w:pPr>
            <w:r>
              <w:rPr>
                <w:rFonts w:ascii="Arial" w:cs="Arial" w:eastAsia="Arial" w:hAnsi="Arial"/>
                <w:sz w:val="18"/>
                <w:szCs w:val="18"/>
                <w:color w:val="auto"/>
              </w:rPr>
              <w:t>Shares</w:t>
            </w:r>
          </w:p>
        </w:tc>
        <w:tc>
          <w:tcPr>
            <w:tcW w:w="1900" w:type="dxa"/>
            <w:vAlign w:val="bottom"/>
            <w:gridSpan w:val="2"/>
          </w:tcPr>
          <w:p>
            <w:pPr>
              <w:jc w:val="center"/>
              <w:ind w:right="80"/>
              <w:spacing w:after="0" w:line="203" w:lineRule="exact"/>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438"/>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March 31, 2013</w:t>
            </w:r>
          </w:p>
        </w:tc>
        <w:tc>
          <w:tcPr>
            <w:tcW w:w="15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36,827,227</w:t>
            </w:r>
          </w:p>
        </w:tc>
        <w:tc>
          <w:tcPr>
            <w:tcW w:w="218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3,236,098</w:t>
            </w:r>
          </w:p>
        </w:tc>
        <w:tc>
          <w:tcPr>
            <w:tcW w:w="23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(8,467,873)</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31,595,452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December 31, 2012</w:t>
            </w:r>
          </w:p>
        </w:tc>
        <w:tc>
          <w:tcPr>
            <w:tcW w:w="154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9"/>
              </w:rPr>
              <w:t>36,642,204</w:t>
            </w:r>
          </w:p>
        </w:tc>
        <w:tc>
          <w:tcPr>
            <w:tcW w:w="218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3,236,098</w:t>
            </w:r>
          </w:p>
        </w:tc>
        <w:tc>
          <w:tcPr>
            <w:tcW w:w="23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(8,467,873)</w:t>
            </w:r>
          </w:p>
        </w:tc>
        <w:tc>
          <w:tcPr>
            <w:tcW w:w="1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31,410,429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March 31, 2012</w:t>
            </w:r>
          </w:p>
        </w:tc>
        <w:tc>
          <w:tcPr>
            <w:tcW w:w="154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w w:val="99"/>
              </w:rPr>
              <w:t>36,585,004</w:t>
            </w:r>
          </w:p>
        </w:tc>
        <w:tc>
          <w:tcPr>
            <w:tcW w:w="2180" w:type="dxa"/>
            <w:vAlign w:val="bottom"/>
            <w:tcBorders>
              <w:bottom w:val="single" w:sz="8" w:color="auto"/>
            </w:tcBorders>
          </w:tcPr>
          <w:p>
            <w:pPr>
              <w:jc w:val="right"/>
              <w:ind w:right="311"/>
              <w:spacing w:after="0" w:line="203" w:lineRule="exact"/>
              <w:rPr>
                <w:sz w:val="20"/>
                <w:szCs w:val="20"/>
                <w:color w:val="auto"/>
              </w:rPr>
            </w:pPr>
            <w:r>
              <w:rPr>
                <w:rFonts w:ascii="Arial" w:cs="Arial" w:eastAsia="Arial" w:hAnsi="Arial"/>
                <w:sz w:val="18"/>
                <w:szCs w:val="18"/>
                <w:color w:val="auto"/>
              </w:rPr>
              <w:t>3,236,098</w:t>
            </w:r>
          </w:p>
        </w:tc>
        <w:tc>
          <w:tcPr>
            <w:tcW w:w="23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(8,479,487)</w:t>
            </w:r>
          </w:p>
        </w:tc>
        <w:tc>
          <w:tcPr>
            <w:tcW w:w="18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31,341,615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1"/>
        </w:trPr>
        <w:tc>
          <w:tcPr>
            <w:tcW w:w="3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80" w:type="dxa"/>
            <w:vAlign w:val="bottom"/>
          </w:tcPr>
          <w:p>
            <w:pPr>
              <w:jc w:val="right"/>
              <w:ind w:right="1291"/>
              <w:spacing w:after="0"/>
              <w:rPr>
                <w:sz w:val="20"/>
                <w:szCs w:val="20"/>
                <w:color w:val="auto"/>
              </w:rPr>
            </w:pPr>
            <w:r>
              <w:rPr>
                <w:rFonts w:ascii="Arial" w:cs="Arial" w:eastAsia="Arial" w:hAnsi="Arial"/>
                <w:sz w:val="16"/>
                <w:szCs w:val="16"/>
                <w:color w:val="auto"/>
              </w:rPr>
              <w:t>13</w:t>
            </w:r>
          </w:p>
        </w:tc>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5" w:right="239" w:bottom="1440" w:gutter="0" w:footer="0" w:header="0"/>
        </w:sectPr>
      </w:pPr>
    </w:p>
    <w:bookmarkStart w:id="13" w:name="page14"/>
    <w:bookmarkEnd w:id="13"/>
    <w:p>
      <w:pPr>
        <w:ind w:left="200" w:hanging="192"/>
        <w:spacing w:after="0"/>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Accumulated Other Comprehensive Income</w:t>
      </w:r>
    </w:p>
    <w:p>
      <w:pPr>
        <w:spacing w:after="0" w:line="126" w:lineRule="exact"/>
        <w:rPr>
          <w:sz w:val="20"/>
          <w:szCs w:val="20"/>
          <w:color w:val="auto"/>
        </w:rPr>
      </w:pPr>
    </w:p>
    <w:p>
      <w:pPr>
        <w:ind w:right="440" w:firstLine="360"/>
        <w:spacing w:after="0" w:line="246" w:lineRule="auto"/>
        <w:rPr>
          <w:sz w:val="20"/>
          <w:szCs w:val="20"/>
          <w:color w:val="auto"/>
        </w:rPr>
      </w:pPr>
      <w:r>
        <w:rPr>
          <w:rFonts w:ascii="Arial" w:cs="Arial" w:eastAsia="Arial" w:hAnsi="Arial"/>
          <w:sz w:val="18"/>
          <w:szCs w:val="18"/>
          <w:color w:val="auto"/>
        </w:rPr>
        <w:t>The Company adopted the provisions of Accounting Standards Update 2013-02 for the first quarter of 2013, which requires enhanced disclosures of Accumulated Other Comprehensive Income.</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changes in the components of Accumulated Other Comprehensive Income for the period December 31, 2012 to</w:t>
      </w:r>
    </w:p>
    <w:p>
      <w:pPr>
        <w:spacing w:after="0"/>
        <w:rPr>
          <w:sz w:val="20"/>
          <w:szCs w:val="20"/>
          <w:color w:val="auto"/>
        </w:rPr>
      </w:pPr>
      <w:r>
        <w:rPr>
          <w:rFonts w:ascii="Arial" w:cs="Arial" w:eastAsia="Arial" w:hAnsi="Arial"/>
          <w:sz w:val="18"/>
          <w:szCs w:val="18"/>
          <w:color w:val="auto"/>
        </w:rPr>
        <w:t>March 31, 2013:</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Pension and</w:t>
            </w:r>
          </w:p>
        </w:tc>
        <w:tc>
          <w:tcPr>
            <w:tcW w:w="16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03"/>
        </w:trPr>
        <w:tc>
          <w:tcPr>
            <w:tcW w:w="4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jc w:val="center"/>
              <w:ind w:right="10"/>
              <w:spacing w:after="0" w:line="202" w:lineRule="exact"/>
              <w:rPr>
                <w:sz w:val="20"/>
                <w:szCs w:val="20"/>
                <w:color w:val="auto"/>
              </w:rPr>
            </w:pPr>
            <w:r>
              <w:rPr>
                <w:rFonts w:ascii="Arial" w:cs="Arial" w:eastAsia="Arial" w:hAnsi="Arial"/>
                <w:sz w:val="18"/>
                <w:szCs w:val="18"/>
                <w:color w:val="auto"/>
              </w:rPr>
              <w:t>postretirement</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Derivative</w:t>
            </w: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color w:val="auto"/>
                <w:w w:val="97"/>
              </w:rPr>
              <w:t>Total Other</w:t>
            </w:r>
          </w:p>
        </w:tc>
      </w:tr>
      <w:tr>
        <w:trPr>
          <w:trHeight w:val="203"/>
        </w:trPr>
        <w:tc>
          <w:tcPr>
            <w:tcW w:w="4740" w:type="dxa"/>
            <w:vAlign w:val="bottom"/>
          </w:tcPr>
          <w:p>
            <w:pPr>
              <w:spacing w:after="0"/>
              <w:rPr>
                <w:sz w:val="17"/>
                <w:szCs w:val="17"/>
                <w:color w:val="auto"/>
              </w:rPr>
            </w:pPr>
          </w:p>
        </w:tc>
        <w:tc>
          <w:tcPr>
            <w:tcW w:w="17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Translation</w:t>
            </w:r>
          </w:p>
        </w:tc>
        <w:tc>
          <w:tcPr>
            <w:tcW w:w="17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9"/>
              </w:rPr>
              <w:t>liability</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9"/>
              </w:rPr>
              <w:t>valuation</w:t>
            </w:r>
          </w:p>
        </w:tc>
        <w:tc>
          <w:tcPr>
            <w:tcW w:w="152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Comprehensive</w:t>
            </w:r>
          </w:p>
        </w:tc>
      </w:tr>
      <w:tr>
        <w:trPr>
          <w:trHeight w:val="203"/>
        </w:trPr>
        <w:tc>
          <w:tcPr>
            <w:tcW w:w="47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17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adjustments</w:t>
            </w:r>
          </w:p>
        </w:tc>
        <w:tc>
          <w:tcPr>
            <w:tcW w:w="1780" w:type="dxa"/>
            <w:vAlign w:val="bottom"/>
            <w:tcBorders>
              <w:bottom w:val="single" w:sz="8" w:color="auto"/>
            </w:tcBorders>
          </w:tcPr>
          <w:p>
            <w:pPr>
              <w:jc w:val="center"/>
              <w:ind w:right="30"/>
              <w:spacing w:after="0" w:line="203" w:lineRule="exact"/>
              <w:rPr>
                <w:sz w:val="20"/>
                <w:szCs w:val="20"/>
                <w:color w:val="auto"/>
              </w:rPr>
            </w:pPr>
            <w:r>
              <w:rPr>
                <w:rFonts w:ascii="Arial" w:cs="Arial" w:eastAsia="Arial" w:hAnsi="Arial"/>
                <w:sz w:val="18"/>
                <w:szCs w:val="18"/>
                <w:color w:val="auto"/>
              </w:rPr>
              <w:t>adjustments</w:t>
            </w:r>
          </w:p>
        </w:tc>
        <w:tc>
          <w:tcPr>
            <w:tcW w:w="16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adjustment</w:t>
            </w:r>
          </w:p>
        </w:tc>
        <w:tc>
          <w:tcPr>
            <w:tcW w:w="152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rPr>
              <w:t>Income</w:t>
            </w:r>
          </w:p>
        </w:tc>
      </w:tr>
      <w:tr>
        <w:trPr>
          <w:trHeight w:val="399"/>
        </w:trPr>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December 31, 2012</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($7,659)</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($69,484)</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($2,878)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($80,021)</w:t>
            </w:r>
          </w:p>
        </w:tc>
      </w:tr>
      <w:tr>
        <w:trPr>
          <w:trHeight w:val="398"/>
        </w:trPr>
        <w:tc>
          <w:tcPr>
            <w:tcW w:w="4740" w:type="dxa"/>
            <w:vAlign w:val="bottom"/>
          </w:tcPr>
          <w:p>
            <w:pPr>
              <w:ind w:left="100"/>
              <w:spacing w:after="0"/>
              <w:rPr>
                <w:sz w:val="20"/>
                <w:szCs w:val="20"/>
                <w:color w:val="auto"/>
              </w:rPr>
            </w:pPr>
            <w:r>
              <w:rPr>
                <w:rFonts w:ascii="Arial" w:cs="Arial" w:eastAsia="Arial" w:hAnsi="Arial"/>
                <w:sz w:val="18"/>
                <w:szCs w:val="18"/>
                <w:color w:val="auto"/>
              </w:rPr>
              <w:t>Other comprehensive income before reclassifications</w:t>
            </w:r>
          </w:p>
        </w:tc>
        <w:tc>
          <w:tcPr>
            <w:tcW w:w="1780" w:type="dxa"/>
            <w:vAlign w:val="bottom"/>
          </w:tcPr>
          <w:p>
            <w:pPr>
              <w:jc w:val="right"/>
              <w:ind w:right="170"/>
              <w:spacing w:after="0"/>
              <w:rPr>
                <w:sz w:val="20"/>
                <w:szCs w:val="20"/>
                <w:color w:val="auto"/>
              </w:rPr>
            </w:pPr>
            <w:r>
              <w:rPr>
                <w:rFonts w:ascii="Arial" w:cs="Arial" w:eastAsia="Arial" w:hAnsi="Arial"/>
                <w:sz w:val="18"/>
                <w:szCs w:val="18"/>
                <w:color w:val="auto"/>
              </w:rPr>
              <w:t>(11,288)</w:t>
            </w:r>
          </w:p>
        </w:tc>
        <w:tc>
          <w:tcPr>
            <w:tcW w:w="1780" w:type="dxa"/>
            <w:vAlign w:val="bottom"/>
          </w:tcPr>
          <w:p>
            <w:pPr>
              <w:jc w:val="right"/>
              <w:ind w:right="290"/>
              <w:spacing w:after="0"/>
              <w:rPr>
                <w:sz w:val="20"/>
                <w:szCs w:val="20"/>
                <w:color w:val="auto"/>
              </w:rPr>
            </w:pPr>
            <w:r>
              <w:rPr>
                <w:rFonts w:ascii="Arial" w:cs="Arial" w:eastAsia="Arial" w:hAnsi="Arial"/>
                <w:sz w:val="18"/>
                <w:szCs w:val="18"/>
                <w:color w:val="auto"/>
              </w:rPr>
              <w:t>666</w:t>
            </w:r>
          </w:p>
        </w:tc>
        <w:tc>
          <w:tcPr>
            <w:tcW w:w="1600" w:type="dxa"/>
            <w:vAlign w:val="bottom"/>
          </w:tcPr>
          <w:p>
            <w:pPr>
              <w:jc w:val="right"/>
              <w:ind w:right="190"/>
              <w:spacing w:after="0"/>
              <w:rPr>
                <w:sz w:val="20"/>
                <w:szCs w:val="20"/>
                <w:color w:val="auto"/>
              </w:rPr>
            </w:pPr>
            <w:r>
              <w:rPr>
                <w:rFonts w:ascii="Arial" w:cs="Arial" w:eastAsia="Arial" w:hAnsi="Arial"/>
                <w:sz w:val="18"/>
                <w:szCs w:val="18"/>
                <w:color w:val="auto"/>
              </w:rPr>
              <w:t>279</w:t>
            </w:r>
          </w:p>
        </w:tc>
        <w:tc>
          <w:tcPr>
            <w:tcW w:w="1520" w:type="dxa"/>
            <w:vAlign w:val="bottom"/>
          </w:tcPr>
          <w:p>
            <w:pPr>
              <w:jc w:val="right"/>
              <w:spacing w:after="0"/>
              <w:rPr>
                <w:sz w:val="20"/>
                <w:szCs w:val="20"/>
                <w:color w:val="auto"/>
              </w:rPr>
            </w:pPr>
            <w:r>
              <w:rPr>
                <w:rFonts w:ascii="Arial" w:cs="Arial" w:eastAsia="Arial" w:hAnsi="Arial"/>
                <w:sz w:val="18"/>
                <w:szCs w:val="18"/>
                <w:color w:val="auto"/>
              </w:rPr>
              <w:t>(10,343)</w:t>
            </w:r>
          </w:p>
        </w:tc>
      </w:tr>
      <w:tr>
        <w:trPr>
          <w:trHeight w:val="203"/>
        </w:trPr>
        <w:tc>
          <w:tcPr>
            <w:tcW w:w="4740" w:type="dxa"/>
            <w:vAlign w:val="bottom"/>
          </w:tcPr>
          <w:p>
            <w:pPr>
              <w:ind w:left="100"/>
              <w:spacing w:after="0" w:line="202" w:lineRule="exact"/>
              <w:rPr>
                <w:sz w:val="20"/>
                <w:szCs w:val="20"/>
                <w:color w:val="auto"/>
              </w:rPr>
            </w:pPr>
            <w:r>
              <w:rPr>
                <w:rFonts w:ascii="Arial" w:cs="Arial" w:eastAsia="Arial" w:hAnsi="Arial"/>
                <w:sz w:val="18"/>
                <w:szCs w:val="18"/>
                <w:color w:val="auto"/>
              </w:rPr>
              <w:t>Transfers of pension and postretirement liability</w:t>
            </w: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7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adjustments to income statement, net of tax</w:t>
            </w:r>
          </w:p>
        </w:tc>
        <w:tc>
          <w:tcPr>
            <w:tcW w:w="17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503</w:t>
            </w:r>
          </w:p>
        </w:tc>
        <w:tc>
          <w:tcPr>
            <w:tcW w:w="16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503</w:t>
            </w:r>
          </w:p>
        </w:tc>
      </w:tr>
      <w:tr>
        <w:trPr>
          <w:trHeight w:val="196"/>
        </w:trPr>
        <w:tc>
          <w:tcPr>
            <w:tcW w:w="47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7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(11,288)</w:t>
            </w:r>
          </w:p>
        </w:tc>
        <w:tc>
          <w:tcPr>
            <w:tcW w:w="17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1,169</w:t>
            </w:r>
          </w:p>
        </w:tc>
        <w:tc>
          <w:tcPr>
            <w:tcW w:w="16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279</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(9,840)</w:t>
            </w:r>
          </w:p>
        </w:tc>
      </w:tr>
      <w:tr>
        <w:trPr>
          <w:trHeight w:val="399"/>
        </w:trPr>
        <w:tc>
          <w:tcPr>
            <w:tcW w:w="4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Balance, March 31, 2013</w:t>
            </w: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($18,947)</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($68,315)</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($2,599)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($89,861)</w:t>
            </w:r>
          </w:p>
        </w:tc>
      </w:tr>
    </w:tbl>
    <w:p>
      <w:pPr>
        <w:spacing w:after="0" w:line="202" w:lineRule="exact"/>
        <w:rPr>
          <w:sz w:val="20"/>
          <w:szCs w:val="20"/>
          <w:color w:val="auto"/>
        </w:rPr>
      </w:pPr>
    </w:p>
    <w:p>
      <w:pPr>
        <w:ind w:right="140" w:firstLine="360"/>
        <w:spacing w:after="0"/>
        <w:rPr>
          <w:sz w:val="20"/>
          <w:szCs w:val="20"/>
          <w:color w:val="auto"/>
        </w:rPr>
      </w:pPr>
      <w:r>
        <w:rPr>
          <w:rFonts w:ascii="Arial" w:cs="Arial" w:eastAsia="Arial" w:hAnsi="Arial"/>
          <w:sz w:val="18"/>
          <w:szCs w:val="18"/>
          <w:color w:val="auto"/>
        </w:rPr>
        <w:t>The only component of our Accumulated Other Comprehensive Income that is reclassified to the Statement of Income relates to our pension and postretirement plans. The table below presents the amounts reclassified, and the line items of the Statement of Income that were affected.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 the three months ended March 31, 2013</w:t>
            </w:r>
          </w:p>
        </w:tc>
        <w:tc>
          <w:tcPr>
            <w:tcW w:w="27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Expense/(income)</w:t>
            </w:r>
          </w:p>
        </w:tc>
      </w:tr>
      <w:tr>
        <w:trPr>
          <w:trHeight w:val="203"/>
        </w:trPr>
        <w:tc>
          <w:tcPr>
            <w:tcW w:w="86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w:t>
            </w:r>
          </w:p>
        </w:tc>
        <w:tc>
          <w:tcPr>
            <w:tcW w:w="2780" w:type="dxa"/>
            <w:vAlign w:val="bottom"/>
            <w:tcBorders>
              <w:bottom w:val="single" w:sz="8" w:color="auto"/>
            </w:tcBorders>
          </w:tcPr>
          <w:p>
            <w:pPr>
              <w:jc w:val="right"/>
              <w:ind w:right="610"/>
              <w:spacing w:after="0" w:line="203" w:lineRule="exact"/>
              <w:rPr>
                <w:sz w:val="20"/>
                <w:szCs w:val="20"/>
                <w:color w:val="auto"/>
              </w:rPr>
            </w:pPr>
            <w:r>
              <w:rPr>
                <w:rFonts w:ascii="Arial" w:cs="Arial" w:eastAsia="Arial" w:hAnsi="Arial"/>
                <w:sz w:val="18"/>
                <w:szCs w:val="18"/>
                <w:color w:val="auto"/>
              </w:rPr>
              <w:t>2013</w:t>
            </w:r>
          </w:p>
        </w:tc>
      </w:tr>
      <w:tr>
        <w:trPr>
          <w:trHeight w:val="398"/>
        </w:trPr>
        <w:tc>
          <w:tcPr>
            <w:tcW w:w="8640" w:type="dxa"/>
            <w:vAlign w:val="bottom"/>
          </w:tcPr>
          <w:p>
            <w:pPr>
              <w:ind w:left="100"/>
              <w:spacing w:after="0"/>
              <w:rPr>
                <w:sz w:val="20"/>
                <w:szCs w:val="20"/>
                <w:color w:val="auto"/>
              </w:rPr>
            </w:pPr>
            <w:r>
              <w:rPr>
                <w:rFonts w:ascii="Arial" w:cs="Arial" w:eastAsia="Arial" w:hAnsi="Arial"/>
                <w:sz w:val="18"/>
                <w:szCs w:val="18"/>
                <w:b w:val="1"/>
                <w:bCs w:val="1"/>
                <w:color w:val="auto"/>
              </w:rPr>
              <w:t>Pretax amounts reclassified from Accumulated Other Comprehensive Income:</w:t>
            </w:r>
          </w:p>
        </w:tc>
        <w:tc>
          <w:tcPr>
            <w:tcW w:w="2780" w:type="dxa"/>
            <w:vAlign w:val="bottom"/>
          </w:tcPr>
          <w:p>
            <w:pPr>
              <w:spacing w:after="0"/>
              <w:rPr>
                <w:sz w:val="24"/>
                <w:szCs w:val="24"/>
                <w:color w:val="auto"/>
              </w:rPr>
            </w:pPr>
          </w:p>
        </w:tc>
      </w:tr>
      <w:tr>
        <w:trPr>
          <w:trHeight w:val="203"/>
        </w:trPr>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prior service cost/(credit)</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r>
      <w:tr>
        <w:trPr>
          <w:trHeight w:val="203"/>
        </w:trPr>
        <w:tc>
          <w:tcPr>
            <w:tcW w:w="86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transition obligation</w:t>
            </w:r>
          </w:p>
        </w:tc>
        <w:tc>
          <w:tcPr>
            <w:tcW w:w="2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203"/>
        </w:trPr>
        <w:tc>
          <w:tcPr>
            <w:tcW w:w="864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Amortization of net actuarial loss</w:t>
            </w:r>
          </w:p>
        </w:tc>
        <w:tc>
          <w:tcPr>
            <w:tcW w:w="27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1,664</w:t>
            </w:r>
          </w:p>
        </w:tc>
      </w:tr>
      <w:tr>
        <w:trPr>
          <w:trHeight w:val="210"/>
        </w:trPr>
        <w:tc>
          <w:tcPr>
            <w:tcW w:w="8640" w:type="dxa"/>
            <w:vAlign w:val="bottom"/>
          </w:tcPr>
          <w:p>
            <w:pPr>
              <w:ind w:left="100"/>
              <w:spacing w:after="0"/>
              <w:rPr>
                <w:sz w:val="20"/>
                <w:szCs w:val="20"/>
                <w:color w:val="auto"/>
              </w:rPr>
            </w:pPr>
            <w:r>
              <w:rPr>
                <w:rFonts w:ascii="Arial" w:cs="Arial" w:eastAsia="Arial" w:hAnsi="Arial"/>
                <w:sz w:val="18"/>
                <w:szCs w:val="18"/>
                <w:color w:val="auto"/>
              </w:rPr>
              <w:t>Total pretax amount reclassified</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391"/>
        </w:trPr>
        <w:tc>
          <w:tcPr>
            <w:tcW w:w="8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effect</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196"/>
        </w:trPr>
        <w:tc>
          <w:tcPr>
            <w:tcW w:w="8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2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$503</w:t>
            </w:r>
          </w:p>
        </w:tc>
      </w:tr>
    </w:tbl>
    <w:p>
      <w:pPr>
        <w:spacing w:after="0" w:line="38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Accounts Receivable</w:t>
      </w:r>
    </w:p>
    <w:p>
      <w:pPr>
        <w:spacing w:after="0" w:line="126"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Accounts receivable includes trade receivables and revenue in excess of progress billings on Engineered Composites contracts accounted for under the percentage of completion method. The Company maintains allowances for doubtful accounts for estimated losses resulting from the inability of its customers to make required payments. The Company determines the allowance based on historical write-off experience, customer specific facts and economic conditions. If the financial condition of the Company’s customers were to deteriorate, resulting in an impairment of their ability to make payments, additional allowances may be required.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4" w:name="page15"/>
    <w:bookmarkEnd w:id="14"/>
    <w:p>
      <w:pPr>
        <w:ind w:left="360"/>
        <w:spacing w:after="0"/>
        <w:rPr>
          <w:sz w:val="20"/>
          <w:szCs w:val="20"/>
          <w:color w:val="auto"/>
        </w:rPr>
      </w:pPr>
      <w:r>
        <w:rPr>
          <w:rFonts w:ascii="Arial" w:cs="Arial" w:eastAsia="Arial" w:hAnsi="Arial"/>
          <w:sz w:val="18"/>
          <w:szCs w:val="18"/>
          <w:color w:val="auto"/>
        </w:rPr>
        <w:t>The components of Accounts receivable are summarized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jc w:val="center"/>
              <w:ind w:left="430"/>
              <w:spacing w:after="0" w:line="194" w:lineRule="exact"/>
              <w:rPr>
                <w:sz w:val="20"/>
                <w:szCs w:val="20"/>
                <w:color w:val="auto"/>
              </w:rPr>
            </w:pPr>
            <w:r>
              <w:rPr>
                <w:rFonts w:ascii="Arial" w:cs="Arial" w:eastAsia="Arial" w:hAnsi="Arial"/>
                <w:sz w:val="18"/>
                <w:szCs w:val="18"/>
                <w:b w:val="1"/>
                <w:bCs w:val="1"/>
                <w:color w:val="auto"/>
                <w:w w:val="98"/>
              </w:rPr>
              <w:t>March 31,</w:t>
            </w:r>
          </w:p>
        </w:tc>
        <w:tc>
          <w:tcPr>
            <w:tcW w:w="1960" w:type="dxa"/>
            <w:vAlign w:val="bottom"/>
            <w:tcBorders>
              <w:top w:val="single" w:sz="8" w:color="auto"/>
            </w:tcBorders>
          </w:tcPr>
          <w:p>
            <w:pPr>
              <w:jc w:val="center"/>
              <w:ind w:left="290"/>
              <w:spacing w:after="0" w:line="194" w:lineRule="exact"/>
              <w:rPr>
                <w:sz w:val="20"/>
                <w:szCs w:val="20"/>
                <w:color w:val="auto"/>
              </w:rPr>
            </w:pPr>
            <w:r>
              <w:rPr>
                <w:rFonts w:ascii="Arial" w:cs="Arial" w:eastAsia="Arial" w:hAnsi="Arial"/>
                <w:sz w:val="18"/>
                <w:szCs w:val="18"/>
                <w:color w:val="auto"/>
              </w:rPr>
              <w:t>December 31,</w:t>
            </w:r>
          </w:p>
        </w:tc>
      </w:tr>
      <w:tr>
        <w:trPr>
          <w:trHeight w:val="225"/>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2013</w:t>
            </w:r>
          </w:p>
        </w:tc>
        <w:tc>
          <w:tcPr>
            <w:tcW w:w="1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rPr>
              <w:t>2012</w:t>
            </w:r>
          </w:p>
        </w:tc>
      </w:tr>
      <w:tr>
        <w:trPr>
          <w:trHeight w:val="173"/>
        </w:trPr>
        <w:tc>
          <w:tcPr>
            <w:tcW w:w="6240" w:type="dxa"/>
            <w:vAlign w:val="bottom"/>
          </w:tcPr>
          <w:p>
            <w:pPr>
              <w:ind w:left="100"/>
              <w:spacing w:after="0" w:line="173" w:lineRule="exact"/>
              <w:rPr>
                <w:sz w:val="20"/>
                <w:szCs w:val="20"/>
                <w:color w:val="auto"/>
              </w:rPr>
            </w:pPr>
            <w:r>
              <w:rPr>
                <w:rFonts w:ascii="Arial" w:cs="Arial" w:eastAsia="Arial" w:hAnsi="Arial"/>
                <w:sz w:val="18"/>
                <w:szCs w:val="18"/>
                <w:color w:val="auto"/>
              </w:rPr>
              <w:t>Trade accounts receivable</w:t>
            </w:r>
          </w:p>
        </w:tc>
        <w:tc>
          <w:tcPr>
            <w:tcW w:w="322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$151,141</w:t>
            </w:r>
          </w:p>
        </w:tc>
        <w:tc>
          <w:tcPr>
            <w:tcW w:w="19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$149,737</w:t>
            </w:r>
          </w:p>
        </w:tc>
      </w:tr>
      <w:tr>
        <w:trPr>
          <w:trHeight w:val="203"/>
        </w:trPr>
        <w:tc>
          <w:tcPr>
            <w:tcW w:w="6240" w:type="dxa"/>
            <w:vAlign w:val="bottom"/>
          </w:tcPr>
          <w:p>
            <w:pPr>
              <w:ind w:left="100"/>
              <w:spacing w:after="0" w:line="202" w:lineRule="exact"/>
              <w:rPr>
                <w:sz w:val="20"/>
                <w:szCs w:val="20"/>
                <w:color w:val="auto"/>
              </w:rPr>
            </w:pPr>
            <w:r>
              <w:rPr>
                <w:rFonts w:ascii="Arial" w:cs="Arial" w:eastAsia="Arial" w:hAnsi="Arial"/>
                <w:sz w:val="18"/>
                <w:szCs w:val="18"/>
                <w:color w:val="auto"/>
              </w:rPr>
              <w:t>Revenue in excess of progress billings</w:t>
            </w:r>
          </w:p>
        </w:tc>
        <w:tc>
          <w:tcPr>
            <w:tcW w:w="322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15,365</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17,105</w:t>
            </w:r>
          </w:p>
        </w:tc>
      </w:tr>
      <w:tr>
        <w:trPr>
          <w:trHeight w:val="203"/>
        </w:trPr>
        <w:tc>
          <w:tcPr>
            <w:tcW w:w="6240" w:type="dxa"/>
            <w:vAlign w:val="bottom"/>
          </w:tcPr>
          <w:p>
            <w:pPr>
              <w:ind w:left="100"/>
              <w:spacing w:after="0" w:line="202" w:lineRule="exact"/>
              <w:rPr>
                <w:sz w:val="20"/>
                <w:szCs w:val="20"/>
                <w:color w:val="auto"/>
              </w:rPr>
            </w:pPr>
            <w:r>
              <w:rPr>
                <w:rFonts w:ascii="Arial" w:cs="Arial" w:eastAsia="Arial" w:hAnsi="Arial"/>
                <w:sz w:val="18"/>
                <w:szCs w:val="18"/>
                <w:color w:val="auto"/>
              </w:rPr>
              <w:t>Receivables related to the sale of discontinued businesses</w:t>
            </w:r>
          </w:p>
        </w:tc>
        <w:tc>
          <w:tcPr>
            <w:tcW w:w="322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16,675</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16,555</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allowance for doubtful accounts</w:t>
            </w:r>
          </w:p>
        </w:tc>
        <w:tc>
          <w:tcPr>
            <w:tcW w:w="3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(11,698)</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(11,862)</w:t>
            </w:r>
          </w:p>
        </w:tc>
      </w:tr>
      <w:tr>
        <w:trPr>
          <w:trHeight w:val="196"/>
        </w:trPr>
        <w:tc>
          <w:tcPr>
            <w:tcW w:w="62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Accounts Receivable</w:t>
            </w:r>
          </w:p>
        </w:tc>
        <w:tc>
          <w:tcPr>
            <w:tcW w:w="3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$171,483</w:t>
            </w:r>
          </w:p>
        </w:tc>
        <w:tc>
          <w:tcPr>
            <w:tcW w:w="1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$171,535</w:t>
            </w:r>
          </w:p>
        </w:tc>
      </w:tr>
      <w:tr>
        <w:trPr>
          <w:trHeight w:val="412"/>
        </w:trPr>
        <w:tc>
          <w:tcPr>
            <w:tcW w:w="6240" w:type="dxa"/>
            <w:vAlign w:val="bottom"/>
          </w:tcPr>
          <w:p>
            <w:pPr>
              <w:spacing w:after="0"/>
              <w:rPr>
                <w:sz w:val="20"/>
                <w:szCs w:val="20"/>
                <w:color w:val="auto"/>
              </w:rPr>
            </w:pPr>
            <w:r>
              <w:rPr>
                <w:rFonts w:ascii="Arial" w:cs="Arial" w:eastAsia="Arial" w:hAnsi="Arial"/>
                <w:sz w:val="18"/>
                <w:szCs w:val="18"/>
                <w:b w:val="1"/>
                <w:bCs w:val="1"/>
                <w:i w:val="1"/>
                <w:iCs w:val="1"/>
                <w:color w:val="auto"/>
              </w:rPr>
              <w:t>11. Inventories</w:t>
            </w:r>
          </w:p>
        </w:tc>
        <w:tc>
          <w:tcPr>
            <w:tcW w:w="3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11"/>
        </w:trPr>
        <w:tc>
          <w:tcPr>
            <w:tcW w:w="6240" w:type="dxa"/>
            <w:vAlign w:val="bottom"/>
          </w:tcPr>
          <w:p>
            <w:pPr>
              <w:ind w:left="360"/>
              <w:spacing w:after="0"/>
              <w:rPr>
                <w:sz w:val="20"/>
                <w:szCs w:val="20"/>
                <w:color w:val="auto"/>
              </w:rPr>
            </w:pPr>
            <w:r>
              <w:rPr>
                <w:rFonts w:ascii="Arial" w:cs="Arial" w:eastAsia="Arial" w:hAnsi="Arial"/>
                <w:sz w:val="18"/>
                <w:szCs w:val="18"/>
                <w:color w:val="auto"/>
              </w:rPr>
              <w:t>The components of Inventories are summarized below:</w:t>
            </w:r>
          </w:p>
        </w:tc>
        <w:tc>
          <w:tcPr>
            <w:tcW w:w="3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95"/>
        </w:trPr>
        <w:tc>
          <w:tcPr>
            <w:tcW w:w="624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r>
      <w:tr>
        <w:trPr>
          <w:trHeight w:val="173"/>
        </w:trPr>
        <w:tc>
          <w:tcPr>
            <w:tcW w:w="6240" w:type="dxa"/>
            <w:vAlign w:val="bottom"/>
          </w:tcPr>
          <w:p>
            <w:pPr>
              <w:spacing w:after="0"/>
              <w:rPr>
                <w:sz w:val="15"/>
                <w:szCs w:val="15"/>
                <w:color w:val="auto"/>
              </w:rPr>
            </w:pPr>
          </w:p>
        </w:tc>
        <w:tc>
          <w:tcPr>
            <w:tcW w:w="3220" w:type="dxa"/>
            <w:vAlign w:val="bottom"/>
          </w:tcPr>
          <w:p>
            <w:pPr>
              <w:jc w:val="center"/>
              <w:ind w:left="430"/>
              <w:spacing w:after="0" w:line="173" w:lineRule="exact"/>
              <w:rPr>
                <w:sz w:val="20"/>
                <w:szCs w:val="20"/>
                <w:color w:val="auto"/>
              </w:rPr>
            </w:pPr>
            <w:r>
              <w:rPr>
                <w:rFonts w:ascii="Arial" w:cs="Arial" w:eastAsia="Arial" w:hAnsi="Arial"/>
                <w:sz w:val="18"/>
                <w:szCs w:val="18"/>
                <w:b w:val="1"/>
                <w:bCs w:val="1"/>
                <w:color w:val="auto"/>
                <w:w w:val="98"/>
              </w:rPr>
              <w:t>March 31,</w:t>
            </w:r>
          </w:p>
        </w:tc>
        <w:tc>
          <w:tcPr>
            <w:tcW w:w="1960" w:type="dxa"/>
            <w:vAlign w:val="bottom"/>
          </w:tcPr>
          <w:p>
            <w:pPr>
              <w:jc w:val="center"/>
              <w:ind w:left="290"/>
              <w:spacing w:after="0" w:line="173" w:lineRule="exact"/>
              <w:rPr>
                <w:sz w:val="20"/>
                <w:szCs w:val="20"/>
                <w:color w:val="auto"/>
              </w:rPr>
            </w:pPr>
            <w:r>
              <w:rPr>
                <w:rFonts w:ascii="Arial" w:cs="Arial" w:eastAsia="Arial" w:hAnsi="Arial"/>
                <w:sz w:val="18"/>
                <w:szCs w:val="18"/>
                <w:b w:val="1"/>
                <w:bCs w:val="1"/>
                <w:color w:val="auto"/>
              </w:rPr>
              <w:t>December 31,</w:t>
            </w:r>
          </w:p>
        </w:tc>
      </w:tr>
      <w:tr>
        <w:trPr>
          <w:trHeight w:val="225"/>
        </w:trPr>
        <w:tc>
          <w:tcPr>
            <w:tcW w:w="6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2013</w:t>
            </w:r>
          </w:p>
        </w:tc>
        <w:tc>
          <w:tcPr>
            <w:tcW w:w="196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rPr>
              <w:t>2012</w:t>
            </w:r>
          </w:p>
        </w:tc>
      </w:tr>
      <w:tr>
        <w:trPr>
          <w:trHeight w:val="173"/>
        </w:trPr>
        <w:tc>
          <w:tcPr>
            <w:tcW w:w="6240" w:type="dxa"/>
            <w:vAlign w:val="bottom"/>
          </w:tcPr>
          <w:p>
            <w:pPr>
              <w:ind w:left="100"/>
              <w:spacing w:after="0" w:line="173" w:lineRule="exact"/>
              <w:rPr>
                <w:sz w:val="20"/>
                <w:szCs w:val="20"/>
                <w:color w:val="auto"/>
              </w:rPr>
            </w:pPr>
            <w:r>
              <w:rPr>
                <w:rFonts w:ascii="Arial" w:cs="Arial" w:eastAsia="Arial" w:hAnsi="Arial"/>
                <w:sz w:val="18"/>
                <w:szCs w:val="18"/>
                <w:color w:val="auto"/>
              </w:rPr>
              <w:t>Finished goods</w:t>
            </w:r>
          </w:p>
        </w:tc>
        <w:tc>
          <w:tcPr>
            <w:tcW w:w="3220" w:type="dxa"/>
            <w:vAlign w:val="bottom"/>
          </w:tcPr>
          <w:p>
            <w:pPr>
              <w:jc w:val="right"/>
              <w:ind w:right="550"/>
              <w:spacing w:after="0" w:line="173" w:lineRule="exact"/>
              <w:rPr>
                <w:sz w:val="20"/>
                <w:szCs w:val="20"/>
                <w:color w:val="auto"/>
              </w:rPr>
            </w:pPr>
            <w:r>
              <w:rPr>
                <w:rFonts w:ascii="Arial" w:cs="Arial" w:eastAsia="Arial" w:hAnsi="Arial"/>
                <w:sz w:val="18"/>
                <w:szCs w:val="18"/>
                <w:b w:val="1"/>
                <w:bCs w:val="1"/>
                <w:color w:val="auto"/>
              </w:rPr>
              <w:t>$49,067</w:t>
            </w:r>
          </w:p>
        </w:tc>
        <w:tc>
          <w:tcPr>
            <w:tcW w:w="196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$49,235</w:t>
            </w:r>
          </w:p>
        </w:tc>
      </w:tr>
      <w:tr>
        <w:trPr>
          <w:trHeight w:val="203"/>
        </w:trPr>
        <w:tc>
          <w:tcPr>
            <w:tcW w:w="6240" w:type="dxa"/>
            <w:vAlign w:val="bottom"/>
          </w:tcPr>
          <w:p>
            <w:pPr>
              <w:ind w:left="100"/>
              <w:spacing w:after="0" w:line="202" w:lineRule="exact"/>
              <w:rPr>
                <w:sz w:val="20"/>
                <w:szCs w:val="20"/>
                <w:color w:val="auto"/>
              </w:rPr>
            </w:pPr>
            <w:r>
              <w:rPr>
                <w:rFonts w:ascii="Arial" w:cs="Arial" w:eastAsia="Arial" w:hAnsi="Arial"/>
                <w:sz w:val="18"/>
                <w:szCs w:val="18"/>
                <w:color w:val="auto"/>
              </w:rPr>
              <w:t>Work in process</w:t>
            </w:r>
          </w:p>
        </w:tc>
        <w:tc>
          <w:tcPr>
            <w:tcW w:w="322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rPr>
              <w:t>45,945</w:t>
            </w:r>
          </w:p>
        </w:tc>
        <w:tc>
          <w:tcPr>
            <w:tcW w:w="1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44,866</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Raw material and supplies</w:t>
            </w:r>
          </w:p>
        </w:tc>
        <w:tc>
          <w:tcPr>
            <w:tcW w:w="3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26,020</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25,082</w:t>
            </w:r>
          </w:p>
        </w:tc>
      </w:tr>
      <w:tr>
        <w:trPr>
          <w:trHeight w:val="196"/>
        </w:trPr>
        <w:tc>
          <w:tcPr>
            <w:tcW w:w="6240" w:type="dxa"/>
            <w:vAlign w:val="bottom"/>
            <w:tcBorders>
              <w:bottom w:val="single" w:sz="8" w:color="auto"/>
            </w:tcBorders>
          </w:tcPr>
          <w:p>
            <w:pPr>
              <w:ind w:left="160"/>
              <w:spacing w:after="0" w:line="196" w:lineRule="exact"/>
              <w:rPr>
                <w:sz w:val="20"/>
                <w:szCs w:val="20"/>
                <w:color w:val="auto"/>
              </w:rPr>
            </w:pPr>
            <w:r>
              <w:rPr>
                <w:rFonts w:ascii="Arial" w:cs="Arial" w:eastAsia="Arial" w:hAnsi="Arial"/>
                <w:sz w:val="18"/>
                <w:szCs w:val="18"/>
                <w:color w:val="auto"/>
              </w:rPr>
              <w:t>Total inventories</w:t>
            </w:r>
          </w:p>
        </w:tc>
        <w:tc>
          <w:tcPr>
            <w:tcW w:w="3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$121,032</w:t>
            </w:r>
          </w:p>
        </w:tc>
        <w:tc>
          <w:tcPr>
            <w:tcW w:w="1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$119,183</w:t>
            </w:r>
          </w:p>
        </w:tc>
      </w:tr>
    </w:tbl>
    <w:p>
      <w:pPr>
        <w:spacing w:after="0" w:line="202" w:lineRule="exact"/>
        <w:rPr>
          <w:sz w:val="20"/>
          <w:szCs w:val="20"/>
          <w:color w:val="auto"/>
        </w:rPr>
      </w:pPr>
    </w:p>
    <w:p>
      <w:pPr>
        <w:ind w:right="300" w:firstLine="360"/>
        <w:spacing w:after="0" w:line="246"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We record a provision for obsolete inventory based on the age and category of the inventories.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26" w:lineRule="exact"/>
        <w:rPr>
          <w:sz w:val="20"/>
          <w:szCs w:val="20"/>
          <w:color w:val="auto"/>
        </w:rPr>
      </w:pPr>
    </w:p>
    <w:p>
      <w:pPr>
        <w:ind w:right="180" w:firstLine="360"/>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95" w:lineRule="exact"/>
        <w:rPr>
          <w:sz w:val="20"/>
          <w:szCs w:val="20"/>
          <w:color w:val="auto"/>
        </w:rPr>
      </w:pPr>
    </w:p>
    <w:p>
      <w:pPr>
        <w:ind w:right="320" w:firstLine="360"/>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94" w:lineRule="exact"/>
        <w:rPr>
          <w:sz w:val="20"/>
          <w:szCs w:val="20"/>
          <w:color w:val="auto"/>
        </w:rPr>
      </w:pPr>
    </w:p>
    <w:p>
      <w:pPr>
        <w:ind w:right="20" w:firstLine="360"/>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jc w:val="both"/>
        <w:ind w:right="180" w:firstLine="360"/>
        <w:spacing w:after="0"/>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2012 the Company applied the qualitative assessment approach in performing its annual evaluation of goodwill and concluded that no impairment provision was required. In addition, there were no amounts at risk due to the large spread between the fair and carrying values.</w:t>
      </w:r>
    </w:p>
    <w:p>
      <w:pPr>
        <w:spacing w:after="0" w:line="95" w:lineRule="exact"/>
        <w:rPr>
          <w:sz w:val="20"/>
          <w:szCs w:val="20"/>
          <w:color w:val="auto"/>
        </w:rPr>
      </w:pPr>
    </w:p>
    <w:p>
      <w:pPr>
        <w:ind w:right="100" w:firstLine="360"/>
        <w:spacing w:after="0" w:line="24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2012 to March 31, 2013, were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3"/>
        </w:trPr>
        <w:tc>
          <w:tcPr>
            <w:tcW w:w="372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right"/>
              <w:ind w:right="130"/>
              <w:spacing w:after="0" w:line="194" w:lineRule="exact"/>
              <w:rPr>
                <w:sz w:val="20"/>
                <w:szCs w:val="20"/>
                <w:color w:val="auto"/>
              </w:rPr>
            </w:pPr>
            <w:r>
              <w:rPr>
                <w:rFonts w:ascii="Arial" w:cs="Arial" w:eastAsia="Arial" w:hAnsi="Arial"/>
                <w:sz w:val="18"/>
                <w:szCs w:val="18"/>
                <w:b w:val="1"/>
                <w:bCs w:val="1"/>
                <w:color w:val="auto"/>
              </w:rPr>
              <w:t>Balance at</w:t>
            </w:r>
          </w:p>
        </w:tc>
        <w:tc>
          <w:tcPr>
            <w:tcW w:w="18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110"/>
              <w:spacing w:after="0" w:line="194" w:lineRule="exact"/>
              <w:rPr>
                <w:sz w:val="20"/>
                <w:szCs w:val="20"/>
                <w:color w:val="auto"/>
              </w:rPr>
            </w:pPr>
            <w:r>
              <w:rPr>
                <w:rFonts w:ascii="Arial" w:cs="Arial" w:eastAsia="Arial" w:hAnsi="Arial"/>
                <w:sz w:val="18"/>
                <w:szCs w:val="18"/>
                <w:b w:val="1"/>
                <w:bCs w:val="1"/>
                <w:color w:val="auto"/>
              </w:rPr>
              <w:t>Currency</w:t>
            </w:r>
          </w:p>
        </w:tc>
        <w:tc>
          <w:tcPr>
            <w:tcW w:w="14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Balance at</w:t>
            </w:r>
          </w:p>
        </w:tc>
      </w:tr>
      <w:tr>
        <w:trPr>
          <w:trHeight w:val="225"/>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December 31, 2012</w:t>
            </w:r>
          </w:p>
        </w:tc>
        <w:tc>
          <w:tcPr>
            <w:tcW w:w="1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Amortization</w:t>
            </w: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Translation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2013</w:t>
            </w:r>
          </w:p>
        </w:tc>
      </w:tr>
      <w:tr>
        <w:trPr>
          <w:trHeight w:val="398"/>
        </w:trPr>
        <w:tc>
          <w:tcPr>
            <w:tcW w:w="3720" w:type="dxa"/>
            <w:vAlign w:val="bottom"/>
          </w:tcPr>
          <w:p>
            <w:pPr>
              <w:ind w:left="100"/>
              <w:spacing w:after="0"/>
              <w:rPr>
                <w:sz w:val="20"/>
                <w:szCs w:val="20"/>
                <w:color w:val="auto"/>
              </w:rPr>
            </w:pPr>
            <w:r>
              <w:rPr>
                <w:rFonts w:ascii="Arial" w:cs="Arial" w:eastAsia="Arial" w:hAnsi="Arial"/>
                <w:sz w:val="18"/>
                <w:szCs w:val="18"/>
                <w:color w:val="auto"/>
              </w:rPr>
              <w:t>Amortized intangible assets:</w:t>
            </w:r>
          </w:p>
        </w:tc>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AEC trade names</w:t>
            </w:r>
          </w:p>
        </w:tc>
        <w:tc>
          <w:tcPr>
            <w:tcW w:w="28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$38</w:t>
            </w:r>
          </w:p>
        </w:tc>
        <w:tc>
          <w:tcPr>
            <w:tcW w:w="1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w:t>
            </w: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w:t>
            </w:r>
          </w:p>
        </w:tc>
      </w:tr>
      <w:tr>
        <w:trPr>
          <w:trHeight w:val="203"/>
        </w:trPr>
        <w:tc>
          <w:tcPr>
            <w:tcW w:w="3720" w:type="dxa"/>
            <w:vAlign w:val="bottom"/>
          </w:tcPr>
          <w:p>
            <w:pPr>
              <w:ind w:left="240"/>
              <w:spacing w:after="0" w:line="202" w:lineRule="exact"/>
              <w:rPr>
                <w:sz w:val="20"/>
                <w:szCs w:val="20"/>
                <w:color w:val="auto"/>
              </w:rPr>
            </w:pPr>
            <w:r>
              <w:rPr>
                <w:rFonts w:ascii="Arial" w:cs="Arial" w:eastAsia="Arial" w:hAnsi="Arial"/>
                <w:sz w:val="18"/>
                <w:szCs w:val="18"/>
                <w:color w:val="auto"/>
              </w:rPr>
              <w:t>AEC customer contracts</w:t>
            </w:r>
          </w:p>
        </w:tc>
        <w:tc>
          <w:tcPr>
            <w:tcW w:w="28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606</w:t>
            </w:r>
          </w:p>
        </w:tc>
        <w:tc>
          <w:tcPr>
            <w:tcW w:w="18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(51)</w:t>
            </w:r>
          </w:p>
        </w:tc>
        <w:tc>
          <w:tcPr>
            <w:tcW w:w="1000" w:type="dxa"/>
            <w:vAlign w:val="bottom"/>
          </w:tcPr>
          <w:p>
            <w:pPr>
              <w:spacing w:after="0"/>
              <w:rPr>
                <w:sz w:val="17"/>
                <w:szCs w:val="17"/>
                <w:color w:val="auto"/>
              </w:rPr>
            </w:pPr>
          </w:p>
        </w:tc>
        <w:tc>
          <w:tcPr>
            <w:tcW w:w="5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555</w:t>
            </w:r>
          </w:p>
        </w:tc>
      </w:tr>
      <w:tr>
        <w:trPr>
          <w:trHeight w:val="203"/>
        </w:trPr>
        <w:tc>
          <w:tcPr>
            <w:tcW w:w="3720" w:type="dxa"/>
            <w:vAlign w:val="bottom"/>
            <w:tcBorders>
              <w:bottom w:val="single" w:sz="8" w:color="auto"/>
            </w:tcBorders>
          </w:tcPr>
          <w:p>
            <w:pPr>
              <w:ind w:left="240"/>
              <w:spacing w:after="0" w:line="203" w:lineRule="exact"/>
              <w:rPr>
                <w:sz w:val="20"/>
                <w:szCs w:val="20"/>
                <w:color w:val="auto"/>
              </w:rPr>
            </w:pPr>
            <w:r>
              <w:rPr>
                <w:rFonts w:ascii="Arial" w:cs="Arial" w:eastAsia="Arial" w:hAnsi="Arial"/>
                <w:sz w:val="18"/>
                <w:szCs w:val="18"/>
                <w:color w:val="auto"/>
              </w:rPr>
              <w:t>AEC technology</w:t>
            </w:r>
          </w:p>
        </w:tc>
        <w:tc>
          <w:tcPr>
            <w:tcW w:w="28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204</w:t>
            </w:r>
          </w:p>
        </w:tc>
        <w:tc>
          <w:tcPr>
            <w:tcW w:w="18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(6)</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198</w:t>
            </w:r>
          </w:p>
        </w:tc>
      </w:tr>
      <w:tr>
        <w:trPr>
          <w:trHeight w:val="196"/>
        </w:trPr>
        <w:tc>
          <w:tcPr>
            <w:tcW w:w="372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amortized intangible assets</w:t>
            </w:r>
          </w:p>
        </w:tc>
        <w:tc>
          <w:tcPr>
            <w:tcW w:w="28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$848</w:t>
            </w:r>
          </w:p>
        </w:tc>
        <w:tc>
          <w:tcPr>
            <w:tcW w:w="1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($58)</w:t>
            </w:r>
          </w:p>
        </w:tc>
        <w:tc>
          <w:tcPr>
            <w:tcW w:w="10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$790</w:t>
            </w:r>
          </w:p>
        </w:tc>
      </w:tr>
      <w:tr>
        <w:trPr>
          <w:trHeight w:val="398"/>
        </w:trPr>
        <w:tc>
          <w:tcPr>
            <w:tcW w:w="3720" w:type="dxa"/>
            <w:vAlign w:val="bottom"/>
          </w:tcPr>
          <w:p>
            <w:pPr>
              <w:ind w:left="100"/>
              <w:spacing w:after="0"/>
              <w:rPr>
                <w:sz w:val="20"/>
                <w:szCs w:val="20"/>
                <w:color w:val="auto"/>
              </w:rPr>
            </w:pPr>
            <w:r>
              <w:rPr>
                <w:rFonts w:ascii="Arial" w:cs="Arial" w:eastAsia="Arial" w:hAnsi="Arial"/>
                <w:sz w:val="18"/>
                <w:szCs w:val="18"/>
                <w:color w:val="auto"/>
              </w:rPr>
              <w:t>Unamortized intangible assets:</w:t>
            </w:r>
          </w:p>
        </w:tc>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720" w:type="dxa"/>
            <w:vAlign w:val="bottom"/>
            <w:tcBorders>
              <w:bottom w:val="single" w:sz="8" w:color="auto"/>
            </w:tcBorders>
          </w:tcPr>
          <w:p>
            <w:pPr>
              <w:ind w:left="460"/>
              <w:spacing w:after="0" w:line="203" w:lineRule="exact"/>
              <w:rPr>
                <w:sz w:val="20"/>
                <w:szCs w:val="20"/>
                <w:color w:val="auto"/>
              </w:rPr>
            </w:pPr>
            <w:r>
              <w:rPr>
                <w:rFonts w:ascii="Arial" w:cs="Arial" w:eastAsia="Arial" w:hAnsi="Arial"/>
                <w:sz w:val="18"/>
                <w:szCs w:val="18"/>
                <w:color w:val="auto"/>
              </w:rPr>
              <w:t>Goodwill</w:t>
            </w:r>
          </w:p>
        </w:tc>
        <w:tc>
          <w:tcPr>
            <w:tcW w:w="28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$76,522</w:t>
            </w:r>
          </w:p>
        </w:tc>
        <w:tc>
          <w:tcPr>
            <w:tcW w:w="180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gridSpan w:val="2"/>
          </w:tcPr>
          <w:p>
            <w:pPr>
              <w:jc w:val="right"/>
              <w:ind w:right="170"/>
              <w:spacing w:after="0" w:line="203" w:lineRule="exact"/>
              <w:rPr>
                <w:sz w:val="20"/>
                <w:szCs w:val="20"/>
                <w:color w:val="auto"/>
              </w:rPr>
            </w:pPr>
            <w:r>
              <w:rPr>
                <w:rFonts w:ascii="Arial" w:cs="Arial" w:eastAsia="Arial" w:hAnsi="Arial"/>
                <w:sz w:val="18"/>
                <w:szCs w:val="18"/>
                <w:color w:val="auto"/>
              </w:rPr>
              <w:t>($1,646)</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$74,876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2013, the balance of goodwill was $74.9 million and was completely attributable to our Machine Clothing reportable segment.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of intangibles for the years ending December 31, 2013 through 2017,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0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Annual amortization</w:t>
            </w:r>
          </w:p>
        </w:tc>
      </w:tr>
      <w:tr>
        <w:trPr>
          <w:trHeight w:val="225"/>
        </w:trPr>
        <w:tc>
          <w:tcPr>
            <w:tcW w:w="19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Year</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95"/>
        </w:trPr>
        <w:tc>
          <w:tcPr>
            <w:tcW w:w="1900" w:type="dxa"/>
            <w:vAlign w:val="bottom"/>
          </w:tcPr>
          <w:p>
            <w:pPr>
              <w:jc w:val="right"/>
              <w:ind w:right="850"/>
              <w:spacing w:after="0" w:line="195" w:lineRule="exact"/>
              <w:rPr>
                <w:sz w:val="20"/>
                <w:szCs w:val="20"/>
                <w:color w:val="auto"/>
              </w:rPr>
            </w:pPr>
            <w:r>
              <w:rPr>
                <w:rFonts w:ascii="Arial" w:cs="Arial" w:eastAsia="Arial" w:hAnsi="Arial"/>
                <w:sz w:val="18"/>
                <w:szCs w:val="18"/>
                <w:color w:val="auto"/>
              </w:rPr>
              <w:t>2013</w:t>
            </w:r>
          </w:p>
        </w:tc>
        <w:tc>
          <w:tcPr>
            <w:tcW w:w="268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$231</w:t>
            </w:r>
          </w:p>
        </w:tc>
      </w:tr>
      <w:tr>
        <w:trPr>
          <w:trHeight w:val="203"/>
        </w:trPr>
        <w:tc>
          <w:tcPr>
            <w:tcW w:w="1900" w:type="dxa"/>
            <w:vAlign w:val="bottom"/>
          </w:tcPr>
          <w:p>
            <w:pPr>
              <w:jc w:val="right"/>
              <w:ind w:right="850"/>
              <w:spacing w:after="0" w:line="202" w:lineRule="exact"/>
              <w:rPr>
                <w:sz w:val="20"/>
                <w:szCs w:val="20"/>
                <w:color w:val="auto"/>
              </w:rPr>
            </w:pPr>
            <w:r>
              <w:rPr>
                <w:rFonts w:ascii="Arial" w:cs="Arial" w:eastAsia="Arial" w:hAnsi="Arial"/>
                <w:sz w:val="18"/>
                <w:szCs w:val="18"/>
                <w:color w:val="auto"/>
              </w:rPr>
              <w:t>2014</w:t>
            </w:r>
          </w:p>
        </w:tc>
        <w:tc>
          <w:tcPr>
            <w:tcW w:w="2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1900" w:type="dxa"/>
            <w:vAlign w:val="bottom"/>
          </w:tcPr>
          <w:p>
            <w:pPr>
              <w:jc w:val="right"/>
              <w:ind w:right="850"/>
              <w:spacing w:after="0" w:line="202" w:lineRule="exact"/>
              <w:rPr>
                <w:sz w:val="20"/>
                <w:szCs w:val="20"/>
                <w:color w:val="auto"/>
              </w:rPr>
            </w:pPr>
            <w:r>
              <w:rPr>
                <w:rFonts w:ascii="Arial" w:cs="Arial" w:eastAsia="Arial" w:hAnsi="Arial"/>
                <w:sz w:val="18"/>
                <w:szCs w:val="18"/>
                <w:color w:val="auto"/>
              </w:rPr>
              <w:t>2015</w:t>
            </w:r>
          </w:p>
        </w:tc>
        <w:tc>
          <w:tcPr>
            <w:tcW w:w="2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1900" w:type="dxa"/>
            <w:vAlign w:val="bottom"/>
          </w:tcPr>
          <w:p>
            <w:pPr>
              <w:jc w:val="right"/>
              <w:ind w:right="850"/>
              <w:spacing w:after="0" w:line="202" w:lineRule="exact"/>
              <w:rPr>
                <w:sz w:val="20"/>
                <w:szCs w:val="20"/>
                <w:color w:val="auto"/>
              </w:rPr>
            </w:pPr>
            <w:r>
              <w:rPr>
                <w:rFonts w:ascii="Arial" w:cs="Arial" w:eastAsia="Arial" w:hAnsi="Arial"/>
                <w:sz w:val="18"/>
                <w:szCs w:val="18"/>
                <w:color w:val="auto"/>
              </w:rPr>
              <w:t>2016</w:t>
            </w:r>
          </w:p>
        </w:tc>
        <w:tc>
          <w:tcPr>
            <w:tcW w:w="2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29</w:t>
            </w:r>
          </w:p>
        </w:tc>
      </w:tr>
      <w:tr>
        <w:trPr>
          <w:trHeight w:val="203"/>
        </w:trPr>
        <w:tc>
          <w:tcPr>
            <w:tcW w:w="1900" w:type="dxa"/>
            <w:vAlign w:val="bottom"/>
            <w:tcBorders>
              <w:bottom w:val="single" w:sz="8" w:color="auto"/>
            </w:tcBorders>
          </w:tcPr>
          <w:p>
            <w:pPr>
              <w:jc w:val="right"/>
              <w:ind w:right="850"/>
              <w:spacing w:after="0" w:line="203" w:lineRule="exact"/>
              <w:rPr>
                <w:sz w:val="20"/>
                <w:szCs w:val="20"/>
                <w:color w:val="auto"/>
              </w:rPr>
            </w:pPr>
            <w:r>
              <w:rPr>
                <w:rFonts w:ascii="Arial" w:cs="Arial" w:eastAsia="Arial" w:hAnsi="Arial"/>
                <w:sz w:val="18"/>
                <w:szCs w:val="18"/>
                <w:color w:val="auto"/>
              </w:rPr>
              <w:t>2017</w:t>
            </w:r>
          </w:p>
        </w:tc>
        <w:tc>
          <w:tcPr>
            <w:tcW w:w="268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29</w:t>
            </w:r>
          </w:p>
        </w:tc>
      </w:tr>
    </w:tbl>
    <w:p>
      <w:pPr>
        <w:spacing w:after="0" w:line="180" w:lineRule="exact"/>
        <w:rPr>
          <w:sz w:val="20"/>
          <w:szCs w:val="20"/>
          <w:color w:val="auto"/>
        </w:rPr>
      </w:pPr>
    </w:p>
    <w:p>
      <w:pPr>
        <w:ind w:left="360" w:right="8880" w:hanging="352"/>
        <w:spacing w:after="0" w:line="397" w:lineRule="auto"/>
        <w:tabs>
          <w:tab w:leader="none" w:pos="3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Long-term debt consists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gridSpan w:val="2"/>
          </w:tcPr>
          <w:p>
            <w:pPr>
              <w:jc w:val="center"/>
              <w:ind w:right="210"/>
              <w:spacing w:after="0" w:line="194" w:lineRule="exact"/>
              <w:rPr>
                <w:sz w:val="20"/>
                <w:szCs w:val="20"/>
                <w:color w:val="auto"/>
              </w:rPr>
            </w:pPr>
            <w:r>
              <w:rPr>
                <w:rFonts w:ascii="Arial" w:cs="Arial" w:eastAsia="Arial" w:hAnsi="Arial"/>
                <w:sz w:val="18"/>
                <w:szCs w:val="18"/>
                <w:b w:val="1"/>
                <w:bCs w:val="1"/>
                <w:color w:val="auto"/>
                <w:w w:val="98"/>
              </w:rPr>
              <w:t>March 31,</w:t>
            </w:r>
          </w:p>
        </w:tc>
        <w:tc>
          <w:tcPr>
            <w:tcW w:w="1960" w:type="dxa"/>
            <w:vAlign w:val="bottom"/>
            <w:tcBorders>
              <w:top w:val="single" w:sz="8" w:color="auto"/>
            </w:tcBorders>
          </w:tcPr>
          <w:p>
            <w:pPr>
              <w:jc w:val="right"/>
              <w:ind w:right="130"/>
              <w:spacing w:after="0" w:line="194"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400" w:type="dxa"/>
            <w:vAlign w:val="bottom"/>
            <w:tcBorders>
              <w:bottom w:val="single" w:sz="8" w:color="auto"/>
            </w:tcBorders>
            <w:gridSpan w:val="2"/>
          </w:tcPr>
          <w:p>
            <w:pPr>
              <w:jc w:val="right"/>
              <w:ind w:right="1030"/>
              <w:spacing w:after="0"/>
              <w:rPr>
                <w:sz w:val="20"/>
                <w:szCs w:val="20"/>
                <w:color w:val="auto"/>
              </w:rPr>
            </w:pPr>
            <w:r>
              <w:rPr>
                <w:rFonts w:ascii="Arial" w:cs="Arial" w:eastAsia="Arial" w:hAnsi="Arial"/>
                <w:sz w:val="18"/>
                <w:szCs w:val="18"/>
                <w:b w:val="1"/>
                <w:bCs w:val="1"/>
                <w:color w:val="auto"/>
              </w:rPr>
              <w:t>2013</w:t>
            </w:r>
          </w:p>
        </w:tc>
        <w:tc>
          <w:tcPr>
            <w:tcW w:w="19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98"/>
        </w:trPr>
        <w:tc>
          <w:tcPr>
            <w:tcW w:w="7060" w:type="dxa"/>
            <w:vAlign w:val="bottom"/>
          </w:tcPr>
          <w:p>
            <w:pPr>
              <w:ind w:left="100"/>
              <w:spacing w:after="0"/>
              <w:rPr>
                <w:sz w:val="20"/>
                <w:szCs w:val="20"/>
                <w:color w:val="auto"/>
              </w:rPr>
            </w:pPr>
            <w:r>
              <w:rPr>
                <w:rFonts w:ascii="Arial" w:cs="Arial" w:eastAsia="Arial" w:hAnsi="Arial"/>
                <w:sz w:val="18"/>
                <w:szCs w:val="18"/>
                <w:color w:val="auto"/>
              </w:rPr>
              <w:t>Convertible notes, par value $28,437, issued in March 2006 with fixed</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100"/>
              <w:spacing w:after="0"/>
              <w:rPr>
                <w:sz w:val="20"/>
                <w:szCs w:val="20"/>
                <w:color w:val="auto"/>
              </w:rPr>
            </w:pPr>
            <w:r>
              <w:rPr>
                <w:rFonts w:ascii="Arial" w:cs="Arial" w:eastAsia="Arial" w:hAnsi="Arial"/>
                <w:sz w:val="18"/>
                <w:szCs w:val="18"/>
                <w:color w:val="auto"/>
              </w:rPr>
              <w:t>contractual interest rates of 2.25%, due in 2026, redeemed March 2013</w:t>
            </w:r>
          </w:p>
        </w:tc>
        <w:tc>
          <w:tcPr>
            <w:tcW w:w="11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405"/>
        </w:trPr>
        <w:tc>
          <w:tcPr>
            <w:tcW w:w="7060" w:type="dxa"/>
            <w:vAlign w:val="bottom"/>
          </w:tcPr>
          <w:p>
            <w:pPr>
              <w:ind w:left="100"/>
              <w:spacing w:after="0"/>
              <w:rPr>
                <w:sz w:val="20"/>
                <w:szCs w:val="20"/>
                <w:color w:val="auto"/>
              </w:rPr>
            </w:pPr>
            <w:r>
              <w:rPr>
                <w:rFonts w:ascii="Arial" w:cs="Arial" w:eastAsia="Arial" w:hAnsi="Arial"/>
                <w:sz w:val="18"/>
                <w:szCs w:val="18"/>
                <w:color w:val="auto"/>
              </w:rPr>
              <w:t>Private placement with a fixed interest rate of 6.84%, due in 2013 through 2017</w:t>
            </w:r>
          </w:p>
        </w:tc>
        <w:tc>
          <w:tcPr>
            <w:tcW w:w="24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150,000</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391"/>
        </w:trPr>
        <w:tc>
          <w:tcPr>
            <w:tcW w:w="7060" w:type="dxa"/>
            <w:vAlign w:val="bottom"/>
          </w:tcPr>
          <w:p>
            <w:pPr>
              <w:ind w:left="100"/>
              <w:spacing w:after="0"/>
              <w:rPr>
                <w:sz w:val="20"/>
                <w:szCs w:val="20"/>
                <w:color w:val="auto"/>
              </w:rPr>
            </w:pPr>
            <w:r>
              <w:rPr>
                <w:rFonts w:ascii="Arial" w:cs="Arial" w:eastAsia="Arial" w:hAnsi="Arial"/>
                <w:sz w:val="18"/>
                <w:szCs w:val="18"/>
                <w:color w:val="auto"/>
              </w:rPr>
              <w:t>Credit agreement with borrowings outstanding at an end of period interest rate</w:t>
            </w:r>
          </w:p>
        </w:tc>
        <w:tc>
          <w:tcPr>
            <w:tcW w:w="2400" w:type="dxa"/>
            <w:vAlign w:val="bottom"/>
            <w:gridSpan w:val="2"/>
            <w:vMerge w:val="restart"/>
          </w:tcPr>
          <w:p>
            <w:pPr>
              <w:jc w:val="right"/>
              <w:ind w:right="550"/>
              <w:spacing w:after="0"/>
              <w:rPr>
                <w:sz w:val="20"/>
                <w:szCs w:val="20"/>
                <w:color w:val="auto"/>
              </w:rPr>
            </w:pPr>
            <w:r>
              <w:rPr>
                <w:rFonts w:ascii="Arial" w:cs="Arial" w:eastAsia="Arial" w:hAnsi="Arial"/>
                <w:sz w:val="18"/>
                <w:szCs w:val="18"/>
                <w:b w:val="1"/>
                <w:bCs w:val="1"/>
                <w:color w:val="auto"/>
              </w:rPr>
              <w:t>176,000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100"/>
              <w:spacing w:after="0"/>
              <w:rPr>
                <w:sz w:val="20"/>
                <w:szCs w:val="20"/>
                <w:color w:val="auto"/>
              </w:rPr>
            </w:pPr>
            <w:r>
              <w:rPr>
                <w:rFonts w:ascii="Arial" w:cs="Arial" w:eastAsia="Arial" w:hAnsi="Arial"/>
                <w:sz w:val="18"/>
                <w:szCs w:val="18"/>
                <w:color w:val="auto"/>
              </w:rPr>
              <w:t>of 2.68% in 2013 and 3.92% in 2012, due in 2018</w:t>
            </w:r>
          </w:p>
        </w:tc>
        <w:tc>
          <w:tcPr>
            <w:tcW w:w="2400" w:type="dxa"/>
            <w:vAlign w:val="bottom"/>
            <w:gridSpan w:val="2"/>
            <w:vMerge w:val="continue"/>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391"/>
        </w:trPr>
        <w:tc>
          <w:tcPr>
            <w:tcW w:w="7060" w:type="dxa"/>
            <w:vAlign w:val="bottom"/>
          </w:tcPr>
          <w:p>
            <w:pPr>
              <w:ind w:left="100"/>
              <w:spacing w:after="0"/>
              <w:rPr>
                <w:sz w:val="20"/>
                <w:szCs w:val="20"/>
                <w:color w:val="auto"/>
              </w:rPr>
            </w:pPr>
            <w:r>
              <w:rPr>
                <w:rFonts w:ascii="Arial" w:cs="Arial" w:eastAsia="Arial" w:hAnsi="Arial"/>
                <w:sz w:val="18"/>
                <w:szCs w:val="18"/>
                <w:color w:val="auto"/>
              </w:rPr>
              <w:t>Various notes and mortgages relative to operations principally outside the</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00"/>
              <w:spacing w:after="0" w:line="202" w:lineRule="exact"/>
              <w:rPr>
                <w:sz w:val="20"/>
                <w:szCs w:val="20"/>
                <w:color w:val="auto"/>
              </w:rPr>
            </w:pPr>
            <w:r>
              <w:rPr>
                <w:rFonts w:ascii="Arial" w:cs="Arial" w:eastAsia="Arial" w:hAnsi="Arial"/>
                <w:sz w:val="18"/>
                <w:szCs w:val="18"/>
                <w:color w:val="auto"/>
              </w:rPr>
              <w:t>United States, at an average end of period rate of 3.06% in 2013 and 2012,</w:t>
            </w:r>
          </w:p>
        </w:tc>
        <w:tc>
          <w:tcPr>
            <w:tcW w:w="1140" w:type="dxa"/>
            <w:vAlign w:val="bottom"/>
          </w:tcPr>
          <w:p>
            <w:pPr>
              <w:spacing w:after="0"/>
              <w:rPr>
                <w:sz w:val="17"/>
                <w:szCs w:val="17"/>
                <w:color w:val="auto"/>
              </w:rPr>
            </w:pPr>
          </w:p>
        </w:tc>
        <w:tc>
          <w:tcPr>
            <w:tcW w:w="12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7,636</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due in varying amounts through 2021</w:t>
            </w:r>
          </w:p>
        </w:tc>
        <w:tc>
          <w:tcPr>
            <w:tcW w:w="1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8,892</w:t>
            </w:r>
          </w:p>
        </w:tc>
        <w:tc>
          <w:tcPr>
            <w:tcW w:w="0" w:type="dxa"/>
            <w:vAlign w:val="bottom"/>
          </w:tcPr>
          <w:p>
            <w:pPr>
              <w:spacing w:after="0"/>
              <w:rPr>
                <w:sz w:val="1"/>
                <w:szCs w:val="1"/>
                <w:color w:val="auto"/>
              </w:rPr>
            </w:pPr>
          </w:p>
        </w:tc>
      </w:tr>
      <w:tr>
        <w:trPr>
          <w:trHeight w:val="412"/>
        </w:trPr>
        <w:tc>
          <w:tcPr>
            <w:tcW w:w="706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240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333,636</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319,153</w:t>
            </w:r>
          </w:p>
        </w:tc>
        <w:tc>
          <w:tcPr>
            <w:tcW w:w="0" w:type="dxa"/>
            <w:vAlign w:val="bottom"/>
          </w:tcPr>
          <w:p>
            <w:pPr>
              <w:spacing w:after="0"/>
              <w:rPr>
                <w:sz w:val="1"/>
                <w:szCs w:val="1"/>
                <w:color w:val="auto"/>
              </w:rPr>
            </w:pPr>
          </w:p>
        </w:tc>
      </w:tr>
      <w:tr>
        <w:trPr>
          <w:trHeight w:val="392"/>
        </w:trPr>
        <w:tc>
          <w:tcPr>
            <w:tcW w:w="7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8"/>
              </w:rPr>
              <w:t>(55,014)</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399"/>
        </w:trPr>
        <w:tc>
          <w:tcPr>
            <w:tcW w:w="70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Long-term debt, net of current portion</w:t>
            </w:r>
          </w:p>
        </w:tc>
        <w:tc>
          <w:tcPr>
            <w:tcW w:w="240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b w:val="1"/>
                <w:bCs w:val="1"/>
                <w:color w:val="auto"/>
              </w:rPr>
              <w:t>$278,622</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$235,877</w:t>
            </w:r>
          </w:p>
        </w:tc>
        <w:tc>
          <w:tcPr>
            <w:tcW w:w="0" w:type="dxa"/>
            <w:vAlign w:val="bottom"/>
          </w:tcPr>
          <w:p>
            <w:pPr>
              <w:spacing w:after="0"/>
              <w:rPr>
                <w:sz w:val="1"/>
                <w:szCs w:val="1"/>
                <w:color w:val="auto"/>
              </w:rPr>
            </w:pPr>
          </w:p>
        </w:tc>
      </w:tr>
      <w:tr>
        <w:trPr>
          <w:trHeight w:val="811"/>
        </w:trPr>
        <w:tc>
          <w:tcPr>
            <w:tcW w:w="7060" w:type="dxa"/>
            <w:vAlign w:val="bottom"/>
          </w:tcPr>
          <w:p>
            <w:pPr>
              <w:ind w:left="5620"/>
              <w:spacing w:after="0"/>
              <w:rPr>
                <w:sz w:val="20"/>
                <w:szCs w:val="20"/>
                <w:color w:val="auto"/>
              </w:rPr>
            </w:pPr>
            <w:r>
              <w:rPr>
                <w:rFonts w:ascii="Arial" w:cs="Arial" w:eastAsia="Arial" w:hAnsi="Arial"/>
                <w:sz w:val="16"/>
                <w:szCs w:val="16"/>
                <w:color w:val="auto"/>
              </w:rPr>
              <w:t>16</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2" w:right="239" w:bottom="1440" w:gutter="0" w:footer="0" w:header="0"/>
        </w:sectPr>
      </w:pPr>
    </w:p>
    <w:bookmarkStart w:id="16" w:name="page17"/>
    <w:bookmarkEnd w:id="16"/>
    <w:p>
      <w:pPr>
        <w:ind w:right="40" w:firstLine="360"/>
        <w:spacing w:after="0" w:line="236" w:lineRule="auto"/>
        <w:rPr>
          <w:sz w:val="20"/>
          <w:szCs w:val="20"/>
          <w:color w:val="auto"/>
        </w:rPr>
      </w:pPr>
      <w:r>
        <w:rPr>
          <w:rFonts w:ascii="Arial" w:cs="Arial" w:eastAsia="Arial" w:hAnsi="Arial"/>
          <w:sz w:val="18"/>
          <w:szCs w:val="18"/>
          <w:color w:val="auto"/>
        </w:rPr>
        <w:t>The note agreement and guaranty (“the Prudential agreement”) was entered into in October 2005 and was amended and restated September 17, 2010 and on March 26, 2013, with the Prudential Insurance Company of America, and certain other purchasers, in an aggregate principal amount of $150 million, with interest at 6.84% and a maturity date of October 25, 2017. There are mandatory payments of $50 million on October 25, 2013 and October 25, 2015. At the noteholders’ election, certain prepayments may also be required in connection with certain asset dispositions or financings. The notes may not otherwise be prepaid without a premium, under certain market conditions. The note agreement contains customary terms, as well as affirmative covenants, negative covenants, and events of default comparable to those in our current principal credit facility. For disclosure purposes, we are required to measure the fair value of outstanding debt on a recurring basis. As of March 31, 2013, the fair value of the note agreement was approximately $170.6 million, which was measured using active market interest rates.</w:t>
      </w:r>
    </w:p>
    <w:p>
      <w:pPr>
        <w:spacing w:after="0" w:line="99" w:lineRule="exact"/>
        <w:rPr>
          <w:sz w:val="20"/>
          <w:szCs w:val="20"/>
          <w:color w:val="auto"/>
        </w:rPr>
      </w:pPr>
    </w:p>
    <w:p>
      <w:pPr>
        <w:ind w:right="220" w:firstLine="360"/>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(the "New Agreement"), under which $176 million of borrowings were outstanding as of March 31, 2013. The New Agreement replaces the previous $390 million five-year facility agreement made in 2010. The applicable interest rate for borrowings under the 2013 agreement, as well as under the former agreement, is LIBOR plus a spread, based on our leverage ratio at the time of borrowing.</w:t>
      </w:r>
    </w:p>
    <w:p>
      <w:pPr>
        <w:spacing w:after="0" w:line="94" w:lineRule="exact"/>
        <w:rPr>
          <w:sz w:val="20"/>
          <w:szCs w:val="20"/>
          <w:color w:val="auto"/>
        </w:rPr>
      </w:pPr>
    </w:p>
    <w:p>
      <w:pPr>
        <w:ind w:right="220" w:firstLine="360"/>
        <w:spacing w:after="0" w:line="239"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Based on our maximum leverage ratio and our consolidated EBITDA (as defined in the credit agreement), and without modification to any other credit agreements, as of March 31, 2013 we would have been able to borrow an additional $154 million under the credit agreement.</w:t>
      </w:r>
    </w:p>
    <w:p>
      <w:pPr>
        <w:spacing w:after="0" w:line="94" w:lineRule="exact"/>
        <w:rPr>
          <w:sz w:val="20"/>
          <w:szCs w:val="20"/>
          <w:color w:val="auto"/>
        </w:rPr>
      </w:pPr>
    </w:p>
    <w:p>
      <w:pPr>
        <w:ind w:right="60" w:firstLine="360"/>
        <w:spacing w:after="0" w:line="237"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New Agreement at the rate of 2.04% for five years. Under the terms of these transactions, we pay the fixed rate of 2.04% and the counterparties pay a floating rate based on the three-month LIBOR rate at each quarterly calculation date, which on January 16, 2013 was 0.31%. The net effect is to fix the effective interest rate on $105 million of indebtedness at 2.04%, plus the applicable spread, until these swap agreements expire on July 16, 2015. As of March 31, 2013, the all-in rate on this $105 million of debt was 3.415%. This interest rate swap is accounted for as a hedge of future cash flows, as further described in Note 14 of the Notes to Consolidated Financial Statements.</w:t>
      </w:r>
    </w:p>
    <w:p>
      <w:pPr>
        <w:spacing w:after="0" w:line="95" w:lineRule="exact"/>
        <w:rPr>
          <w:sz w:val="20"/>
          <w:szCs w:val="20"/>
          <w:color w:val="auto"/>
        </w:rPr>
      </w:pPr>
    </w:p>
    <w:p>
      <w:pPr>
        <w:ind w:right="360" w:firstLine="360"/>
        <w:spacing w:after="0" w:line="246" w:lineRule="auto"/>
        <w:rPr>
          <w:sz w:val="20"/>
          <w:szCs w:val="20"/>
          <w:color w:val="auto"/>
        </w:rPr>
      </w:pPr>
      <w:r>
        <w:rPr>
          <w:rFonts w:ascii="Arial" w:cs="Arial" w:eastAsia="Arial" w:hAnsi="Arial"/>
          <w:sz w:val="18"/>
          <w:szCs w:val="18"/>
          <w:color w:val="auto"/>
        </w:rPr>
        <w:t>We are currently required to maintain a leverage ratio of not greater than 3.50 to 1.00 and a minimum interest coverage of 3.00 to 1.00 under the credit agreement and Prudential agreement.</w:t>
      </w:r>
    </w:p>
    <w:p>
      <w:pPr>
        <w:spacing w:after="0" w:line="89" w:lineRule="exact"/>
        <w:rPr>
          <w:sz w:val="20"/>
          <w:szCs w:val="20"/>
          <w:color w:val="auto"/>
        </w:rPr>
      </w:pPr>
    </w:p>
    <w:p>
      <w:pPr>
        <w:jc w:val="both"/>
        <w:ind w:right="640" w:firstLine="360"/>
        <w:spacing w:after="0"/>
        <w:rPr>
          <w:sz w:val="20"/>
          <w:szCs w:val="20"/>
          <w:color w:val="auto"/>
        </w:rPr>
      </w:pPr>
      <w:r>
        <w:rPr>
          <w:rFonts w:ascii="Arial" w:cs="Arial" w:eastAsia="Arial" w:hAnsi="Arial"/>
          <w:sz w:val="18"/>
          <w:szCs w:val="18"/>
          <w:color w:val="auto"/>
        </w:rPr>
        <w:t>As of March 31, 2013, our leverage ratio was 1.36 to 1.00 and our interest coverage ratio was 11.16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15, 2013, the Company redeemed, at 100 percent of par, all remaining 2.25% Convertible Senior Notes due 2026 (the “Notes”).</w:t>
      </w:r>
    </w:p>
    <w:p>
      <w:pPr>
        <w:spacing w:after="0"/>
        <w:rPr>
          <w:sz w:val="20"/>
          <w:szCs w:val="20"/>
          <w:color w:val="auto"/>
        </w:rPr>
      </w:pPr>
      <w:r>
        <w:rPr>
          <w:rFonts w:ascii="Arial" w:cs="Arial" w:eastAsia="Arial" w:hAnsi="Arial"/>
          <w:sz w:val="18"/>
          <w:szCs w:val="18"/>
          <w:color w:val="auto"/>
        </w:rPr>
        <w:t>The cash payments of $28.4 million were funded by increased borrowings under the Revolving Credit Facility.</w:t>
      </w:r>
    </w:p>
    <w:p>
      <w:pPr>
        <w:spacing w:after="0" w:line="104"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were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 The Notes hedge and warrant transactions had a net cost of $14.7 million. The hedge transactions expired on March 15, 2013.</w:t>
      </w:r>
    </w:p>
    <w:p>
      <w:pPr>
        <w:spacing w:after="0" w:line="95" w:lineRule="exact"/>
        <w:rPr>
          <w:sz w:val="20"/>
          <w:szCs w:val="20"/>
          <w:color w:val="auto"/>
        </w:rPr>
      </w:pPr>
    </w:p>
    <w:p>
      <w:pPr>
        <w:ind w:right="60" w:firstLine="360"/>
        <w:spacing w:after="0" w:line="238" w:lineRule="auto"/>
        <w:rPr>
          <w:sz w:val="20"/>
          <w:szCs w:val="20"/>
          <w:color w:val="auto"/>
        </w:rPr>
      </w:pPr>
      <w:r>
        <w:rPr>
          <w:rFonts w:ascii="Arial" w:cs="Arial" w:eastAsia="Arial" w:hAnsi="Arial"/>
          <w:sz w:val="18"/>
          <w:szCs w:val="18"/>
          <w:color w:val="auto"/>
        </w:rPr>
        <w:t>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June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excess of the volume weighted average price of our Class A common stock on the expiration date of such warrants (the “settlement price”) over the strike price. Under net share settlement, we will deliver to the warrant holders a number of shares of our Class A common stock equal to, for each exercise of warrants, the amount payable upon net cash settlement divided by the settlement price.</w:t>
      </w:r>
    </w:p>
    <w:p>
      <w:pPr>
        <w:spacing w:after="0" w:line="95"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Indebtedness under the Prudential note and guaranty agreement and the credit agreement is ranked equally in right of payment to all unsecured senior debt.</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 compliance with all debt covenants as of March 31,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26" w:lineRule="exact"/>
        <w:rPr>
          <w:sz w:val="20"/>
          <w:szCs w:val="20"/>
          <w:color w:val="auto"/>
        </w:rPr>
      </w:pPr>
    </w:p>
    <w:p>
      <w:pPr>
        <w:ind w:right="20" w:firstLine="360"/>
        <w:spacing w:after="0" w:line="23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The hierarchy is broken down into three general levels: Level 1 inputs are quoted prices in active markets for identical assets or liabilities; Level 2 inputs include data points that are observable, such as quoted prices for similar assets or liabilities in active markets, quoted prices for identical assets or similar assets or liabilities in markets that are not active, and inputs (other than quoted prices) such as interest rates and yield curves that are observable for the asset and liability, either directly or indirectly; Level 3 inputs are unobservable data points for the asset or liability, and include situations in which there is little, if any, market activity for the asset or liability.</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fair-value hierarchy for our financial assets and liabilities measured at fair value on a recurring basis: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right="10"/>
              <w:spacing w:after="0" w:line="194" w:lineRule="exact"/>
              <w:rPr>
                <w:sz w:val="20"/>
                <w:szCs w:val="20"/>
                <w:color w:val="auto"/>
              </w:rPr>
            </w:pPr>
            <w:r>
              <w:rPr>
                <w:rFonts w:ascii="Arial" w:cs="Arial" w:eastAsia="Arial" w:hAnsi="Arial"/>
                <w:sz w:val="18"/>
                <w:szCs w:val="18"/>
                <w:b w:val="1"/>
                <w:bCs w:val="1"/>
                <w:color w:val="auto"/>
                <w:w w:val="99"/>
              </w:rPr>
              <w:t>Quoted prices in</w:t>
            </w:r>
          </w:p>
        </w:tc>
        <w:tc>
          <w:tcPr>
            <w:tcW w:w="192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b w:val="1"/>
                <w:bCs w:val="1"/>
                <w:color w:val="auto"/>
                <w:w w:val="99"/>
              </w:rPr>
              <w:t>Significant other</w:t>
            </w:r>
          </w:p>
        </w:tc>
      </w:tr>
      <w:tr>
        <w:trPr>
          <w:trHeight w:val="203"/>
        </w:trPr>
        <w:tc>
          <w:tcPr>
            <w:tcW w:w="4600" w:type="dxa"/>
            <w:vAlign w:val="bottom"/>
          </w:tcPr>
          <w:p>
            <w:pPr>
              <w:spacing w:after="0"/>
              <w:rPr>
                <w:sz w:val="17"/>
                <w:szCs w:val="17"/>
                <w:color w:val="auto"/>
              </w:rPr>
            </w:pPr>
          </w:p>
        </w:tc>
        <w:tc>
          <w:tcPr>
            <w:tcW w:w="2900" w:type="dxa"/>
            <w:vAlign w:val="bottom"/>
          </w:tcPr>
          <w:p>
            <w:pPr>
              <w:jc w:val="right"/>
              <w:ind w:right="371"/>
              <w:spacing w:after="0" w:line="202" w:lineRule="exact"/>
              <w:rPr>
                <w:sz w:val="20"/>
                <w:szCs w:val="20"/>
                <w:color w:val="auto"/>
              </w:rPr>
            </w:pPr>
            <w:r>
              <w:rPr>
                <w:rFonts w:ascii="Arial" w:cs="Arial" w:eastAsia="Arial" w:hAnsi="Arial"/>
                <w:sz w:val="18"/>
                <w:szCs w:val="18"/>
                <w:b w:val="1"/>
                <w:bCs w:val="1"/>
                <w:color w:val="auto"/>
              </w:rPr>
              <w:t>Total fair value</w:t>
            </w:r>
          </w:p>
        </w:tc>
        <w:tc>
          <w:tcPr>
            <w:tcW w:w="2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active markets</w:t>
            </w:r>
          </w:p>
        </w:tc>
        <w:tc>
          <w:tcPr>
            <w:tcW w:w="192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observable inputs</w:t>
            </w:r>
          </w:p>
        </w:tc>
      </w:tr>
      <w:tr>
        <w:trPr>
          <w:trHeight w:val="225"/>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(Level 1)</w:t>
            </w:r>
          </w:p>
        </w:tc>
        <w:tc>
          <w:tcPr>
            <w:tcW w:w="19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98"/>
              </w:rPr>
              <w:t>(Level 2)</w:t>
            </w:r>
          </w:p>
        </w:tc>
      </w:tr>
      <w:tr>
        <w:trPr>
          <w:trHeight w:val="177"/>
        </w:trPr>
        <w:tc>
          <w:tcPr>
            <w:tcW w:w="4600" w:type="dxa"/>
            <w:vAlign w:val="bottom"/>
          </w:tcPr>
          <w:p>
            <w:pPr>
              <w:ind w:left="100"/>
              <w:spacing w:after="0" w:line="177" w:lineRule="exact"/>
              <w:rPr>
                <w:sz w:val="20"/>
                <w:szCs w:val="20"/>
                <w:color w:val="auto"/>
              </w:rPr>
            </w:pPr>
            <w:r>
              <w:rPr>
                <w:rFonts w:ascii="Arial" w:cs="Arial" w:eastAsia="Arial" w:hAnsi="Arial"/>
                <w:sz w:val="18"/>
                <w:szCs w:val="18"/>
                <w:b w:val="1"/>
                <w:bCs w:val="1"/>
                <w:color w:val="auto"/>
              </w:rPr>
              <w:t>Fair Value at March 31, 2013</w:t>
            </w:r>
          </w:p>
        </w:tc>
        <w:tc>
          <w:tcPr>
            <w:tcW w:w="29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1"/>
        </w:trPr>
        <w:tc>
          <w:tcPr>
            <w:tcW w:w="4600" w:type="dxa"/>
            <w:vAlign w:val="bottom"/>
          </w:tcPr>
          <w:p>
            <w:pPr>
              <w:ind w:left="100"/>
              <w:spacing w:after="0"/>
              <w:rPr>
                <w:sz w:val="20"/>
                <w:szCs w:val="20"/>
                <w:color w:val="auto"/>
              </w:rPr>
            </w:pPr>
            <w:r>
              <w:rPr>
                <w:rFonts w:ascii="Arial" w:cs="Arial" w:eastAsia="Arial" w:hAnsi="Arial"/>
                <w:sz w:val="18"/>
                <w:szCs w:val="18"/>
                <w:i w:val="1"/>
                <w:iCs w:val="1"/>
                <w:color w:val="auto"/>
              </w:rPr>
              <w:t>Assets:</w:t>
            </w:r>
          </w:p>
        </w:tc>
        <w:tc>
          <w:tcPr>
            <w:tcW w:w="2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3"/>
        </w:trPr>
        <w:tc>
          <w:tcPr>
            <w:tcW w:w="4600" w:type="dxa"/>
            <w:vAlign w:val="bottom"/>
          </w:tcPr>
          <w:p>
            <w:pPr>
              <w:ind w:left="260"/>
              <w:spacing w:after="0" w:line="202" w:lineRule="exact"/>
              <w:rPr>
                <w:sz w:val="20"/>
                <w:szCs w:val="20"/>
                <w:color w:val="auto"/>
              </w:rPr>
            </w:pPr>
            <w:r>
              <w:rPr>
                <w:rFonts w:ascii="Arial" w:cs="Arial" w:eastAsia="Arial" w:hAnsi="Arial"/>
                <w:sz w:val="18"/>
                <w:szCs w:val="18"/>
                <w:color w:val="auto"/>
              </w:rPr>
              <w:t>Cash equivalents</w:t>
            </w:r>
          </w:p>
        </w:tc>
        <w:tc>
          <w:tcPr>
            <w:tcW w:w="2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$26,095</w:t>
            </w:r>
          </w:p>
        </w:tc>
        <w:tc>
          <w:tcPr>
            <w:tcW w:w="20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$26,095</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85"/>
        </w:trPr>
        <w:tc>
          <w:tcPr>
            <w:tcW w:w="4600" w:type="dxa"/>
            <w:vAlign w:val="bottom"/>
          </w:tcPr>
          <w:p>
            <w:pPr>
              <w:ind w:left="260"/>
              <w:spacing w:after="0" w:line="185" w:lineRule="exact"/>
              <w:rPr>
                <w:sz w:val="20"/>
                <w:szCs w:val="20"/>
                <w:color w:val="auto"/>
              </w:rPr>
            </w:pPr>
            <w:r>
              <w:rPr>
                <w:rFonts w:ascii="Arial" w:cs="Arial" w:eastAsia="Arial" w:hAnsi="Arial"/>
                <w:sz w:val="18"/>
                <w:szCs w:val="18"/>
                <w:color w:val="auto"/>
              </w:rPr>
              <w:t>Common stock of foreign public company</w:t>
            </w:r>
          </w:p>
        </w:tc>
        <w:tc>
          <w:tcPr>
            <w:tcW w:w="2900" w:type="dxa"/>
            <w:vAlign w:val="bottom"/>
          </w:tcPr>
          <w:p>
            <w:pPr>
              <w:jc w:val="right"/>
              <w:ind w:right="211"/>
              <w:spacing w:after="0" w:line="185" w:lineRule="exact"/>
              <w:rPr>
                <w:sz w:val="20"/>
                <w:szCs w:val="20"/>
                <w:color w:val="auto"/>
              </w:rPr>
            </w:pPr>
            <w:r>
              <w:rPr>
                <w:rFonts w:ascii="Arial" w:cs="Arial" w:eastAsia="Arial" w:hAnsi="Arial"/>
                <w:sz w:val="18"/>
                <w:szCs w:val="18"/>
                <w:color w:val="auto"/>
              </w:rPr>
              <w:t>543</w:t>
            </w:r>
          </w:p>
        </w:tc>
        <w:tc>
          <w:tcPr>
            <w:tcW w:w="2000" w:type="dxa"/>
            <w:vAlign w:val="bottom"/>
          </w:tcPr>
          <w:p>
            <w:pPr>
              <w:jc w:val="right"/>
              <w:ind w:right="130"/>
              <w:spacing w:after="0" w:line="185" w:lineRule="exact"/>
              <w:rPr>
                <w:sz w:val="20"/>
                <w:szCs w:val="20"/>
                <w:color w:val="auto"/>
              </w:rPr>
            </w:pPr>
            <w:r>
              <w:rPr>
                <w:rFonts w:ascii="Arial" w:cs="Arial" w:eastAsia="Arial" w:hAnsi="Arial"/>
                <w:sz w:val="18"/>
                <w:szCs w:val="18"/>
                <w:color w:val="auto"/>
              </w:rPr>
              <w:t>543</w:t>
            </w:r>
          </w:p>
        </w:tc>
        <w:tc>
          <w:tcPr>
            <w:tcW w:w="1280" w:type="dxa"/>
            <w:vAlign w:val="bottom"/>
          </w:tcPr>
          <w:p>
            <w:pPr>
              <w:spacing w:after="0"/>
              <w:rPr>
                <w:sz w:val="16"/>
                <w:szCs w:val="16"/>
                <w:color w:val="auto"/>
              </w:rPr>
            </w:pPr>
          </w:p>
        </w:tc>
        <w:tc>
          <w:tcPr>
            <w:tcW w:w="64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r>
      <w:tr>
        <w:trPr>
          <w:trHeight w:val="221"/>
        </w:trPr>
        <w:tc>
          <w:tcPr>
            <w:tcW w:w="4600" w:type="dxa"/>
            <w:vAlign w:val="bottom"/>
          </w:tcPr>
          <w:p>
            <w:pPr>
              <w:ind w:left="100"/>
              <w:spacing w:after="0"/>
              <w:rPr>
                <w:sz w:val="20"/>
                <w:szCs w:val="20"/>
                <w:color w:val="auto"/>
              </w:rPr>
            </w:pPr>
            <w:r>
              <w:rPr>
                <w:rFonts w:ascii="Arial" w:cs="Arial" w:eastAsia="Arial" w:hAnsi="Arial"/>
                <w:sz w:val="18"/>
                <w:szCs w:val="18"/>
                <w:i w:val="1"/>
                <w:iCs w:val="1"/>
                <w:color w:val="auto"/>
              </w:rPr>
              <w:t>Liabilities:</w:t>
            </w:r>
          </w:p>
        </w:tc>
        <w:tc>
          <w:tcPr>
            <w:tcW w:w="2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7"/>
        </w:trPr>
        <w:tc>
          <w:tcPr>
            <w:tcW w:w="460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2900" w:type="dxa"/>
            <w:vAlign w:val="bottom"/>
          </w:tcPr>
          <w:p>
            <w:pPr>
              <w:jc w:val="right"/>
              <w:ind w:right="151"/>
              <w:spacing w:after="0"/>
              <w:rPr>
                <w:sz w:val="20"/>
                <w:szCs w:val="20"/>
                <w:color w:val="auto"/>
              </w:rPr>
            </w:pPr>
            <w:r>
              <w:rPr>
                <w:rFonts w:ascii="Arial" w:cs="Arial" w:eastAsia="Arial" w:hAnsi="Arial"/>
                <w:sz w:val="18"/>
                <w:szCs w:val="18"/>
                <w:color w:val="auto"/>
              </w:rPr>
              <w:t>(4,261)</w:t>
            </w:r>
          </w:p>
        </w:tc>
        <w:tc>
          <w:tcPr>
            <w:tcW w:w="2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(4,261)</w:t>
            </w:r>
          </w:p>
        </w:tc>
      </w:tr>
      <w:tr>
        <w:trPr>
          <w:trHeight w:val="196"/>
        </w:trPr>
        <w:tc>
          <w:tcPr>
            <w:tcW w:w="46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386"/>
        </w:trPr>
        <w:tc>
          <w:tcPr>
            <w:tcW w:w="4600" w:type="dxa"/>
            <w:vAlign w:val="bottom"/>
          </w:tcPr>
          <w:p>
            <w:pPr>
              <w:ind w:left="100"/>
              <w:spacing w:after="0"/>
              <w:rPr>
                <w:sz w:val="20"/>
                <w:szCs w:val="20"/>
                <w:color w:val="auto"/>
              </w:rPr>
            </w:pPr>
            <w:r>
              <w:rPr>
                <w:rFonts w:ascii="Arial" w:cs="Arial" w:eastAsia="Arial" w:hAnsi="Arial"/>
                <w:sz w:val="18"/>
                <w:szCs w:val="18"/>
                <w:b w:val="1"/>
                <w:bCs w:val="1"/>
                <w:color w:val="auto"/>
              </w:rPr>
              <w:t>Fair Value at December 31, 2012</w:t>
            </w:r>
          </w:p>
        </w:tc>
        <w:tc>
          <w:tcPr>
            <w:tcW w:w="29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1"/>
        </w:trPr>
        <w:tc>
          <w:tcPr>
            <w:tcW w:w="4600" w:type="dxa"/>
            <w:vAlign w:val="bottom"/>
          </w:tcPr>
          <w:p>
            <w:pPr>
              <w:ind w:left="100"/>
              <w:spacing w:after="0"/>
              <w:rPr>
                <w:sz w:val="20"/>
                <w:szCs w:val="20"/>
                <w:color w:val="auto"/>
              </w:rPr>
            </w:pPr>
            <w:r>
              <w:rPr>
                <w:rFonts w:ascii="Arial" w:cs="Arial" w:eastAsia="Arial" w:hAnsi="Arial"/>
                <w:sz w:val="18"/>
                <w:szCs w:val="18"/>
                <w:i w:val="1"/>
                <w:iCs w:val="1"/>
                <w:color w:val="auto"/>
              </w:rPr>
              <w:t>Assets:</w:t>
            </w:r>
          </w:p>
        </w:tc>
        <w:tc>
          <w:tcPr>
            <w:tcW w:w="2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3"/>
        </w:trPr>
        <w:tc>
          <w:tcPr>
            <w:tcW w:w="4600" w:type="dxa"/>
            <w:vAlign w:val="bottom"/>
          </w:tcPr>
          <w:p>
            <w:pPr>
              <w:ind w:left="260"/>
              <w:spacing w:after="0" w:line="202" w:lineRule="exact"/>
              <w:rPr>
                <w:sz w:val="20"/>
                <w:szCs w:val="20"/>
                <w:color w:val="auto"/>
              </w:rPr>
            </w:pPr>
            <w:r>
              <w:rPr>
                <w:rFonts w:ascii="Arial" w:cs="Arial" w:eastAsia="Arial" w:hAnsi="Arial"/>
                <w:sz w:val="18"/>
                <w:szCs w:val="18"/>
                <w:color w:val="auto"/>
              </w:rPr>
              <w:t>Cash equivalents</w:t>
            </w:r>
          </w:p>
        </w:tc>
        <w:tc>
          <w:tcPr>
            <w:tcW w:w="29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$33,171</w:t>
            </w:r>
          </w:p>
        </w:tc>
        <w:tc>
          <w:tcPr>
            <w:tcW w:w="20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$33,171</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85"/>
        </w:trPr>
        <w:tc>
          <w:tcPr>
            <w:tcW w:w="4600" w:type="dxa"/>
            <w:vAlign w:val="bottom"/>
          </w:tcPr>
          <w:p>
            <w:pPr>
              <w:ind w:left="260"/>
              <w:spacing w:after="0" w:line="185" w:lineRule="exact"/>
              <w:rPr>
                <w:sz w:val="20"/>
                <w:szCs w:val="20"/>
                <w:color w:val="auto"/>
              </w:rPr>
            </w:pPr>
            <w:r>
              <w:rPr>
                <w:rFonts w:ascii="Arial" w:cs="Arial" w:eastAsia="Arial" w:hAnsi="Arial"/>
                <w:sz w:val="18"/>
                <w:szCs w:val="18"/>
                <w:color w:val="auto"/>
              </w:rPr>
              <w:t>Common stock of foreign public company</w:t>
            </w:r>
          </w:p>
        </w:tc>
        <w:tc>
          <w:tcPr>
            <w:tcW w:w="2900" w:type="dxa"/>
            <w:vAlign w:val="bottom"/>
          </w:tcPr>
          <w:p>
            <w:pPr>
              <w:jc w:val="right"/>
              <w:ind w:right="211"/>
              <w:spacing w:after="0" w:line="185" w:lineRule="exact"/>
              <w:rPr>
                <w:sz w:val="20"/>
                <w:szCs w:val="20"/>
                <w:color w:val="auto"/>
              </w:rPr>
            </w:pPr>
            <w:r>
              <w:rPr>
                <w:rFonts w:ascii="Arial" w:cs="Arial" w:eastAsia="Arial" w:hAnsi="Arial"/>
                <w:sz w:val="18"/>
                <w:szCs w:val="18"/>
                <w:color w:val="auto"/>
              </w:rPr>
              <w:t>562</w:t>
            </w:r>
          </w:p>
        </w:tc>
        <w:tc>
          <w:tcPr>
            <w:tcW w:w="2000" w:type="dxa"/>
            <w:vAlign w:val="bottom"/>
          </w:tcPr>
          <w:p>
            <w:pPr>
              <w:jc w:val="right"/>
              <w:ind w:right="130"/>
              <w:spacing w:after="0" w:line="185" w:lineRule="exact"/>
              <w:rPr>
                <w:sz w:val="20"/>
                <w:szCs w:val="20"/>
                <w:color w:val="auto"/>
              </w:rPr>
            </w:pPr>
            <w:r>
              <w:rPr>
                <w:rFonts w:ascii="Arial" w:cs="Arial" w:eastAsia="Arial" w:hAnsi="Arial"/>
                <w:sz w:val="18"/>
                <w:szCs w:val="18"/>
                <w:color w:val="auto"/>
              </w:rPr>
              <w:t>562</w:t>
            </w:r>
          </w:p>
        </w:tc>
        <w:tc>
          <w:tcPr>
            <w:tcW w:w="1280" w:type="dxa"/>
            <w:vAlign w:val="bottom"/>
          </w:tcPr>
          <w:p>
            <w:pPr>
              <w:spacing w:after="0"/>
              <w:rPr>
                <w:sz w:val="16"/>
                <w:szCs w:val="16"/>
                <w:color w:val="auto"/>
              </w:rPr>
            </w:pPr>
          </w:p>
        </w:tc>
        <w:tc>
          <w:tcPr>
            <w:tcW w:w="640" w:type="dxa"/>
            <w:vAlign w:val="bottom"/>
          </w:tcPr>
          <w:p>
            <w:pPr>
              <w:jc w:val="right"/>
              <w:ind w:right="10"/>
              <w:spacing w:after="0" w:line="185" w:lineRule="exact"/>
              <w:rPr>
                <w:sz w:val="20"/>
                <w:szCs w:val="20"/>
                <w:color w:val="auto"/>
              </w:rPr>
            </w:pPr>
            <w:r>
              <w:rPr>
                <w:rFonts w:ascii="Arial" w:cs="Arial" w:eastAsia="Arial" w:hAnsi="Arial"/>
                <w:sz w:val="18"/>
                <w:szCs w:val="18"/>
                <w:color w:val="auto"/>
              </w:rPr>
              <w:t>-</w:t>
            </w:r>
          </w:p>
        </w:tc>
      </w:tr>
      <w:tr>
        <w:trPr>
          <w:trHeight w:val="221"/>
        </w:trPr>
        <w:tc>
          <w:tcPr>
            <w:tcW w:w="4600" w:type="dxa"/>
            <w:vAlign w:val="bottom"/>
          </w:tcPr>
          <w:p>
            <w:pPr>
              <w:ind w:left="100"/>
              <w:spacing w:after="0"/>
              <w:rPr>
                <w:sz w:val="20"/>
                <w:szCs w:val="20"/>
                <w:color w:val="auto"/>
              </w:rPr>
            </w:pPr>
            <w:r>
              <w:rPr>
                <w:rFonts w:ascii="Arial" w:cs="Arial" w:eastAsia="Arial" w:hAnsi="Arial"/>
                <w:sz w:val="18"/>
                <w:szCs w:val="18"/>
                <w:i w:val="1"/>
                <w:iCs w:val="1"/>
                <w:color w:val="auto"/>
              </w:rPr>
              <w:t>Liabilities:</w:t>
            </w:r>
          </w:p>
        </w:tc>
        <w:tc>
          <w:tcPr>
            <w:tcW w:w="29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0"/>
        </w:trPr>
        <w:tc>
          <w:tcPr>
            <w:tcW w:w="4600" w:type="dxa"/>
            <w:vAlign w:val="bottom"/>
            <w:tcBorders>
              <w:bottom w:val="single" w:sz="8" w:color="auto"/>
            </w:tcBorders>
          </w:tcPr>
          <w:p>
            <w:pPr>
              <w:ind w:left="260"/>
              <w:spacing w:after="0" w:line="203" w:lineRule="exact"/>
              <w:rPr>
                <w:sz w:val="20"/>
                <w:szCs w:val="20"/>
                <w:color w:val="auto"/>
              </w:rPr>
            </w:pPr>
            <w:r>
              <w:rPr>
                <w:rFonts w:ascii="Arial" w:cs="Arial" w:eastAsia="Arial" w:hAnsi="Arial"/>
                <w:sz w:val="18"/>
                <w:szCs w:val="18"/>
                <w:color w:val="auto"/>
              </w:rPr>
              <w:t>Interest rate swap</w:t>
            </w:r>
          </w:p>
        </w:tc>
        <w:tc>
          <w:tcPr>
            <w:tcW w:w="2900" w:type="dxa"/>
            <w:vAlign w:val="bottom"/>
            <w:tcBorders>
              <w:bottom w:val="single" w:sz="8" w:color="auto"/>
            </w:tcBorders>
          </w:tcPr>
          <w:p>
            <w:pPr>
              <w:jc w:val="right"/>
              <w:ind w:right="151"/>
              <w:spacing w:after="0" w:line="203" w:lineRule="exact"/>
              <w:rPr>
                <w:sz w:val="20"/>
                <w:szCs w:val="20"/>
                <w:color w:val="auto"/>
              </w:rPr>
            </w:pPr>
            <w:r>
              <w:rPr>
                <w:rFonts w:ascii="Arial" w:cs="Arial" w:eastAsia="Arial" w:hAnsi="Arial"/>
                <w:sz w:val="18"/>
                <w:szCs w:val="18"/>
                <w:color w:val="auto"/>
              </w:rPr>
              <w:t>(4,718)</w:t>
            </w:r>
          </w:p>
        </w:tc>
        <w:tc>
          <w:tcPr>
            <w:tcW w:w="2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(4,718)</w:t>
            </w:r>
          </w:p>
        </w:tc>
      </w:tr>
      <w:tr>
        <w:trPr>
          <w:trHeight w:val="818"/>
        </w:trPr>
        <w:tc>
          <w:tcPr>
            <w:tcW w:w="4600" w:type="dxa"/>
            <w:vAlign w:val="bottom"/>
          </w:tcPr>
          <w:p>
            <w:pPr>
              <w:spacing w:after="0"/>
              <w:rPr>
                <w:sz w:val="24"/>
                <w:szCs w:val="24"/>
                <w:color w:val="auto"/>
              </w:rPr>
            </w:pPr>
          </w:p>
        </w:tc>
        <w:tc>
          <w:tcPr>
            <w:tcW w:w="2900" w:type="dxa"/>
            <w:vAlign w:val="bottom"/>
          </w:tcPr>
          <w:p>
            <w:pPr>
              <w:jc w:val="right"/>
              <w:ind w:right="1611"/>
              <w:spacing w:after="0"/>
              <w:rPr>
                <w:sz w:val="20"/>
                <w:szCs w:val="20"/>
                <w:color w:val="auto"/>
              </w:rPr>
            </w:pPr>
            <w:r>
              <w:rPr>
                <w:rFonts w:ascii="Arial" w:cs="Arial" w:eastAsia="Arial" w:hAnsi="Arial"/>
                <w:sz w:val="16"/>
                <w:szCs w:val="16"/>
                <w:color w:val="auto"/>
              </w:rPr>
              <w:t>18</w:t>
            </w: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46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679" w:right="239" w:bottom="1440" w:gutter="0" w:footer="0" w:header="0"/>
        </w:sectPr>
      </w:pPr>
    </w:p>
    <w:bookmarkStart w:id="18" w:name="page19"/>
    <w:bookmarkEnd w:id="18"/>
    <w:p>
      <w:pPr>
        <w:ind w:left="360"/>
        <w:spacing w:after="0"/>
        <w:rPr>
          <w:sz w:val="20"/>
          <w:szCs w:val="20"/>
          <w:color w:val="auto"/>
        </w:rPr>
      </w:pPr>
      <w:r>
        <w:rPr>
          <w:rFonts w:ascii="Arial" w:cs="Arial" w:eastAsia="Arial" w:hAnsi="Arial"/>
          <w:sz w:val="18"/>
          <w:szCs w:val="18"/>
          <w:color w:val="auto"/>
        </w:rPr>
        <w:t>During the three-months ended March 31, 2013, there were no transfers between levels 1, 2, and 3.</w:t>
      </w:r>
    </w:p>
    <w:p>
      <w:pPr>
        <w:spacing w:after="0" w:line="104" w:lineRule="exact"/>
        <w:rPr>
          <w:sz w:val="20"/>
          <w:szCs w:val="20"/>
          <w:color w:val="auto"/>
        </w:rPr>
      </w:pPr>
    </w:p>
    <w:p>
      <w:pPr>
        <w:ind w:right="480" w:firstLine="360"/>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ind w:right="200" w:firstLine="360"/>
        <w:spacing w:after="0" w:line="238" w:lineRule="auto"/>
        <w:rPr>
          <w:sz w:val="20"/>
          <w:szCs w:val="20"/>
          <w:color w:val="auto"/>
        </w:rPr>
      </w:pPr>
      <w:r>
        <w:rPr>
          <w:rFonts w:ascii="Arial" w:cs="Arial" w:eastAsia="Arial" w:hAnsi="Arial"/>
          <w:sz w:val="18"/>
          <w:szCs w:val="18"/>
          <w:color w:val="auto"/>
        </w:rPr>
        <w:t>The common stock of a foreign public company is traded in an active market exchange. The shares are measured at fair value using closing stock prices and are recorded in the Consolidated Balance Sheets as Other assets. The securities are classified as available for sale, and as a result any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95" w:lineRule="exact"/>
        <w:rPr>
          <w:sz w:val="20"/>
          <w:szCs w:val="20"/>
          <w:color w:val="auto"/>
        </w:rPr>
      </w:pPr>
    </w:p>
    <w:p>
      <w:pPr>
        <w:ind w:right="160" w:firstLine="360"/>
        <w:spacing w:after="0" w:line="23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there were no open contracts and no gains/(losses) for the three months ended March 31, 2013. Gains for the three months ended March 31, 2012 were negligible.</w:t>
      </w:r>
    </w:p>
    <w:p>
      <w:pPr>
        <w:spacing w:after="0" w:line="95"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ind w:left="360" w:right="320"/>
        <w:spacing w:after="0" w:line="297"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Changes in exchange rates can result in revaluation gains and losses that are recorded in Selling, General, Technical, Product</w:t>
      </w:r>
    </w:p>
    <w:p>
      <w:pPr>
        <w:spacing w:after="0" w:line="1"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Engineering, and Research expenses or Other income/expense, net. Revaluation gains and losses occur when our business units have intercompany or third-party trade receivable or payable balances in a currency other than their local reporting (or functional) currency.</w:t>
      </w:r>
    </w:p>
    <w:p>
      <w:pPr>
        <w:spacing w:after="0" w:line="89"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income statement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ind w:right="180" w:firstLine="360"/>
        <w:spacing w:after="0" w:line="246" w:lineRule="auto"/>
        <w:rPr>
          <w:sz w:val="20"/>
          <w:szCs w:val="20"/>
          <w:color w:val="auto"/>
        </w:rPr>
      </w:pPr>
      <w:r>
        <w:rPr>
          <w:rFonts w:ascii="Arial" w:cs="Arial" w:eastAsia="Arial" w:hAnsi="Arial"/>
          <w:sz w:val="18"/>
          <w:szCs w:val="18"/>
          <w:color w:val="auto"/>
        </w:rPr>
        <w:t>In order to mitigate foreign exchange volatility in the financial statements, we periodically enter into foreign currency financial instruments from time to time. There were no foreign currency financial instruments designated as hedging instruments at March 31, 2013.</w:t>
      </w:r>
    </w:p>
    <w:p>
      <w:pPr>
        <w:spacing w:after="0" w:line="89"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As described in Note 13 of the Notes to Consolidated Financial Statements, on March 26, 2013, we entered into a $330 million unsecured five-year revolving credit facility agreement, which replaces the previous $390 million five-year facility agreement made in 2010. The applicable interest rate for borrowings under the agreement is LIBOR plus a spread, based on our leverage ratio at the time of borrowing. Interest rate changes on this variable rate debt cause changes in cash flows, and in order to mitigate this cash flow risk we have fixed a portion of the effective interest rate on part of the indebtedness drawn under the agreement by entering into interest rate hedging transactions on July 16, 2010. This interest rate swap locked in our interest rate on the forecasted outstanding borrowings of $ 105 million at 2.04% plus the credit spread on the debt for a five year period. The credit spread is based on the pricing grid, which can go as low as 2.0% or as high as 2.75%, based on our leverage ratio.</w:t>
      </w:r>
    </w:p>
    <w:p>
      <w:pPr>
        <w:spacing w:after="0" w:line="100" w:lineRule="exact"/>
        <w:rPr>
          <w:sz w:val="20"/>
          <w:szCs w:val="20"/>
          <w:color w:val="auto"/>
        </w:rPr>
      </w:pPr>
    </w:p>
    <w:p>
      <w:pPr>
        <w:ind w:right="100" w:firstLine="360"/>
        <w:spacing w:after="0" w:line="239" w:lineRule="auto"/>
        <w:rPr>
          <w:sz w:val="20"/>
          <w:szCs w:val="20"/>
          <w:color w:val="auto"/>
        </w:rPr>
      </w:pPr>
      <w:r>
        <w:rPr>
          <w:rFonts w:ascii="Arial" w:cs="Arial" w:eastAsia="Arial" w:hAnsi="Arial"/>
          <w:sz w:val="18"/>
          <w:szCs w:val="18"/>
          <w:color w:val="auto"/>
        </w:rPr>
        <w:t>The interest rate swap is accounted for as a hedge of future cash flows. The fair value of our interest rate swap is derived from a discounted cash flow analysis based on the terms of the contract and the interest rate curve, and is included in Other noncurrent liabilities in the Consolidated Balance Sheet. As of March 31, 2013, we reported a liability of $4.3 million, which is comprised of a liability of $5.4 million for the fixed rate leg, and a receivable of $1.1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9" w:name="page20"/>
    <w:bookmarkEnd w:id="19"/>
    <w:p>
      <w:pPr>
        <w:ind w:right="120"/>
        <w:spacing w:after="0" w:line="238" w:lineRule="auto"/>
        <w:rPr>
          <w:sz w:val="20"/>
          <w:szCs w:val="20"/>
          <w:color w:val="auto"/>
        </w:rPr>
      </w:pPr>
      <w:r>
        <w:rPr>
          <w:rFonts w:ascii="Arial" w:cs="Arial" w:eastAsia="Arial" w:hAnsi="Arial"/>
          <w:sz w:val="18"/>
          <w:szCs w:val="18"/>
          <w:color w:val="auto"/>
        </w:rPr>
        <w:t>million for the floating rate leg. Unrealized gains and losses on the swap will flow through the caption Derivative valuation adjustment in the Shareholders’ equity section of the Consolidated Balance Sheets, to the extent that the hedge is highly effective. Gains and losses related to the ineffective portion of the hedge will be recognized in the current period in earnings. Amounts accumulated in Other comprehensive income are reclassified as Interest expense, net when the related interest payments (that is, the hedged forecasted transactions) affect earnings. Interest expense related to the swap totaled $0.5 million and $0.4 million for the three months ended March 31, 2013 and 2012, respectively.</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Fair value amounts of derivative instruments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tcPr>
          <w:p>
            <w:pPr>
              <w:ind w:left="1600"/>
              <w:spacing w:after="0" w:line="194" w:lineRule="exact"/>
              <w:rPr>
                <w:sz w:val="20"/>
                <w:szCs w:val="20"/>
                <w:color w:val="auto"/>
              </w:rPr>
            </w:pPr>
            <w:r>
              <w:rPr>
                <w:rFonts w:ascii="Arial" w:cs="Arial" w:eastAsia="Arial" w:hAnsi="Arial"/>
                <w:sz w:val="18"/>
                <w:szCs w:val="18"/>
                <w:color w:val="auto"/>
              </w:rPr>
              <w:t>Balance</w:t>
            </w:r>
          </w:p>
        </w:tc>
        <w:tc>
          <w:tcPr>
            <w:tcW w:w="1760" w:type="dxa"/>
            <w:vAlign w:val="bottom"/>
            <w:tcBorders>
              <w:top w:val="single" w:sz="8" w:color="auto"/>
            </w:tcBorders>
          </w:tcPr>
          <w:p>
            <w:pPr>
              <w:ind w:left="460"/>
              <w:spacing w:after="0" w:line="194" w:lineRule="exact"/>
              <w:rPr>
                <w:sz w:val="20"/>
                <w:szCs w:val="20"/>
                <w:color w:val="auto"/>
              </w:rPr>
            </w:pPr>
            <w:r>
              <w:rPr>
                <w:rFonts w:ascii="Arial" w:cs="Arial" w:eastAsia="Arial" w:hAnsi="Arial"/>
                <w:sz w:val="18"/>
                <w:szCs w:val="18"/>
                <w:b w:val="1"/>
                <w:bCs w:val="1"/>
                <w:color w:val="auto"/>
              </w:rPr>
              <w:t>March 31,</w:t>
            </w:r>
          </w:p>
        </w:tc>
        <w:tc>
          <w:tcPr>
            <w:tcW w:w="1640" w:type="dxa"/>
            <w:vAlign w:val="bottom"/>
            <w:tcBorders>
              <w:top w:val="single" w:sz="8" w:color="auto"/>
            </w:tcBorders>
          </w:tcPr>
          <w:p>
            <w:pPr>
              <w:ind w:left="480"/>
              <w:spacing w:after="0" w:line="194" w:lineRule="exact"/>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29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sheet caption</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2013</w:t>
            </w:r>
          </w:p>
        </w:tc>
        <w:tc>
          <w:tcPr>
            <w:tcW w:w="1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9"/>
              </w:rPr>
              <w:t>31, 2012</w:t>
            </w:r>
          </w:p>
        </w:tc>
        <w:tc>
          <w:tcPr>
            <w:tcW w:w="0" w:type="dxa"/>
            <w:vAlign w:val="bottom"/>
          </w:tcPr>
          <w:p>
            <w:pPr>
              <w:spacing w:after="0"/>
              <w:rPr>
                <w:sz w:val="1"/>
                <w:szCs w:val="1"/>
                <w:color w:val="auto"/>
              </w:rPr>
            </w:pPr>
          </w:p>
        </w:tc>
      </w:tr>
      <w:tr>
        <w:trPr>
          <w:trHeight w:val="398"/>
        </w:trPr>
        <w:tc>
          <w:tcPr>
            <w:tcW w:w="5040" w:type="dxa"/>
            <w:vAlign w:val="bottom"/>
          </w:tcPr>
          <w:p>
            <w:pPr>
              <w:ind w:left="100"/>
              <w:spacing w:after="0"/>
              <w:rPr>
                <w:sz w:val="20"/>
                <w:szCs w:val="20"/>
                <w:color w:val="auto"/>
              </w:rPr>
            </w:pPr>
            <w:r>
              <w:rPr>
                <w:rFonts w:ascii="Arial" w:cs="Arial" w:eastAsia="Arial" w:hAnsi="Arial"/>
                <w:sz w:val="18"/>
                <w:szCs w:val="18"/>
                <w:b w:val="1"/>
                <w:bCs w:val="1"/>
                <w:color w:val="auto"/>
              </w:rPr>
              <w:t>Liability Derivatives</w:t>
            </w:r>
          </w:p>
        </w:tc>
        <w:tc>
          <w:tcPr>
            <w:tcW w:w="2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100"/>
              <w:spacing w:after="0"/>
              <w:rPr>
                <w:sz w:val="20"/>
                <w:szCs w:val="20"/>
                <w:color w:val="auto"/>
              </w:rPr>
            </w:pPr>
            <w:r>
              <w:rPr>
                <w:rFonts w:ascii="Arial" w:cs="Arial" w:eastAsia="Arial" w:hAnsi="Arial"/>
                <w:sz w:val="18"/>
                <w:szCs w:val="18"/>
                <w:color w:val="auto"/>
              </w:rPr>
              <w:t>Derivatives designated as hedging instruments:</w:t>
            </w:r>
          </w:p>
        </w:tc>
        <w:tc>
          <w:tcPr>
            <w:tcW w:w="2980" w:type="dxa"/>
            <w:vAlign w:val="bottom"/>
            <w:vMerge w:val="restart"/>
          </w:tcPr>
          <w:p>
            <w:pPr>
              <w:ind w:left="1140"/>
              <w:spacing w:after="0"/>
              <w:rPr>
                <w:sz w:val="20"/>
                <w:szCs w:val="20"/>
                <w:color w:val="auto"/>
              </w:rPr>
            </w:pPr>
            <w:r>
              <w:rPr>
                <w:rFonts w:ascii="Arial" w:cs="Arial" w:eastAsia="Arial" w:hAnsi="Arial"/>
                <w:sz w:val="18"/>
                <w:szCs w:val="18"/>
                <w:color w:val="auto"/>
              </w:rPr>
              <w:t>Other noncurrent</w:t>
            </w:r>
          </w:p>
        </w:tc>
        <w:tc>
          <w:tcPr>
            <w:tcW w:w="1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04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($4,261)</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tcPr>
          <w:p>
            <w:pPr>
              <w:ind w:left="360"/>
              <w:spacing w:after="0" w:line="203" w:lineRule="exact"/>
              <w:rPr>
                <w:sz w:val="20"/>
                <w:szCs w:val="20"/>
                <w:color w:val="auto"/>
              </w:rPr>
            </w:pPr>
            <w:r>
              <w:rPr>
                <w:rFonts w:ascii="Arial" w:cs="Arial" w:eastAsia="Arial" w:hAnsi="Arial"/>
                <w:sz w:val="18"/>
                <w:szCs w:val="18"/>
                <w:color w:val="auto"/>
              </w:rPr>
              <w:t>Interest rate swap</w:t>
            </w:r>
          </w:p>
        </w:tc>
        <w:tc>
          <w:tcPr>
            <w:tcW w:w="2980" w:type="dxa"/>
            <w:vAlign w:val="bottom"/>
            <w:tcBorders>
              <w:bottom w:val="single" w:sz="8" w:color="auto"/>
            </w:tcBorders>
          </w:tcPr>
          <w:p>
            <w:pPr>
              <w:ind w:left="1140"/>
              <w:spacing w:after="0" w:line="203" w:lineRule="exact"/>
              <w:rPr>
                <w:sz w:val="20"/>
                <w:szCs w:val="20"/>
                <w:color w:val="auto"/>
              </w:rPr>
            </w:pPr>
            <w:r>
              <w:rPr>
                <w:rFonts w:ascii="Arial" w:cs="Arial" w:eastAsia="Arial" w:hAnsi="Arial"/>
                <w:sz w:val="18"/>
                <w:szCs w:val="18"/>
                <w:color w:val="auto"/>
              </w:rPr>
              <w:t>liabilities</w:t>
            </w:r>
          </w:p>
        </w:tc>
        <w:tc>
          <w:tcPr>
            <w:tcW w:w="176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jc w:val="center"/>
              <w:ind w:left="90"/>
              <w:spacing w:after="0" w:line="203" w:lineRule="exact"/>
              <w:rPr>
                <w:sz w:val="20"/>
                <w:szCs w:val="20"/>
                <w:color w:val="auto"/>
              </w:rPr>
            </w:pPr>
            <w:r>
              <w:rPr>
                <w:rFonts w:ascii="Arial" w:cs="Arial" w:eastAsia="Arial" w:hAnsi="Arial"/>
                <w:sz w:val="18"/>
                <w:szCs w:val="18"/>
                <w:color w:val="auto"/>
                <w:w w:val="98"/>
              </w:rPr>
              <w:t>($4,718)</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liability derivatives</w:t>
            </w:r>
          </w:p>
        </w:tc>
        <w:tc>
          <w:tcPr>
            <w:tcW w:w="2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($4,261)</w:t>
            </w:r>
          </w:p>
        </w:tc>
        <w:tc>
          <w:tcPr>
            <w:tcW w:w="1640" w:type="dxa"/>
            <w:vAlign w:val="bottom"/>
            <w:tcBorders>
              <w:bottom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8"/>
              </w:rPr>
              <w:t>($4,718)</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derivatives</w:t>
            </w:r>
          </w:p>
        </w:tc>
        <w:tc>
          <w:tcPr>
            <w:tcW w:w="2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rPr>
              <w:t>($4,261)</w:t>
            </w:r>
          </w:p>
        </w:tc>
        <w:tc>
          <w:tcPr>
            <w:tcW w:w="1640" w:type="dxa"/>
            <w:vAlign w:val="bottom"/>
            <w:tcBorders>
              <w:bottom w:val="single" w:sz="8" w:color="auto"/>
            </w:tcBorders>
          </w:tcPr>
          <w:p>
            <w:pPr>
              <w:jc w:val="center"/>
              <w:ind w:left="90"/>
              <w:spacing w:after="0" w:line="196" w:lineRule="exact"/>
              <w:rPr>
                <w:sz w:val="20"/>
                <w:szCs w:val="20"/>
                <w:color w:val="auto"/>
              </w:rPr>
            </w:pPr>
            <w:r>
              <w:rPr>
                <w:rFonts w:ascii="Arial" w:cs="Arial" w:eastAsia="Arial" w:hAnsi="Arial"/>
                <w:sz w:val="18"/>
                <w:szCs w:val="18"/>
                <w:color w:val="auto"/>
                <w:w w:val="98"/>
              </w:rPr>
              <w:t>($4,718)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Gains/(losses) on changes in fair value of derivative instruments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00" w:type="dxa"/>
            <w:vAlign w:val="bottom"/>
            <w:tcBorders>
              <w:top w:val="single" w:sz="8" w:color="auto"/>
            </w:tcBorders>
          </w:tcPr>
          <w:p>
            <w:pPr>
              <w:spacing w:after="0"/>
              <w:rPr>
                <w:sz w:val="16"/>
                <w:szCs w:val="16"/>
                <w:color w:val="auto"/>
              </w:rPr>
            </w:pPr>
          </w:p>
        </w:tc>
        <w:tc>
          <w:tcPr>
            <w:tcW w:w="5320" w:type="dxa"/>
            <w:vAlign w:val="bottom"/>
            <w:tcBorders>
              <w:top w:val="single" w:sz="8" w:color="auto"/>
            </w:tcBorders>
            <w:gridSpan w:val="2"/>
          </w:tcPr>
          <w:p>
            <w:pPr>
              <w:jc w:val="right"/>
              <w:ind w:right="650"/>
              <w:spacing w:after="0" w:line="194" w:lineRule="exact"/>
              <w:rPr>
                <w:sz w:val="20"/>
                <w:szCs w:val="20"/>
                <w:color w:val="auto"/>
              </w:rPr>
            </w:pPr>
            <w:r>
              <w:rPr>
                <w:rFonts w:ascii="Arial" w:cs="Arial" w:eastAsia="Arial" w:hAnsi="Arial"/>
                <w:sz w:val="18"/>
                <w:szCs w:val="18"/>
                <w:color w:val="auto"/>
              </w:rPr>
              <w:t>Three months ended March 31,</w:t>
            </w:r>
          </w:p>
        </w:tc>
      </w:tr>
      <w:tr>
        <w:trPr>
          <w:trHeight w:val="225"/>
        </w:trPr>
        <w:tc>
          <w:tcPr>
            <w:tcW w:w="6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 thousands)</w:t>
            </w:r>
          </w:p>
        </w:tc>
        <w:tc>
          <w:tcPr>
            <w:tcW w:w="32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2013</w:t>
            </w:r>
          </w:p>
        </w:tc>
        <w:tc>
          <w:tcPr>
            <w:tcW w:w="20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2012</w:t>
            </w:r>
          </w:p>
        </w:tc>
      </w:tr>
      <w:tr>
        <w:trPr>
          <w:trHeight w:val="398"/>
        </w:trPr>
        <w:tc>
          <w:tcPr>
            <w:tcW w:w="6100" w:type="dxa"/>
            <w:vAlign w:val="bottom"/>
          </w:tcPr>
          <w:p>
            <w:pPr>
              <w:ind w:left="100"/>
              <w:spacing w:after="0"/>
              <w:rPr>
                <w:sz w:val="20"/>
                <w:szCs w:val="20"/>
                <w:color w:val="auto"/>
              </w:rPr>
            </w:pPr>
            <w:r>
              <w:rPr>
                <w:rFonts w:ascii="Arial" w:cs="Arial" w:eastAsia="Arial" w:hAnsi="Arial"/>
                <w:sz w:val="18"/>
                <w:szCs w:val="18"/>
                <w:color w:val="auto"/>
              </w:rPr>
              <w:t>Derivatives designated as hedging instruments</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3"/>
        </w:trPr>
        <w:tc>
          <w:tcPr>
            <w:tcW w:w="6100" w:type="dxa"/>
            <w:vAlign w:val="bottom"/>
          </w:tcPr>
          <w:p>
            <w:pPr>
              <w:ind w:left="360"/>
              <w:spacing w:after="0" w:line="243" w:lineRule="exact"/>
              <w:rPr>
                <w:sz w:val="20"/>
                <w:szCs w:val="20"/>
                <w:color w:val="auto"/>
              </w:rPr>
            </w:pPr>
            <w:r>
              <w:rPr>
                <w:rFonts w:ascii="Arial" w:cs="Arial" w:eastAsia="Arial" w:hAnsi="Arial"/>
                <w:sz w:val="17"/>
                <w:szCs w:val="17"/>
                <w:color w:val="auto"/>
              </w:rPr>
              <w:t xml:space="preserve">Interest rate swap </w:t>
            </w:r>
            <w:r>
              <w:rPr>
                <w:rFonts w:ascii="Arial" w:cs="Arial" w:eastAsia="Arial" w:hAnsi="Arial"/>
                <w:sz w:val="28"/>
                <w:szCs w:val="28"/>
                <w:color w:val="auto"/>
                <w:vertAlign w:val="superscript"/>
              </w:rPr>
              <w:t>1</w:t>
            </w:r>
          </w:p>
        </w:tc>
        <w:tc>
          <w:tcPr>
            <w:tcW w:w="3280" w:type="dxa"/>
            <w:vAlign w:val="bottom"/>
          </w:tcPr>
          <w:p>
            <w:pPr>
              <w:jc w:val="right"/>
              <w:ind w:right="830"/>
              <w:spacing w:after="0"/>
              <w:rPr>
                <w:sz w:val="20"/>
                <w:szCs w:val="20"/>
                <w:color w:val="auto"/>
              </w:rPr>
            </w:pPr>
            <w:r>
              <w:rPr>
                <w:rFonts w:ascii="Arial" w:cs="Arial" w:eastAsia="Arial" w:hAnsi="Arial"/>
                <w:sz w:val="18"/>
                <w:szCs w:val="18"/>
                <w:b w:val="1"/>
                <w:bCs w:val="1"/>
                <w:color w:val="auto"/>
              </w:rPr>
              <w:t>$279</w:t>
            </w:r>
          </w:p>
        </w:tc>
        <w:tc>
          <w:tcPr>
            <w:tcW w:w="2040" w:type="dxa"/>
            <w:vAlign w:val="bottom"/>
          </w:tcPr>
          <w:p>
            <w:pPr>
              <w:jc w:val="right"/>
              <w:ind w:right="670"/>
              <w:spacing w:after="0"/>
              <w:rPr>
                <w:sz w:val="20"/>
                <w:szCs w:val="20"/>
                <w:color w:val="auto"/>
              </w:rPr>
            </w:pPr>
            <w:r>
              <w:rPr>
                <w:rFonts w:ascii="Arial" w:cs="Arial" w:eastAsia="Arial" w:hAnsi="Arial"/>
                <w:sz w:val="18"/>
                <w:szCs w:val="18"/>
                <w:color w:val="auto"/>
              </w:rPr>
              <w:t>($211)</w:t>
            </w:r>
          </w:p>
        </w:tc>
      </w:tr>
      <w:tr>
        <w:trPr>
          <w:trHeight w:val="203"/>
        </w:trPr>
        <w:tc>
          <w:tcPr>
            <w:tcW w:w="6100" w:type="dxa"/>
            <w:vAlign w:val="bottom"/>
          </w:tcPr>
          <w:p>
            <w:pPr>
              <w:ind w:left="100"/>
              <w:spacing w:after="0" w:line="203" w:lineRule="exact"/>
              <w:rPr>
                <w:sz w:val="20"/>
                <w:szCs w:val="20"/>
                <w:color w:val="auto"/>
              </w:rPr>
            </w:pPr>
            <w:r>
              <w:rPr>
                <w:rFonts w:ascii="Arial" w:cs="Arial" w:eastAsia="Arial" w:hAnsi="Arial"/>
                <w:sz w:val="18"/>
                <w:szCs w:val="18"/>
                <w:color w:val="auto"/>
              </w:rPr>
              <w:t>Derivatives not designated as hedging instruments</w:t>
            </w:r>
          </w:p>
        </w:tc>
        <w:tc>
          <w:tcPr>
            <w:tcW w:w="32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44"/>
        </w:trPr>
        <w:tc>
          <w:tcPr>
            <w:tcW w:w="6100" w:type="dxa"/>
            <w:vAlign w:val="bottom"/>
            <w:tcBorders>
              <w:bottom w:val="single" w:sz="8" w:color="auto"/>
            </w:tcBorders>
          </w:tcPr>
          <w:p>
            <w:pPr>
              <w:ind w:left="360"/>
              <w:spacing w:after="0" w:line="243" w:lineRule="exact"/>
              <w:rPr>
                <w:sz w:val="20"/>
                <w:szCs w:val="20"/>
                <w:color w:val="auto"/>
              </w:rPr>
            </w:pPr>
            <w:r>
              <w:rPr>
                <w:rFonts w:ascii="Arial" w:cs="Arial" w:eastAsia="Arial" w:hAnsi="Arial"/>
                <w:sz w:val="17"/>
                <w:szCs w:val="17"/>
                <w:color w:val="auto"/>
              </w:rPr>
              <w:t xml:space="preserve">Forward exchange options </w:t>
            </w:r>
            <w:r>
              <w:rPr>
                <w:rFonts w:ascii="Arial" w:cs="Arial" w:eastAsia="Arial" w:hAnsi="Arial"/>
                <w:sz w:val="28"/>
                <w:szCs w:val="28"/>
                <w:color w:val="auto"/>
                <w:vertAlign w:val="superscript"/>
              </w:rPr>
              <w:t>2</w:t>
            </w:r>
          </w:p>
        </w:tc>
        <w:tc>
          <w:tcPr>
            <w:tcW w:w="3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04" w:lineRule="exact"/>
        <w:rPr>
          <w:sz w:val="20"/>
          <w:szCs w:val="20"/>
          <w:color w:val="auto"/>
        </w:rPr>
      </w:pPr>
    </w:p>
    <w:p>
      <w:pPr>
        <w:ind w:left="720" w:right="200" w:hanging="164"/>
        <w:spacing w:after="0" w:line="24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Unrealized losses are recognized in Other comprehensive income, net of tax. This derivative was a 100% effective hedge of interest rate cash flow risk for the quarter ended March 31, 2013.</w:t>
      </w:r>
    </w:p>
    <w:p>
      <w:pPr>
        <w:spacing w:after="0" w:line="291" w:lineRule="exact"/>
        <w:rPr>
          <w:sz w:val="20"/>
          <w:szCs w:val="20"/>
          <w:color w:val="auto"/>
        </w:rPr>
      </w:pPr>
    </w:p>
    <w:p>
      <w:pPr>
        <w:ind w:left="720" w:hanging="164"/>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Gains/(losses) are recognized in Other expense, net.</w:t>
      </w:r>
    </w:p>
    <w:p>
      <w:pPr>
        <w:spacing w:after="0" w:line="284" w:lineRule="exact"/>
        <w:rPr>
          <w:rFonts w:ascii="Arial" w:cs="Arial" w:eastAsia="Arial" w:hAnsi="Arial"/>
          <w:sz w:val="18"/>
          <w:szCs w:val="18"/>
          <w:color w:val="auto"/>
        </w:rPr>
      </w:pPr>
    </w:p>
    <w:p>
      <w:pPr>
        <w:ind w:left="300" w:hanging="292"/>
        <w:spacing w:after="0"/>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26"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4,296 claims as of April 19, 2013.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0" w:name="page21"/>
    <w:bookmarkEnd w:id="20"/>
    <w:p>
      <w:pPr>
        <w:jc w:val="both"/>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82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Year ended</w:t>
            </w:r>
          </w:p>
        </w:tc>
        <w:tc>
          <w:tcPr>
            <w:tcW w:w="19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Opening</w:t>
            </w:r>
          </w:p>
        </w:tc>
        <w:tc>
          <w:tcPr>
            <w:tcW w:w="20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Claims Dismissed,</w:t>
            </w:r>
          </w:p>
        </w:tc>
        <w:tc>
          <w:tcPr>
            <w:tcW w:w="154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ind w:left="450"/>
              <w:spacing w:after="0"/>
              <w:rPr>
                <w:sz w:val="20"/>
                <w:szCs w:val="20"/>
                <w:color w:val="auto"/>
              </w:rPr>
            </w:pPr>
            <w:r>
              <w:rPr>
                <w:rFonts w:ascii="Arial" w:cs="Arial" w:eastAsia="Arial" w:hAnsi="Arial"/>
                <w:sz w:val="18"/>
                <w:szCs w:val="18"/>
                <w:i w:val="1"/>
                <w:iCs w:val="1"/>
                <w:color w:val="auto"/>
                <w:w w:val="99"/>
              </w:rPr>
              <w:t>Closing</w:t>
            </w:r>
          </w:p>
        </w:tc>
        <w:tc>
          <w:tcPr>
            <w:tcW w:w="254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Amounts Paid</w:t>
            </w:r>
          </w:p>
        </w:tc>
      </w:tr>
      <w:tr>
        <w:trPr>
          <w:trHeight w:val="203"/>
        </w:trPr>
        <w:tc>
          <w:tcPr>
            <w:tcW w:w="1820" w:type="dxa"/>
            <w:vAlign w:val="bottom"/>
            <w:tcBorders>
              <w:left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December 31,</w:t>
            </w:r>
          </w:p>
        </w:tc>
        <w:tc>
          <w:tcPr>
            <w:tcW w:w="198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i w:val="1"/>
                <w:iCs w:val="1"/>
                <w:color w:val="auto"/>
              </w:rPr>
              <w:t>Number of Claims</w:t>
            </w:r>
          </w:p>
        </w:tc>
        <w:tc>
          <w:tcPr>
            <w:tcW w:w="20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Settled, or Resolved</w:t>
            </w:r>
          </w:p>
        </w:tc>
        <w:tc>
          <w:tcPr>
            <w:tcW w:w="15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ind w:left="410"/>
              <w:spacing w:after="0" w:line="202" w:lineRule="exact"/>
              <w:rPr>
                <w:sz w:val="20"/>
                <w:szCs w:val="20"/>
                <w:color w:val="auto"/>
              </w:rPr>
            </w:pPr>
            <w:r>
              <w:rPr>
                <w:rFonts w:ascii="Arial" w:cs="Arial" w:eastAsia="Arial" w:hAnsi="Arial"/>
                <w:sz w:val="18"/>
                <w:szCs w:val="18"/>
                <w:i w:val="1"/>
                <w:iCs w:val="1"/>
                <w:color w:val="auto"/>
                <w:w w:val="99"/>
              </w:rPr>
              <w:t>Number</w:t>
            </w:r>
          </w:p>
        </w:tc>
        <w:tc>
          <w:tcPr>
            <w:tcW w:w="254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(thousands) to</w:t>
            </w:r>
          </w:p>
        </w:tc>
      </w:tr>
      <w:tr>
        <w:trPr>
          <w:trHeight w:val="203"/>
        </w:trPr>
        <w:tc>
          <w:tcPr>
            <w:tcW w:w="1820" w:type="dxa"/>
            <w:vAlign w:val="bottom"/>
            <w:tcBorders>
              <w:left w:val="single" w:sz="8" w:color="auto"/>
              <w:right w:val="single" w:sz="8" w:color="auto"/>
            </w:tcBorders>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i w:val="1"/>
                <w:iCs w:val="1"/>
                <w:color w:val="auto"/>
              </w:rPr>
              <w:t>New Claims</w:t>
            </w:r>
          </w:p>
        </w:tc>
        <w:tc>
          <w:tcPr>
            <w:tcW w:w="1460" w:type="dxa"/>
            <w:vAlign w:val="bottom"/>
            <w:tcBorders>
              <w:right w:val="single" w:sz="8" w:color="auto"/>
            </w:tcBorders>
          </w:tcPr>
          <w:p>
            <w:pPr>
              <w:jc w:val="center"/>
              <w:ind w:left="410"/>
              <w:spacing w:after="0" w:line="202" w:lineRule="exact"/>
              <w:rPr>
                <w:sz w:val="20"/>
                <w:szCs w:val="20"/>
                <w:color w:val="auto"/>
              </w:rPr>
            </w:pPr>
            <w:r>
              <w:rPr>
                <w:rFonts w:ascii="Arial" w:cs="Arial" w:eastAsia="Arial" w:hAnsi="Arial"/>
                <w:sz w:val="18"/>
                <w:szCs w:val="18"/>
                <w:i w:val="1"/>
                <w:iCs w:val="1"/>
                <w:color w:val="auto"/>
              </w:rPr>
              <w:t>of Claims</w:t>
            </w:r>
          </w:p>
        </w:tc>
        <w:tc>
          <w:tcPr>
            <w:tcW w:w="254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 or</w:t>
            </w:r>
          </w:p>
        </w:tc>
      </w:tr>
      <w:tr>
        <w:trPr>
          <w:trHeight w:val="235"/>
        </w:trPr>
        <w:tc>
          <w:tcPr>
            <w:tcW w:w="1820" w:type="dxa"/>
            <w:vAlign w:val="bottom"/>
            <w:tcBorders>
              <w:left w:val="single" w:sz="8" w:color="auto"/>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5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Resolve</w:t>
            </w:r>
          </w:p>
        </w:tc>
      </w:tr>
      <w:tr>
        <w:trPr>
          <w:trHeight w:val="216"/>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540" w:type="dxa"/>
            <w:vAlign w:val="bottom"/>
            <w:tcBorders>
              <w:bottom w:val="single" w:sz="8" w:color="auto"/>
              <w:right w:val="single" w:sz="8" w:color="auto"/>
            </w:tcBorders>
          </w:tcPr>
          <w:p>
            <w:pPr>
              <w:spacing w:after="0"/>
              <w:rPr>
                <w:sz w:val="18"/>
                <w:szCs w:val="18"/>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2005</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29,411</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6,257</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1,297</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24,451</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$ 504</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2006</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24,451</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6,841</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1,806</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19,416</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3,879</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2007</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19,416</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808</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190</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18,798</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2008</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18,798</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523</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110</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18,385</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52</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2009</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18,385</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9,482</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42</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8,945</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88</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2010</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8,945</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3,963</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188</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5,170</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159</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2011</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5,170</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789</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65</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4,446</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1,111</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i w:val="1"/>
                <w:iCs w:val="1"/>
                <w:color w:val="auto"/>
                <w:w w:val="99"/>
              </w:rPr>
              <w:t>2012</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4,446</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90</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107</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4,463</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530</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r>
        <w:trPr>
          <w:trHeight w:val="237"/>
        </w:trPr>
        <w:tc>
          <w:tcPr>
            <w:tcW w:w="1820" w:type="dxa"/>
            <w:vAlign w:val="bottom"/>
            <w:tcBorders>
              <w:left w:val="single" w:sz="8" w:color="auto"/>
              <w:right w:val="single" w:sz="8" w:color="auto"/>
            </w:tcBorders>
          </w:tcPr>
          <w:p>
            <w:pPr>
              <w:jc w:val="right"/>
              <w:ind w:right="1310"/>
              <w:spacing w:after="0"/>
              <w:rPr>
                <w:sz w:val="20"/>
                <w:szCs w:val="20"/>
                <w:color w:val="auto"/>
              </w:rPr>
            </w:pPr>
            <w:r>
              <w:rPr>
                <w:rFonts w:ascii="Arial" w:cs="Arial" w:eastAsia="Arial" w:hAnsi="Arial"/>
                <w:sz w:val="18"/>
                <w:szCs w:val="18"/>
                <w:b w:val="1"/>
                <w:bCs w:val="1"/>
                <w:i w:val="1"/>
                <w:iCs w:val="1"/>
                <w:color w:val="auto"/>
                <w:w w:val="99"/>
              </w:rPr>
              <w:t>2013</w:t>
            </w:r>
          </w:p>
        </w:tc>
        <w:tc>
          <w:tcPr>
            <w:tcW w:w="19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4,463</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197</w:t>
            </w:r>
          </w:p>
        </w:tc>
        <w:tc>
          <w:tcPr>
            <w:tcW w:w="15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30</w:t>
            </w:r>
          </w:p>
        </w:tc>
        <w:tc>
          <w:tcPr>
            <w:tcW w:w="1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4,296</w:t>
            </w:r>
          </w:p>
        </w:tc>
        <w:tc>
          <w:tcPr>
            <w:tcW w:w="25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0</w:t>
            </w:r>
          </w:p>
        </w:tc>
      </w:tr>
      <w:tr>
        <w:trPr>
          <w:trHeight w:val="162"/>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95"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April 19, 2013, we had resolved, by means of settlement or dismissal, 36,567 claims. The total cost of resolving all claims was $8.6 million. Of this 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97" w:lineRule="exact"/>
        <w:rPr>
          <w:sz w:val="20"/>
          <w:szCs w:val="20"/>
          <w:color w:val="auto"/>
        </w:rPr>
      </w:pPr>
    </w:p>
    <w:p>
      <w:pPr>
        <w:ind w:right="280"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7,866 claims as of April 19, 2013.</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1" w:name="page22"/>
    <w:bookmarkEnd w:id="21"/>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68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Year ended</w:t>
            </w:r>
          </w:p>
        </w:tc>
        <w:tc>
          <w:tcPr>
            <w:tcW w:w="18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Opening</w:t>
            </w:r>
          </w:p>
        </w:tc>
        <w:tc>
          <w:tcPr>
            <w:tcW w:w="20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Claims Dismissed,</w:t>
            </w:r>
          </w:p>
        </w:tc>
        <w:tc>
          <w:tcPr>
            <w:tcW w:w="1420" w:type="dxa"/>
            <w:vAlign w:val="bottom"/>
            <w:tcBorders>
              <w:top w:val="single" w:sz="8" w:color="auto"/>
              <w:right w:val="single" w:sz="8" w:color="auto"/>
            </w:tcBorders>
          </w:tcPr>
          <w:p>
            <w:pPr>
              <w:spacing w:after="0"/>
              <w:rPr>
                <w:sz w:val="19"/>
                <w:szCs w:val="19"/>
                <w:color w:val="auto"/>
              </w:rPr>
            </w:pPr>
          </w:p>
        </w:tc>
        <w:tc>
          <w:tcPr>
            <w:tcW w:w="186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Closing</w:t>
            </w:r>
          </w:p>
        </w:tc>
        <w:tc>
          <w:tcPr>
            <w:tcW w:w="250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Amounts Paid</w:t>
            </w:r>
          </w:p>
        </w:tc>
      </w:tr>
      <w:tr>
        <w:trPr>
          <w:trHeight w:val="203"/>
        </w:trPr>
        <w:tc>
          <w:tcPr>
            <w:tcW w:w="1680" w:type="dxa"/>
            <w:vAlign w:val="bottom"/>
            <w:tcBorders>
              <w:left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i w:val="1"/>
                <w:iCs w:val="1"/>
                <w:color w:val="auto"/>
              </w:rPr>
              <w:t>December 31,</w:t>
            </w:r>
          </w:p>
        </w:tc>
        <w:tc>
          <w:tcPr>
            <w:tcW w:w="18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Number of Claims</w:t>
            </w:r>
          </w:p>
        </w:tc>
        <w:tc>
          <w:tcPr>
            <w:tcW w:w="20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Settled, or Resolved</w:t>
            </w:r>
          </w:p>
        </w:tc>
        <w:tc>
          <w:tcPr>
            <w:tcW w:w="142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i w:val="1"/>
                <w:iCs w:val="1"/>
                <w:color w:val="auto"/>
              </w:rPr>
              <w:t>Number of Claims</w:t>
            </w:r>
          </w:p>
        </w:tc>
        <w:tc>
          <w:tcPr>
            <w:tcW w:w="250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(thousands) to</w:t>
            </w:r>
          </w:p>
        </w:tc>
      </w:tr>
      <w:tr>
        <w:trPr>
          <w:trHeight w:val="203"/>
        </w:trPr>
        <w:tc>
          <w:tcPr>
            <w:tcW w:w="1680" w:type="dxa"/>
            <w:vAlign w:val="bottom"/>
            <w:tcBorders>
              <w:left w:val="single" w:sz="8" w:color="auto"/>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New Claims</w:t>
            </w:r>
          </w:p>
        </w:tc>
        <w:tc>
          <w:tcPr>
            <w:tcW w:w="1860" w:type="dxa"/>
            <w:vAlign w:val="bottom"/>
            <w:tcBorders>
              <w:right w:val="single" w:sz="8" w:color="auto"/>
            </w:tcBorders>
          </w:tcPr>
          <w:p>
            <w:pPr>
              <w:spacing w:after="0"/>
              <w:rPr>
                <w:sz w:val="17"/>
                <w:szCs w:val="17"/>
                <w:color w:val="auto"/>
              </w:rPr>
            </w:pPr>
          </w:p>
        </w:tc>
        <w:tc>
          <w:tcPr>
            <w:tcW w:w="250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 or</w:t>
            </w:r>
          </w:p>
        </w:tc>
      </w:tr>
      <w:tr>
        <w:trPr>
          <w:trHeight w:val="235"/>
        </w:trPr>
        <w:tc>
          <w:tcPr>
            <w:tcW w:w="1680" w:type="dxa"/>
            <w:vAlign w:val="bottom"/>
            <w:tcBorders>
              <w:left w:val="single" w:sz="8" w:color="auto"/>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Resolve</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2005</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9,985</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642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223</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9,566</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$ 0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2006</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9,566</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1,182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730</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9,114</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2007</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9,114</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462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88</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8,740</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2008</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8,740</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86</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10</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8,664</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2009</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8,664</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760</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7,907</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2010</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7,907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47</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7,869</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2011</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7,869</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7,877</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i w:val="1"/>
                <w:iCs w:val="1"/>
                <w:color w:val="auto"/>
                <w:w w:val="99"/>
              </w:rPr>
              <w:t>2012</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7,877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7,867</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r>
        <w:trPr>
          <w:trHeight w:val="237"/>
        </w:trPr>
        <w:tc>
          <w:tcPr>
            <w:tcW w:w="1680" w:type="dxa"/>
            <w:vAlign w:val="bottom"/>
            <w:tcBorders>
              <w:left w:val="single" w:sz="8" w:color="auto"/>
              <w:right w:val="single" w:sz="8" w:color="auto"/>
            </w:tcBorders>
          </w:tcPr>
          <w:p>
            <w:pPr>
              <w:jc w:val="right"/>
              <w:ind w:right="1170"/>
              <w:spacing w:after="0"/>
              <w:rPr>
                <w:sz w:val="20"/>
                <w:szCs w:val="20"/>
                <w:color w:val="auto"/>
              </w:rPr>
            </w:pPr>
            <w:r>
              <w:rPr>
                <w:rFonts w:ascii="Arial" w:cs="Arial" w:eastAsia="Arial" w:hAnsi="Arial"/>
                <w:sz w:val="18"/>
                <w:szCs w:val="18"/>
                <w:b w:val="1"/>
                <w:bCs w:val="1"/>
                <w:i w:val="1"/>
                <w:iCs w:val="1"/>
                <w:color w:val="auto"/>
                <w:w w:val="99"/>
              </w:rPr>
              <w:t>2013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7,867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1</w:t>
            </w:r>
          </w:p>
        </w:tc>
        <w:tc>
          <w:tcPr>
            <w:tcW w:w="18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7,866</w:t>
            </w:r>
          </w:p>
        </w:tc>
        <w:tc>
          <w:tcPr>
            <w:tcW w:w="25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0</w:t>
            </w:r>
          </w:p>
        </w:tc>
      </w:tr>
      <w:tr>
        <w:trPr>
          <w:trHeight w:val="162"/>
        </w:trPr>
        <w:tc>
          <w:tcPr>
            <w:tcW w:w="1680" w:type="dxa"/>
            <w:vAlign w:val="bottom"/>
            <w:tcBorders>
              <w:left w:val="single" w:sz="8" w:color="auto"/>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January 30, 2013, Brandon has resolved, by means of settlement or dismissal, 9,733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97" w:lineRule="exact"/>
        <w:rPr>
          <w:sz w:val="20"/>
          <w:szCs w:val="20"/>
          <w:color w:val="auto"/>
        </w:rPr>
      </w:pPr>
    </w:p>
    <w:p>
      <w:pPr>
        <w:jc w:val="both"/>
        <w:ind w:right="24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95" w:lineRule="exact"/>
        <w:rPr>
          <w:sz w:val="20"/>
          <w:szCs w:val="20"/>
          <w:color w:val="auto"/>
        </w:rPr>
      </w:pPr>
    </w:p>
    <w:p>
      <w:pPr>
        <w:ind w:right="120" w:firstLine="36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2" w:name="page23"/>
    <w:bookmarkEnd w:id="22"/>
    <w:p>
      <w:pPr>
        <w:ind w:firstLine="36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NAFTA Audits</w:t>
      </w:r>
    </w:p>
    <w:p>
      <w:pPr>
        <w:spacing w:after="0" w:line="126"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95"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95"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As a result of the aforementioned appeals, SAT ultimately revoked its earlier declarations of invalidation with respect to the certificates of origin at issue in all 36 open audit files, and ordered a further review of such certificates. The Company has been informed that review of 28 of the 36 audit files has been completed, and that a small number of shipments have been determined to be ineligible for duty-free NAFTA treatment, primarily due to some alternative raw material that was sourced from Europe during a brief period when sufficient U.S.-sourced material was temporarily unavailable. SAT is continuing its review of the certificates of origin in the remaining 8 open audits, for which the Company has submitted evidence that it believes will be sufficient to establish NAFTA qualification.</w:t>
      </w:r>
    </w:p>
    <w:p>
      <w:pPr>
        <w:spacing w:after="0" w:line="97" w:lineRule="exact"/>
        <w:rPr>
          <w:sz w:val="20"/>
          <w:szCs w:val="20"/>
          <w:color w:val="auto"/>
        </w:rPr>
      </w:pPr>
    </w:p>
    <w:p>
      <w:pPr>
        <w:ind w:right="100" w:firstLine="360"/>
        <w:spacing w:after="0" w:line="239" w:lineRule="auto"/>
        <w:rPr>
          <w:sz w:val="20"/>
          <w:szCs w:val="20"/>
          <w:color w:val="auto"/>
        </w:rPr>
      </w:pPr>
      <w:r>
        <w:rPr>
          <w:rFonts w:ascii="Arial" w:cs="Arial" w:eastAsia="Arial" w:hAnsi="Arial"/>
          <w:sz w:val="18"/>
          <w:szCs w:val="18"/>
          <w:color w:val="auto"/>
        </w:rPr>
        <w:t>Based on discussions with SAT, the Company currently expects to incur an immaterial amount of tariff charges and penalties with respect to the shipments determined to be ineligible. The Company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changes in Stockholders’ Equity:</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Accumulated</w:t>
            </w:r>
          </w:p>
        </w:tc>
        <w:tc>
          <w:tcPr>
            <w:tcW w:w="9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2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color w:val="auto"/>
              </w:rPr>
              <w:t>Class A</w:t>
            </w:r>
          </w:p>
        </w:tc>
        <w:tc>
          <w:tcPr>
            <w:tcW w:w="1000" w:type="dxa"/>
            <w:vAlign w:val="bottom"/>
          </w:tcPr>
          <w:p>
            <w:pPr>
              <w:jc w:val="center"/>
              <w:spacing w:after="0"/>
              <w:rPr>
                <w:sz w:val="20"/>
                <w:szCs w:val="20"/>
                <w:color w:val="auto"/>
              </w:rPr>
            </w:pPr>
            <w:r>
              <w:rPr>
                <w:rFonts w:ascii="Arial" w:cs="Arial" w:eastAsia="Arial" w:hAnsi="Arial"/>
                <w:sz w:val="14"/>
                <w:szCs w:val="14"/>
                <w:color w:val="auto"/>
              </w:rPr>
              <w:t>Class B</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Additional</w:t>
            </w:r>
          </w:p>
        </w:tc>
        <w:tc>
          <w:tcPr>
            <w:tcW w:w="9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items of other</w:t>
            </w:r>
          </w:p>
        </w:tc>
        <w:tc>
          <w:tcPr>
            <w:tcW w:w="9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Total</w:t>
            </w:r>
          </w:p>
        </w:tc>
      </w:tr>
      <w:tr>
        <w:trPr>
          <w:trHeight w:val="162"/>
        </w:trPr>
        <w:tc>
          <w:tcPr>
            <w:tcW w:w="402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color w:val="auto"/>
              </w:rPr>
              <w:t>Common</w:t>
            </w:r>
          </w:p>
        </w:tc>
        <w:tc>
          <w:tcPr>
            <w:tcW w:w="1000" w:type="dxa"/>
            <w:vAlign w:val="bottom"/>
          </w:tcPr>
          <w:p>
            <w:pPr>
              <w:jc w:val="center"/>
              <w:spacing w:after="0"/>
              <w:rPr>
                <w:sz w:val="20"/>
                <w:szCs w:val="20"/>
                <w:color w:val="auto"/>
              </w:rPr>
            </w:pPr>
            <w:r>
              <w:rPr>
                <w:rFonts w:ascii="Arial" w:cs="Arial" w:eastAsia="Arial" w:hAnsi="Arial"/>
                <w:sz w:val="14"/>
                <w:szCs w:val="14"/>
                <w:color w:val="auto"/>
              </w:rPr>
              <w:t>Common</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rPr>
              <w:t>paid in</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Retained</w:t>
            </w:r>
          </w:p>
        </w:tc>
        <w:tc>
          <w:tcPr>
            <w:tcW w:w="1240" w:type="dxa"/>
            <w:vAlign w:val="bottom"/>
          </w:tcPr>
          <w:p>
            <w:pPr>
              <w:jc w:val="center"/>
              <w:spacing w:after="0"/>
              <w:rPr>
                <w:sz w:val="20"/>
                <w:szCs w:val="20"/>
                <w:color w:val="auto"/>
              </w:rPr>
            </w:pPr>
            <w:r>
              <w:rPr>
                <w:rFonts w:ascii="Arial" w:cs="Arial" w:eastAsia="Arial" w:hAnsi="Arial"/>
                <w:sz w:val="14"/>
                <w:szCs w:val="14"/>
                <w:color w:val="auto"/>
              </w:rPr>
              <w:t>comprehensive</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Treasury</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Shareholders’</w:t>
            </w:r>
          </w:p>
        </w:tc>
      </w:tr>
      <w:tr>
        <w:trPr>
          <w:trHeight w:val="157"/>
        </w:trPr>
        <w:tc>
          <w:tcPr>
            <w:tcW w:w="4020" w:type="dxa"/>
            <w:vAlign w:val="bottom"/>
          </w:tcPr>
          <w:p>
            <w:pPr>
              <w:spacing w:after="0" w:line="157" w:lineRule="exact"/>
              <w:rPr>
                <w:sz w:val="20"/>
                <w:szCs w:val="20"/>
                <w:color w:val="auto"/>
              </w:rPr>
            </w:pPr>
            <w:r>
              <w:rPr>
                <w:rFonts w:ascii="Arial" w:cs="Arial" w:eastAsia="Arial" w:hAnsi="Arial"/>
                <w:sz w:val="14"/>
                <w:szCs w:val="14"/>
                <w:color w:val="auto"/>
              </w:rPr>
              <w:t>(in thousands)</w:t>
            </w:r>
          </w:p>
        </w:tc>
        <w:tc>
          <w:tcPr>
            <w:tcW w:w="1220" w:type="dxa"/>
            <w:vAlign w:val="bottom"/>
          </w:tcPr>
          <w:p>
            <w:pPr>
              <w:jc w:val="center"/>
              <w:ind w:left="148"/>
              <w:spacing w:after="0" w:line="157" w:lineRule="exact"/>
              <w:rPr>
                <w:sz w:val="20"/>
                <w:szCs w:val="20"/>
                <w:color w:val="auto"/>
              </w:rPr>
            </w:pPr>
            <w:r>
              <w:rPr>
                <w:rFonts w:ascii="Arial" w:cs="Arial" w:eastAsia="Arial" w:hAnsi="Arial"/>
                <w:sz w:val="14"/>
                <w:szCs w:val="14"/>
                <w:color w:val="auto"/>
              </w:rPr>
              <w:t>Stock</w:t>
            </w: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rPr>
              <w:t>Stock</w:t>
            </w:r>
          </w:p>
        </w:tc>
        <w:tc>
          <w:tcPr>
            <w:tcW w:w="102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capital</w:t>
            </w:r>
          </w:p>
        </w:tc>
        <w:tc>
          <w:tcPr>
            <w:tcW w:w="9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earnings</w:t>
            </w:r>
          </w:p>
        </w:tc>
        <w:tc>
          <w:tcPr>
            <w:tcW w:w="1240" w:type="dxa"/>
            <w:vAlign w:val="bottom"/>
          </w:tcPr>
          <w:p>
            <w:pPr>
              <w:jc w:val="center"/>
              <w:spacing w:after="0" w:line="157" w:lineRule="exact"/>
              <w:rPr>
                <w:sz w:val="20"/>
                <w:szCs w:val="20"/>
                <w:color w:val="auto"/>
              </w:rPr>
            </w:pPr>
            <w:r>
              <w:rPr>
                <w:rFonts w:ascii="Arial" w:cs="Arial" w:eastAsia="Arial" w:hAnsi="Arial"/>
                <w:sz w:val="14"/>
                <w:szCs w:val="14"/>
                <w:color w:val="auto"/>
              </w:rPr>
              <w:t>income</w:t>
            </w:r>
          </w:p>
        </w:tc>
        <w:tc>
          <w:tcPr>
            <w:tcW w:w="940" w:type="dxa"/>
            <w:vAlign w:val="bottom"/>
          </w:tcPr>
          <w:p>
            <w:pPr>
              <w:jc w:val="right"/>
              <w:ind w:right="228"/>
              <w:spacing w:after="0" w:line="157" w:lineRule="exact"/>
              <w:rPr>
                <w:sz w:val="20"/>
                <w:szCs w:val="20"/>
                <w:color w:val="auto"/>
              </w:rPr>
            </w:pPr>
            <w:r>
              <w:rPr>
                <w:rFonts w:ascii="Arial" w:cs="Arial" w:eastAsia="Arial" w:hAnsi="Arial"/>
                <w:sz w:val="14"/>
                <w:szCs w:val="14"/>
                <w:color w:val="auto"/>
              </w:rPr>
              <w:t>stock</w:t>
            </w:r>
          </w:p>
        </w:tc>
        <w:tc>
          <w:tcPr>
            <w:tcW w:w="10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Equity</w:t>
            </w:r>
          </w:p>
        </w:tc>
      </w:tr>
      <w:tr>
        <w:trPr>
          <w:trHeight w:val="160"/>
        </w:trPr>
        <w:tc>
          <w:tcPr>
            <w:tcW w:w="402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December 31, 2012</w:t>
            </w:r>
          </w:p>
        </w:tc>
        <w:tc>
          <w:tcPr>
            <w:tcW w:w="12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$37</w:t>
            </w:r>
          </w:p>
        </w:tc>
        <w:tc>
          <w:tcPr>
            <w:tcW w:w="10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$395,381</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$435,775</w:t>
            </w:r>
          </w:p>
        </w:tc>
        <w:tc>
          <w:tcPr>
            <w:tcW w:w="12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($80,021)</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($257,664)</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$493,511</w:t>
            </w:r>
          </w:p>
        </w:tc>
        <w:tc>
          <w:tcPr>
            <w:tcW w:w="20" w:type="dxa"/>
            <w:vAlign w:val="bottom"/>
          </w:tcPr>
          <w:p>
            <w:pPr>
              <w:spacing w:after="0"/>
              <w:rPr>
                <w:sz w:val="13"/>
                <w:szCs w:val="13"/>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11,511</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11,511</w:t>
            </w: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Dividends declared</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(4,421)</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(4,421)</w:t>
            </w: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Compensation and benefits paid or payable in Class A</w:t>
            </w: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(698)</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(698)</w:t>
            </w: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Options exercised</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2,315</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2,315</w:t>
            </w: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Cumulative translation adjustment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(11,288)</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(11,288)</w:t>
            </w:r>
          </w:p>
        </w:tc>
        <w:tc>
          <w:tcPr>
            <w:tcW w:w="20" w:type="dxa"/>
            <w:vAlign w:val="bottom"/>
          </w:tcPr>
          <w:p>
            <w:pPr>
              <w:spacing w:after="0"/>
              <w:rPr>
                <w:sz w:val="14"/>
                <w:szCs w:val="14"/>
                <w:color w:val="auto"/>
              </w:rPr>
            </w:pPr>
          </w:p>
        </w:tc>
      </w:tr>
      <w:tr>
        <w:trPr>
          <w:trHeight w:val="162"/>
        </w:trPr>
        <w:tc>
          <w:tcPr>
            <w:tcW w:w="4020" w:type="dxa"/>
            <w:vAlign w:val="bottom"/>
          </w:tcPr>
          <w:p>
            <w:pPr>
              <w:ind w:left="100"/>
              <w:spacing w:after="0"/>
              <w:rPr>
                <w:sz w:val="20"/>
                <w:szCs w:val="20"/>
                <w:color w:val="auto"/>
              </w:rPr>
            </w:pPr>
            <w:r>
              <w:rPr>
                <w:rFonts w:ascii="Arial" w:cs="Arial" w:eastAsia="Arial" w:hAnsi="Arial"/>
                <w:sz w:val="14"/>
                <w:szCs w:val="14"/>
                <w:color w:val="auto"/>
              </w:rPr>
              <w:t>Change in pension liability adjustment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88"/>
              <w:spacing w:after="0"/>
              <w:rPr>
                <w:sz w:val="20"/>
                <w:szCs w:val="20"/>
                <w:color w:val="auto"/>
              </w:rPr>
            </w:pPr>
            <w:r>
              <w:rPr>
                <w:rFonts w:ascii="Arial" w:cs="Arial" w:eastAsia="Arial" w:hAnsi="Arial"/>
                <w:sz w:val="14"/>
                <w:szCs w:val="14"/>
                <w:color w:val="auto"/>
              </w:rPr>
              <w:t>1,169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1,169</w:t>
            </w:r>
          </w:p>
        </w:tc>
        <w:tc>
          <w:tcPr>
            <w:tcW w:w="20" w:type="dxa"/>
            <w:vAlign w:val="bottom"/>
          </w:tcPr>
          <w:p>
            <w:pPr>
              <w:spacing w:after="0"/>
              <w:rPr>
                <w:sz w:val="14"/>
                <w:szCs w:val="14"/>
                <w:color w:val="auto"/>
              </w:rPr>
            </w:pPr>
          </w:p>
        </w:tc>
      </w:tr>
      <w:tr>
        <w:trPr>
          <w:trHeight w:val="157"/>
        </w:trPr>
        <w:tc>
          <w:tcPr>
            <w:tcW w:w="402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Change in derivative valuation adjustment</w:t>
            </w:r>
          </w:p>
        </w:tc>
        <w:tc>
          <w:tcPr>
            <w:tcW w:w="122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279</w:t>
            </w:r>
          </w:p>
        </w:tc>
        <w:tc>
          <w:tcPr>
            <w:tcW w:w="9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279</w:t>
            </w:r>
          </w:p>
        </w:tc>
        <w:tc>
          <w:tcPr>
            <w:tcW w:w="20" w:type="dxa"/>
            <w:vAlign w:val="bottom"/>
          </w:tcPr>
          <w:p>
            <w:pPr>
              <w:spacing w:after="0"/>
              <w:rPr>
                <w:sz w:val="13"/>
                <w:szCs w:val="13"/>
                <w:color w:val="auto"/>
              </w:rPr>
            </w:pPr>
          </w:p>
        </w:tc>
      </w:tr>
      <w:tr>
        <w:trPr>
          <w:trHeight w:val="156"/>
        </w:trPr>
        <w:tc>
          <w:tcPr>
            <w:tcW w:w="40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March 31, 2013</w:t>
            </w:r>
          </w:p>
        </w:tc>
        <w:tc>
          <w:tcPr>
            <w:tcW w:w="12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$37</w:t>
            </w:r>
          </w:p>
        </w:tc>
        <w:tc>
          <w:tcPr>
            <w:tcW w:w="1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$3</w:t>
            </w:r>
          </w:p>
        </w:tc>
        <w:tc>
          <w:tcPr>
            <w:tcW w:w="10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$396,998</w:t>
            </w:r>
          </w:p>
        </w:tc>
        <w:tc>
          <w:tcPr>
            <w:tcW w:w="9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$442,865</w:t>
            </w:r>
          </w:p>
        </w:tc>
        <w:tc>
          <w:tcPr>
            <w:tcW w:w="12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($89,861)</w:t>
            </w:r>
          </w:p>
        </w:tc>
        <w:tc>
          <w:tcPr>
            <w:tcW w:w="9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($257,664)</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$492,378</w:t>
            </w:r>
          </w:p>
        </w:tc>
        <w:tc>
          <w:tcPr>
            <w:tcW w:w="20" w:type="dxa"/>
            <w:vAlign w:val="bottom"/>
          </w:tcPr>
          <w:p>
            <w:pPr>
              <w:spacing w:after="0"/>
              <w:rPr>
                <w:sz w:val="13"/>
                <w:szCs w:val="13"/>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126" w:lineRule="exact"/>
        <w:rPr>
          <w:sz w:val="20"/>
          <w:szCs w:val="20"/>
          <w:color w:val="auto"/>
        </w:rPr>
      </w:pPr>
    </w:p>
    <w:p>
      <w:pPr>
        <w:ind w:right="400" w:firstLine="360"/>
        <w:spacing w:after="0"/>
        <w:rPr>
          <w:sz w:val="20"/>
          <w:szCs w:val="20"/>
          <w:color w:val="auto"/>
        </w:rPr>
      </w:pPr>
      <w:r>
        <w:rPr>
          <w:rFonts w:ascii="Arial" w:cs="Arial" w:eastAsia="Arial" w:hAnsi="Arial"/>
          <w:sz w:val="18"/>
          <w:szCs w:val="18"/>
          <w:color w:val="auto"/>
        </w:rPr>
        <w:t>In February 2013, the Financial Accounting Standards Board (FASB) issued ASU 2013-02 which requires enhanced disclosures about changes in Accumulated Other Comprehensive Income. We adopted these provisions in the first quarter of 2013 by adding a Note to the Consolidated Financial Statements that provides the additional disclosures.</w:t>
      </w:r>
    </w:p>
    <w:p>
      <w:pPr>
        <w:spacing w:after="0" w:line="95"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In the first quarter of 2013, the Company adopted the provisions of ASU 2013-01 which requires enhanced disclosures of the effect or potential effect of netting arrangements on an entity’s financial position. This includes the effect or potential effect of rights of setoff associated with an entity’s recognized assets and recognized liabilities within the scope of this Update. The Company has an interest rate swap agreement that is within the scope of Update and we have added additional disclosure in the Notes to Consolidated Financial Statements about the offsetting asset and liability components of that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“project,” “will,” “should” and similar expressions identify forward-looking statements, which generally are not historical in nature. Forward-looking statements are subject to certain risks and uncertainties (including, without limitation, those set forth in the Company’s most recent Annual Report on Form 10-K or prior Quarterly Reports on Form 10-Q) that could cause actual results to differ materially from the Company’s historical experience and our present expectations or projections.</w:t>
      </w:r>
    </w:p>
    <w:p>
      <w:pPr>
        <w:spacing w:after="0" w:line="95" w:lineRule="exact"/>
        <w:rPr>
          <w:sz w:val="20"/>
          <w:szCs w:val="20"/>
          <w:color w:val="auto"/>
        </w:rPr>
      </w:pPr>
    </w:p>
    <w:p>
      <w:pPr>
        <w:ind w:right="140" w:firstLine="360"/>
        <w:spacing w:after="0" w:line="239" w:lineRule="auto"/>
        <w:rPr>
          <w:sz w:val="20"/>
          <w:szCs w:val="20"/>
          <w:color w:val="auto"/>
        </w:rPr>
      </w:pPr>
      <w:r>
        <w:rPr>
          <w:rFonts w:ascii="Arial" w:cs="Arial" w:eastAsia="Arial" w:hAnsi="Arial"/>
          <w:sz w:val="18"/>
          <w:szCs w:val="18"/>
          <w:color w:val="auto"/>
        </w:rPr>
        <w:t>Forward-looking statements in this quarterly report include, without limitation, statements about economic and paper industry trends and conditions during 2013 and in future years; sales, EBITDA, Adjusted EBITDA and operating income expectations in 2013 and in future periods in each of the Company’s businesses and for the Company as a whole, the timing and impact of production and development programs in the Company’s AEC business segment; the</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657" w:right="219" w:bottom="1440" w:gutter="0" w:footer="0" w:header="0"/>
        </w:sectPr>
      </w:pPr>
    </w:p>
    <w:bookmarkStart w:id="24" w:name="page25"/>
    <w:bookmarkEnd w:id="24"/>
    <w:p>
      <w:pPr>
        <w:ind w:right="120"/>
        <w:spacing w:after="0" w:line="239" w:lineRule="auto"/>
        <w:rPr>
          <w:sz w:val="20"/>
          <w:szCs w:val="20"/>
          <w:color w:val="auto"/>
        </w:rPr>
      </w:pPr>
      <w:r>
        <w:rPr>
          <w:rFonts w:ascii="Arial" w:cs="Arial" w:eastAsia="Arial" w:hAnsi="Arial"/>
          <w:sz w:val="18"/>
          <w:szCs w:val="18"/>
          <w:color w:val="auto"/>
        </w:rPr>
        <w:t>amount and timing of capital expenditures, future tax rates and cash paid for taxes, depreciation and amortization, future debt levels and debt covenant ratios, future revaluation gains and losses, and the Company’s ability to reduce costs. Furthermore, a change in any one or more of the foregoing factors could have a material effect on the Company’s financial results in any period. Such statements are based on current expectations, and the Company undertakes no obligation to publicly update or revise any forward-looking statements.</w:t>
      </w:r>
    </w:p>
    <w:p>
      <w:pPr>
        <w:spacing w:after="0" w:line="94" w:lineRule="exact"/>
        <w:rPr>
          <w:sz w:val="20"/>
          <w:szCs w:val="20"/>
          <w:color w:val="auto"/>
        </w:rPr>
      </w:pPr>
    </w:p>
    <w:p>
      <w:pPr>
        <w:ind w:firstLine="360"/>
        <w:spacing w:after="0" w:line="237" w:lineRule="auto"/>
        <w:rPr>
          <w:sz w:val="20"/>
          <w:szCs w:val="20"/>
          <w:color w:val="auto"/>
        </w:rPr>
      </w:pPr>
      <w:r>
        <w:rPr>
          <w:rFonts w:ascii="Arial" w:cs="Arial" w:eastAsia="Arial" w:hAnsi="Arial"/>
          <w:sz w:val="18"/>
          <w:szCs w:val="18"/>
          <w:color w:val="auto"/>
        </w:rPr>
        <w:t>Statements expressing management’s assessments of the growth potential of its businesses, or referring to earlier assessments of such potential, are not intended as forecasts of actual future growth, and should not be relied on as such. While management believes such assessments to have a reasonable basis, such assessments are, by their nature, inherently uncertain. This release and earlier releases set forth a number of assumptions regarding these assessments, including historical results, independent forecasts regarding the markets in which these businesses operate, and the timing and magnitude of orders for our customers’ products. Historical growth rates are no guarantee of future growth, and such independent forecasts and assumptions could prove materially incorrect, in some cases.</w:t>
      </w:r>
    </w:p>
    <w:p>
      <w:pPr>
        <w:spacing w:after="0" w:line="97" w:lineRule="exact"/>
        <w:rPr>
          <w:sz w:val="20"/>
          <w:szCs w:val="20"/>
          <w:color w:val="auto"/>
        </w:rPr>
      </w:pPr>
    </w:p>
    <w:p>
      <w:pPr>
        <w:ind w:right="100" w:firstLine="360"/>
        <w:spacing w:after="0" w:line="23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“Trends,” “Liquidity,” “Outlook,” and “Legal Proceedings” sections of this quarterly report, as well as in the “Risk Factors”, section of our most recent Annual Report on Form 10-K. Although we believe the expectations reflected in our forward-looking statements are based upon reasonable assumptions, it is not possible to foresee or identify all factors that could have a material and negative impact on future performance. The forward-looking statements included or incorporated by reference in this quarterly report are made on the basis of our assumptions and analyses, as of the time the statements are made, in light of their experience and perception of historical conditions, expected future developments and other factors believed to be appropriate under the circumstances.</w:t>
      </w:r>
    </w:p>
    <w:p>
      <w:pPr>
        <w:spacing w:after="0" w:line="95"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0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Machine Clothing (MC) and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95" w:lineRule="exact"/>
        <w:rPr>
          <w:sz w:val="20"/>
          <w:szCs w:val="20"/>
          <w:color w:val="auto"/>
        </w:rPr>
      </w:pPr>
    </w:p>
    <w:p>
      <w:pPr>
        <w:ind w:right="140" w:firstLine="360"/>
        <w:spacing w:after="0" w:line="236" w:lineRule="auto"/>
        <w:rPr>
          <w:sz w:val="20"/>
          <w:szCs w:val="20"/>
          <w:color w:val="auto"/>
        </w:rPr>
      </w:pPr>
      <w:r>
        <w:rPr>
          <w:rFonts w:ascii="Arial" w:cs="Arial" w:eastAsia="Arial" w:hAnsi="Arial"/>
          <w:sz w:val="18"/>
          <w:szCs w:val="18"/>
          <w:color w:val="auto"/>
        </w:rPr>
        <w:t>Machine Clothing is the Company’s long-established core business and primary generator of cash. While the paper and paperboard industry in our traditional geographic markets has suffered from well-documented overcapacity in publication grades, especially newsprint, the industry is still expected to grow on a global basis, driven by demand for packaging and tissue grades, as well as the expansion of paper consumption and production in Asia and South America. Although we do not consider the market for Machine Clothing as having significant growth potential, we do believe it provides the Company with significant prospects for long-term cash generation. We feel we are now well-positioned in these markets, with high-quality, low-cost production in growth markets, substantially lower fixed costs in mature markets, and continued strength in new product development, field services, and manufacturing technology.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99" w:lineRule="exact"/>
        <w:rPr>
          <w:sz w:val="20"/>
          <w:szCs w:val="20"/>
          <w:color w:val="auto"/>
        </w:rPr>
      </w:pPr>
    </w:p>
    <w:p>
      <w:pPr>
        <w:ind w:right="80" w:firstLine="360"/>
        <w:spacing w:after="0" w:line="238"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AEC supplies a number of customers in the aerospace industry. AEC’s largest aerospace customer is the Safran Group, and the most significant program is the production of fan blades and other components for the LEAP engine. AEC is also developing other new and potentially significant composite products for aerospace (engine and airframe)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Borders>
              <w:top w:val="single" w:sz="8" w:color="auto"/>
              <w:bottom w:val="single" w:sz="8" w:color="auto"/>
            </w:tcBorders>
          </w:tcPr>
          <w:p>
            <w:pPr>
              <w:spacing w:after="0"/>
              <w:rPr>
                <w:sz w:val="18"/>
                <w:szCs w:val="18"/>
                <w:color w:val="auto"/>
              </w:rPr>
            </w:pPr>
          </w:p>
        </w:tc>
        <w:tc>
          <w:tcPr>
            <w:tcW w:w="5240" w:type="dxa"/>
            <w:vAlign w:val="bottom"/>
            <w:tcBorders>
              <w:top w:val="single" w:sz="8" w:color="auto"/>
              <w:bottom w:val="single" w:sz="8" w:color="auto"/>
            </w:tcBorders>
            <w:gridSpan w:val="2"/>
          </w:tcPr>
          <w:p>
            <w:pPr>
              <w:jc w:val="right"/>
              <w:ind w:right="870"/>
              <w:spacing w:after="0"/>
              <w:rPr>
                <w:sz w:val="20"/>
                <w:szCs w:val="20"/>
                <w:color w:val="auto"/>
              </w:rPr>
            </w:pPr>
            <w:r>
              <w:rPr>
                <w:rFonts w:ascii="Arial" w:cs="Arial" w:eastAsia="Arial" w:hAnsi="Arial"/>
                <w:sz w:val="18"/>
                <w:szCs w:val="18"/>
                <w:color w:val="auto"/>
              </w:rPr>
              <w:t>Three months ended March 31,</w:t>
            </w:r>
          </w:p>
        </w:tc>
        <w:tc>
          <w:tcPr>
            <w:tcW w:w="1600" w:type="dxa"/>
            <w:vAlign w:val="bottom"/>
            <w:tcBorders>
              <w:top w:val="single" w:sz="8" w:color="auto"/>
              <w:bottom w:val="single" w:sz="8" w:color="auto"/>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 thousands, except percentages)</w:t>
            </w:r>
          </w:p>
        </w:tc>
        <w:tc>
          <w:tcPr>
            <w:tcW w:w="33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2013</w:t>
            </w:r>
          </w:p>
        </w:tc>
        <w:tc>
          <w:tcPr>
            <w:tcW w:w="18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2012</w:t>
            </w:r>
          </w:p>
        </w:tc>
        <w:tc>
          <w:tcPr>
            <w:tcW w:w="16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 Change</w:t>
            </w:r>
          </w:p>
        </w:tc>
      </w:tr>
      <w:tr>
        <w:trPr>
          <w:trHeight w:val="173"/>
        </w:trPr>
        <w:tc>
          <w:tcPr>
            <w:tcW w:w="20" w:type="dxa"/>
            <w:vAlign w:val="bottom"/>
          </w:tcPr>
          <w:p>
            <w:pPr>
              <w:spacing w:after="0"/>
              <w:rPr>
                <w:sz w:val="15"/>
                <w:szCs w:val="15"/>
                <w:color w:val="auto"/>
              </w:rPr>
            </w:pPr>
          </w:p>
        </w:tc>
        <w:tc>
          <w:tcPr>
            <w:tcW w:w="4560" w:type="dxa"/>
            <w:vAlign w:val="bottom"/>
          </w:tcPr>
          <w:p>
            <w:pPr>
              <w:ind w:left="80"/>
              <w:spacing w:after="0" w:line="173" w:lineRule="exact"/>
              <w:rPr>
                <w:sz w:val="20"/>
                <w:szCs w:val="20"/>
                <w:color w:val="auto"/>
              </w:rPr>
            </w:pPr>
            <w:r>
              <w:rPr>
                <w:rFonts w:ascii="Arial" w:cs="Arial" w:eastAsia="Arial" w:hAnsi="Arial"/>
                <w:sz w:val="18"/>
                <w:szCs w:val="18"/>
                <w:color w:val="auto"/>
              </w:rPr>
              <w:t>Machine Clothing</w:t>
            </w:r>
          </w:p>
        </w:tc>
        <w:tc>
          <w:tcPr>
            <w:tcW w:w="3360" w:type="dxa"/>
            <w:vAlign w:val="bottom"/>
          </w:tcPr>
          <w:p>
            <w:pPr>
              <w:jc w:val="right"/>
              <w:ind w:right="630"/>
              <w:spacing w:after="0" w:line="173" w:lineRule="exact"/>
              <w:rPr>
                <w:sz w:val="20"/>
                <w:szCs w:val="20"/>
                <w:color w:val="auto"/>
              </w:rPr>
            </w:pPr>
            <w:r>
              <w:rPr>
                <w:rFonts w:ascii="Arial" w:cs="Arial" w:eastAsia="Arial" w:hAnsi="Arial"/>
                <w:sz w:val="18"/>
                <w:szCs w:val="18"/>
                <w:b w:val="1"/>
                <w:bCs w:val="1"/>
                <w:color w:val="auto"/>
              </w:rPr>
              <w:t>$167,409</w:t>
            </w:r>
          </w:p>
        </w:tc>
        <w:tc>
          <w:tcPr>
            <w:tcW w:w="1880" w:type="dxa"/>
            <w:vAlign w:val="bottom"/>
          </w:tcPr>
          <w:p>
            <w:pPr>
              <w:jc w:val="right"/>
              <w:ind w:right="450"/>
              <w:spacing w:after="0" w:line="173" w:lineRule="exact"/>
              <w:rPr>
                <w:sz w:val="20"/>
                <w:szCs w:val="20"/>
                <w:color w:val="auto"/>
              </w:rPr>
            </w:pPr>
            <w:r>
              <w:rPr>
                <w:rFonts w:ascii="Arial" w:cs="Arial" w:eastAsia="Arial" w:hAnsi="Arial"/>
                <w:sz w:val="18"/>
                <w:szCs w:val="18"/>
                <w:color w:val="auto"/>
              </w:rPr>
              <w:t>$164,288</w:t>
            </w:r>
          </w:p>
        </w:tc>
        <w:tc>
          <w:tcPr>
            <w:tcW w:w="16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1.90%</w:t>
            </w:r>
          </w:p>
        </w:tc>
      </w:tr>
      <w:tr>
        <w:trPr>
          <w:trHeight w:val="225"/>
        </w:trPr>
        <w:tc>
          <w:tcPr>
            <w:tcW w:w="20" w:type="dxa"/>
            <w:vAlign w:val="bottom"/>
          </w:tcPr>
          <w:p>
            <w:pPr>
              <w:spacing w:after="0"/>
              <w:rPr>
                <w:sz w:val="19"/>
                <w:szCs w:val="19"/>
                <w:color w:val="auto"/>
              </w:rPr>
            </w:pPr>
          </w:p>
        </w:tc>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Engineered Composites</w:t>
            </w:r>
          </w:p>
        </w:tc>
        <w:tc>
          <w:tcPr>
            <w:tcW w:w="33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19,245</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15,789</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21.89%</w:t>
            </w:r>
          </w:p>
        </w:tc>
      </w:tr>
      <w:tr>
        <w:trPr>
          <w:trHeight w:val="196"/>
        </w:trPr>
        <w:tc>
          <w:tcPr>
            <w:tcW w:w="20" w:type="dxa"/>
            <w:vAlign w:val="bottom"/>
          </w:tcPr>
          <w:p>
            <w:pPr>
              <w:spacing w:after="0"/>
              <w:rPr>
                <w:sz w:val="17"/>
                <w:szCs w:val="17"/>
                <w:color w:val="auto"/>
              </w:rPr>
            </w:pPr>
          </w:p>
        </w:tc>
        <w:tc>
          <w:tcPr>
            <w:tcW w:w="456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33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$186,654</w:t>
            </w:r>
          </w:p>
        </w:tc>
        <w:tc>
          <w:tcPr>
            <w:tcW w:w="18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$180,077</w:t>
            </w:r>
          </w:p>
        </w:tc>
        <w:tc>
          <w:tcPr>
            <w:tcW w:w="16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04" w:lineRule="exact"/>
        <w:rPr>
          <w:sz w:val="20"/>
          <w:szCs w:val="20"/>
          <w:color w:val="auto"/>
        </w:rPr>
      </w:pPr>
    </w:p>
    <w:p>
      <w:pPr>
        <w:ind w:left="360" w:right="80" w:hanging="113"/>
        <w:spacing w:after="0" w:line="246"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$0.4 million during the first quarter of 2013 as compared to 2012.</w:t>
      </w:r>
    </w:p>
    <w:p>
      <w:pPr>
        <w:spacing w:after="0" w:line="88" w:lineRule="exact"/>
        <w:rPr>
          <w:rFonts w:ascii="Arial" w:cs="Arial" w:eastAsia="Arial" w:hAnsi="Arial"/>
          <w:sz w:val="18"/>
          <w:szCs w:val="18"/>
          <w:color w:val="auto"/>
        </w:rPr>
      </w:pPr>
    </w:p>
    <w:p>
      <w:pPr>
        <w:ind w:left="360" w:hanging="113"/>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increased 3.9% compared to the same period in 2012.</w:t>
      </w:r>
    </w:p>
    <w:p>
      <w:pPr>
        <w:spacing w:after="0" w:line="117" w:lineRule="exact"/>
        <w:rPr>
          <w:rFonts w:ascii="Arial" w:cs="Arial" w:eastAsia="Arial" w:hAnsi="Arial"/>
          <w:sz w:val="18"/>
          <w:szCs w:val="18"/>
          <w:color w:val="auto"/>
        </w:rPr>
      </w:pPr>
    </w:p>
    <w:p>
      <w:pPr>
        <w:ind w:left="360" w:hanging="113"/>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720" w:hanging="109"/>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MC increased 2.1 %.</w:t>
      </w:r>
    </w:p>
    <w:p>
      <w:pPr>
        <w:spacing w:after="0" w:line="117" w:lineRule="exact"/>
        <w:rPr>
          <w:rFonts w:ascii="Arial" w:cs="Arial" w:eastAsia="Arial" w:hAnsi="Arial"/>
          <w:sz w:val="18"/>
          <w:szCs w:val="18"/>
          <w:color w:val="auto"/>
        </w:rPr>
      </w:pPr>
    </w:p>
    <w:p>
      <w:pPr>
        <w:ind w:left="720" w:hanging="109"/>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sales in Engineered Composites increased 21.9%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Borders>
              <w:top w:val="single" w:sz="8" w:color="auto"/>
            </w:tcBorders>
          </w:tcPr>
          <w:p>
            <w:pPr>
              <w:spacing w:after="0"/>
              <w:rPr>
                <w:sz w:val="16"/>
                <w:szCs w:val="16"/>
                <w:color w:val="auto"/>
              </w:rPr>
            </w:pPr>
          </w:p>
        </w:tc>
        <w:tc>
          <w:tcPr>
            <w:tcW w:w="51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Three months ended March 31,</w:t>
            </w:r>
          </w:p>
        </w:tc>
        <w:tc>
          <w:tcPr>
            <w:tcW w:w="780" w:type="dxa"/>
            <w:vAlign w:val="bottom"/>
            <w:tcBorders>
              <w:top w:val="single" w:sz="8" w:color="auto"/>
            </w:tcBorders>
          </w:tcPr>
          <w:p>
            <w:pPr>
              <w:spacing w:after="0"/>
              <w:rPr>
                <w:sz w:val="16"/>
                <w:szCs w:val="16"/>
                <w:color w:val="auto"/>
              </w:rPr>
            </w:pPr>
          </w:p>
        </w:tc>
      </w:tr>
      <w:tr>
        <w:trPr>
          <w:trHeight w:val="225"/>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518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r>
      <w:tr>
        <w:trPr>
          <w:trHeight w:val="173"/>
        </w:trPr>
        <w:tc>
          <w:tcPr>
            <w:tcW w:w="546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5180" w:type="dxa"/>
            <w:vAlign w:val="bottom"/>
          </w:tcPr>
          <w:p>
            <w:pPr>
              <w:jc w:val="right"/>
              <w:ind w:right="1730"/>
              <w:spacing w:after="0" w:line="173" w:lineRule="exact"/>
              <w:rPr>
                <w:sz w:val="20"/>
                <w:szCs w:val="20"/>
                <w:color w:val="auto"/>
              </w:rPr>
            </w:pPr>
            <w:r>
              <w:rPr>
                <w:rFonts w:ascii="Arial" w:cs="Arial" w:eastAsia="Arial" w:hAnsi="Arial"/>
                <w:sz w:val="18"/>
                <w:szCs w:val="18"/>
                <w:b w:val="1"/>
                <w:bCs w:val="1"/>
                <w:color w:val="auto"/>
              </w:rPr>
              <w:t>$73,988</w:t>
            </w:r>
          </w:p>
        </w:tc>
        <w:tc>
          <w:tcPr>
            <w:tcW w:w="7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$67,998</w:t>
            </w:r>
          </w:p>
        </w:tc>
      </w:tr>
      <w:tr>
        <w:trPr>
          <w:trHeight w:val="203"/>
        </w:trPr>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5180" w:type="dxa"/>
            <w:vAlign w:val="bottom"/>
          </w:tcPr>
          <w:p>
            <w:pPr>
              <w:jc w:val="right"/>
              <w:ind w:right="1670"/>
              <w:spacing w:after="0" w:line="202" w:lineRule="exact"/>
              <w:rPr>
                <w:sz w:val="20"/>
                <w:szCs w:val="20"/>
                <w:color w:val="auto"/>
              </w:rPr>
            </w:pPr>
            <w:r>
              <w:rPr>
                <w:rFonts w:ascii="Arial" w:cs="Arial" w:eastAsia="Arial" w:hAnsi="Arial"/>
                <w:sz w:val="18"/>
                <w:szCs w:val="18"/>
                <w:b w:val="1"/>
                <w:bCs w:val="1"/>
                <w:color w:val="auto"/>
              </w:rPr>
              <w:t>(186)</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1,393</w:t>
            </w:r>
          </w:p>
        </w:tc>
      </w:tr>
      <w:tr>
        <w:trPr>
          <w:trHeight w:val="225"/>
        </w:trPr>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w:t>
            </w:r>
          </w:p>
        </w:tc>
        <w:tc>
          <w:tcPr>
            <w:tcW w:w="518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(1,033)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196"/>
        </w:trPr>
        <w:tc>
          <w:tcPr>
            <w:tcW w:w="54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5180" w:type="dxa"/>
            <w:vAlign w:val="bottom"/>
            <w:tcBorders>
              <w:bottom w:val="single" w:sz="8" w:color="auto"/>
            </w:tcBorders>
          </w:tcPr>
          <w:p>
            <w:pPr>
              <w:jc w:val="right"/>
              <w:ind w:right="1730"/>
              <w:spacing w:after="0" w:line="196" w:lineRule="exact"/>
              <w:rPr>
                <w:sz w:val="20"/>
                <w:szCs w:val="20"/>
                <w:color w:val="auto"/>
              </w:rPr>
            </w:pPr>
            <w:r>
              <w:rPr>
                <w:rFonts w:ascii="Arial" w:cs="Arial" w:eastAsia="Arial" w:hAnsi="Arial"/>
                <w:sz w:val="18"/>
                <w:szCs w:val="18"/>
                <w:b w:val="1"/>
                <w:bCs w:val="1"/>
                <w:color w:val="auto"/>
              </w:rPr>
              <w:t>$72,769</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$68,286</w:t>
            </w:r>
          </w:p>
        </w:tc>
      </w:tr>
      <w:tr>
        <w:trPr>
          <w:trHeight w:val="196"/>
        </w:trPr>
        <w:tc>
          <w:tcPr>
            <w:tcW w:w="54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5180" w:type="dxa"/>
            <w:vAlign w:val="bottom"/>
            <w:tcBorders>
              <w:bottom w:val="single" w:sz="8" w:color="auto"/>
            </w:tcBorders>
          </w:tcPr>
          <w:p>
            <w:pPr>
              <w:jc w:val="right"/>
              <w:ind w:right="1730"/>
              <w:spacing w:after="0" w:line="196" w:lineRule="exact"/>
              <w:rPr>
                <w:sz w:val="20"/>
                <w:szCs w:val="20"/>
                <w:color w:val="auto"/>
              </w:rPr>
            </w:pPr>
            <w:r>
              <w:rPr>
                <w:rFonts w:ascii="Arial" w:cs="Arial" w:eastAsia="Arial" w:hAnsi="Arial"/>
                <w:sz w:val="18"/>
                <w:szCs w:val="18"/>
                <w:b w:val="1"/>
                <w:bCs w:val="1"/>
                <w:color w:val="auto"/>
              </w:rPr>
              <w:t>39.0%</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37.9%</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gross profit, compared to the same period in 2012, was principally due to the net effect of the following:</w:t>
      </w:r>
    </w:p>
    <w:p>
      <w:pPr>
        <w:spacing w:after="0" w:line="104" w:lineRule="exact"/>
        <w:rPr>
          <w:sz w:val="20"/>
          <w:szCs w:val="20"/>
          <w:color w:val="auto"/>
        </w:rPr>
      </w:pPr>
    </w:p>
    <w:p>
      <w:pPr>
        <w:ind w:left="720" w:right="160" w:hanging="109"/>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profit margins in MC increased from 41.4 percent to 44.2 percent reflecting continued strong performance in the Americas and the cumulative effect of productivity improvements and restructuring.</w:t>
      </w:r>
    </w:p>
    <w:p>
      <w:pPr>
        <w:spacing w:after="0" w:line="88" w:lineRule="exact"/>
        <w:rPr>
          <w:rFonts w:ascii="Arial" w:cs="Arial" w:eastAsia="Arial" w:hAnsi="Arial"/>
          <w:sz w:val="18"/>
          <w:szCs w:val="18"/>
          <w:color w:val="auto"/>
        </w:rPr>
      </w:pPr>
    </w:p>
    <w:p>
      <w:pPr>
        <w:ind w:left="720" w:right="540" w:hanging="109"/>
        <w:spacing w:after="0" w:line="246"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AEC gross margin for the first quarter of 2013 was negatively affected by inventory write-offs and other losses associated with a legacy program at the Company’s Boerne, Texas, facility.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Borders>
              <w:top w:val="single" w:sz="8" w:color="auto"/>
            </w:tcBorders>
          </w:tcPr>
          <w:p>
            <w:pPr>
              <w:spacing w:after="0"/>
              <w:rPr>
                <w:sz w:val="16"/>
                <w:szCs w:val="16"/>
                <w:color w:val="auto"/>
              </w:rPr>
            </w:pPr>
          </w:p>
        </w:tc>
        <w:tc>
          <w:tcPr>
            <w:tcW w:w="55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Three months ended March 31,</w:t>
            </w:r>
          </w:p>
        </w:tc>
        <w:tc>
          <w:tcPr>
            <w:tcW w:w="780" w:type="dxa"/>
            <w:vAlign w:val="bottom"/>
            <w:tcBorders>
              <w:top w:val="single" w:sz="8" w:color="auto"/>
            </w:tcBorders>
          </w:tcPr>
          <w:p>
            <w:pPr>
              <w:spacing w:after="0"/>
              <w:rPr>
                <w:sz w:val="16"/>
                <w:szCs w:val="16"/>
                <w:color w:val="auto"/>
              </w:rPr>
            </w:pPr>
          </w:p>
        </w:tc>
      </w:tr>
      <w:tr>
        <w:trPr>
          <w:trHeight w:val="225"/>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556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2013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r>
      <w:tr>
        <w:trPr>
          <w:trHeight w:val="173"/>
        </w:trPr>
        <w:tc>
          <w:tcPr>
            <w:tcW w:w="5080" w:type="dxa"/>
            <w:vAlign w:val="bottom"/>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5560" w:type="dxa"/>
            <w:vAlign w:val="bottom"/>
          </w:tcPr>
          <w:p>
            <w:pPr>
              <w:jc w:val="right"/>
              <w:ind w:right="1730"/>
              <w:spacing w:after="0" w:line="173" w:lineRule="exact"/>
              <w:rPr>
                <w:sz w:val="20"/>
                <w:szCs w:val="20"/>
                <w:color w:val="auto"/>
              </w:rPr>
            </w:pPr>
            <w:r>
              <w:rPr>
                <w:rFonts w:ascii="Arial" w:cs="Arial" w:eastAsia="Arial" w:hAnsi="Arial"/>
                <w:sz w:val="18"/>
                <w:szCs w:val="18"/>
                <w:b w:val="1"/>
                <w:bCs w:val="1"/>
                <w:color w:val="auto"/>
              </w:rPr>
              <w:t>$30,888</w:t>
            </w:r>
          </w:p>
        </w:tc>
        <w:tc>
          <w:tcPr>
            <w:tcW w:w="7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$36,480</w:t>
            </w: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5560" w:type="dxa"/>
            <w:vAlign w:val="bottom"/>
          </w:tcPr>
          <w:p>
            <w:pPr>
              <w:jc w:val="right"/>
              <w:ind w:right="1730"/>
              <w:spacing w:after="0" w:line="202" w:lineRule="exact"/>
              <w:rPr>
                <w:sz w:val="20"/>
                <w:szCs w:val="20"/>
                <w:color w:val="auto"/>
              </w:rPr>
            </w:pPr>
            <w:r>
              <w:rPr>
                <w:rFonts w:ascii="Arial" w:cs="Arial" w:eastAsia="Arial" w:hAnsi="Arial"/>
                <w:sz w:val="18"/>
                <w:szCs w:val="18"/>
                <w:b w:val="1"/>
                <w:bCs w:val="1"/>
                <w:color w:val="auto"/>
              </w:rPr>
              <w:t>1,433</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1,364</w:t>
            </w:r>
          </w:p>
        </w:tc>
      </w:tr>
      <w:tr>
        <w:trPr>
          <w:trHeight w:val="203"/>
        </w:trPr>
        <w:tc>
          <w:tcPr>
            <w:tcW w:w="5080" w:type="dxa"/>
            <w:vAlign w:val="bottom"/>
          </w:tcPr>
          <w:p>
            <w:pPr>
              <w:ind w:left="100"/>
              <w:spacing w:after="0" w:line="202" w:lineRule="exact"/>
              <w:rPr>
                <w:sz w:val="20"/>
                <w:szCs w:val="20"/>
                <w:color w:val="auto"/>
              </w:rPr>
            </w:pPr>
            <w:r>
              <w:rPr>
                <w:rFonts w:ascii="Arial" w:cs="Arial" w:eastAsia="Arial" w:hAnsi="Arial"/>
                <w:sz w:val="18"/>
                <w:szCs w:val="18"/>
                <w:color w:val="auto"/>
              </w:rPr>
              <w:t>Research</w:t>
            </w:r>
          </w:p>
        </w:tc>
        <w:tc>
          <w:tcPr>
            <w:tcW w:w="5560" w:type="dxa"/>
            <w:vAlign w:val="bottom"/>
          </w:tcPr>
          <w:p>
            <w:pPr>
              <w:jc w:val="right"/>
              <w:ind w:right="1730"/>
              <w:spacing w:after="0" w:line="202" w:lineRule="exact"/>
              <w:rPr>
                <w:sz w:val="20"/>
                <w:szCs w:val="20"/>
                <w:color w:val="auto"/>
              </w:rPr>
            </w:pPr>
            <w:r>
              <w:rPr>
                <w:rFonts w:ascii="Arial" w:cs="Arial" w:eastAsia="Arial" w:hAnsi="Arial"/>
                <w:sz w:val="18"/>
                <w:szCs w:val="18"/>
                <w:b w:val="1"/>
                <w:bCs w:val="1"/>
                <w:color w:val="auto"/>
              </w:rPr>
              <w:t>6,991</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6,065</w:t>
            </w:r>
          </w:p>
        </w:tc>
      </w:tr>
      <w:tr>
        <w:trPr>
          <w:trHeight w:val="225"/>
        </w:trPr>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w:t>
            </w:r>
          </w:p>
        </w:tc>
        <w:tc>
          <w:tcPr>
            <w:tcW w:w="556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b w:val="1"/>
                <w:bCs w:val="1"/>
                <w:color w:val="auto"/>
              </w:rPr>
              <w:t>10,303</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15,853</w:t>
            </w:r>
          </w:p>
        </w:tc>
      </w:tr>
      <w:tr>
        <w:trPr>
          <w:trHeight w:val="196"/>
        </w:trPr>
        <w:tc>
          <w:tcPr>
            <w:tcW w:w="5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5560" w:type="dxa"/>
            <w:vAlign w:val="bottom"/>
            <w:tcBorders>
              <w:bottom w:val="single" w:sz="8" w:color="auto"/>
            </w:tcBorders>
          </w:tcPr>
          <w:p>
            <w:pPr>
              <w:jc w:val="right"/>
              <w:ind w:right="1730"/>
              <w:spacing w:after="0" w:line="196" w:lineRule="exact"/>
              <w:rPr>
                <w:sz w:val="20"/>
                <w:szCs w:val="20"/>
                <w:color w:val="auto"/>
              </w:rPr>
            </w:pPr>
            <w:r>
              <w:rPr>
                <w:rFonts w:ascii="Arial" w:cs="Arial" w:eastAsia="Arial" w:hAnsi="Arial"/>
                <w:sz w:val="18"/>
                <w:szCs w:val="18"/>
                <w:b w:val="1"/>
                <w:bCs w:val="1"/>
                <w:color w:val="auto"/>
              </w:rPr>
              <w:t>$49,615</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$59,762</w:t>
            </w:r>
          </w:p>
        </w:tc>
      </w:tr>
      <w:tr>
        <w:trPr>
          <w:trHeight w:val="196"/>
        </w:trPr>
        <w:tc>
          <w:tcPr>
            <w:tcW w:w="5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 of Net Sales</w:t>
            </w:r>
          </w:p>
        </w:tc>
        <w:tc>
          <w:tcPr>
            <w:tcW w:w="5560" w:type="dxa"/>
            <w:vAlign w:val="bottom"/>
            <w:tcBorders>
              <w:bottom w:val="single" w:sz="8" w:color="auto"/>
            </w:tcBorders>
          </w:tcPr>
          <w:p>
            <w:pPr>
              <w:jc w:val="right"/>
              <w:ind w:right="1730"/>
              <w:spacing w:after="0" w:line="196" w:lineRule="exact"/>
              <w:rPr>
                <w:sz w:val="20"/>
                <w:szCs w:val="20"/>
                <w:color w:val="auto"/>
              </w:rPr>
            </w:pPr>
            <w:r>
              <w:rPr>
                <w:rFonts w:ascii="Arial" w:cs="Arial" w:eastAsia="Arial" w:hAnsi="Arial"/>
                <w:sz w:val="18"/>
                <w:szCs w:val="18"/>
                <w:b w:val="1"/>
                <w:bCs w:val="1"/>
                <w:color w:val="auto"/>
              </w:rPr>
              <w:t>26.6%</w:t>
            </w:r>
          </w:p>
        </w:tc>
        <w:tc>
          <w:tcPr>
            <w:tcW w:w="7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33.2%</w:t>
            </w: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STG&amp;R expenses decreased $10.0 million, compared to the same period in 2012, principally due to the net effect of the following:</w:t>
      </w:r>
    </w:p>
    <w:p>
      <w:pPr>
        <w:spacing w:after="0" w:line="104" w:lineRule="exact"/>
        <w:rPr>
          <w:sz w:val="20"/>
          <w:szCs w:val="20"/>
          <w:color w:val="auto"/>
        </w:rPr>
      </w:pPr>
    </w:p>
    <w:p>
      <w:pPr>
        <w:ind w:left="360" w:hanging="11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translation decreased STG&amp;R expense by $0.3 million.</w:t>
      </w:r>
    </w:p>
    <w:p>
      <w:pPr>
        <w:spacing w:after="0" w:line="117" w:lineRule="exact"/>
        <w:rPr>
          <w:rFonts w:ascii="Arial" w:cs="Arial" w:eastAsia="Arial" w:hAnsi="Arial"/>
          <w:sz w:val="18"/>
          <w:szCs w:val="18"/>
          <w:color w:val="auto"/>
        </w:rPr>
      </w:pPr>
    </w:p>
    <w:p>
      <w:pPr>
        <w:ind w:left="360" w:right="300" w:hanging="113"/>
        <w:spacing w:after="0" w:line="246"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gains of $0.7 million during the first quarter of 2013 and losses of $1.8 million in the comparable quarter of 2012.</w:t>
      </w:r>
    </w:p>
    <w:p>
      <w:pPr>
        <w:spacing w:after="0" w:line="88" w:lineRule="exact"/>
        <w:rPr>
          <w:rFonts w:ascii="Arial" w:cs="Arial" w:eastAsia="Arial" w:hAnsi="Arial"/>
          <w:sz w:val="18"/>
          <w:szCs w:val="18"/>
          <w:color w:val="auto"/>
        </w:rPr>
      </w:pPr>
    </w:p>
    <w:p>
      <w:pPr>
        <w:ind w:left="360" w:hanging="11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Pension expense decreased by $1.2 million principally due to the settlement in 2012 of certain pension plan liabilities.</w:t>
      </w:r>
    </w:p>
    <w:p>
      <w:pPr>
        <w:spacing w:after="0" w:line="117" w:lineRule="exact"/>
        <w:rPr>
          <w:rFonts w:ascii="Arial" w:cs="Arial" w:eastAsia="Arial" w:hAnsi="Arial"/>
          <w:sz w:val="18"/>
          <w:szCs w:val="18"/>
          <w:color w:val="auto"/>
        </w:rPr>
      </w:pPr>
    </w:p>
    <w:p>
      <w:pPr>
        <w:ind w:left="360" w:hanging="11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gain on the sale of former manufacturing facility in Australia reduced 2013 expenses by $3.8 million.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6360" w:type="dxa"/>
            <w:vAlign w:val="bottom"/>
          </w:tcPr>
          <w:p>
            <w:pPr>
              <w:spacing w:after="0"/>
              <w:rPr>
                <w:sz w:val="15"/>
                <w:szCs w:val="15"/>
                <w:color w:val="auto"/>
              </w:rPr>
            </w:pPr>
          </w:p>
        </w:tc>
        <w:tc>
          <w:tcPr>
            <w:tcW w:w="426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6360" w:type="dxa"/>
            <w:vAlign w:val="bottom"/>
          </w:tcPr>
          <w:p>
            <w:pPr>
              <w:spacing w:after="0"/>
              <w:rPr>
                <w:sz w:val="20"/>
                <w:szCs w:val="20"/>
                <w:color w:val="auto"/>
              </w:rPr>
            </w:pPr>
            <w:r>
              <w:rPr>
                <w:rFonts w:ascii="Arial" w:cs="Arial" w:eastAsia="Arial" w:hAnsi="Arial"/>
                <w:sz w:val="18"/>
                <w:szCs w:val="18"/>
                <w:color w:val="auto"/>
              </w:rPr>
              <w:t>(in thousands)</w:t>
            </w:r>
          </w:p>
        </w:tc>
        <w:tc>
          <w:tcPr>
            <w:tcW w:w="4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173"/>
        </w:trPr>
        <w:tc>
          <w:tcPr>
            <w:tcW w:w="6360" w:type="dxa"/>
            <w:vAlign w:val="bottom"/>
            <w:tcBorders>
              <w:top w:val="single" w:sz="8" w:color="auto"/>
            </w:tcBorders>
          </w:tcPr>
          <w:p>
            <w:pPr>
              <w:ind w:left="100"/>
              <w:spacing w:after="0" w:line="173" w:lineRule="exact"/>
              <w:rPr>
                <w:sz w:val="20"/>
                <w:szCs w:val="20"/>
                <w:color w:val="auto"/>
              </w:rPr>
            </w:pPr>
            <w:r>
              <w:rPr>
                <w:rFonts w:ascii="Arial" w:cs="Arial" w:eastAsia="Arial" w:hAnsi="Arial"/>
                <w:sz w:val="18"/>
                <w:szCs w:val="18"/>
                <w:color w:val="auto"/>
              </w:rPr>
              <w:t>Machine Clothing</w:t>
            </w:r>
          </w:p>
        </w:tc>
        <w:tc>
          <w:tcPr>
            <w:tcW w:w="4260" w:type="dxa"/>
            <w:vAlign w:val="bottom"/>
            <w:tcBorders>
              <w:top w:val="single" w:sz="8" w:color="auto"/>
            </w:tcBorders>
          </w:tcPr>
          <w:p>
            <w:pPr>
              <w:jc w:val="right"/>
              <w:ind w:right="690"/>
              <w:spacing w:after="0" w:line="173" w:lineRule="exact"/>
              <w:rPr>
                <w:sz w:val="20"/>
                <w:szCs w:val="20"/>
                <w:color w:val="auto"/>
              </w:rPr>
            </w:pPr>
            <w:r>
              <w:rPr>
                <w:rFonts w:ascii="Arial" w:cs="Arial" w:eastAsia="Arial" w:hAnsi="Arial"/>
                <w:sz w:val="18"/>
                <w:szCs w:val="18"/>
                <w:b w:val="1"/>
                <w:bCs w:val="1"/>
                <w:color w:val="auto"/>
              </w:rPr>
              <w:t>$42,908</w:t>
            </w:r>
          </w:p>
        </w:tc>
        <w:tc>
          <w:tcPr>
            <w:tcW w:w="80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$30,845</w:t>
            </w:r>
          </w:p>
        </w:tc>
        <w:tc>
          <w:tcPr>
            <w:tcW w:w="20" w:type="dxa"/>
            <w:vAlign w:val="bottom"/>
          </w:tcPr>
          <w:p>
            <w:pPr>
              <w:spacing w:after="0"/>
              <w:rPr>
                <w:sz w:val="15"/>
                <w:szCs w:val="15"/>
                <w:color w:val="auto"/>
              </w:rPr>
            </w:pPr>
          </w:p>
        </w:tc>
      </w:tr>
      <w:tr>
        <w:trPr>
          <w:trHeight w:val="203"/>
        </w:trPr>
        <w:tc>
          <w:tcPr>
            <w:tcW w:w="6360" w:type="dxa"/>
            <w:vAlign w:val="bottom"/>
          </w:tcPr>
          <w:p>
            <w:pPr>
              <w:ind w:left="100"/>
              <w:spacing w:after="0" w:line="202" w:lineRule="exact"/>
              <w:rPr>
                <w:sz w:val="20"/>
                <w:szCs w:val="20"/>
                <w:color w:val="auto"/>
              </w:rPr>
            </w:pPr>
            <w:r>
              <w:rPr>
                <w:rFonts w:ascii="Arial" w:cs="Arial" w:eastAsia="Arial" w:hAnsi="Arial"/>
                <w:sz w:val="18"/>
                <w:szCs w:val="18"/>
                <w:color w:val="auto"/>
              </w:rPr>
              <w:t>Engineered Composites</w:t>
            </w:r>
          </w:p>
        </w:tc>
        <w:tc>
          <w:tcPr>
            <w:tcW w:w="42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(2,063)</w:t>
            </w:r>
          </w:p>
        </w:tc>
        <w:tc>
          <w:tcPr>
            <w:tcW w:w="8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03"/>
        </w:trPr>
        <w:tc>
          <w:tcPr>
            <w:tcW w:w="6360" w:type="dxa"/>
            <w:vAlign w:val="bottom"/>
          </w:tcPr>
          <w:p>
            <w:pPr>
              <w:ind w:left="100"/>
              <w:spacing w:after="0" w:line="202" w:lineRule="exact"/>
              <w:rPr>
                <w:sz w:val="20"/>
                <w:szCs w:val="20"/>
                <w:color w:val="auto"/>
              </w:rPr>
            </w:pPr>
            <w:r>
              <w:rPr>
                <w:rFonts w:ascii="Arial" w:cs="Arial" w:eastAsia="Arial" w:hAnsi="Arial"/>
                <w:sz w:val="18"/>
                <w:szCs w:val="18"/>
                <w:color w:val="auto"/>
              </w:rPr>
              <w:t>Research expense</w:t>
            </w:r>
          </w:p>
        </w:tc>
        <w:tc>
          <w:tcPr>
            <w:tcW w:w="4260" w:type="dxa"/>
            <w:vAlign w:val="bottom"/>
          </w:tcPr>
          <w:p>
            <w:pPr>
              <w:jc w:val="right"/>
              <w:ind w:right="630"/>
              <w:spacing w:after="0" w:line="202" w:lineRule="exact"/>
              <w:rPr>
                <w:sz w:val="20"/>
                <w:szCs w:val="20"/>
                <w:color w:val="auto"/>
              </w:rPr>
            </w:pPr>
            <w:r>
              <w:rPr>
                <w:rFonts w:ascii="Arial" w:cs="Arial" w:eastAsia="Arial" w:hAnsi="Arial"/>
                <w:sz w:val="18"/>
                <w:szCs w:val="18"/>
                <w:b w:val="1"/>
                <w:bCs w:val="1"/>
                <w:color w:val="auto"/>
              </w:rPr>
              <w:t>(6,991)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(6,065)</w:t>
            </w:r>
          </w:p>
        </w:tc>
        <w:tc>
          <w:tcPr>
            <w:tcW w:w="20" w:type="dxa"/>
            <w:vAlign w:val="bottom"/>
          </w:tcPr>
          <w:p>
            <w:pPr>
              <w:spacing w:after="0"/>
              <w:rPr>
                <w:sz w:val="17"/>
                <w:szCs w:val="17"/>
                <w:color w:val="auto"/>
              </w:rPr>
            </w:pPr>
          </w:p>
        </w:tc>
      </w:tr>
      <w:tr>
        <w:trPr>
          <w:trHeight w:val="203"/>
        </w:trPr>
        <w:tc>
          <w:tcPr>
            <w:tcW w:w="6360" w:type="dxa"/>
            <w:vAlign w:val="bottom"/>
          </w:tcPr>
          <w:p>
            <w:pPr>
              <w:ind w:left="100"/>
              <w:spacing w:after="0" w:line="202" w:lineRule="exact"/>
              <w:rPr>
                <w:sz w:val="20"/>
                <w:szCs w:val="20"/>
                <w:color w:val="auto"/>
              </w:rPr>
            </w:pPr>
            <w:r>
              <w:rPr>
                <w:rFonts w:ascii="Arial" w:cs="Arial" w:eastAsia="Arial" w:hAnsi="Arial"/>
                <w:sz w:val="18"/>
                <w:szCs w:val="18"/>
                <w:color w:val="auto"/>
              </w:rPr>
              <w:t>Unallocated expenses - pension settlement</w:t>
            </w:r>
          </w:p>
        </w:tc>
        <w:tc>
          <w:tcPr>
            <w:tcW w:w="4260" w:type="dxa"/>
            <w:vAlign w:val="bottom"/>
          </w:tcPr>
          <w:p>
            <w:pPr>
              <w:jc w:val="right"/>
              <w:ind w:right="69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(9,175)</w:t>
            </w:r>
          </w:p>
        </w:tc>
        <w:tc>
          <w:tcPr>
            <w:tcW w:w="20" w:type="dxa"/>
            <w:vAlign w:val="bottom"/>
          </w:tcPr>
          <w:p>
            <w:pPr>
              <w:spacing w:after="0"/>
              <w:rPr>
                <w:sz w:val="17"/>
                <w:szCs w:val="17"/>
                <w:color w:val="auto"/>
              </w:rPr>
            </w:pPr>
          </w:p>
        </w:tc>
      </w:tr>
      <w:tr>
        <w:trPr>
          <w:trHeight w:val="225"/>
        </w:trPr>
        <w:tc>
          <w:tcPr>
            <w:tcW w:w="6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Unallocated expenses - other</w:t>
            </w:r>
          </w:p>
        </w:tc>
        <w:tc>
          <w:tcPr>
            <w:tcW w:w="4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(11,336)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w:t>
            </w:r>
          </w:p>
        </w:tc>
        <w:tc>
          <w:tcPr>
            <w:tcW w:w="20" w:type="dxa"/>
            <w:vAlign w:val="bottom"/>
          </w:tcPr>
          <w:p>
            <w:pPr>
              <w:spacing w:after="0"/>
              <w:rPr>
                <w:sz w:val="19"/>
                <w:szCs w:val="19"/>
                <w:color w:val="auto"/>
              </w:rPr>
            </w:pPr>
          </w:p>
        </w:tc>
      </w:tr>
      <w:tr>
        <w:trPr>
          <w:trHeight w:val="196"/>
        </w:trPr>
        <w:tc>
          <w:tcPr>
            <w:tcW w:w="63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Total</w:t>
            </w:r>
          </w:p>
        </w:tc>
        <w:tc>
          <w:tcPr>
            <w:tcW w:w="4260" w:type="dxa"/>
            <w:vAlign w:val="bottom"/>
            <w:tcBorders>
              <w:bottom w:val="single" w:sz="8" w:color="auto"/>
            </w:tcBorders>
          </w:tcPr>
          <w:p>
            <w:pPr>
              <w:jc w:val="right"/>
              <w:ind w:right="690"/>
              <w:spacing w:after="0" w:line="196" w:lineRule="exact"/>
              <w:rPr>
                <w:sz w:val="20"/>
                <w:szCs w:val="20"/>
                <w:color w:val="auto"/>
              </w:rPr>
            </w:pPr>
            <w:r>
              <w:rPr>
                <w:rFonts w:ascii="Arial" w:cs="Arial" w:eastAsia="Arial" w:hAnsi="Arial"/>
                <w:sz w:val="18"/>
                <w:szCs w:val="18"/>
                <w:b w:val="1"/>
                <w:bCs w:val="1"/>
                <w:color w:val="auto"/>
              </w:rPr>
              <w:t>$22,518</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w:t>
            </w:r>
          </w:p>
        </w:tc>
        <w:tc>
          <w:tcPr>
            <w:tcW w:w="20" w:type="dxa"/>
            <w:vAlign w:val="bottom"/>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Settlement Expense</w:t>
      </w:r>
    </w:p>
    <w:p>
      <w:pPr>
        <w:spacing w:after="0" w:line="126" w:lineRule="exact"/>
        <w:rPr>
          <w:sz w:val="20"/>
          <w:szCs w:val="20"/>
          <w:color w:val="auto"/>
        </w:rPr>
      </w:pPr>
    </w:p>
    <w:p>
      <w:pPr>
        <w:jc w:val="both"/>
        <w:ind w:firstLine="360"/>
        <w:spacing w:after="0" w:line="246" w:lineRule="auto"/>
        <w:rPr>
          <w:sz w:val="20"/>
          <w:szCs w:val="20"/>
          <w:color w:val="auto"/>
        </w:rPr>
      </w:pPr>
      <w:r>
        <w:rPr>
          <w:rFonts w:ascii="Arial" w:cs="Arial" w:eastAsia="Arial" w:hAnsi="Arial"/>
          <w:sz w:val="18"/>
          <w:szCs w:val="18"/>
          <w:color w:val="auto"/>
        </w:rPr>
        <w:t>In the first quarter of 2012, we took actions to settle our pension plan liability in Sweden leading to a charge totaling $9.2 million, which was included in Unallocated Expenses.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6"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In addition to the items discussed above affecting gross profit, STG&amp;R, and pension settlement charges, operating income was affected by restructuring costs of $0.6 million in the first quarter of 2013 and $0.3 million in the first quarter of 2012. The following table summarizes restructuring expense by business segment:</w:t>
      </w:r>
    </w:p>
    <w:p>
      <w:pPr>
        <w:spacing w:after="0" w:line="278" w:lineRule="exact"/>
        <w:rPr>
          <w:sz w:val="20"/>
          <w:szCs w:val="20"/>
          <w:color w:val="auto"/>
        </w:rPr>
      </w:pPr>
    </w:p>
    <w:tbl>
      <w:tblPr>
        <w:tblLayout w:type="fixed"/>
        <w:tblInd w:w="2300" w:type="dxa"/>
        <w:tblCellMar>
          <w:top w:w="0" w:type="dxa"/>
          <w:left w:w="0" w:type="dxa"/>
          <w:bottom w:w="0" w:type="dxa"/>
          <w:right w:w="0" w:type="dxa"/>
        </w:tblCellMar>
      </w:tblPr>
      <w:tr>
        <w:trPr>
          <w:trHeight w:val="215"/>
        </w:trPr>
        <w:tc>
          <w:tcPr>
            <w:tcW w:w="358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2"/>
          </w:tcPr>
          <w:p>
            <w:pPr>
              <w:jc w:val="center"/>
              <w:ind w:left="1470"/>
              <w:spacing w:after="0"/>
              <w:rPr>
                <w:sz w:val="20"/>
                <w:szCs w:val="20"/>
                <w:color w:val="auto"/>
              </w:rPr>
            </w:pPr>
            <w:r>
              <w:rPr>
                <w:rFonts w:ascii="Arial" w:cs="Arial" w:eastAsia="Arial" w:hAnsi="Arial"/>
                <w:sz w:val="18"/>
                <w:szCs w:val="18"/>
                <w:color w:val="auto"/>
                <w:w w:val="99"/>
              </w:rPr>
              <w:t>Three months ended</w:t>
            </w:r>
          </w:p>
        </w:tc>
        <w:tc>
          <w:tcPr>
            <w:tcW w:w="20" w:type="dxa"/>
            <w:vAlign w:val="bottom"/>
          </w:tcPr>
          <w:p>
            <w:pPr>
              <w:spacing w:after="0"/>
              <w:rPr>
                <w:sz w:val="18"/>
                <w:szCs w:val="18"/>
                <w:color w:val="auto"/>
              </w:rPr>
            </w:pPr>
          </w:p>
        </w:tc>
      </w:tr>
      <w:tr>
        <w:trPr>
          <w:trHeight w:val="181"/>
        </w:trPr>
        <w:tc>
          <w:tcPr>
            <w:tcW w:w="3580" w:type="dxa"/>
            <w:vAlign w:val="bottom"/>
          </w:tcPr>
          <w:p>
            <w:pPr>
              <w:spacing w:after="0"/>
              <w:rPr>
                <w:sz w:val="15"/>
                <w:szCs w:val="15"/>
                <w:color w:val="auto"/>
              </w:rPr>
            </w:pPr>
          </w:p>
        </w:tc>
        <w:tc>
          <w:tcPr>
            <w:tcW w:w="3280" w:type="dxa"/>
            <w:vAlign w:val="bottom"/>
            <w:gridSpan w:val="3"/>
          </w:tcPr>
          <w:p>
            <w:pPr>
              <w:jc w:val="center"/>
              <w:ind w:left="1470"/>
              <w:spacing w:after="0" w:line="181" w:lineRule="exact"/>
              <w:rPr>
                <w:sz w:val="20"/>
                <w:szCs w:val="20"/>
                <w:color w:val="auto"/>
              </w:rPr>
            </w:pPr>
            <w:r>
              <w:rPr>
                <w:rFonts w:ascii="Arial" w:cs="Arial" w:eastAsia="Arial" w:hAnsi="Arial"/>
                <w:sz w:val="18"/>
                <w:szCs w:val="18"/>
                <w:color w:val="auto"/>
                <w:w w:val="99"/>
              </w:rPr>
              <w:t>March 31,</w:t>
            </w:r>
          </w:p>
        </w:tc>
      </w:tr>
      <w:tr>
        <w:trPr>
          <w:trHeight w:val="225"/>
        </w:trPr>
        <w:tc>
          <w:tcPr>
            <w:tcW w:w="3580" w:type="dxa"/>
            <w:vAlign w:val="bottom"/>
          </w:tcPr>
          <w:p>
            <w:pPr>
              <w:spacing w:after="0"/>
              <w:rPr>
                <w:sz w:val="20"/>
                <w:szCs w:val="20"/>
                <w:color w:val="auto"/>
              </w:rPr>
            </w:pPr>
            <w:r>
              <w:rPr>
                <w:rFonts w:ascii="Arial" w:cs="Arial" w:eastAsia="Arial" w:hAnsi="Arial"/>
                <w:sz w:val="18"/>
                <w:szCs w:val="18"/>
                <w:color w:val="auto"/>
              </w:rPr>
              <w:t>(in thousands)</w:t>
            </w:r>
          </w:p>
        </w:tc>
        <w:tc>
          <w:tcPr>
            <w:tcW w:w="25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173"/>
        </w:trPr>
        <w:tc>
          <w:tcPr>
            <w:tcW w:w="3580" w:type="dxa"/>
            <w:vAlign w:val="bottom"/>
            <w:tcBorders>
              <w:top w:val="single" w:sz="8" w:color="auto"/>
            </w:tcBorders>
          </w:tcPr>
          <w:p>
            <w:pPr>
              <w:ind w:left="80"/>
              <w:spacing w:after="0" w:line="173" w:lineRule="exact"/>
              <w:rPr>
                <w:sz w:val="20"/>
                <w:szCs w:val="20"/>
                <w:color w:val="auto"/>
              </w:rPr>
            </w:pPr>
            <w:r>
              <w:rPr>
                <w:rFonts w:ascii="Arial" w:cs="Arial" w:eastAsia="Arial" w:hAnsi="Arial"/>
                <w:sz w:val="18"/>
                <w:szCs w:val="18"/>
                <w:color w:val="auto"/>
              </w:rPr>
              <w:t>Machine Clothing</w:t>
            </w:r>
          </w:p>
        </w:tc>
        <w:tc>
          <w:tcPr>
            <w:tcW w:w="2520" w:type="dxa"/>
            <w:vAlign w:val="bottom"/>
            <w:tcBorders>
              <w:top w:val="single" w:sz="8" w:color="auto"/>
            </w:tcBorders>
          </w:tcPr>
          <w:p>
            <w:pPr>
              <w:jc w:val="right"/>
              <w:ind w:right="230"/>
              <w:spacing w:after="0" w:line="173" w:lineRule="exact"/>
              <w:rPr>
                <w:sz w:val="20"/>
                <w:szCs w:val="20"/>
                <w:color w:val="auto"/>
              </w:rPr>
            </w:pPr>
            <w:r>
              <w:rPr>
                <w:rFonts w:ascii="Arial" w:cs="Arial" w:eastAsia="Arial" w:hAnsi="Arial"/>
                <w:sz w:val="18"/>
                <w:szCs w:val="18"/>
                <w:b w:val="1"/>
                <w:bCs w:val="1"/>
                <w:color w:val="auto"/>
              </w:rPr>
              <w:t>$193</w:t>
            </w:r>
          </w:p>
        </w:tc>
        <w:tc>
          <w:tcPr>
            <w:tcW w:w="7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$673</w:t>
            </w:r>
          </w:p>
        </w:tc>
        <w:tc>
          <w:tcPr>
            <w:tcW w:w="20" w:type="dxa"/>
            <w:vAlign w:val="bottom"/>
          </w:tcPr>
          <w:p>
            <w:pPr>
              <w:spacing w:after="0"/>
              <w:rPr>
                <w:sz w:val="15"/>
                <w:szCs w:val="15"/>
                <w:color w:val="auto"/>
              </w:rPr>
            </w:pPr>
          </w:p>
        </w:tc>
      </w:tr>
      <w:tr>
        <w:trPr>
          <w:trHeight w:val="203"/>
        </w:trPr>
        <w:tc>
          <w:tcPr>
            <w:tcW w:w="3580" w:type="dxa"/>
            <w:vAlign w:val="bottom"/>
          </w:tcPr>
          <w:p>
            <w:pPr>
              <w:ind w:left="80"/>
              <w:spacing w:after="0" w:line="202" w:lineRule="exact"/>
              <w:rPr>
                <w:sz w:val="20"/>
                <w:szCs w:val="20"/>
                <w:color w:val="auto"/>
              </w:rPr>
            </w:pPr>
            <w:r>
              <w:rPr>
                <w:rFonts w:ascii="Arial" w:cs="Arial" w:eastAsia="Arial" w:hAnsi="Arial"/>
                <w:sz w:val="18"/>
                <w:szCs w:val="18"/>
                <w:color w:val="auto"/>
              </w:rPr>
              <w:t>Engineered Composites</w:t>
            </w:r>
          </w:p>
        </w:tc>
        <w:tc>
          <w:tcPr>
            <w:tcW w:w="252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443</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5"/>
        </w:trPr>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Unallocated expenses</w:t>
            </w:r>
          </w:p>
        </w:tc>
        <w:tc>
          <w:tcPr>
            <w:tcW w:w="2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r>
      <w:tr>
        <w:trPr>
          <w:trHeight w:val="196"/>
        </w:trPr>
        <w:tc>
          <w:tcPr>
            <w:tcW w:w="35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$636</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r>
    </w:tbl>
    <w:p>
      <w:pPr>
        <w:spacing w:after="0" w:line="202" w:lineRule="exact"/>
        <w:rPr>
          <w:sz w:val="20"/>
          <w:szCs w:val="20"/>
          <w:color w:val="auto"/>
        </w:rPr>
      </w:pPr>
    </w:p>
    <w:p>
      <w:pPr>
        <w:ind w:right="20" w:firstLine="360"/>
        <w:spacing w:after="0" w:line="246" w:lineRule="auto"/>
        <w:rPr>
          <w:sz w:val="20"/>
          <w:szCs w:val="20"/>
          <w:color w:val="auto"/>
        </w:rPr>
      </w:pPr>
      <w:r>
        <w:rPr>
          <w:rFonts w:ascii="Arial" w:cs="Arial" w:eastAsia="Arial" w:hAnsi="Arial"/>
          <w:sz w:val="18"/>
          <w:szCs w:val="18"/>
          <w:color w:val="auto"/>
        </w:rPr>
        <w:t>Restructuring expenses in 2013 were principally related to a strategic realignment within Engineered Composites operations. Restructuring expenses in the first quarter of 2012 were partially offset by a reduction in accruals related to the Company’s headquarters.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Borders>
              <w:top w:val="single" w:sz="8" w:color="auto"/>
            </w:tcBorders>
          </w:tcPr>
          <w:p>
            <w:pPr>
              <w:spacing w:after="0"/>
              <w:rPr>
                <w:sz w:val="18"/>
                <w:szCs w:val="18"/>
                <w:color w:val="auto"/>
              </w:rPr>
            </w:pPr>
          </w:p>
        </w:tc>
        <w:tc>
          <w:tcPr>
            <w:tcW w:w="66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Three months ended</w:t>
            </w:r>
          </w:p>
        </w:tc>
        <w:tc>
          <w:tcPr>
            <w:tcW w:w="20" w:type="dxa"/>
            <w:vAlign w:val="bottom"/>
          </w:tcPr>
          <w:p>
            <w:pPr>
              <w:spacing w:after="0"/>
              <w:rPr>
                <w:sz w:val="18"/>
                <w:szCs w:val="18"/>
                <w:color w:val="auto"/>
              </w:rPr>
            </w:pPr>
          </w:p>
        </w:tc>
      </w:tr>
      <w:tr>
        <w:trPr>
          <w:trHeight w:val="181"/>
        </w:trPr>
        <w:tc>
          <w:tcPr>
            <w:tcW w:w="4760" w:type="dxa"/>
            <w:vAlign w:val="bottom"/>
          </w:tcPr>
          <w:p>
            <w:pPr>
              <w:spacing w:after="0"/>
              <w:rPr>
                <w:sz w:val="15"/>
                <w:szCs w:val="15"/>
                <w:color w:val="auto"/>
              </w:rPr>
            </w:pPr>
          </w:p>
        </w:tc>
        <w:tc>
          <w:tcPr>
            <w:tcW w:w="5900" w:type="dxa"/>
            <w:vAlign w:val="bottom"/>
          </w:tcPr>
          <w:p>
            <w:pPr>
              <w:jc w:val="right"/>
              <w:spacing w:after="0" w:line="181" w:lineRule="exact"/>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4760" w:type="dxa"/>
            <w:vAlign w:val="bottom"/>
          </w:tcPr>
          <w:p>
            <w:pPr>
              <w:spacing w:after="0"/>
              <w:rPr>
                <w:sz w:val="20"/>
                <w:szCs w:val="20"/>
                <w:color w:val="auto"/>
              </w:rPr>
            </w:pPr>
            <w:r>
              <w:rPr>
                <w:rFonts w:ascii="Arial" w:cs="Arial" w:eastAsia="Arial" w:hAnsi="Arial"/>
                <w:sz w:val="18"/>
                <w:szCs w:val="18"/>
                <w:color w:val="auto"/>
              </w:rPr>
              <w:t>(in thousands)</w:t>
            </w:r>
          </w:p>
        </w:tc>
        <w:tc>
          <w:tcPr>
            <w:tcW w:w="5900" w:type="dxa"/>
            <w:vAlign w:val="bottom"/>
          </w:tcPr>
          <w:p>
            <w:pPr>
              <w:jc w:val="right"/>
              <w:ind w:right="611"/>
              <w:spacing w:after="0"/>
              <w:rPr>
                <w:sz w:val="20"/>
                <w:szCs w:val="20"/>
                <w:color w:val="auto"/>
              </w:rPr>
            </w:pPr>
            <w:r>
              <w:rPr>
                <w:rFonts w:ascii="Arial" w:cs="Arial" w:eastAsia="Arial" w:hAnsi="Arial"/>
                <w:sz w:val="18"/>
                <w:szCs w:val="18"/>
                <w:b w:val="1"/>
                <w:bCs w:val="1"/>
                <w:color w:val="auto"/>
              </w:rPr>
              <w:t>2013</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173"/>
        </w:trPr>
        <w:tc>
          <w:tcPr>
            <w:tcW w:w="4760" w:type="dxa"/>
            <w:vAlign w:val="bottom"/>
            <w:tcBorders>
              <w:top w:val="single" w:sz="8" w:color="auto"/>
            </w:tcBorders>
          </w:tcPr>
          <w:p>
            <w:pPr>
              <w:ind w:left="100"/>
              <w:spacing w:after="0" w:line="173" w:lineRule="exact"/>
              <w:rPr>
                <w:sz w:val="20"/>
                <w:szCs w:val="20"/>
                <w:color w:val="auto"/>
              </w:rPr>
            </w:pPr>
            <w:r>
              <w:rPr>
                <w:rFonts w:ascii="Arial" w:cs="Arial" w:eastAsia="Arial" w:hAnsi="Arial"/>
                <w:sz w:val="18"/>
                <w:szCs w:val="18"/>
                <w:color w:val="auto"/>
              </w:rPr>
              <w:t>Interest expense, net</w:t>
            </w:r>
          </w:p>
        </w:tc>
        <w:tc>
          <w:tcPr>
            <w:tcW w:w="5900" w:type="dxa"/>
            <w:vAlign w:val="bottom"/>
            <w:tcBorders>
              <w:top w:val="single" w:sz="8" w:color="auto"/>
            </w:tcBorders>
          </w:tcPr>
          <w:p>
            <w:pPr>
              <w:jc w:val="right"/>
              <w:ind w:right="731"/>
              <w:spacing w:after="0" w:line="173" w:lineRule="exact"/>
              <w:rPr>
                <w:sz w:val="20"/>
                <w:szCs w:val="20"/>
                <w:color w:val="auto"/>
              </w:rPr>
            </w:pPr>
            <w:r>
              <w:rPr>
                <w:rFonts w:ascii="Arial" w:cs="Arial" w:eastAsia="Arial" w:hAnsi="Arial"/>
                <w:sz w:val="18"/>
                <w:szCs w:val="18"/>
                <w:b w:val="1"/>
                <w:bCs w:val="1"/>
                <w:color w:val="auto"/>
              </w:rPr>
              <w:t>$4,025</w:t>
            </w:r>
          </w:p>
        </w:tc>
        <w:tc>
          <w:tcPr>
            <w:tcW w:w="76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$4,644</w:t>
            </w:r>
          </w:p>
        </w:tc>
        <w:tc>
          <w:tcPr>
            <w:tcW w:w="20" w:type="dxa"/>
            <w:vAlign w:val="bottom"/>
          </w:tcPr>
          <w:p>
            <w:pPr>
              <w:spacing w:after="0"/>
              <w:rPr>
                <w:sz w:val="15"/>
                <w:szCs w:val="15"/>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Other expense/(income), net</w:t>
            </w:r>
          </w:p>
        </w:tc>
        <w:tc>
          <w:tcPr>
            <w:tcW w:w="5900" w:type="dxa"/>
            <w:vAlign w:val="bottom"/>
          </w:tcPr>
          <w:p>
            <w:pPr>
              <w:jc w:val="right"/>
              <w:ind w:right="731"/>
              <w:spacing w:after="0" w:line="202" w:lineRule="exact"/>
              <w:rPr>
                <w:sz w:val="20"/>
                <w:szCs w:val="20"/>
                <w:color w:val="auto"/>
              </w:rPr>
            </w:pPr>
            <w:r>
              <w:rPr>
                <w:rFonts w:ascii="Arial" w:cs="Arial" w:eastAsia="Arial" w:hAnsi="Arial"/>
                <w:sz w:val="18"/>
                <w:szCs w:val="18"/>
                <w:b w:val="1"/>
                <w:bCs w:val="1"/>
                <w:color w:val="auto"/>
              </w:rPr>
              <w:t>734</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4,548</w:t>
            </w:r>
          </w:p>
        </w:tc>
        <w:tc>
          <w:tcPr>
            <w:tcW w:w="20" w:type="dxa"/>
            <w:vAlign w:val="bottom"/>
          </w:tcPr>
          <w:p>
            <w:pPr>
              <w:spacing w:after="0"/>
              <w:rPr>
                <w:sz w:val="17"/>
                <w:szCs w:val="17"/>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Income tax expense/(benefit)</w:t>
            </w:r>
          </w:p>
        </w:tc>
        <w:tc>
          <w:tcPr>
            <w:tcW w:w="5900" w:type="dxa"/>
            <w:vAlign w:val="bottom"/>
          </w:tcPr>
          <w:p>
            <w:pPr>
              <w:jc w:val="right"/>
              <w:ind w:right="731"/>
              <w:spacing w:after="0" w:line="202" w:lineRule="exact"/>
              <w:rPr>
                <w:sz w:val="20"/>
                <w:szCs w:val="20"/>
                <w:color w:val="auto"/>
              </w:rPr>
            </w:pPr>
            <w:r>
              <w:rPr>
                <w:rFonts w:ascii="Arial" w:cs="Arial" w:eastAsia="Arial" w:hAnsi="Arial"/>
                <w:sz w:val="18"/>
                <w:szCs w:val="18"/>
                <w:b w:val="1"/>
                <w:bCs w:val="1"/>
                <w:color w:val="auto"/>
              </w:rPr>
              <w:t>6,248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(9,972)</w:t>
            </w:r>
          </w:p>
        </w:tc>
        <w:tc>
          <w:tcPr>
            <w:tcW w:w="20" w:type="dxa"/>
            <w:vAlign w:val="bottom"/>
          </w:tcPr>
          <w:p>
            <w:pPr>
              <w:spacing w:after="0"/>
              <w:rPr>
                <w:sz w:val="17"/>
                <w:szCs w:val="17"/>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Income from discontinued operations, net of tax</w:t>
            </w:r>
          </w:p>
        </w:tc>
        <w:tc>
          <w:tcPr>
            <w:tcW w:w="5900" w:type="dxa"/>
            <w:vAlign w:val="bottom"/>
          </w:tcPr>
          <w:p>
            <w:pPr>
              <w:jc w:val="right"/>
              <w:ind w:right="731"/>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47,170</w:t>
            </w:r>
          </w:p>
        </w:tc>
        <w:tc>
          <w:tcPr>
            <w:tcW w:w="20" w:type="dxa"/>
            <w:vAlign w:val="bottom"/>
          </w:tcPr>
          <w:p>
            <w:pPr>
              <w:spacing w:after="0"/>
              <w:rPr>
                <w:sz w:val="17"/>
                <w:szCs w:val="17"/>
                <w:color w:val="auto"/>
              </w:rPr>
            </w:pPr>
          </w:p>
        </w:tc>
      </w:tr>
      <w:tr>
        <w:trPr>
          <w:trHeight w:val="225"/>
        </w:trPr>
        <w:tc>
          <w:tcPr>
            <w:tcW w:w="4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Net income</w:t>
            </w:r>
          </w:p>
        </w:tc>
        <w:tc>
          <w:tcPr>
            <w:tcW w:w="590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11,511</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47,041</w:t>
            </w:r>
          </w:p>
        </w:tc>
        <w:tc>
          <w:tcPr>
            <w:tcW w:w="20" w:type="dxa"/>
            <w:vAlign w:val="bottom"/>
          </w:tcPr>
          <w:p>
            <w:pPr>
              <w:spacing w:after="0"/>
              <w:rPr>
                <w:sz w:val="19"/>
                <w:szCs w:val="19"/>
                <w:color w:val="auto"/>
              </w:rPr>
            </w:pPr>
          </w:p>
        </w:tc>
      </w:tr>
      <w:tr>
        <w:trPr>
          <w:trHeight w:val="609"/>
        </w:trPr>
        <w:tc>
          <w:tcPr>
            <w:tcW w:w="4760" w:type="dxa"/>
            <w:vAlign w:val="bottom"/>
          </w:tcPr>
          <w:p>
            <w:pPr>
              <w:spacing w:after="0"/>
              <w:rPr>
                <w:sz w:val="24"/>
                <w:szCs w:val="24"/>
                <w:color w:val="auto"/>
              </w:rPr>
            </w:pPr>
          </w:p>
        </w:tc>
        <w:tc>
          <w:tcPr>
            <w:tcW w:w="5900" w:type="dxa"/>
            <w:vAlign w:val="bottom"/>
          </w:tcPr>
          <w:p>
            <w:pPr>
              <w:jc w:val="right"/>
              <w:ind w:right="4771"/>
              <w:spacing w:after="0"/>
              <w:rPr>
                <w:sz w:val="20"/>
                <w:szCs w:val="20"/>
                <w:color w:val="auto"/>
              </w:rPr>
            </w:pPr>
            <w:r>
              <w:rPr>
                <w:rFonts w:ascii="Arial" w:cs="Arial" w:eastAsia="Arial" w:hAnsi="Arial"/>
                <w:sz w:val="16"/>
                <w:szCs w:val="16"/>
                <w:color w:val="auto"/>
              </w:rPr>
              <w:t>28</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760" w:type="dxa"/>
            <w:vAlign w:val="bottom"/>
            <w:tcBorders>
              <w:bottom w:val="single" w:sz="8" w:color="auto"/>
            </w:tcBorders>
          </w:tcPr>
          <w:p>
            <w:pPr>
              <w:spacing w:after="0"/>
              <w:rPr>
                <w:sz w:val="21"/>
                <w:szCs w:val="21"/>
                <w:color w:val="auto"/>
              </w:rPr>
            </w:pPr>
          </w:p>
        </w:tc>
        <w:tc>
          <w:tcPr>
            <w:tcW w:w="59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420"/>
          </w:cols>
          <w:pgMar w:left="240" w:top="65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Interest expense, net, decreased $0.6 million principally due to a decline in net debt. The average balance outstanding under the revolving credit agreement during the first three-month periods of 2013 and 2012 was $142.9 million and $157.7 million, respectively.</w:t>
      </w:r>
    </w:p>
    <w:p>
      <w:pPr>
        <w:spacing w:after="0" w:line="89" w:lineRule="exact"/>
        <w:rPr>
          <w:sz w:val="20"/>
          <w:szCs w:val="20"/>
          <w:color w:val="auto"/>
        </w:rPr>
      </w:pPr>
    </w:p>
    <w:p>
      <w:pPr>
        <w:ind w:right="20" w:firstLine="360"/>
        <w:spacing w:after="0" w:line="239" w:lineRule="auto"/>
        <w:rPr>
          <w:sz w:val="20"/>
          <w:szCs w:val="20"/>
          <w:color w:val="auto"/>
        </w:rPr>
      </w:pPr>
      <w:r>
        <w:rPr>
          <w:rFonts w:ascii="Arial" w:cs="Arial" w:eastAsia="Arial" w:hAnsi="Arial"/>
          <w:sz w:val="18"/>
          <w:szCs w:val="18"/>
          <w:color w:val="auto"/>
        </w:rPr>
        <w:t>In March 2013, the Company amended and extended its revolving credit agreement and also amended its note agreement with Prudential to conform it to the new revolving credit agreement. The total cost for the amendments was $1.6 million. At March 2013 debt levels, the annual savings in interest and associated fees resulting from improved terms of the new agreement would be approximately $1.9 million. See the Capital Resources section below for further discussion of borrowings and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 net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expense/(income), net included the following:</w:t>
      </w:r>
    </w:p>
    <w:p>
      <w:pPr>
        <w:spacing w:after="0" w:line="104" w:lineRule="exact"/>
        <w:rPr>
          <w:sz w:val="20"/>
          <w:szCs w:val="20"/>
          <w:color w:val="auto"/>
        </w:rPr>
      </w:pPr>
    </w:p>
    <w:p>
      <w:pPr>
        <w:ind w:left="720" w:right="240" w:hanging="361"/>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revaluations of intercompany balances had virtually no effect on first-quarter 2013 income, but resulted in loss of $3.8 million in the same quarter in 2012. The revaluation effects were principally due to the euro’s relative strength against the U.S. dollar, Canadian dollar, Australian dollar, and Japanese yen.</w:t>
      </w:r>
    </w:p>
    <w:p>
      <w:pPr>
        <w:spacing w:after="0" w:line="94" w:lineRule="exact"/>
        <w:rPr>
          <w:rFonts w:ascii="Arial" w:cs="Arial" w:eastAsia="Arial" w:hAnsi="Arial"/>
          <w:sz w:val="18"/>
          <w:szCs w:val="18"/>
          <w:color w:val="auto"/>
        </w:rPr>
      </w:pPr>
    </w:p>
    <w:p>
      <w:pPr>
        <w:ind w:left="720" w:right="18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 fees and amortization of debt issuance costs were $0.6 million in the first quarter of 2013 and $0.7 million in the first quarter of 2012.</w:t>
      </w:r>
    </w:p>
    <w:p>
      <w:pPr>
        <w:spacing w:after="0" w:line="88" w:lineRule="exact"/>
        <w:rPr>
          <w:rFonts w:ascii="Arial" w:cs="Arial" w:eastAsia="Arial" w:hAnsi="Arial"/>
          <w:sz w:val="18"/>
          <w:szCs w:val="18"/>
          <w:color w:val="auto"/>
        </w:rPr>
      </w:pPr>
    </w:p>
    <w:p>
      <w:pPr>
        <w:ind w:left="720" w:right="200" w:hanging="361"/>
        <w:spacing w:after="0" w:line="246"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for a letter-of-credit (LOC) were $0.4 million in the first quarter of 2012. The fees were associated with an LOC required by the Canadian government for tax contingencies that were resolved in 2012.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6"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The Company has operations which constitute a taxable presence in 16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95" w:lineRule="exact"/>
        <w:rPr>
          <w:sz w:val="20"/>
          <w:szCs w:val="20"/>
          <w:color w:val="auto"/>
        </w:rPr>
      </w:pPr>
    </w:p>
    <w:p>
      <w:pPr>
        <w:jc w:val="both"/>
        <w:ind w:right="100" w:firstLine="360"/>
        <w:spacing w:after="0" w:line="239" w:lineRule="auto"/>
        <w:rPr>
          <w:sz w:val="20"/>
          <w:szCs w:val="20"/>
          <w:color w:val="auto"/>
        </w:rPr>
      </w:pPr>
      <w:r>
        <w:rPr>
          <w:rFonts w:ascii="Arial" w:cs="Arial" w:eastAsia="Arial" w:hAnsi="Arial"/>
          <w:sz w:val="18"/>
          <w:szCs w:val="18"/>
          <w:color w:val="auto"/>
        </w:rPr>
        <w:t>The Company’s effective tax rates for the first quarters of 2013 and 2012 were 35.2% and 98.7%, respectively. The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94" w:lineRule="exact"/>
        <w:rPr>
          <w:sz w:val="20"/>
          <w:szCs w:val="20"/>
          <w:color w:val="auto"/>
        </w:rPr>
      </w:pPr>
    </w:p>
    <w:p>
      <w:pPr>
        <w:ind w:right="20" w:firstLine="360"/>
        <w:spacing w:after="0" w:line="246" w:lineRule="auto"/>
        <w:rPr>
          <w:sz w:val="20"/>
          <w:szCs w:val="20"/>
          <w:color w:val="auto"/>
        </w:rPr>
      </w:pPr>
      <w:r>
        <w:rPr>
          <w:rFonts w:ascii="Arial" w:cs="Arial" w:eastAsia="Arial" w:hAnsi="Arial"/>
          <w:sz w:val="18"/>
          <w:szCs w:val="18"/>
          <w:color w:val="auto"/>
        </w:rPr>
        <w:t>Significant items that impacted the tax rate in the first quarter of 2013 included the following (percentages reflect the effect of each item as a percentage of Income before income taxes):</w:t>
      </w:r>
    </w:p>
    <w:p>
      <w:pPr>
        <w:spacing w:after="0" w:line="89"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$0.2 million (1.2%) net tax expense related to other discrete items.</w:t>
      </w:r>
    </w:p>
    <w:p>
      <w:pPr>
        <w:spacing w:after="0" w:line="103" w:lineRule="exact"/>
        <w:rPr>
          <w:rFonts w:ascii="Arial" w:cs="Arial" w:eastAsia="Arial" w:hAnsi="Arial"/>
          <w:sz w:val="18"/>
          <w:szCs w:val="18"/>
          <w:color w:val="auto"/>
        </w:rPr>
      </w:pPr>
    </w:p>
    <w:p>
      <w:pPr>
        <w:jc w:val="both"/>
        <w:ind w:left="360" w:right="4340" w:hanging="352"/>
        <w:spacing w:after="0" w:line="485" w:lineRule="auto"/>
        <w:tabs>
          <w:tab w:leader="none" w:pos="3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34.0%. Significant items that impacted the first-quarter 2012 tax rate included the following:</w:t>
      </w: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$3.3 million (32.7%) discrete income tax benefit related to pension settlements in Sweden.</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discrete tax benefit of $6.7 million (66.7%) primarily related to the settlement of a tax audit in Canada.</w:t>
      </w:r>
    </w:p>
    <w:p>
      <w:pPr>
        <w:spacing w:after="0" w:line="103" w:lineRule="exact"/>
        <w:rPr>
          <w:rFonts w:ascii="Arial" w:cs="Arial" w:eastAsia="Arial" w:hAnsi="Arial"/>
          <w:sz w:val="18"/>
          <w:szCs w:val="18"/>
          <w:color w:val="auto"/>
        </w:rPr>
      </w:pPr>
    </w:p>
    <w:p>
      <w:pPr>
        <w:ind w:left="360" w:right="12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-6.5%. The tax rate was primarily affected by the distribution of earnings among the countries in which we operate and the operating losses generated in tax jurisdictions where no tax benefit was recognized.</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Income from Discontinued Operations</w:t>
      </w:r>
    </w:p>
    <w:p>
      <w:pPr>
        <w:spacing w:after="0" w:line="126" w:lineRule="exact"/>
        <w:rPr>
          <w:sz w:val="20"/>
          <w:szCs w:val="20"/>
          <w:color w:val="auto"/>
        </w:rPr>
      </w:pPr>
    </w:p>
    <w:p>
      <w:pPr>
        <w:ind w:right="40" w:firstLine="360"/>
        <w:spacing w:after="0"/>
        <w:rPr>
          <w:sz w:val="20"/>
          <w:szCs w:val="20"/>
          <w:color w:val="auto"/>
        </w:rPr>
      </w:pPr>
      <w:r>
        <w:rPr>
          <w:rFonts w:ascii="Arial" w:cs="Arial" w:eastAsia="Arial" w:hAnsi="Arial"/>
          <w:sz w:val="18"/>
          <w:szCs w:val="18"/>
          <w:color w:val="auto"/>
        </w:rPr>
        <w:t>In the first quarter of 2012, the Company completed the sale of its Albany Door Systems business resulting in a pre-tax gain of $58.0 million. Including operations of the discontinued business and related income taxes, first quarter income from discontinued operations was $0.0 million in 2013 and $47.2 million in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04" w:lineRule="exact"/>
        <w:rPr>
          <w:sz w:val="20"/>
          <w:szCs w:val="20"/>
          <w:color w:val="auto"/>
        </w:rPr>
      </w:pPr>
    </w:p>
    <w:p>
      <w:pPr>
        <w:ind w:right="440" w:firstLine="360"/>
        <w:spacing w:after="0" w:line="246" w:lineRule="auto"/>
        <w:rPr>
          <w:sz w:val="20"/>
          <w:szCs w:val="20"/>
          <w:color w:val="auto"/>
        </w:rPr>
      </w:pPr>
      <w:r>
        <w:rPr>
          <w:rFonts w:ascii="Arial" w:cs="Arial" w:eastAsia="Arial" w:hAnsi="Arial"/>
          <w:sz w:val="18"/>
          <w:szCs w:val="18"/>
          <w:color w:val="auto"/>
        </w:rPr>
        <w:t>Machine Clothing is our primary business segment and accounted for nearly 90% of our consolidated revenues during 2013. Machine clothing is purchased primarily by manufacturers of paper and paperboard.</w:t>
      </w:r>
    </w:p>
    <w:p>
      <w:pPr>
        <w:spacing w:after="0" w:line="89" w:lineRule="exact"/>
        <w:rPr>
          <w:sz w:val="20"/>
          <w:szCs w:val="20"/>
          <w:color w:val="auto"/>
        </w:rPr>
      </w:pPr>
    </w:p>
    <w:p>
      <w:pPr>
        <w:ind w:right="120" w:firstLine="360"/>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2-3% over the next five years, driven primarily by secular demand increases in the Asia and South America, with stabilization in the mature markets of Europe and North America.</w:t>
      </w:r>
    </w:p>
    <w:p>
      <w:pPr>
        <w:spacing w:after="0" w:line="95" w:lineRule="exact"/>
        <w:rPr>
          <w:sz w:val="20"/>
          <w:szCs w:val="20"/>
          <w:color w:val="auto"/>
        </w:rPr>
      </w:pPr>
    </w:p>
    <w:p>
      <w:pPr>
        <w:ind w:right="20" w:firstLine="360"/>
        <w:spacing w:after="0" w:line="237"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were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 These factors help to explain why Paper Machine Clothing revenue growth grows at a lesser rate than growth in paper production.</w:t>
      </w:r>
    </w:p>
    <w:p>
      <w:pPr>
        <w:spacing w:after="0" w:line="95"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Paper Machine Clothing manufacturing capacity in the United States, Canada, Germany, Finland, France, the Netherlands, Sweden, and Australia.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Borders>
              <w:top w:val="single" w:sz="8" w:color="auto"/>
            </w:tcBorders>
          </w:tcPr>
          <w:p>
            <w:pPr>
              <w:spacing w:after="0"/>
              <w:rPr>
                <w:sz w:val="16"/>
                <w:szCs w:val="16"/>
                <w:color w:val="auto"/>
              </w:rPr>
            </w:pPr>
          </w:p>
        </w:tc>
        <w:tc>
          <w:tcPr>
            <w:tcW w:w="7200" w:type="dxa"/>
            <w:vAlign w:val="bottom"/>
            <w:tcBorders>
              <w:top w:val="single" w:sz="8" w:color="auto"/>
            </w:tcBorders>
            <w:gridSpan w:val="2"/>
          </w:tcPr>
          <w:p>
            <w:pPr>
              <w:jc w:val="right"/>
              <w:ind w:right="710"/>
              <w:spacing w:after="0" w:line="194" w:lineRule="exact"/>
              <w:rPr>
                <w:sz w:val="20"/>
                <w:szCs w:val="20"/>
                <w:color w:val="auto"/>
              </w:rPr>
            </w:pPr>
            <w:r>
              <w:rPr>
                <w:rFonts w:ascii="Arial" w:cs="Arial" w:eastAsia="Arial" w:hAnsi="Arial"/>
                <w:sz w:val="18"/>
                <w:szCs w:val="18"/>
                <w:color w:val="auto"/>
              </w:rPr>
              <w:t>Three months ended March 31,</w:t>
            </w:r>
          </w:p>
        </w:tc>
        <w:tc>
          <w:tcPr>
            <w:tcW w:w="20" w:type="dxa"/>
            <w:vAlign w:val="bottom"/>
          </w:tcPr>
          <w:p>
            <w:pPr>
              <w:spacing w:after="0"/>
              <w:rPr>
                <w:sz w:val="16"/>
                <w:szCs w:val="16"/>
                <w:color w:val="auto"/>
              </w:rPr>
            </w:pPr>
          </w:p>
        </w:tc>
      </w:tr>
      <w:tr>
        <w:trPr>
          <w:trHeight w:val="225"/>
        </w:trPr>
        <w:tc>
          <w:tcPr>
            <w:tcW w:w="422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5520" w:type="dxa"/>
            <w:vAlign w:val="bottom"/>
          </w:tcPr>
          <w:p>
            <w:pPr>
              <w:jc w:val="right"/>
              <w:ind w:right="711"/>
              <w:spacing w:after="0"/>
              <w:rPr>
                <w:sz w:val="20"/>
                <w:szCs w:val="20"/>
                <w:color w:val="auto"/>
              </w:rPr>
            </w:pPr>
            <w:r>
              <w:rPr>
                <w:rFonts w:ascii="Arial" w:cs="Arial" w:eastAsia="Arial" w:hAnsi="Arial"/>
                <w:sz w:val="18"/>
                <w:szCs w:val="18"/>
                <w:b w:val="1"/>
                <w:bCs w:val="1"/>
                <w:color w:val="auto"/>
              </w:rPr>
              <w:t>2013</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2012</w:t>
            </w:r>
          </w:p>
        </w:tc>
      </w:tr>
      <w:tr>
        <w:trPr>
          <w:trHeight w:val="173"/>
        </w:trPr>
        <w:tc>
          <w:tcPr>
            <w:tcW w:w="4220" w:type="dxa"/>
            <w:vAlign w:val="bottom"/>
            <w:tcBorders>
              <w:top w:val="single" w:sz="8" w:color="auto"/>
            </w:tcBorders>
          </w:tcPr>
          <w:p>
            <w:pPr>
              <w:ind w:left="100"/>
              <w:spacing w:after="0" w:line="173" w:lineRule="exact"/>
              <w:rPr>
                <w:sz w:val="20"/>
                <w:szCs w:val="20"/>
                <w:color w:val="auto"/>
              </w:rPr>
            </w:pPr>
            <w:r>
              <w:rPr>
                <w:rFonts w:ascii="Arial" w:cs="Arial" w:eastAsia="Arial" w:hAnsi="Arial"/>
                <w:sz w:val="18"/>
                <w:szCs w:val="18"/>
                <w:color w:val="auto"/>
              </w:rPr>
              <w:t>Net sales</w:t>
            </w:r>
          </w:p>
        </w:tc>
        <w:tc>
          <w:tcPr>
            <w:tcW w:w="5520" w:type="dxa"/>
            <w:vAlign w:val="bottom"/>
            <w:tcBorders>
              <w:top w:val="single" w:sz="8" w:color="auto"/>
            </w:tcBorders>
          </w:tcPr>
          <w:p>
            <w:pPr>
              <w:jc w:val="right"/>
              <w:ind w:right="831"/>
              <w:spacing w:after="0" w:line="173" w:lineRule="exact"/>
              <w:rPr>
                <w:sz w:val="20"/>
                <w:szCs w:val="20"/>
                <w:color w:val="auto"/>
              </w:rPr>
            </w:pPr>
            <w:r>
              <w:rPr>
                <w:rFonts w:ascii="Arial" w:cs="Arial" w:eastAsia="Arial" w:hAnsi="Arial"/>
                <w:sz w:val="18"/>
                <w:szCs w:val="18"/>
                <w:b w:val="1"/>
                <w:bCs w:val="1"/>
                <w:color w:val="auto"/>
              </w:rPr>
              <w:t>$167,409</w:t>
            </w:r>
          </w:p>
        </w:tc>
        <w:tc>
          <w:tcPr>
            <w:tcW w:w="168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$164,288</w:t>
            </w:r>
          </w:p>
        </w:tc>
        <w:tc>
          <w:tcPr>
            <w:tcW w:w="20" w:type="dxa"/>
            <w:vAlign w:val="bottom"/>
          </w:tcPr>
          <w:p>
            <w:pPr>
              <w:spacing w:after="0"/>
              <w:rPr>
                <w:sz w:val="15"/>
                <w:szCs w:val="15"/>
                <w:color w:val="auto"/>
              </w:rPr>
            </w:pPr>
          </w:p>
        </w:tc>
      </w:tr>
      <w:tr>
        <w:trPr>
          <w:trHeight w:val="203"/>
        </w:trPr>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5520" w:type="dxa"/>
            <w:vAlign w:val="bottom"/>
          </w:tcPr>
          <w:p>
            <w:pPr>
              <w:jc w:val="right"/>
              <w:ind w:right="831"/>
              <w:spacing w:after="0" w:line="202" w:lineRule="exact"/>
              <w:rPr>
                <w:sz w:val="20"/>
                <w:szCs w:val="20"/>
                <w:color w:val="auto"/>
              </w:rPr>
            </w:pPr>
            <w:r>
              <w:rPr>
                <w:rFonts w:ascii="Arial" w:cs="Arial" w:eastAsia="Arial" w:hAnsi="Arial"/>
                <w:sz w:val="18"/>
                <w:szCs w:val="18"/>
                <w:b w:val="1"/>
                <w:bCs w:val="1"/>
                <w:color w:val="auto"/>
              </w:rPr>
              <w:t>73,998</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67,998</w:t>
            </w:r>
          </w:p>
        </w:tc>
        <w:tc>
          <w:tcPr>
            <w:tcW w:w="20" w:type="dxa"/>
            <w:vAlign w:val="bottom"/>
          </w:tcPr>
          <w:p>
            <w:pPr>
              <w:spacing w:after="0"/>
              <w:rPr>
                <w:sz w:val="17"/>
                <w:szCs w:val="17"/>
                <w:color w:val="auto"/>
              </w:rPr>
            </w:pPr>
          </w:p>
        </w:tc>
      </w:tr>
      <w:tr>
        <w:trPr>
          <w:trHeight w:val="203"/>
        </w:trPr>
        <w:tc>
          <w:tcPr>
            <w:tcW w:w="422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5520" w:type="dxa"/>
            <w:vAlign w:val="bottom"/>
          </w:tcPr>
          <w:p>
            <w:pPr>
              <w:jc w:val="right"/>
              <w:ind w:right="831"/>
              <w:spacing w:after="0" w:line="202" w:lineRule="exact"/>
              <w:rPr>
                <w:sz w:val="20"/>
                <w:szCs w:val="20"/>
                <w:color w:val="auto"/>
              </w:rPr>
            </w:pPr>
            <w:r>
              <w:rPr>
                <w:rFonts w:ascii="Arial" w:cs="Arial" w:eastAsia="Arial" w:hAnsi="Arial"/>
                <w:sz w:val="18"/>
                <w:szCs w:val="18"/>
                <w:b w:val="1"/>
                <w:bCs w:val="1"/>
                <w:color w:val="auto"/>
              </w:rPr>
              <w:t>44.2%</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41.4%</w:t>
            </w:r>
          </w:p>
        </w:tc>
        <w:tc>
          <w:tcPr>
            <w:tcW w:w="20" w:type="dxa"/>
            <w:vAlign w:val="bottom"/>
          </w:tcPr>
          <w:p>
            <w:pPr>
              <w:spacing w:after="0"/>
              <w:rPr>
                <w:sz w:val="17"/>
                <w:szCs w:val="17"/>
                <w:color w:val="auto"/>
              </w:rPr>
            </w:pPr>
          </w:p>
        </w:tc>
      </w:tr>
      <w:tr>
        <w:trPr>
          <w:trHeight w:val="225"/>
        </w:trPr>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55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42,908</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30,845</w:t>
            </w:r>
          </w:p>
        </w:tc>
        <w:tc>
          <w:tcPr>
            <w:tcW w:w="20" w:type="dxa"/>
            <w:vAlign w:val="bottom"/>
          </w:tcPr>
          <w:p>
            <w:pPr>
              <w:spacing w:after="0"/>
              <w:rPr>
                <w:sz w:val="19"/>
                <w:szCs w:val="19"/>
                <w:color w:val="auto"/>
              </w:rPr>
            </w:pPr>
          </w:p>
        </w:tc>
      </w:tr>
      <w:tr>
        <w:trPr>
          <w:trHeight w:val="609"/>
        </w:trPr>
        <w:tc>
          <w:tcPr>
            <w:tcW w:w="4220" w:type="dxa"/>
            <w:vAlign w:val="bottom"/>
          </w:tcPr>
          <w:p>
            <w:pPr>
              <w:spacing w:after="0"/>
              <w:rPr>
                <w:sz w:val="24"/>
                <w:szCs w:val="24"/>
                <w:color w:val="auto"/>
              </w:rPr>
            </w:pPr>
          </w:p>
        </w:tc>
        <w:tc>
          <w:tcPr>
            <w:tcW w:w="5520" w:type="dxa"/>
            <w:vAlign w:val="bottom"/>
          </w:tcPr>
          <w:p>
            <w:pPr>
              <w:jc w:val="right"/>
              <w:ind w:right="3851"/>
              <w:spacing w:after="0"/>
              <w:rPr>
                <w:sz w:val="20"/>
                <w:szCs w:val="20"/>
                <w:color w:val="auto"/>
              </w:rPr>
            </w:pPr>
            <w:r>
              <w:rPr>
                <w:rFonts w:ascii="Arial" w:cs="Arial" w:eastAsia="Arial" w:hAnsi="Arial"/>
                <w:sz w:val="16"/>
                <w:szCs w:val="16"/>
                <w:color w:val="auto"/>
              </w:rPr>
              <w:t>30</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422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bl>
    <w:p>
      <w:pPr>
        <w:sectPr>
          <w:pgSz w:w="11900" w:h="16838" w:orient="portrait"/>
          <w:cols w:equalWidth="0" w:num="1">
            <w:col w:w="11420"/>
          </w:cols>
          <w:pgMar w:left="240" w:top="6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sales were affected by the following:</w:t>
      </w:r>
    </w:p>
    <w:p>
      <w:pPr>
        <w:spacing w:after="0" w:line="104" w:lineRule="exact"/>
        <w:rPr>
          <w:sz w:val="20"/>
          <w:szCs w:val="20"/>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2013 sales by $0.4 million.</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sales increased 2.1% compared to the same period in 2012.</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increase in sales was principally due to strong performance in the Americas.</w:t>
      </w:r>
    </w:p>
    <w:p>
      <w:pPr>
        <w:spacing w:after="0" w:line="117" w:lineRule="exact"/>
        <w:rPr>
          <w:rFonts w:ascii="Arial" w:cs="Arial" w:eastAsia="Arial" w:hAnsi="Arial"/>
          <w:sz w:val="18"/>
          <w:szCs w:val="18"/>
          <w:color w:val="auto"/>
        </w:rPr>
      </w:pPr>
    </w:p>
    <w:p>
      <w:pPr>
        <w:ind w:left="720" w:hanging="361"/>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remained stable in Europe while softness in paper markets in China and Japan contributed to lower sales.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gross profit was principally due to the net effect of the following:</w:t>
      </w:r>
    </w:p>
    <w:p>
      <w:pPr>
        <w:spacing w:after="0" w:line="104" w:lineRule="exact"/>
        <w:rPr>
          <w:sz w:val="20"/>
          <w:szCs w:val="20"/>
          <w:color w:val="auto"/>
        </w:rPr>
      </w:pPr>
    </w:p>
    <w:p>
      <w:pPr>
        <w:ind w:left="720" w:right="280" w:hanging="361"/>
        <w:spacing w:after="0" w:line="246"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$4.6 million increase due to higher gross profit margin in MC. The improved gross profit margin reflects strong performance in the Americas and the cumulative effect of productivity improvements and restructuring.</w:t>
      </w:r>
    </w:p>
    <w:p>
      <w:pPr>
        <w:spacing w:after="0" w:line="88" w:lineRule="exact"/>
        <w:rPr>
          <w:rFonts w:ascii="Arial" w:cs="Arial" w:eastAsia="Arial" w:hAnsi="Arial"/>
          <w:sz w:val="18"/>
          <w:szCs w:val="18"/>
          <w:color w:val="auto"/>
        </w:rPr>
      </w:pPr>
    </w:p>
    <w:p>
      <w:pPr>
        <w:ind w:left="720" w:hanging="361"/>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$1.3 million increase due to higher sales in MC.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operating income was principally due to the net effect of the following:</w:t>
      </w:r>
    </w:p>
    <w:p>
      <w:pPr>
        <w:spacing w:after="0" w:line="104" w:lineRule="exact"/>
        <w:rPr>
          <w:sz w:val="20"/>
          <w:szCs w:val="20"/>
          <w:color w:val="auto"/>
        </w:rPr>
      </w:pPr>
    </w:p>
    <w:p>
      <w:pPr>
        <w:ind w:left="720" w:hanging="36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gross profit, as described above.</w:t>
      </w:r>
    </w:p>
    <w:p>
      <w:pPr>
        <w:spacing w:after="0" w:line="117" w:lineRule="exact"/>
        <w:rPr>
          <w:rFonts w:ascii="Arial" w:cs="Arial" w:eastAsia="Arial" w:hAnsi="Arial"/>
          <w:sz w:val="18"/>
          <w:szCs w:val="18"/>
          <w:color w:val="auto"/>
        </w:rPr>
      </w:pPr>
    </w:p>
    <w:p>
      <w:pPr>
        <w:ind w:left="720" w:right="100" w:hanging="361"/>
        <w:spacing w:after="0" w:line="24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first-quarter gains of $0.7 million in 2013 compared to losses of $1.8 million in the comparable period in 2012.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Engineered Composites Segment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04" w:lineRule="exact"/>
        <w:rPr>
          <w:sz w:val="20"/>
          <w:szCs w:val="20"/>
          <w:color w:val="auto"/>
        </w:rPr>
      </w:pPr>
    </w:p>
    <w:p>
      <w:pPr>
        <w:ind w:right="180" w:firstLine="360"/>
        <w:spacing w:after="0" w:line="239" w:lineRule="auto"/>
        <w:rPr>
          <w:sz w:val="20"/>
          <w:szCs w:val="20"/>
          <w:color w:val="auto"/>
        </w:rPr>
      </w:pPr>
      <w:r>
        <w:rPr>
          <w:rFonts w:ascii="Arial" w:cs="Arial" w:eastAsia="Arial" w:hAnsi="Arial"/>
          <w:sz w:val="18"/>
          <w:szCs w:val="18"/>
          <w:color w:val="auto"/>
        </w:rPr>
        <w:t>The Engineered Composites segment (AEC) provides custom-designed advanced composite structures based on proprietary technology to customers in the aerospace and defense industries. AEC’s largest current development program relates to the LEAP engine being developed by CFM International. Under this program, AEC is developing a family of composite parts, including fan blades, to be incorporated into the LEAP engine. In 2012, approximately 25% of this segment’s sales were related to U.S. government contracts or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Borders>
              <w:top w:val="single" w:sz="8" w:color="auto"/>
            </w:tcBorders>
          </w:tcPr>
          <w:p>
            <w:pPr>
              <w:spacing w:after="0"/>
              <w:rPr>
                <w:sz w:val="18"/>
                <w:szCs w:val="18"/>
                <w:color w:val="auto"/>
              </w:rPr>
            </w:pPr>
          </w:p>
        </w:tc>
        <w:tc>
          <w:tcPr>
            <w:tcW w:w="4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Three months ended</w:t>
            </w:r>
          </w:p>
        </w:tc>
        <w:tc>
          <w:tcPr>
            <w:tcW w:w="1000" w:type="dxa"/>
            <w:vAlign w:val="bottom"/>
            <w:tcBorders>
              <w:top w:val="single" w:sz="8" w:color="auto"/>
            </w:tcBorders>
          </w:tcPr>
          <w:p>
            <w:pPr>
              <w:spacing w:after="0"/>
              <w:rPr>
                <w:sz w:val="18"/>
                <w:szCs w:val="18"/>
                <w:color w:val="auto"/>
              </w:rPr>
            </w:pPr>
          </w:p>
        </w:tc>
      </w:tr>
      <w:tr>
        <w:trPr>
          <w:trHeight w:val="181"/>
        </w:trPr>
        <w:tc>
          <w:tcPr>
            <w:tcW w:w="5500" w:type="dxa"/>
            <w:vAlign w:val="bottom"/>
          </w:tcPr>
          <w:p>
            <w:pPr>
              <w:spacing w:after="0"/>
              <w:rPr>
                <w:sz w:val="15"/>
                <w:szCs w:val="15"/>
                <w:color w:val="auto"/>
              </w:rPr>
            </w:pPr>
          </w:p>
        </w:tc>
        <w:tc>
          <w:tcPr>
            <w:tcW w:w="492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March 31,</w:t>
            </w:r>
          </w:p>
        </w:tc>
        <w:tc>
          <w:tcPr>
            <w:tcW w:w="1000" w:type="dxa"/>
            <w:vAlign w:val="bottom"/>
          </w:tcPr>
          <w:p>
            <w:pPr>
              <w:spacing w:after="0"/>
              <w:rPr>
                <w:sz w:val="15"/>
                <w:szCs w:val="15"/>
                <w:color w:val="auto"/>
              </w:rPr>
            </w:pPr>
          </w:p>
        </w:tc>
      </w:tr>
      <w:tr>
        <w:trPr>
          <w:trHeight w:val="225"/>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percentages)</w:t>
            </w:r>
          </w:p>
        </w:tc>
        <w:tc>
          <w:tcPr>
            <w:tcW w:w="49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r>
      <w:tr>
        <w:trPr>
          <w:trHeight w:val="173"/>
        </w:trPr>
        <w:tc>
          <w:tcPr>
            <w:tcW w:w="5500" w:type="dxa"/>
            <w:vAlign w:val="bottom"/>
          </w:tcPr>
          <w:p>
            <w:pPr>
              <w:ind w:left="100"/>
              <w:spacing w:after="0" w:line="173" w:lineRule="exact"/>
              <w:rPr>
                <w:sz w:val="20"/>
                <w:szCs w:val="20"/>
                <w:color w:val="auto"/>
              </w:rPr>
            </w:pPr>
            <w:r>
              <w:rPr>
                <w:rFonts w:ascii="Arial" w:cs="Arial" w:eastAsia="Arial" w:hAnsi="Arial"/>
                <w:sz w:val="18"/>
                <w:szCs w:val="18"/>
                <w:color w:val="auto"/>
              </w:rPr>
              <w:t>Net sales</w:t>
            </w:r>
          </w:p>
        </w:tc>
        <w:tc>
          <w:tcPr>
            <w:tcW w:w="4920" w:type="dxa"/>
            <w:vAlign w:val="bottom"/>
          </w:tcPr>
          <w:p>
            <w:pPr>
              <w:jc w:val="right"/>
              <w:ind w:right="1510"/>
              <w:spacing w:after="0" w:line="173" w:lineRule="exact"/>
              <w:rPr>
                <w:sz w:val="20"/>
                <w:szCs w:val="20"/>
                <w:color w:val="auto"/>
              </w:rPr>
            </w:pPr>
            <w:r>
              <w:rPr>
                <w:rFonts w:ascii="Arial" w:cs="Arial" w:eastAsia="Arial" w:hAnsi="Arial"/>
                <w:sz w:val="18"/>
                <w:szCs w:val="18"/>
                <w:b w:val="1"/>
                <w:bCs w:val="1"/>
                <w:color w:val="auto"/>
              </w:rPr>
              <w:t>$19,245</w:t>
            </w:r>
          </w:p>
        </w:tc>
        <w:tc>
          <w:tcPr>
            <w:tcW w:w="1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$15,789</w:t>
            </w:r>
          </w:p>
        </w:tc>
      </w:tr>
      <w:tr>
        <w:trPr>
          <w:trHeight w:val="203"/>
        </w:trPr>
        <w:tc>
          <w:tcPr>
            <w:tcW w:w="5500" w:type="dxa"/>
            <w:vAlign w:val="bottom"/>
          </w:tcPr>
          <w:p>
            <w:pPr>
              <w:ind w:left="100"/>
              <w:spacing w:after="0" w:line="202" w:lineRule="exact"/>
              <w:rPr>
                <w:sz w:val="20"/>
                <w:szCs w:val="20"/>
                <w:color w:val="auto"/>
              </w:rPr>
            </w:pPr>
            <w:r>
              <w:rPr>
                <w:rFonts w:ascii="Arial" w:cs="Arial" w:eastAsia="Arial" w:hAnsi="Arial"/>
                <w:sz w:val="18"/>
                <w:szCs w:val="18"/>
                <w:color w:val="auto"/>
              </w:rPr>
              <w:t>Gross profit</w:t>
            </w:r>
          </w:p>
        </w:tc>
        <w:tc>
          <w:tcPr>
            <w:tcW w:w="4920" w:type="dxa"/>
            <w:vAlign w:val="bottom"/>
          </w:tcPr>
          <w:p>
            <w:pPr>
              <w:jc w:val="right"/>
              <w:ind w:right="1450"/>
              <w:spacing w:after="0" w:line="202" w:lineRule="exact"/>
              <w:rPr>
                <w:sz w:val="20"/>
                <w:szCs w:val="20"/>
                <w:color w:val="auto"/>
              </w:rPr>
            </w:pPr>
            <w:r>
              <w:rPr>
                <w:rFonts w:ascii="Arial" w:cs="Arial" w:eastAsia="Arial" w:hAnsi="Arial"/>
                <w:sz w:val="18"/>
                <w:szCs w:val="18"/>
                <w:b w:val="1"/>
                <w:bCs w:val="1"/>
                <w:color w:val="auto"/>
              </w:rPr>
              <w:t>(186)</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1,393</w:t>
            </w:r>
          </w:p>
        </w:tc>
      </w:tr>
      <w:tr>
        <w:trPr>
          <w:trHeight w:val="203"/>
        </w:trPr>
        <w:tc>
          <w:tcPr>
            <w:tcW w:w="5500" w:type="dxa"/>
            <w:vAlign w:val="bottom"/>
          </w:tcPr>
          <w:p>
            <w:pPr>
              <w:ind w:left="100"/>
              <w:spacing w:after="0" w:line="202" w:lineRule="exact"/>
              <w:rPr>
                <w:sz w:val="20"/>
                <w:szCs w:val="20"/>
                <w:color w:val="auto"/>
              </w:rPr>
            </w:pPr>
            <w:r>
              <w:rPr>
                <w:rFonts w:ascii="Arial" w:cs="Arial" w:eastAsia="Arial" w:hAnsi="Arial"/>
                <w:sz w:val="18"/>
                <w:szCs w:val="18"/>
                <w:color w:val="auto"/>
              </w:rPr>
              <w:t>% of net sales</w:t>
            </w:r>
          </w:p>
        </w:tc>
        <w:tc>
          <w:tcPr>
            <w:tcW w:w="4920" w:type="dxa"/>
            <w:vAlign w:val="bottom"/>
          </w:tcPr>
          <w:p>
            <w:pPr>
              <w:jc w:val="right"/>
              <w:ind w:right="1510"/>
              <w:spacing w:after="0" w:line="202" w:lineRule="exact"/>
              <w:rPr>
                <w:sz w:val="20"/>
                <w:szCs w:val="20"/>
                <w:color w:val="auto"/>
              </w:rPr>
            </w:pPr>
            <w:r>
              <w:rPr>
                <w:rFonts w:ascii="Arial" w:cs="Arial" w:eastAsia="Arial" w:hAnsi="Arial"/>
                <w:sz w:val="18"/>
                <w:szCs w:val="18"/>
                <w:b w:val="1"/>
                <w:bCs w:val="1"/>
                <w:color w:val="auto"/>
              </w:rPr>
              <w:t>-1.0%</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8.8%</w:t>
            </w:r>
          </w:p>
        </w:tc>
      </w:tr>
      <w:tr>
        <w:trPr>
          <w:trHeight w:val="225"/>
        </w:trPr>
        <w:tc>
          <w:tcPr>
            <w:tcW w:w="5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Operating income</w:t>
            </w:r>
          </w:p>
        </w:tc>
        <w:tc>
          <w:tcPr>
            <w:tcW w:w="4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(2,063)</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720" w:hanging="361"/>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sales was principally due to LEAP program activities.</w:t>
      </w:r>
    </w:p>
    <w:p>
      <w:pPr>
        <w:spacing w:after="0" w:line="22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gross profit included the following:</w:t>
      </w:r>
    </w:p>
    <w:p>
      <w:pPr>
        <w:spacing w:after="0" w:line="104" w:lineRule="exact"/>
        <w:rPr>
          <w:sz w:val="20"/>
          <w:szCs w:val="20"/>
          <w:color w:val="auto"/>
        </w:rPr>
      </w:pPr>
    </w:p>
    <w:p>
      <w:pPr>
        <w:ind w:left="720" w:right="940" w:hanging="361"/>
        <w:spacing w:after="0" w:line="246"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AEC gross margin was negatively affected by inventory write-offs and other losses associated with a legacy program at the Company’s Boerne, Texas, facility.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First-quarter 2013 operating income decreased principally due to the decrease in gross profit as described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Three months ended</w:t>
            </w:r>
          </w:p>
        </w:tc>
        <w:tc>
          <w:tcPr>
            <w:tcW w:w="1040" w:type="dxa"/>
            <w:vAlign w:val="bottom"/>
            <w:tcBorders>
              <w:top w:val="single" w:sz="8" w:color="auto"/>
            </w:tcBorders>
          </w:tcPr>
          <w:p>
            <w:pPr>
              <w:spacing w:after="0"/>
              <w:rPr>
                <w:sz w:val="18"/>
                <w:szCs w:val="18"/>
                <w:color w:val="auto"/>
              </w:rPr>
            </w:pPr>
          </w:p>
        </w:tc>
      </w:tr>
      <w:tr>
        <w:trPr>
          <w:trHeight w:val="181"/>
        </w:trPr>
        <w:tc>
          <w:tcPr>
            <w:tcW w:w="6700" w:type="dxa"/>
            <w:vAlign w:val="bottom"/>
          </w:tcPr>
          <w:p>
            <w:pPr>
              <w:spacing w:after="0"/>
              <w:rPr>
                <w:sz w:val="15"/>
                <w:szCs w:val="15"/>
                <w:color w:val="auto"/>
              </w:rPr>
            </w:pPr>
          </w:p>
        </w:tc>
        <w:tc>
          <w:tcPr>
            <w:tcW w:w="3680" w:type="dxa"/>
            <w:vAlign w:val="bottom"/>
          </w:tcPr>
          <w:p>
            <w:pPr>
              <w:jc w:val="right"/>
              <w:ind w:right="510"/>
              <w:spacing w:after="0" w:line="181" w:lineRule="exact"/>
              <w:rPr>
                <w:sz w:val="20"/>
                <w:szCs w:val="20"/>
                <w:color w:val="auto"/>
              </w:rPr>
            </w:pPr>
            <w:r>
              <w:rPr>
                <w:rFonts w:ascii="Arial" w:cs="Arial" w:eastAsia="Arial" w:hAnsi="Arial"/>
                <w:sz w:val="18"/>
                <w:szCs w:val="18"/>
                <w:color w:val="auto"/>
              </w:rPr>
              <w:t>March 31,</w:t>
            </w:r>
          </w:p>
        </w:tc>
        <w:tc>
          <w:tcPr>
            <w:tcW w:w="1040" w:type="dxa"/>
            <w:vAlign w:val="bottom"/>
          </w:tcPr>
          <w:p>
            <w:pPr>
              <w:spacing w:after="0"/>
              <w:rPr>
                <w:sz w:val="15"/>
                <w:szCs w:val="15"/>
                <w:color w:val="auto"/>
              </w:rPr>
            </w:pPr>
          </w:p>
        </w:tc>
      </w:tr>
      <w:tr>
        <w:trPr>
          <w:trHeight w:val="225"/>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6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r>
      <w:tr>
        <w:trPr>
          <w:trHeight w:val="173"/>
        </w:trPr>
        <w:tc>
          <w:tcPr>
            <w:tcW w:w="6700" w:type="dxa"/>
            <w:vAlign w:val="bottom"/>
          </w:tcPr>
          <w:p>
            <w:pPr>
              <w:ind w:left="100"/>
              <w:spacing w:after="0" w:line="173" w:lineRule="exact"/>
              <w:rPr>
                <w:sz w:val="20"/>
                <w:szCs w:val="20"/>
                <w:color w:val="auto"/>
              </w:rPr>
            </w:pPr>
            <w:r>
              <w:rPr>
                <w:rFonts w:ascii="Arial" w:cs="Arial" w:eastAsia="Arial" w:hAnsi="Arial"/>
                <w:sz w:val="18"/>
                <w:szCs w:val="18"/>
                <w:color w:val="auto"/>
              </w:rPr>
              <w:t>Net income</w:t>
            </w:r>
          </w:p>
        </w:tc>
        <w:tc>
          <w:tcPr>
            <w:tcW w:w="3680" w:type="dxa"/>
            <w:vAlign w:val="bottom"/>
          </w:tcPr>
          <w:p>
            <w:pPr>
              <w:jc w:val="right"/>
              <w:ind w:right="1470"/>
              <w:spacing w:after="0" w:line="173" w:lineRule="exact"/>
              <w:rPr>
                <w:sz w:val="20"/>
                <w:szCs w:val="20"/>
                <w:color w:val="auto"/>
              </w:rPr>
            </w:pPr>
            <w:r>
              <w:rPr>
                <w:rFonts w:ascii="Arial" w:cs="Arial" w:eastAsia="Arial" w:hAnsi="Arial"/>
                <w:sz w:val="18"/>
                <w:szCs w:val="18"/>
                <w:b w:val="1"/>
                <w:bCs w:val="1"/>
                <w:color w:val="auto"/>
              </w:rPr>
              <w:t>$11,511</w:t>
            </w:r>
          </w:p>
        </w:tc>
        <w:tc>
          <w:tcPr>
            <w:tcW w:w="10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$47,041</w:t>
            </w: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Depreciation and amortization</w:t>
            </w:r>
          </w:p>
        </w:tc>
        <w:tc>
          <w:tcPr>
            <w:tcW w:w="368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15,874</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16,131</w:t>
            </w: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Changes in working capital</w:t>
            </w:r>
          </w:p>
        </w:tc>
        <w:tc>
          <w:tcPr>
            <w:tcW w:w="368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(22,328)</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10,332</w:t>
            </w: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Gain on disposition of assets</w:t>
            </w:r>
          </w:p>
        </w:tc>
        <w:tc>
          <w:tcPr>
            <w:tcW w:w="368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(3,763)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(57,968)</w:t>
            </w: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368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3,873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(67,119)</w:t>
            </w:r>
          </w:p>
        </w:tc>
      </w:tr>
      <w:tr>
        <w:trPr>
          <w:trHeight w:val="203"/>
        </w:trPr>
        <w:tc>
          <w:tcPr>
            <w:tcW w:w="6700" w:type="dxa"/>
            <w:vAlign w:val="bottom"/>
          </w:tcPr>
          <w:p>
            <w:pPr>
              <w:ind w:left="260"/>
              <w:spacing w:after="0" w:line="202" w:lineRule="exact"/>
              <w:rPr>
                <w:sz w:val="20"/>
                <w:szCs w:val="20"/>
                <w:color w:val="auto"/>
              </w:rPr>
            </w:pPr>
            <w:r>
              <w:rPr>
                <w:rFonts w:ascii="Arial" w:cs="Arial" w:eastAsia="Arial" w:hAnsi="Arial"/>
                <w:sz w:val="18"/>
                <w:szCs w:val="18"/>
                <w:color w:val="auto"/>
              </w:rPr>
              <w:t>Write-off of pension liability adjustment</w:t>
            </w:r>
          </w:p>
        </w:tc>
        <w:tc>
          <w:tcPr>
            <w:tcW w:w="368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Other operating items</w:t>
            </w:r>
          </w:p>
        </w:tc>
        <w:tc>
          <w:tcPr>
            <w:tcW w:w="368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(1,006)</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8,915</w:t>
            </w:r>
          </w:p>
        </w:tc>
      </w:tr>
      <w:tr>
        <w:trPr>
          <w:trHeight w:val="173"/>
        </w:trPr>
        <w:tc>
          <w:tcPr>
            <w:tcW w:w="6700" w:type="dxa"/>
            <w:vAlign w:val="bottom"/>
          </w:tcPr>
          <w:p>
            <w:pPr>
              <w:ind w:left="100"/>
              <w:spacing w:after="0" w:line="173" w:lineRule="exact"/>
              <w:rPr>
                <w:sz w:val="20"/>
                <w:szCs w:val="20"/>
                <w:color w:val="auto"/>
              </w:rPr>
            </w:pPr>
            <w:r>
              <w:rPr>
                <w:rFonts w:ascii="Arial" w:cs="Arial" w:eastAsia="Arial" w:hAnsi="Arial"/>
                <w:sz w:val="18"/>
                <w:szCs w:val="18"/>
                <w:color w:val="auto"/>
              </w:rPr>
              <w:t>Net cash provided by/(used in) operating activities</w:t>
            </w:r>
          </w:p>
        </w:tc>
        <w:tc>
          <w:tcPr>
            <w:tcW w:w="3680" w:type="dxa"/>
            <w:vAlign w:val="bottom"/>
          </w:tcPr>
          <w:p>
            <w:pPr>
              <w:jc w:val="right"/>
              <w:ind w:right="1470"/>
              <w:spacing w:after="0" w:line="173" w:lineRule="exact"/>
              <w:rPr>
                <w:sz w:val="20"/>
                <w:szCs w:val="20"/>
                <w:color w:val="auto"/>
              </w:rPr>
            </w:pPr>
            <w:r>
              <w:rPr>
                <w:rFonts w:ascii="Arial" w:cs="Arial" w:eastAsia="Arial" w:hAnsi="Arial"/>
                <w:sz w:val="18"/>
                <w:szCs w:val="18"/>
                <w:b w:val="1"/>
                <w:bCs w:val="1"/>
                <w:color w:val="auto"/>
              </w:rPr>
              <w:t>4,161</w:t>
            </w:r>
          </w:p>
        </w:tc>
        <w:tc>
          <w:tcPr>
            <w:tcW w:w="1040" w:type="dxa"/>
            <w:vAlign w:val="bottom"/>
          </w:tcPr>
          <w:p>
            <w:pPr>
              <w:jc w:val="right"/>
              <w:spacing w:after="0" w:line="173" w:lineRule="exact"/>
              <w:rPr>
                <w:sz w:val="20"/>
                <w:szCs w:val="20"/>
                <w:color w:val="auto"/>
              </w:rPr>
            </w:pPr>
            <w:r>
              <w:rPr>
                <w:rFonts w:ascii="Arial" w:cs="Arial" w:eastAsia="Arial" w:hAnsi="Arial"/>
                <w:sz w:val="18"/>
                <w:szCs w:val="18"/>
                <w:color w:val="auto"/>
              </w:rPr>
              <w:t>(42,668)</w:t>
            </w: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Net cash provided by/(used in) investing activities</w:t>
            </w:r>
          </w:p>
        </w:tc>
        <w:tc>
          <w:tcPr>
            <w:tcW w:w="3680" w:type="dxa"/>
            <w:vAlign w:val="bottom"/>
          </w:tcPr>
          <w:p>
            <w:pPr>
              <w:jc w:val="right"/>
              <w:ind w:right="1410"/>
              <w:spacing w:after="0" w:line="202" w:lineRule="exact"/>
              <w:rPr>
                <w:sz w:val="20"/>
                <w:szCs w:val="20"/>
                <w:color w:val="auto"/>
              </w:rPr>
            </w:pPr>
            <w:r>
              <w:rPr>
                <w:rFonts w:ascii="Arial" w:cs="Arial" w:eastAsia="Arial" w:hAnsi="Arial"/>
                <w:sz w:val="18"/>
                <w:szCs w:val="18"/>
                <w:b w:val="1"/>
                <w:bCs w:val="1"/>
                <w:color w:val="auto"/>
              </w:rPr>
              <w:t>(7,013)</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108,234</w:t>
            </w: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Net cash (used in) financing activities</w:t>
            </w:r>
          </w:p>
        </w:tc>
        <w:tc>
          <w:tcPr>
            <w:tcW w:w="368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15,438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(52,119)</w:t>
            </w:r>
          </w:p>
        </w:tc>
      </w:tr>
      <w:tr>
        <w:trPr>
          <w:trHeight w:val="225"/>
        </w:trPr>
        <w:tc>
          <w:tcPr>
            <w:tcW w:w="6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Effect of exchange rate changes on cash flows</w:t>
            </w:r>
          </w:p>
        </w:tc>
        <w:tc>
          <w:tcPr>
            <w:tcW w:w="368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b w:val="1"/>
                <w:bCs w:val="1"/>
                <w:color w:val="auto"/>
              </w:rPr>
              <w:t>(3,471)</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8,569</w:t>
            </w:r>
          </w:p>
        </w:tc>
      </w:tr>
      <w:tr>
        <w:trPr>
          <w:trHeight w:val="173"/>
        </w:trPr>
        <w:tc>
          <w:tcPr>
            <w:tcW w:w="6700" w:type="dxa"/>
            <w:vAlign w:val="bottom"/>
          </w:tcPr>
          <w:p>
            <w:pPr>
              <w:ind w:left="100"/>
              <w:spacing w:after="0" w:line="173" w:lineRule="exact"/>
              <w:rPr>
                <w:sz w:val="20"/>
                <w:szCs w:val="20"/>
                <w:color w:val="auto"/>
              </w:rPr>
            </w:pPr>
            <w:r>
              <w:rPr>
                <w:rFonts w:ascii="Arial" w:cs="Arial" w:eastAsia="Arial" w:hAnsi="Arial"/>
                <w:sz w:val="18"/>
                <w:szCs w:val="18"/>
                <w:color w:val="auto"/>
              </w:rPr>
              <w:t>Increase in cash and cash equivalents</w:t>
            </w:r>
          </w:p>
        </w:tc>
        <w:tc>
          <w:tcPr>
            <w:tcW w:w="3680" w:type="dxa"/>
            <w:vAlign w:val="bottom"/>
          </w:tcPr>
          <w:p>
            <w:pPr>
              <w:jc w:val="right"/>
              <w:ind w:right="1470"/>
              <w:spacing w:after="0" w:line="173" w:lineRule="exact"/>
              <w:rPr>
                <w:sz w:val="20"/>
                <w:szCs w:val="20"/>
                <w:color w:val="auto"/>
              </w:rPr>
            </w:pPr>
            <w:r>
              <w:rPr>
                <w:rFonts w:ascii="Arial" w:cs="Arial" w:eastAsia="Arial" w:hAnsi="Arial"/>
                <w:sz w:val="18"/>
                <w:szCs w:val="18"/>
                <w:b w:val="1"/>
                <w:bCs w:val="1"/>
                <w:color w:val="auto"/>
              </w:rPr>
              <w:t>9,115</w:t>
            </w:r>
          </w:p>
        </w:tc>
        <w:tc>
          <w:tcPr>
            <w:tcW w:w="104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22,016</w:t>
            </w:r>
          </w:p>
        </w:tc>
      </w:tr>
      <w:tr>
        <w:trPr>
          <w:trHeight w:val="203"/>
        </w:trPr>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Change in cash balances of discontinued operations</w:t>
            </w:r>
          </w:p>
        </w:tc>
        <w:tc>
          <w:tcPr>
            <w:tcW w:w="3680" w:type="dxa"/>
            <w:vAlign w:val="bottom"/>
          </w:tcPr>
          <w:p>
            <w:pPr>
              <w:jc w:val="right"/>
              <w:ind w:right="147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25"/>
        </w:trPr>
        <w:tc>
          <w:tcPr>
            <w:tcW w:w="6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Cash and cash equivalents at beginning of year</w:t>
            </w:r>
          </w:p>
        </w:tc>
        <w:tc>
          <w:tcPr>
            <w:tcW w:w="36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190,718</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118,909</w:t>
            </w:r>
          </w:p>
        </w:tc>
      </w:tr>
      <w:tr>
        <w:trPr>
          <w:trHeight w:val="196"/>
        </w:trPr>
        <w:tc>
          <w:tcPr>
            <w:tcW w:w="670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Cash and cash equivalents at end of year</w:t>
            </w:r>
          </w:p>
        </w:tc>
        <w:tc>
          <w:tcPr>
            <w:tcW w:w="3680" w:type="dxa"/>
            <w:vAlign w:val="bottom"/>
            <w:tcBorders>
              <w:bottom w:val="single" w:sz="8" w:color="auto"/>
            </w:tcBorders>
          </w:tcPr>
          <w:p>
            <w:pPr>
              <w:jc w:val="right"/>
              <w:ind w:right="1470"/>
              <w:spacing w:after="0" w:line="196" w:lineRule="exact"/>
              <w:rPr>
                <w:sz w:val="20"/>
                <w:szCs w:val="20"/>
                <w:color w:val="auto"/>
              </w:rPr>
            </w:pPr>
            <w:r>
              <w:rPr>
                <w:rFonts w:ascii="Arial" w:cs="Arial" w:eastAsia="Arial" w:hAnsi="Arial"/>
                <w:sz w:val="18"/>
                <w:szCs w:val="18"/>
                <w:b w:val="1"/>
                <w:bCs w:val="1"/>
                <w:color w:val="auto"/>
              </w:rPr>
              <w:t>$199,833</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$140,925</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Cash provided by operating activities was $4.2 million for the first quarter of 2013, compared to a use of $ 42.7 million in the same period last year. Cash flow was heavily influenced by contributions to pension plans, which is included in Changes in long-term liabilities, deferred taxes and other credits in the above table. As part of the Company’s plan to fund or settle part of our pension liabilities in the U.S., Canada, and Sweden, in the first quarter of 2012, $30 million of cash was used to settle Swedish pension liabilities and we contributed $30 million to the U.S. pension plan.</w:t>
      </w:r>
    </w:p>
    <w:p>
      <w:pPr>
        <w:spacing w:after="0" w:line="95" w:lineRule="exact"/>
        <w:rPr>
          <w:sz w:val="20"/>
          <w:szCs w:val="20"/>
          <w:color w:val="auto"/>
        </w:rPr>
      </w:pPr>
    </w:p>
    <w:p>
      <w:pPr>
        <w:ind w:right="580" w:firstLine="360"/>
        <w:spacing w:after="0"/>
        <w:rPr>
          <w:sz w:val="20"/>
          <w:szCs w:val="20"/>
          <w:color w:val="auto"/>
        </w:rPr>
      </w:pPr>
      <w:r>
        <w:rPr>
          <w:rFonts w:ascii="Arial" w:cs="Arial" w:eastAsia="Arial" w:hAnsi="Arial"/>
          <w:sz w:val="18"/>
          <w:szCs w:val="18"/>
          <w:color w:val="auto"/>
        </w:rPr>
        <w:t>Changes in working capital resulted in a use of $ 22.3 million in 2013, principally resulting from the payment of year-end accruals, compared to a favorable cash flow of $10.3 million in the first quarter of 2012 that resulted primarily from favorable timing of certain cash payments.</w:t>
      </w:r>
    </w:p>
    <w:p>
      <w:pPr>
        <w:spacing w:after="0" w:line="95"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At March 31, 2013, we had $199.8 million of cash and cash equivalents, of which $173.6 million was held by subsidiaries outside of the United States. As disclosed in the Notes to Consolidated Financial Statements, we determined that all but $ 19.4 million of this amount (which represents the amount of 2012 earnings expected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2" w:name="page33"/>
    <w:bookmarkEnd w:id="32"/>
    <w:p>
      <w:pPr>
        <w:ind w:right="240"/>
        <w:spacing w:after="0" w:line="246" w:lineRule="auto"/>
        <w:rPr>
          <w:sz w:val="20"/>
          <w:szCs w:val="20"/>
          <w:color w:val="auto"/>
        </w:rPr>
      </w:pPr>
      <w:r>
        <w:rPr>
          <w:rFonts w:ascii="Arial" w:cs="Arial" w:eastAsia="Arial" w:hAnsi="Arial"/>
          <w:sz w:val="18"/>
          <w:szCs w:val="18"/>
          <w:color w:val="auto"/>
        </w:rPr>
        <w:t>funds were to be needed to fund operations in the U.S., and if associated accruals for U.S. tax have not already been provided, we would be required to accrue and pay additional U.S. taxes to repatriate these funds.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6"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Capital spending for equipment and software was $ 13.3 million for the first quarter of 2013, including $9.2 million for the Engineered Composites segment and its expansion associated with the LEAP program. Depreciation and amortization was $ 15.9 million for the first quarter of 2013, compared to $16.0 million for the same period last year. As we previously stated, we continue to expect that average capital spending, for the entire Company, during the five-year period 2012 to 2016 will be approximately $70 million per year. During the quarter, the Company completed the sale of its production facility in Gosford, Australia, resulting in net proceeds of about $6.3 million.</w:t>
      </w:r>
    </w:p>
    <w:p>
      <w:pPr>
        <w:spacing w:after="0" w:line="95" w:lineRule="exact"/>
        <w:rPr>
          <w:sz w:val="20"/>
          <w:szCs w:val="20"/>
          <w:color w:val="auto"/>
        </w:rPr>
      </w:pPr>
    </w:p>
    <w:p>
      <w:pPr>
        <w:ind w:right="340" w:firstLine="360"/>
        <w:spacing w:after="0" w:line="234" w:lineRule="auto"/>
        <w:rPr>
          <w:sz w:val="20"/>
          <w:szCs w:val="20"/>
          <w:color w:val="auto"/>
        </w:rPr>
      </w:pPr>
      <w:r>
        <w:rPr>
          <w:rFonts w:ascii="Arial" w:cs="Arial" w:eastAsia="Arial" w:hAnsi="Arial"/>
          <w:sz w:val="18"/>
          <w:szCs w:val="18"/>
          <w:color w:val="auto"/>
        </w:rPr>
        <w:t>In January 2012, the Company completed the sale of Albany Door Systems, and in March 2012, we finalized certain postclosing adjustments that increased the sale price by $5 million. As of December 31, 2012, $122 million of the total $135 million sale price had been</w:t>
      </w:r>
    </w:p>
    <w:p>
      <w:pPr>
        <w:spacing w:after="0" w:line="182" w:lineRule="auto"/>
        <w:rPr>
          <w:sz w:val="20"/>
          <w:szCs w:val="20"/>
          <w:color w:val="auto"/>
        </w:rPr>
      </w:pPr>
      <w:r>
        <w:rPr>
          <w:rFonts w:ascii="Arial" w:cs="Arial" w:eastAsia="Arial" w:hAnsi="Arial"/>
          <w:sz w:val="17"/>
          <w:szCs w:val="17"/>
          <w:color w:val="auto"/>
        </w:rPr>
        <w:t>received, with the remainder expected to be received in July 2013. During Q2 2012, the Company completed the sale of PrimaLoft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w:t>
      </w:r>
    </w:p>
    <w:p>
      <w:pPr>
        <w:spacing w:after="0"/>
        <w:rPr>
          <w:sz w:val="20"/>
          <w:szCs w:val="20"/>
          <w:color w:val="auto"/>
        </w:rPr>
      </w:pPr>
      <w:r>
        <w:rPr>
          <w:rFonts w:ascii="Arial" w:cs="Arial" w:eastAsia="Arial" w:hAnsi="Arial"/>
          <w:sz w:val="18"/>
          <w:szCs w:val="18"/>
          <w:color w:val="auto"/>
        </w:rPr>
        <w:t>Of the $38 million sale price, $34 million was received in June, with the remainder expected to be received in December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6"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The dividend declared in the fourth quarter of 2012 was also paid during that quarter which resulted in two dividend payments during the fourth quarter of 2012, and no cash payments for dividends during the first quarter of 2013.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ind w:right="220" w:firstLine="360"/>
        <w:spacing w:after="0" w:line="238"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2013 was held by non-U.S. subsidiaries. Based on cash on hand and credit facilities, we anticipate that the Company has sufficient capital resources to operate for the foreseeable future. We were in compliance with all debt covenants as of March 31, 2013.</w:t>
      </w:r>
    </w:p>
    <w:p>
      <w:pPr>
        <w:spacing w:after="0" w:line="95" w:lineRule="exact"/>
        <w:rPr>
          <w:sz w:val="20"/>
          <w:szCs w:val="20"/>
          <w:color w:val="auto"/>
        </w:rPr>
      </w:pPr>
    </w:p>
    <w:p>
      <w:pPr>
        <w:ind w:right="60" w:firstLine="360"/>
        <w:spacing w:after="0" w:line="239" w:lineRule="auto"/>
        <w:rPr>
          <w:sz w:val="20"/>
          <w:szCs w:val="20"/>
          <w:color w:val="auto"/>
        </w:rPr>
      </w:pPr>
      <w:r>
        <w:rPr>
          <w:rFonts w:ascii="Arial" w:cs="Arial" w:eastAsia="Arial" w:hAnsi="Arial"/>
          <w:sz w:val="18"/>
          <w:szCs w:val="18"/>
          <w:color w:val="auto"/>
        </w:rPr>
        <w:t>On March 26, 2013, we entered into a $330 million, unsecured Five-Year Revolving Credit Facility Agreement (the "New Agreement"), under which $176 million of borrowings were outstanding as of March 31, 2013. The New Agreement replaces the previous $390 million five-year facility agreement entered into in 2010. The applicable interest rate for borrowings under the New Agreement, as well as under the former agreement, is LIBOR plus a spread, based on our leverage ratio at the time of borrowing.</w:t>
      </w:r>
    </w:p>
    <w:p>
      <w:pPr>
        <w:spacing w:after="0" w:line="94" w:lineRule="exact"/>
        <w:rPr>
          <w:sz w:val="20"/>
          <w:szCs w:val="20"/>
          <w:color w:val="auto"/>
        </w:rPr>
      </w:pPr>
    </w:p>
    <w:p>
      <w:pPr>
        <w:jc w:val="both"/>
        <w:ind w:right="60" w:firstLine="360"/>
        <w:spacing w:after="0"/>
        <w:rPr>
          <w:sz w:val="20"/>
          <w:szCs w:val="20"/>
          <w:color w:val="auto"/>
        </w:rPr>
      </w:pPr>
      <w:r>
        <w:rPr>
          <w:rFonts w:ascii="Arial" w:cs="Arial" w:eastAsia="Arial" w:hAnsi="Arial"/>
          <w:sz w:val="18"/>
          <w:szCs w:val="18"/>
          <w:color w:val="auto"/>
        </w:rPr>
        <w:t>In March 2013, the Company amended and extended its revolving credit agreement and also amended its note agreement with Prudential to conform it to the new revolving credit agreement. The total cost for the amendments was $1.6 million. At March 2013 debt levels, the annual savings in interest and associated fees resulting from improved terms of the new agreement would be approximately $1.9 million.</w:t>
      </w:r>
    </w:p>
    <w:p>
      <w:pPr>
        <w:spacing w:after="0" w:line="95" w:lineRule="exact"/>
        <w:rPr>
          <w:sz w:val="20"/>
          <w:szCs w:val="20"/>
          <w:color w:val="auto"/>
        </w:rPr>
      </w:pPr>
    </w:p>
    <w:p>
      <w:pPr>
        <w:jc w:val="both"/>
        <w:ind w:firstLine="360"/>
        <w:spacing w:after="0" w:line="239" w:lineRule="auto"/>
        <w:rPr>
          <w:sz w:val="20"/>
          <w:szCs w:val="20"/>
          <w:color w:val="auto"/>
        </w:rPr>
      </w:pPr>
      <w:r>
        <w:rPr>
          <w:rFonts w:ascii="Arial" w:cs="Arial" w:eastAsia="Arial" w:hAnsi="Arial"/>
          <w:sz w:val="18"/>
          <w:szCs w:val="18"/>
          <w:color w:val="auto"/>
        </w:rPr>
        <w:t>Our ability to borrow additional amounts under the New Agreement is conditional upon the absence of any defaults, as well as the absence of any material adverse change. Based on our maximum leverage ratio and our consolidated EBITDA (as defined in the credit agreement), and without modification to any other credit agreements, as of March 31, 2013 we would have been able to borrow an additional $154 million under the New Agreement.</w:t>
      </w:r>
    </w:p>
    <w:p>
      <w:pPr>
        <w:spacing w:after="0" w:line="94" w:lineRule="exact"/>
        <w:rPr>
          <w:sz w:val="20"/>
          <w:szCs w:val="20"/>
          <w:color w:val="auto"/>
        </w:rPr>
      </w:pPr>
    </w:p>
    <w:p>
      <w:pPr>
        <w:ind w:right="40" w:firstLine="360"/>
        <w:spacing w:after="0" w:line="239" w:lineRule="auto"/>
        <w:rPr>
          <w:sz w:val="20"/>
          <w:szCs w:val="20"/>
          <w:color w:val="auto"/>
        </w:rPr>
      </w:pPr>
      <w:r>
        <w:rPr>
          <w:rFonts w:ascii="Arial" w:cs="Arial" w:eastAsia="Arial" w:hAnsi="Arial"/>
          <w:sz w:val="18"/>
          <w:szCs w:val="18"/>
          <w:color w:val="auto"/>
        </w:rPr>
        <w:t>On July 16, 2010, we entered into interest rate hedging transactions that have the effect of fixing the LIBOR portion of the effective interest rate (before addition of the spread) on $105 million of the indebtedness drawn under the 2010 agreement at the rate of 2.04% for the next five years. Under the terms of these transactions, we pay the fixed rate of 2.04% and the counterparties pay a floating rate based on the three-month LIBOR rate at each quarterly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3" w:name="page34"/>
    <w:bookmarkEnd w:id="33"/>
    <w:p>
      <w:pPr>
        <w:jc w:val="both"/>
        <w:ind w:right="380"/>
        <w:spacing w:after="0" w:line="239" w:lineRule="auto"/>
        <w:rPr>
          <w:sz w:val="20"/>
          <w:szCs w:val="20"/>
          <w:color w:val="auto"/>
        </w:rPr>
      </w:pPr>
      <w:r>
        <w:rPr>
          <w:rFonts w:ascii="Arial" w:cs="Arial" w:eastAsia="Arial" w:hAnsi="Arial"/>
          <w:sz w:val="18"/>
          <w:szCs w:val="18"/>
          <w:color w:val="auto"/>
        </w:rPr>
        <w:t>calculation date, which on January 16, 2013 was 0.31%. The net effect is to fix the effective interest rate on $105 million of indebtedness at 2.04%, plus the applicable spread, until these swap agreements expire on July 16, 2015. As of March 31, 2013, the all-in rate on this $ 105 million of debt was 3.415%. This interest rate swap is accounted for as a hedge of future cash flows, as further described in Note 14 of the Notes to Consolidated Financial Statements.</w:t>
      </w:r>
    </w:p>
    <w:p>
      <w:pPr>
        <w:spacing w:after="0" w:line="94" w:lineRule="exact"/>
        <w:rPr>
          <w:sz w:val="20"/>
          <w:szCs w:val="20"/>
          <w:color w:val="auto"/>
        </w:rPr>
      </w:pPr>
    </w:p>
    <w:p>
      <w:pPr>
        <w:ind w:right="240" w:firstLine="360"/>
        <w:spacing w:after="0"/>
        <w:rPr>
          <w:sz w:val="20"/>
          <w:szCs w:val="20"/>
          <w:color w:val="auto"/>
        </w:rPr>
      </w:pPr>
      <w:r>
        <w:rPr>
          <w:rFonts w:ascii="Arial" w:cs="Arial" w:eastAsia="Arial" w:hAnsi="Arial"/>
          <w:sz w:val="18"/>
          <w:szCs w:val="18"/>
          <w:color w:val="auto"/>
        </w:rPr>
        <w:t>We have a $150.0 million borrowing from the Prudential Insurance Company of America, for which the agreement was amended and restated during 2013. The principal is due in three installments of $50.0 million each in 2013, 2015, and 2017, and the interest rate is fixed at 6.84%.</w:t>
      </w:r>
    </w:p>
    <w:p>
      <w:pPr>
        <w:spacing w:after="0" w:line="95" w:lineRule="exact"/>
        <w:rPr>
          <w:sz w:val="20"/>
          <w:szCs w:val="20"/>
          <w:color w:val="auto"/>
        </w:rPr>
      </w:pPr>
    </w:p>
    <w:p>
      <w:pPr>
        <w:ind w:right="360" w:firstLine="360"/>
        <w:spacing w:after="0" w:line="246" w:lineRule="auto"/>
        <w:rPr>
          <w:sz w:val="20"/>
          <w:szCs w:val="20"/>
          <w:color w:val="auto"/>
        </w:rPr>
      </w:pPr>
      <w:r>
        <w:rPr>
          <w:rFonts w:ascii="Arial" w:cs="Arial" w:eastAsia="Arial" w:hAnsi="Arial"/>
          <w:sz w:val="18"/>
          <w:szCs w:val="18"/>
          <w:color w:val="auto"/>
        </w:rPr>
        <w:t>We are currently required to maintain a leverage ratio of not greater than 3.50 to 1.00 and a minimum interest coverage of 3.00 to 1.00 under the credit agreement and Prudential agreement.</w:t>
      </w:r>
    </w:p>
    <w:p>
      <w:pPr>
        <w:spacing w:after="0" w:line="89" w:lineRule="exact"/>
        <w:rPr>
          <w:sz w:val="20"/>
          <w:szCs w:val="20"/>
          <w:color w:val="auto"/>
        </w:rPr>
      </w:pPr>
    </w:p>
    <w:p>
      <w:pPr>
        <w:jc w:val="both"/>
        <w:ind w:right="640" w:firstLine="360"/>
        <w:spacing w:after="0"/>
        <w:rPr>
          <w:sz w:val="20"/>
          <w:szCs w:val="20"/>
          <w:color w:val="auto"/>
        </w:rPr>
      </w:pPr>
      <w:r>
        <w:rPr>
          <w:rFonts w:ascii="Arial" w:cs="Arial" w:eastAsia="Arial" w:hAnsi="Arial"/>
          <w:sz w:val="18"/>
          <w:szCs w:val="18"/>
          <w:color w:val="auto"/>
        </w:rPr>
        <w:t>As of March 31, 2013, our leverage ratio was 1.36 to 1.00 and our interest coverage ratio was 11.16 to 1.00. We may purchase our Common Stock or pay dividends to the extent our leverage ratio remains at or below 3.50 to 1.00, and may make acquisitions with cash provided our leverage ratio would not exceed 3.00 to 1.00 after giving pro forma effect to the acquisition.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15, 2013, the Company redeemed, at 100 percent of par, all remaining 2.25% Convertible Senior Notes due 2026 (the “Notes”).</w:t>
      </w:r>
    </w:p>
    <w:p>
      <w:pPr>
        <w:spacing w:after="0"/>
        <w:rPr>
          <w:sz w:val="20"/>
          <w:szCs w:val="20"/>
          <w:color w:val="auto"/>
        </w:rPr>
      </w:pPr>
      <w:r>
        <w:rPr>
          <w:rFonts w:ascii="Arial" w:cs="Arial" w:eastAsia="Arial" w:hAnsi="Arial"/>
          <w:sz w:val="18"/>
          <w:szCs w:val="18"/>
          <w:color w:val="auto"/>
        </w:rPr>
        <w:t>The cash payments of $28.4 million were funded by increased borrowings under the Revolving Credit Facility.</w:t>
      </w:r>
    </w:p>
    <w:p>
      <w:pPr>
        <w:spacing w:after="0" w:line="104" w:lineRule="exact"/>
        <w:rPr>
          <w:sz w:val="20"/>
          <w:szCs w:val="20"/>
          <w:color w:val="auto"/>
        </w:rPr>
      </w:pPr>
    </w:p>
    <w:p>
      <w:pPr>
        <w:ind w:firstLine="360"/>
        <w:spacing w:after="0" w:line="238" w:lineRule="auto"/>
        <w:rPr>
          <w:sz w:val="20"/>
          <w:szCs w:val="20"/>
          <w:color w:val="auto"/>
        </w:rPr>
      </w:pPr>
      <w:r>
        <w:rPr>
          <w:rFonts w:ascii="Arial" w:cs="Arial" w:eastAsia="Arial" w:hAnsi="Arial"/>
          <w:sz w:val="18"/>
          <w:szCs w:val="18"/>
          <w:color w:val="auto"/>
        </w:rPr>
        <w:t>In connection with the sale of the Notes, we entered into hedge and warrant transactions with respect to our Class A common stock. These transactions were intended to reduce the potential dilution upon conversion of the Notes by providing us with the option, subject to certain exceptions, to acquire shares in an amount equal to the number of shares that we would be required to deliver upon conversion of the Notes. These transactions had the economic effect to the Company of increasing the conversion price of the Notes to $52.25 per share. The Notes hedge and warrant transactions had a net cost of $14.7 million. The hedge transactions expired on March 15, 2013.</w:t>
      </w:r>
    </w:p>
    <w:p>
      <w:pPr>
        <w:spacing w:after="0" w:line="95" w:lineRule="exact"/>
        <w:rPr>
          <w:sz w:val="20"/>
          <w:szCs w:val="20"/>
          <w:color w:val="auto"/>
        </w:rPr>
      </w:pPr>
    </w:p>
    <w:p>
      <w:pPr>
        <w:ind w:right="60" w:firstLine="360"/>
        <w:spacing w:after="0" w:line="236" w:lineRule="auto"/>
        <w:rPr>
          <w:sz w:val="20"/>
          <w:szCs w:val="20"/>
          <w:color w:val="auto"/>
        </w:rPr>
      </w:pPr>
      <w:r>
        <w:rPr>
          <w:rFonts w:ascii="Arial" w:cs="Arial" w:eastAsia="Arial" w:hAnsi="Arial"/>
          <w:sz w:val="18"/>
          <w:szCs w:val="18"/>
          <w:color w:val="auto"/>
        </w:rPr>
        <w:t>Pursuant to the warrant transactions, we sold a total of 4.1 million warrants, each exercisable to buy a single share of Class A common stock at an initial strike price of $52.25 per share. The warrants are American-style warrants (exercisable at any time), and expire over a period of sixty trading days beginning on June 15, 2013. If the warrants are exercised when they expire, we may choose either net cash or net share settlement. If the warrants are exercised before they expire, they must be net share settled. If we elect to net cash settle the warrants, we will pay cash in an amount equal to, for each exercise of warrants, (i) the number of warrants exercised multiplied by (ii) the excess of the volume weighted average price of our Class A common stock on the expiration date of such warrants (the “settlement price”) over the strike price. Under net share settlement, we will deliver to the warrant holders a number of shares of our Class A common stock equal to, for each exercise of warrants, the amount payable upon net cash settlement divided by the settlement price.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2013, we have no off-balance sheet arrangements required to be disclosed pursuant to Item 303(a)(4) of Regulation S-K.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ind w:right="380" w:firstLine="360"/>
        <w:spacing w:after="0"/>
        <w:rPr>
          <w:sz w:val="20"/>
          <w:szCs w:val="20"/>
          <w:color w:val="auto"/>
        </w:rPr>
      </w:pPr>
      <w:r>
        <w:rPr>
          <w:rFonts w:ascii="Arial" w:cs="Arial" w:eastAsia="Arial" w:hAnsi="Arial"/>
          <w:sz w:val="18"/>
          <w:szCs w:val="18"/>
          <w:color w:val="auto"/>
        </w:rPr>
        <w:t>In February 2013, the Financial Accounting Standards Board (FASB) issued ASU 2013-02 which requires enhanced disclosures about changes in Accumulated Other Comprehensive Income. We adopted these provisions in the first quarter of 2013 by adding a Note to the Consolidated Financial Statements that provides the additional disclosures.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4" w:name="page35"/>
    <w:bookmarkEnd w:id="34"/>
    <w:p>
      <w:pPr>
        <w:ind w:firstLine="360"/>
        <w:spacing w:after="0" w:line="238" w:lineRule="auto"/>
        <w:rPr>
          <w:sz w:val="20"/>
          <w:szCs w:val="20"/>
          <w:color w:val="auto"/>
        </w:rPr>
      </w:pPr>
      <w:r>
        <w:rPr>
          <w:rFonts w:ascii="Arial" w:cs="Arial" w:eastAsia="Arial" w:hAnsi="Arial"/>
          <w:sz w:val="18"/>
          <w:szCs w:val="18"/>
          <w:color w:val="auto"/>
        </w:rPr>
        <w:t>In the first quarter of 2013, the Company adopted the provisions of ASU 2013-01 which requires enhanced disclosures of the effect or potential effect of netting arrangements on an entity’s financial position. This includes the effect or potential effect of rights of setoff associated with an entity’s recognized assets and recognized liabilities within the scope of this Update. The Company has an interest rate swap agreement that is within the scope of Update and we have added additional disclosure in the Notes to Consolidated Financial Statements about the offsetting asset and liability components of that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ind w:right="160" w:firstLine="360"/>
        <w:spacing w:after="0" w:line="236" w:lineRule="auto"/>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effective income tax rate exclusive of income tax adjustments, net debt,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performance, especially when compared to periods in which such items had a greater or lesser effect, or no effect. All non-GAAP financial measures in this report relate to the Company’s continuing operations.</w:t>
      </w:r>
    </w:p>
    <w:p>
      <w:pPr>
        <w:spacing w:after="0" w:line="99" w:lineRule="exact"/>
        <w:rPr>
          <w:sz w:val="20"/>
          <w:szCs w:val="20"/>
          <w:color w:val="auto"/>
        </w:rPr>
      </w:pPr>
    </w:p>
    <w:p>
      <w:pPr>
        <w:ind w:right="80" w:firstLine="360"/>
        <w:spacing w:after="0" w:line="235"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its effective Income tax rate, exclusive of Income tax adjustments, by removing discrete Income tax adjustments from total Income tax expense, then dividing that result by Income before tax. The Company calculates EBITDA by adding Interest expense net, Income taxes, Depreciation and Amortization to Net income. Adjusted EBITDA is calculated by adding EBITDA, costs associated with restructuring and pension settlement charges, and then adding or subtracting revaluation losses or gains and subtracting building sale gains.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 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pension settlement charges, and building sale gains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Statements of Income.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5" w:name="page36"/>
    <w:bookmarkEnd w:id="35"/>
    <w:p>
      <w:pPr>
        <w:ind w:right="140" w:firstLine="360"/>
        <w:spacing w:after="0" w:line="246" w:lineRule="auto"/>
        <w:rPr>
          <w:sz w:val="20"/>
          <w:szCs w:val="20"/>
          <w:color w:val="auto"/>
        </w:rPr>
      </w:pPr>
      <w:r>
        <w:rPr>
          <w:rFonts w:ascii="Arial" w:cs="Arial" w:eastAsia="Arial" w:hAnsi="Arial"/>
          <w:sz w:val="18"/>
          <w:szCs w:val="18"/>
          <w:color w:val="auto"/>
        </w:rPr>
        <w:t>The following tables show the calculation of EBITDA, Adjusted EBITDA excluding restructuring charges, currency revaluation effects, and gains from the sale of buildings and pension settlement charges: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Three months ended March 31, 2013</w:t>
            </w:r>
          </w:p>
        </w:tc>
        <w:tc>
          <w:tcPr>
            <w:tcW w:w="210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color w:val="auto"/>
              </w:rPr>
              <w:t>Machine</w:t>
            </w:r>
          </w:p>
        </w:tc>
        <w:tc>
          <w:tcPr>
            <w:tcW w:w="14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Research and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210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Clothing</w:t>
            </w:r>
          </w:p>
        </w:tc>
        <w:tc>
          <w:tcPr>
            <w:tcW w:w="148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AEC</w:t>
            </w:r>
          </w:p>
        </w:tc>
        <w:tc>
          <w:tcPr>
            <w:tcW w:w="190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Unallocated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Income/(loss) from continuing operations</w:t>
            </w:r>
          </w:p>
        </w:tc>
        <w:tc>
          <w:tcPr>
            <w:tcW w:w="2100" w:type="dxa"/>
            <w:vAlign w:val="bottom"/>
            <w:tcBorders>
              <w:top w:val="single" w:sz="8" w:color="auto"/>
            </w:tcBorders>
          </w:tcPr>
          <w:p>
            <w:pPr>
              <w:jc w:val="right"/>
              <w:ind w:right="530"/>
              <w:spacing w:after="0" w:line="195" w:lineRule="exact"/>
              <w:rPr>
                <w:sz w:val="20"/>
                <w:szCs w:val="20"/>
                <w:color w:val="auto"/>
              </w:rPr>
            </w:pPr>
            <w:r>
              <w:rPr>
                <w:rFonts w:ascii="Arial" w:cs="Arial" w:eastAsia="Arial" w:hAnsi="Arial"/>
                <w:sz w:val="18"/>
                <w:szCs w:val="18"/>
                <w:color w:val="auto"/>
              </w:rPr>
              <w:t>$42,908</w:t>
            </w:r>
          </w:p>
        </w:tc>
        <w:tc>
          <w:tcPr>
            <w:tcW w:w="148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($2,063)</w:t>
            </w:r>
          </w:p>
        </w:tc>
        <w:tc>
          <w:tcPr>
            <w:tcW w:w="19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($29,334)</w:t>
            </w:r>
          </w:p>
        </w:tc>
        <w:tc>
          <w:tcPr>
            <w:tcW w:w="122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$11,511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 net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4,025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Income tax expense/(benefit)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6,248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Depreciation and amortization</w:t>
            </w:r>
          </w:p>
        </w:tc>
        <w:tc>
          <w:tcPr>
            <w:tcW w:w="21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11,561</w:t>
            </w:r>
          </w:p>
        </w:tc>
        <w:tc>
          <w:tcPr>
            <w:tcW w:w="1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1,701</w:t>
            </w:r>
          </w:p>
        </w:tc>
        <w:tc>
          <w:tcPr>
            <w:tcW w:w="19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2,612</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Pr>
          <w:p>
            <w:pPr>
              <w:ind w:left="80"/>
              <w:spacing w:after="0" w:line="195" w:lineRule="exact"/>
              <w:rPr>
                <w:sz w:val="20"/>
                <w:szCs w:val="20"/>
                <w:color w:val="auto"/>
              </w:rPr>
            </w:pPr>
            <w:r>
              <w:rPr>
                <w:rFonts w:ascii="Arial" w:cs="Arial" w:eastAsia="Arial" w:hAnsi="Arial"/>
                <w:sz w:val="18"/>
                <w:szCs w:val="18"/>
                <w:color w:val="auto"/>
              </w:rPr>
              <w:t>EBITDA</w:t>
            </w:r>
          </w:p>
        </w:tc>
        <w:tc>
          <w:tcPr>
            <w:tcW w:w="21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54,469</w:t>
            </w:r>
          </w:p>
        </w:tc>
        <w:tc>
          <w:tcPr>
            <w:tcW w:w="14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(362)</w:t>
            </w:r>
          </w:p>
        </w:tc>
        <w:tc>
          <w:tcPr>
            <w:tcW w:w="19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(16,449)</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Restructuring and other, net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193</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443</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revaluation losses/(gains)</w:t>
            </w:r>
          </w:p>
        </w:tc>
        <w:tc>
          <w:tcPr>
            <w:tcW w:w="21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(743)</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11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(Gain) on sale of former manufacturing facilities</w:t>
            </w:r>
          </w:p>
        </w:tc>
        <w:tc>
          <w:tcPr>
            <w:tcW w:w="21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(3,763)</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Adjusted EBITDA</w:t>
            </w:r>
          </w:p>
        </w:tc>
        <w:tc>
          <w:tcPr>
            <w:tcW w:w="21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$53,919</w:t>
            </w:r>
          </w:p>
        </w:tc>
        <w:tc>
          <w:tcPr>
            <w:tcW w:w="1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$81</w:t>
            </w:r>
          </w:p>
        </w:tc>
        <w:tc>
          <w:tcPr>
            <w:tcW w:w="19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($20,201)</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$33,799</w:t>
            </w:r>
          </w:p>
        </w:tc>
        <w:tc>
          <w:tcPr>
            <w:tcW w:w="0" w:type="dxa"/>
            <w:vAlign w:val="bottom"/>
          </w:tcPr>
          <w:p>
            <w:pPr>
              <w:spacing w:after="0"/>
              <w:rPr>
                <w:sz w:val="1"/>
                <w:szCs w:val="1"/>
                <w:color w:val="auto"/>
              </w:rPr>
            </w:pPr>
          </w:p>
        </w:tc>
      </w:tr>
      <w:tr>
        <w:trPr>
          <w:trHeight w:val="196"/>
        </w:trPr>
        <w:tc>
          <w:tcPr>
            <w:tcW w:w="472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March 31, 2012</w:t>
            </w:r>
          </w:p>
        </w:tc>
        <w:tc>
          <w:tcPr>
            <w:tcW w:w="210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color w:val="auto"/>
              </w:rPr>
              <w:t>Machine</w:t>
            </w:r>
          </w:p>
        </w:tc>
        <w:tc>
          <w:tcPr>
            <w:tcW w:w="14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Research and</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3" w:lineRule="exact"/>
              <w:rPr>
                <w:sz w:val="20"/>
                <w:szCs w:val="20"/>
                <w:color w:val="auto"/>
              </w:rPr>
            </w:pPr>
            <w:r>
              <w:rPr>
                <w:rFonts w:ascii="Arial" w:cs="Arial" w:eastAsia="Arial" w:hAnsi="Arial"/>
                <w:sz w:val="18"/>
                <w:szCs w:val="18"/>
                <w:color w:val="auto"/>
              </w:rPr>
              <w:t>(in thousands)</w:t>
            </w:r>
          </w:p>
        </w:tc>
        <w:tc>
          <w:tcPr>
            <w:tcW w:w="2100" w:type="dxa"/>
            <w:vAlign w:val="bottom"/>
          </w:tcPr>
          <w:p>
            <w:pPr>
              <w:jc w:val="right"/>
              <w:ind w:right="410"/>
              <w:spacing w:after="0" w:line="203" w:lineRule="exact"/>
              <w:rPr>
                <w:sz w:val="20"/>
                <w:szCs w:val="20"/>
                <w:color w:val="auto"/>
              </w:rPr>
            </w:pPr>
            <w:r>
              <w:rPr>
                <w:rFonts w:ascii="Arial" w:cs="Arial" w:eastAsia="Arial" w:hAnsi="Arial"/>
                <w:sz w:val="18"/>
                <w:szCs w:val="18"/>
                <w:color w:val="auto"/>
              </w:rPr>
              <w:t>Clothing</w:t>
            </w:r>
          </w:p>
        </w:tc>
        <w:tc>
          <w:tcPr>
            <w:tcW w:w="148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AEC</w:t>
            </w:r>
          </w:p>
        </w:tc>
        <w:tc>
          <w:tcPr>
            <w:tcW w:w="190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Unallocated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Income/(loss) from continuing operations</w:t>
            </w:r>
          </w:p>
        </w:tc>
        <w:tc>
          <w:tcPr>
            <w:tcW w:w="2100" w:type="dxa"/>
            <w:vAlign w:val="bottom"/>
            <w:tcBorders>
              <w:top w:val="single" w:sz="8" w:color="auto"/>
            </w:tcBorders>
          </w:tcPr>
          <w:p>
            <w:pPr>
              <w:jc w:val="right"/>
              <w:ind w:right="530"/>
              <w:spacing w:after="0" w:line="195" w:lineRule="exact"/>
              <w:rPr>
                <w:sz w:val="20"/>
                <w:szCs w:val="20"/>
                <w:color w:val="auto"/>
              </w:rPr>
            </w:pPr>
            <w:r>
              <w:rPr>
                <w:rFonts w:ascii="Arial" w:cs="Arial" w:eastAsia="Arial" w:hAnsi="Arial"/>
                <w:sz w:val="18"/>
                <w:szCs w:val="18"/>
                <w:color w:val="auto"/>
              </w:rPr>
              <w:t>$30,845</w:t>
            </w:r>
          </w:p>
        </w:tc>
        <w:tc>
          <w:tcPr>
            <w:tcW w:w="1480" w:type="dxa"/>
            <w:vAlign w:val="bottom"/>
            <w:tcBorders>
              <w:top w:val="single" w:sz="8" w:color="auto"/>
            </w:tcBorders>
          </w:tcPr>
          <w:p>
            <w:pPr>
              <w:jc w:val="right"/>
              <w:ind w:right="290"/>
              <w:spacing w:after="0" w:line="195" w:lineRule="exact"/>
              <w:rPr>
                <w:sz w:val="20"/>
                <w:szCs w:val="20"/>
                <w:color w:val="auto"/>
              </w:rPr>
            </w:pPr>
            <w:r>
              <w:rPr>
                <w:rFonts w:ascii="Arial" w:cs="Arial" w:eastAsia="Arial" w:hAnsi="Arial"/>
                <w:sz w:val="18"/>
                <w:szCs w:val="18"/>
                <w:color w:val="auto"/>
              </w:rPr>
              <w:t>$29</w:t>
            </w:r>
          </w:p>
        </w:tc>
        <w:tc>
          <w:tcPr>
            <w:tcW w:w="190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($31,003)</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 net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4,644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Income tax expense/(benefit)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(9,972)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Depreciation and amortization</w:t>
            </w:r>
          </w:p>
        </w:tc>
        <w:tc>
          <w:tcPr>
            <w:tcW w:w="21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12,053</w:t>
            </w:r>
          </w:p>
        </w:tc>
        <w:tc>
          <w:tcPr>
            <w:tcW w:w="1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1,405</w:t>
            </w:r>
          </w:p>
        </w:tc>
        <w:tc>
          <w:tcPr>
            <w:tcW w:w="19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2,569</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16,027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00" w:type="dxa"/>
            <w:vAlign w:val="bottom"/>
          </w:tcPr>
          <w:p>
            <w:pPr>
              <w:ind w:left="80"/>
              <w:spacing w:after="0" w:line="195" w:lineRule="exact"/>
              <w:rPr>
                <w:sz w:val="20"/>
                <w:szCs w:val="20"/>
                <w:color w:val="auto"/>
              </w:rPr>
            </w:pPr>
            <w:r>
              <w:rPr>
                <w:rFonts w:ascii="Arial" w:cs="Arial" w:eastAsia="Arial" w:hAnsi="Arial"/>
                <w:sz w:val="18"/>
                <w:szCs w:val="18"/>
                <w:color w:val="auto"/>
              </w:rPr>
              <w:t>EBITDA</w:t>
            </w:r>
          </w:p>
        </w:tc>
        <w:tc>
          <w:tcPr>
            <w:tcW w:w="210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42,898</w:t>
            </w:r>
          </w:p>
        </w:tc>
        <w:tc>
          <w:tcPr>
            <w:tcW w:w="14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1,434</w:t>
            </w:r>
          </w:p>
        </w:tc>
        <w:tc>
          <w:tcPr>
            <w:tcW w:w="190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(33,762)</w:t>
            </w:r>
          </w:p>
        </w:tc>
        <w:tc>
          <w:tcPr>
            <w:tcW w:w="12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Restructuring and other, net</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673</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(415)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ind w:left="80"/>
              <w:spacing w:after="0" w:line="202" w:lineRule="exact"/>
              <w:rPr>
                <w:sz w:val="20"/>
                <w:szCs w:val="20"/>
                <w:color w:val="auto"/>
              </w:rPr>
            </w:pPr>
            <w:r>
              <w:rPr>
                <w:rFonts w:ascii="Arial" w:cs="Arial" w:eastAsia="Arial" w:hAnsi="Arial"/>
                <w:sz w:val="18"/>
                <w:szCs w:val="18"/>
                <w:color w:val="auto"/>
              </w:rPr>
              <w:t>Foreign currency revaluation (gains)/losses</w:t>
            </w:r>
          </w:p>
        </w:tc>
        <w:tc>
          <w:tcPr>
            <w:tcW w:w="21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1,766</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3,834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(Gain) on sale of former manufacturing facilities</w:t>
            </w:r>
          </w:p>
        </w:tc>
        <w:tc>
          <w:tcPr>
            <w:tcW w:w="210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9,175</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Adjusted EBITDA</w:t>
            </w:r>
          </w:p>
        </w:tc>
        <w:tc>
          <w:tcPr>
            <w:tcW w:w="21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$45,337</w:t>
            </w:r>
          </w:p>
        </w:tc>
        <w:tc>
          <w:tcPr>
            <w:tcW w:w="1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$1,434</w:t>
            </w:r>
          </w:p>
        </w:tc>
        <w:tc>
          <w:tcPr>
            <w:tcW w:w="19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($21,168)</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$25,603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We disclose certain income and expense items on a per share basis. We believe that such disclosures provide important insight into the underlying quarterly earnings and are financial performance metrics commonly used by investors. We calculate the per share amount for items included in continuing operations by using the effective tax rate for the most recent quarterly period, the full year tax rate for the comparable quarter of the prior year, and the weighted average number of shares outstanding for each period.</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March 31, 2013</w:t>
            </w:r>
          </w:p>
        </w:tc>
        <w:tc>
          <w:tcPr>
            <w:tcW w:w="14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Pre tax</w:t>
            </w:r>
          </w:p>
        </w:tc>
        <w:tc>
          <w:tcPr>
            <w:tcW w:w="1700" w:type="dxa"/>
            <w:vAlign w:val="bottom"/>
            <w:tcBorders>
              <w:top w:val="single" w:sz="8" w:color="auto"/>
            </w:tcBorders>
          </w:tcPr>
          <w:p>
            <w:pPr>
              <w:jc w:val="right"/>
              <w:ind w:right="611"/>
              <w:spacing w:after="0"/>
              <w:rPr>
                <w:sz w:val="20"/>
                <w:szCs w:val="20"/>
                <w:color w:val="auto"/>
              </w:rPr>
            </w:pPr>
            <w:r>
              <w:rPr>
                <w:rFonts w:ascii="Arial" w:cs="Arial" w:eastAsia="Arial" w:hAnsi="Arial"/>
                <w:sz w:val="18"/>
                <w:szCs w:val="18"/>
                <w:color w:val="auto"/>
              </w:rPr>
              <w:t>Tax</w:t>
            </w:r>
          </w:p>
        </w:tc>
        <w:tc>
          <w:tcPr>
            <w:tcW w:w="14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After tax</w:t>
            </w:r>
          </w:p>
        </w:tc>
        <w:tc>
          <w:tcPr>
            <w:tcW w:w="15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Shares</w:t>
            </w: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 Share</w:t>
            </w:r>
          </w:p>
        </w:tc>
      </w:tr>
      <w:tr>
        <w:trPr>
          <w:trHeight w:val="203"/>
        </w:trPr>
        <w:tc>
          <w:tcPr>
            <w:tcW w:w="40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14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Amounts</w:t>
            </w:r>
          </w:p>
        </w:tc>
        <w:tc>
          <w:tcPr>
            <w:tcW w:w="1700" w:type="dxa"/>
            <w:vAlign w:val="bottom"/>
            <w:tcBorders>
              <w:bottom w:val="single" w:sz="8" w:color="auto"/>
            </w:tcBorders>
          </w:tcPr>
          <w:p>
            <w:pPr>
              <w:jc w:val="right"/>
              <w:ind w:right="511"/>
              <w:spacing w:after="0" w:line="203" w:lineRule="exact"/>
              <w:rPr>
                <w:sz w:val="20"/>
                <w:szCs w:val="20"/>
                <w:color w:val="auto"/>
              </w:rPr>
            </w:pPr>
            <w:r>
              <w:rPr>
                <w:rFonts w:ascii="Arial" w:cs="Arial" w:eastAsia="Arial" w:hAnsi="Arial"/>
                <w:sz w:val="18"/>
                <w:szCs w:val="18"/>
                <w:color w:val="auto"/>
              </w:rPr>
              <w:t>Effect</w:t>
            </w:r>
          </w:p>
        </w:tc>
        <w:tc>
          <w:tcPr>
            <w:tcW w:w="14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Effect</w:t>
            </w:r>
          </w:p>
        </w:tc>
        <w:tc>
          <w:tcPr>
            <w:tcW w:w="15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4080" w:type="dxa"/>
            <w:vAlign w:val="bottom"/>
          </w:tcPr>
          <w:p>
            <w:pPr>
              <w:ind w:left="100"/>
              <w:spacing w:after="0" w:line="195" w:lineRule="exact"/>
              <w:rPr>
                <w:sz w:val="20"/>
                <w:szCs w:val="20"/>
                <w:color w:val="auto"/>
              </w:rPr>
            </w:pPr>
            <w:r>
              <w:rPr>
                <w:rFonts w:ascii="Arial" w:cs="Arial" w:eastAsia="Arial" w:hAnsi="Arial"/>
                <w:sz w:val="18"/>
                <w:szCs w:val="18"/>
                <w:color w:val="auto"/>
              </w:rPr>
              <w:t>Restructuring and other, net</w:t>
            </w:r>
          </w:p>
        </w:tc>
        <w:tc>
          <w:tcPr>
            <w:tcW w:w="14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$636</w:t>
            </w:r>
          </w:p>
        </w:tc>
        <w:tc>
          <w:tcPr>
            <w:tcW w:w="1700" w:type="dxa"/>
            <w:vAlign w:val="bottom"/>
          </w:tcPr>
          <w:p>
            <w:pPr>
              <w:jc w:val="right"/>
              <w:ind w:right="231"/>
              <w:spacing w:after="0" w:line="195" w:lineRule="exact"/>
              <w:rPr>
                <w:sz w:val="20"/>
                <w:szCs w:val="20"/>
                <w:color w:val="auto"/>
              </w:rPr>
            </w:pPr>
            <w:r>
              <w:rPr>
                <w:rFonts w:ascii="Arial" w:cs="Arial" w:eastAsia="Arial" w:hAnsi="Arial"/>
                <w:sz w:val="18"/>
                <w:szCs w:val="18"/>
                <w:color w:val="auto"/>
              </w:rPr>
              <w:t>$216</w:t>
            </w:r>
          </w:p>
        </w:tc>
        <w:tc>
          <w:tcPr>
            <w:tcW w:w="14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$420</w:t>
            </w:r>
          </w:p>
        </w:tc>
        <w:tc>
          <w:tcPr>
            <w:tcW w:w="15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31,496</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$0.01</w:t>
            </w: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732</w:t>
            </w:r>
          </w:p>
        </w:tc>
        <w:tc>
          <w:tcPr>
            <w:tcW w:w="17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249</w:t>
            </w:r>
          </w:p>
        </w:tc>
        <w:tc>
          <w:tcPr>
            <w:tcW w:w="1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483</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31,496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4080" w:type="dxa"/>
            <w:vAlign w:val="bottom"/>
          </w:tcPr>
          <w:p>
            <w:pPr>
              <w:ind w:left="100"/>
              <w:spacing w:after="0" w:line="202" w:lineRule="exact"/>
              <w:rPr>
                <w:sz w:val="20"/>
                <w:szCs w:val="20"/>
                <w:color w:val="auto"/>
              </w:rPr>
            </w:pPr>
            <w:r>
              <w:rPr>
                <w:rFonts w:ascii="Arial" w:cs="Arial" w:eastAsia="Arial" w:hAnsi="Arial"/>
                <w:sz w:val="18"/>
                <w:szCs w:val="18"/>
                <w:color w:val="auto"/>
              </w:rPr>
              <w:t>Gain on sale of former manufacturing facility</w:t>
            </w: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3,763</w:t>
            </w:r>
          </w:p>
        </w:tc>
        <w:tc>
          <w:tcPr>
            <w:tcW w:w="1700" w:type="dxa"/>
            <w:vAlign w:val="bottom"/>
          </w:tcPr>
          <w:p>
            <w:pPr>
              <w:jc w:val="right"/>
              <w:ind w:right="231"/>
              <w:spacing w:after="0" w:line="202" w:lineRule="exact"/>
              <w:rPr>
                <w:sz w:val="20"/>
                <w:szCs w:val="20"/>
                <w:color w:val="auto"/>
              </w:rPr>
            </w:pPr>
            <w:r>
              <w:rPr>
                <w:rFonts w:ascii="Arial" w:cs="Arial" w:eastAsia="Arial" w:hAnsi="Arial"/>
                <w:sz w:val="18"/>
                <w:szCs w:val="18"/>
                <w:color w:val="auto"/>
              </w:rPr>
              <w:t>1,279</w:t>
            </w:r>
          </w:p>
        </w:tc>
        <w:tc>
          <w:tcPr>
            <w:tcW w:w="1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2,484</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31,496</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0.08</w:t>
            </w:r>
          </w:p>
        </w:tc>
      </w:tr>
      <w:tr>
        <w:trPr>
          <w:trHeight w:val="217"/>
        </w:trPr>
        <w:tc>
          <w:tcPr>
            <w:tcW w:w="4080" w:type="dxa"/>
            <w:vAlign w:val="bottom"/>
          </w:tcPr>
          <w:p>
            <w:pPr>
              <w:ind w:left="100"/>
              <w:spacing w:after="0"/>
              <w:rPr>
                <w:sz w:val="20"/>
                <w:szCs w:val="20"/>
                <w:color w:val="auto"/>
              </w:rPr>
            </w:pPr>
            <w:r>
              <w:rPr>
                <w:rFonts w:ascii="Arial" w:cs="Arial" w:eastAsia="Arial" w:hAnsi="Arial"/>
                <w:sz w:val="18"/>
                <w:szCs w:val="18"/>
                <w:color w:val="auto"/>
              </w:rPr>
              <w:t>Net favorable discrete tax adjustments</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31"/>
              <w:spacing w:after="0"/>
              <w:rPr>
                <w:sz w:val="20"/>
                <w:szCs w:val="20"/>
                <w:color w:val="auto"/>
              </w:rPr>
            </w:pPr>
            <w:r>
              <w:rPr>
                <w:rFonts w:ascii="Arial" w:cs="Arial" w:eastAsia="Arial" w:hAnsi="Arial"/>
                <w:sz w:val="18"/>
                <w:szCs w:val="18"/>
                <w:color w:val="auto"/>
              </w:rPr>
              <w:t>210</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210</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31,496</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602"/>
        </w:trPr>
        <w:tc>
          <w:tcPr>
            <w:tcW w:w="4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jc w:val="right"/>
              <w:ind w:right="1311"/>
              <w:spacing w:after="0"/>
              <w:rPr>
                <w:sz w:val="20"/>
                <w:szCs w:val="20"/>
                <w:color w:val="auto"/>
              </w:rPr>
            </w:pPr>
            <w:r>
              <w:rPr>
                <w:rFonts w:ascii="Arial" w:cs="Arial" w:eastAsia="Arial" w:hAnsi="Arial"/>
                <w:sz w:val="16"/>
                <w:szCs w:val="16"/>
                <w:color w:val="auto"/>
              </w:rPr>
              <w:t>36</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40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679"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Three months ended March 31, 2012</w:t>
            </w:r>
          </w:p>
        </w:tc>
        <w:tc>
          <w:tcPr>
            <w:tcW w:w="18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Pre tax</w:t>
            </w:r>
          </w:p>
        </w:tc>
        <w:tc>
          <w:tcPr>
            <w:tcW w:w="144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Tax</w:t>
            </w:r>
          </w:p>
        </w:tc>
        <w:tc>
          <w:tcPr>
            <w:tcW w:w="14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After tax</w:t>
            </w:r>
          </w:p>
        </w:tc>
        <w:tc>
          <w:tcPr>
            <w:tcW w:w="15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Shares</w:t>
            </w: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 Share</w:t>
            </w:r>
          </w:p>
        </w:tc>
      </w:tr>
      <w:tr>
        <w:trPr>
          <w:trHeight w:val="203"/>
        </w:trPr>
        <w:tc>
          <w:tcPr>
            <w:tcW w:w="39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(in thousands, except per share amounts)</w:t>
            </w:r>
          </w:p>
        </w:tc>
        <w:tc>
          <w:tcPr>
            <w:tcW w:w="1820" w:type="dxa"/>
            <w:vAlign w:val="bottom"/>
            <w:tcBorders>
              <w:bottom w:val="single" w:sz="8" w:color="auto"/>
            </w:tcBorders>
          </w:tcPr>
          <w:p>
            <w:pPr>
              <w:jc w:val="right"/>
              <w:ind w:right="450"/>
              <w:spacing w:after="0" w:line="203" w:lineRule="exact"/>
              <w:rPr>
                <w:sz w:val="20"/>
                <w:szCs w:val="20"/>
                <w:color w:val="auto"/>
              </w:rPr>
            </w:pPr>
            <w:r>
              <w:rPr>
                <w:rFonts w:ascii="Arial" w:cs="Arial" w:eastAsia="Arial" w:hAnsi="Arial"/>
                <w:sz w:val="18"/>
                <w:szCs w:val="18"/>
                <w:color w:val="auto"/>
              </w:rPr>
              <w:t>Amounts</w:t>
            </w:r>
          </w:p>
        </w:tc>
        <w:tc>
          <w:tcPr>
            <w:tcW w:w="1440" w:type="dxa"/>
            <w:vAlign w:val="bottom"/>
            <w:tcBorders>
              <w:bottom w:val="single" w:sz="8" w:color="auto"/>
            </w:tcBorders>
          </w:tcPr>
          <w:p>
            <w:pPr>
              <w:jc w:val="right"/>
              <w:ind w:right="510"/>
              <w:spacing w:after="0" w:line="203" w:lineRule="exact"/>
              <w:rPr>
                <w:sz w:val="20"/>
                <w:szCs w:val="20"/>
                <w:color w:val="auto"/>
              </w:rPr>
            </w:pPr>
            <w:r>
              <w:rPr>
                <w:rFonts w:ascii="Arial" w:cs="Arial" w:eastAsia="Arial" w:hAnsi="Arial"/>
                <w:sz w:val="18"/>
                <w:szCs w:val="18"/>
                <w:color w:val="auto"/>
              </w:rPr>
              <w:t>Effect</w:t>
            </w:r>
          </w:p>
        </w:tc>
        <w:tc>
          <w:tcPr>
            <w:tcW w:w="142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Effect</w:t>
            </w:r>
          </w:p>
        </w:tc>
        <w:tc>
          <w:tcPr>
            <w:tcW w:w="15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Outstanding</w:t>
            </w:r>
          </w:p>
        </w:tc>
        <w:tc>
          <w:tcPr>
            <w:tcW w:w="13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Effect</w:t>
            </w:r>
          </w:p>
        </w:tc>
      </w:tr>
      <w:tr>
        <w:trPr>
          <w:trHeight w:val="195"/>
        </w:trPr>
        <w:tc>
          <w:tcPr>
            <w:tcW w:w="3940" w:type="dxa"/>
            <w:vAlign w:val="bottom"/>
          </w:tcPr>
          <w:p>
            <w:pPr>
              <w:ind w:left="100"/>
              <w:spacing w:after="0" w:line="195" w:lineRule="exact"/>
              <w:rPr>
                <w:sz w:val="20"/>
                <w:szCs w:val="20"/>
                <w:color w:val="auto"/>
              </w:rPr>
            </w:pPr>
            <w:r>
              <w:rPr>
                <w:rFonts w:ascii="Arial" w:cs="Arial" w:eastAsia="Arial" w:hAnsi="Arial"/>
                <w:sz w:val="18"/>
                <w:szCs w:val="18"/>
                <w:color w:val="auto"/>
              </w:rPr>
              <w:t>Restructuring and other, net</w:t>
            </w:r>
          </w:p>
        </w:tc>
        <w:tc>
          <w:tcPr>
            <w:tcW w:w="182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$258</w:t>
            </w:r>
          </w:p>
        </w:tc>
        <w:tc>
          <w:tcPr>
            <w:tcW w:w="144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$99</w:t>
            </w:r>
          </w:p>
        </w:tc>
        <w:tc>
          <w:tcPr>
            <w:tcW w:w="142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$159</w:t>
            </w:r>
          </w:p>
        </w:tc>
        <w:tc>
          <w:tcPr>
            <w:tcW w:w="150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31,309</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$0.01</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revaluation gains</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5,600</w:t>
            </w:r>
          </w:p>
        </w:tc>
        <w:tc>
          <w:tcPr>
            <w:tcW w:w="14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2,156</w:t>
            </w:r>
          </w:p>
        </w:tc>
        <w:tc>
          <w:tcPr>
            <w:tcW w:w="1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3,444</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31,309</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Gain on sale of buildings</w:t>
            </w:r>
          </w:p>
        </w:tc>
        <w:tc>
          <w:tcPr>
            <w:tcW w:w="18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9,175</w:t>
            </w:r>
          </w:p>
        </w:tc>
        <w:tc>
          <w:tcPr>
            <w:tcW w:w="14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3,299</w:t>
            </w:r>
          </w:p>
        </w:tc>
        <w:tc>
          <w:tcPr>
            <w:tcW w:w="14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5,876</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31,309</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0.19</w:t>
            </w:r>
          </w:p>
        </w:tc>
      </w:tr>
      <w:tr>
        <w:trPr>
          <w:trHeight w:val="203"/>
        </w:trPr>
        <w:tc>
          <w:tcPr>
            <w:tcW w:w="394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Net unfavorable discrete tax adjustments</w:t>
            </w:r>
          </w:p>
        </w:tc>
        <w:tc>
          <w:tcPr>
            <w:tcW w:w="18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6,733</w:t>
            </w:r>
          </w:p>
        </w:tc>
        <w:tc>
          <w:tcPr>
            <w:tcW w:w="142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6,733</w:t>
            </w:r>
          </w:p>
        </w:tc>
        <w:tc>
          <w:tcPr>
            <w:tcW w:w="15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31,309</w:t>
            </w:r>
          </w:p>
        </w:tc>
        <w:tc>
          <w:tcPr>
            <w:tcW w:w="13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0.22</w:t>
            </w:r>
          </w:p>
        </w:tc>
      </w:tr>
    </w:tbl>
    <w:p>
      <w:pPr>
        <w:spacing w:after="0" w:line="3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120" w:type="dxa"/>
            <w:vAlign w:val="bottom"/>
            <w:tcBorders>
              <w:top w:val="single" w:sz="8" w:color="auto"/>
              <w:left w:val="single" w:sz="8" w:color="auto"/>
              <w:right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December 31,</w:t>
            </w:r>
          </w:p>
        </w:tc>
      </w:tr>
      <w:tr>
        <w:trPr>
          <w:trHeight w:val="203"/>
        </w:trPr>
        <w:tc>
          <w:tcPr>
            <w:tcW w:w="412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Arial" w:cs="Arial" w:eastAsia="Arial" w:hAnsi="Arial"/>
                <w:sz w:val="18"/>
                <w:szCs w:val="18"/>
                <w:color w:val="auto"/>
              </w:rPr>
              <w:t>(in thousands)</w:t>
            </w:r>
          </w:p>
        </w:tc>
        <w:tc>
          <w:tcPr>
            <w:tcW w:w="1400" w:type="dxa"/>
            <w:vAlign w:val="bottom"/>
            <w:tcBorders>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March 31, 2013</w:t>
            </w:r>
          </w:p>
        </w:tc>
        <w:tc>
          <w:tcPr>
            <w:tcW w:w="1340" w:type="dxa"/>
            <w:vAlign w:val="bottom"/>
            <w:tcBorders>
              <w:bottom w:val="single" w:sz="8" w:color="auto"/>
              <w:right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2012</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Notes and loans payable</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$780</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$586</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Current maturities of long-term debt</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55,014</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83,276</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278,622</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235,877</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Total debt</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334,416</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319,739</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Cash</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199,833</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41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Net debt</w:t>
            </w:r>
          </w:p>
        </w:tc>
        <w:tc>
          <w:tcPr>
            <w:tcW w:w="140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$134,583</w:t>
            </w:r>
          </w:p>
        </w:tc>
        <w:tc>
          <w:tcPr>
            <w:tcW w:w="134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$129,021</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200" w:firstLine="360"/>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04" w:lineRule="exact"/>
        <w:rPr>
          <w:sz w:val="20"/>
          <w:szCs w:val="20"/>
          <w:color w:val="auto"/>
        </w:rPr>
      </w:pPr>
    </w:p>
    <w:p>
      <w:pPr>
        <w:ind w:right="120" w:firstLine="360"/>
        <w:spacing w:after="0" w:line="236" w:lineRule="auto"/>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ind w:right="460" w:firstLine="360"/>
        <w:spacing w:after="0" w:line="24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6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26" w:lineRule="exact"/>
        <w:rPr>
          <w:sz w:val="20"/>
          <w:szCs w:val="20"/>
          <w:color w:val="auto"/>
        </w:rPr>
      </w:pPr>
    </w:p>
    <w:p>
      <w:pPr>
        <w:ind w:right="160" w:firstLine="360"/>
        <w:spacing w:after="0" w:line="239"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defending 4,296 claims as of April 19, 2013.</w:t>
      </w:r>
    </w:p>
    <w:p>
      <w:pPr>
        <w:spacing w:after="0" w:line="104" w:lineRule="exact"/>
        <w:rPr>
          <w:sz w:val="20"/>
          <w:szCs w:val="20"/>
          <w:color w:val="auto"/>
        </w:rPr>
      </w:pPr>
    </w:p>
    <w:p>
      <w:pPr>
        <w:jc w:val="both"/>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860" w:type="dxa"/>
            <w:vAlign w:val="bottom"/>
            <w:tcBorders>
              <w:top w:val="single" w:sz="8" w:color="auto"/>
              <w:left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Year ended</w:t>
            </w:r>
          </w:p>
        </w:tc>
        <w:tc>
          <w:tcPr>
            <w:tcW w:w="1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Opening Number</w:t>
            </w:r>
          </w:p>
        </w:tc>
        <w:tc>
          <w:tcPr>
            <w:tcW w:w="206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Claims Dismissed,</w:t>
            </w:r>
          </w:p>
        </w:tc>
        <w:tc>
          <w:tcPr>
            <w:tcW w:w="160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jc w:val="center"/>
              <w:ind w:left="450"/>
              <w:spacing w:after="0"/>
              <w:rPr>
                <w:sz w:val="20"/>
                <w:szCs w:val="20"/>
                <w:color w:val="auto"/>
              </w:rPr>
            </w:pPr>
            <w:r>
              <w:rPr>
                <w:rFonts w:ascii="Arial" w:cs="Arial" w:eastAsia="Arial" w:hAnsi="Arial"/>
                <w:sz w:val="18"/>
                <w:szCs w:val="18"/>
                <w:i w:val="1"/>
                <w:iCs w:val="1"/>
                <w:color w:val="auto"/>
                <w:w w:val="99"/>
              </w:rPr>
              <w:t>Closing</w:t>
            </w:r>
          </w:p>
        </w:tc>
        <w:tc>
          <w:tcPr>
            <w:tcW w:w="262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Amounts Paid</w:t>
            </w:r>
          </w:p>
        </w:tc>
      </w:tr>
      <w:tr>
        <w:trPr>
          <w:trHeight w:val="203"/>
        </w:trPr>
        <w:tc>
          <w:tcPr>
            <w:tcW w:w="1860" w:type="dxa"/>
            <w:vAlign w:val="bottom"/>
            <w:tcBorders>
              <w:left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December 31,</w:t>
            </w:r>
          </w:p>
        </w:tc>
        <w:tc>
          <w:tcPr>
            <w:tcW w:w="18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of Claims</w:t>
            </w:r>
          </w:p>
        </w:tc>
        <w:tc>
          <w:tcPr>
            <w:tcW w:w="20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Settled, or Resolved</w:t>
            </w:r>
          </w:p>
        </w:tc>
        <w:tc>
          <w:tcPr>
            <w:tcW w:w="16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ind w:left="410"/>
              <w:spacing w:after="0" w:line="202" w:lineRule="exact"/>
              <w:rPr>
                <w:sz w:val="20"/>
                <w:szCs w:val="20"/>
                <w:color w:val="auto"/>
              </w:rPr>
            </w:pPr>
            <w:r>
              <w:rPr>
                <w:rFonts w:ascii="Arial" w:cs="Arial" w:eastAsia="Arial" w:hAnsi="Arial"/>
                <w:sz w:val="18"/>
                <w:szCs w:val="18"/>
                <w:i w:val="1"/>
                <w:iCs w:val="1"/>
                <w:color w:val="auto"/>
                <w:w w:val="99"/>
              </w:rPr>
              <w:t>Number</w:t>
            </w:r>
          </w:p>
        </w:tc>
        <w:tc>
          <w:tcPr>
            <w:tcW w:w="26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(thousands) to</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New Claims</w:t>
            </w:r>
          </w:p>
        </w:tc>
        <w:tc>
          <w:tcPr>
            <w:tcW w:w="1460" w:type="dxa"/>
            <w:vAlign w:val="bottom"/>
            <w:tcBorders>
              <w:right w:val="single" w:sz="8" w:color="auto"/>
            </w:tcBorders>
          </w:tcPr>
          <w:p>
            <w:pPr>
              <w:jc w:val="center"/>
              <w:ind w:left="390"/>
              <w:spacing w:after="0" w:line="202" w:lineRule="exact"/>
              <w:rPr>
                <w:sz w:val="20"/>
                <w:szCs w:val="20"/>
                <w:color w:val="auto"/>
              </w:rPr>
            </w:pPr>
            <w:r>
              <w:rPr>
                <w:rFonts w:ascii="Arial" w:cs="Arial" w:eastAsia="Arial" w:hAnsi="Arial"/>
                <w:sz w:val="18"/>
                <w:szCs w:val="18"/>
                <w:i w:val="1"/>
                <w:iCs w:val="1"/>
                <w:color w:val="auto"/>
                <w:w w:val="98"/>
              </w:rPr>
              <w:t>of Claims</w:t>
            </w:r>
          </w:p>
        </w:tc>
        <w:tc>
          <w:tcPr>
            <w:tcW w:w="26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 or</w:t>
            </w:r>
          </w:p>
        </w:tc>
      </w:tr>
      <w:tr>
        <w:trPr>
          <w:trHeight w:val="235"/>
        </w:trPr>
        <w:tc>
          <w:tcPr>
            <w:tcW w:w="1860" w:type="dxa"/>
            <w:vAlign w:val="bottom"/>
            <w:tcBorders>
              <w:left w:val="single" w:sz="8" w:color="auto"/>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Resolve</w:t>
            </w: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2005</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29,411</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6,257</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1,297</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24,451</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$ 504</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2006</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24,451</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6,841</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1,806</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19,416</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3,879</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2007</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19,416</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808</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190</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18,798</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2008</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18,798</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523</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110</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18,385</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52</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2009</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18,385</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9,482</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42</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8,945</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88</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2010</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8,945</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3,963</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188</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5,170</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159</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2011</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5,170</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789</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65</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4,446</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1,111</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i w:val="1"/>
                <w:iCs w:val="1"/>
                <w:color w:val="auto"/>
                <w:w w:val="99"/>
              </w:rPr>
              <w:t>2012</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4,446</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90</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107</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4,463</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530</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r>
        <w:trPr>
          <w:trHeight w:val="237"/>
        </w:trPr>
        <w:tc>
          <w:tcPr>
            <w:tcW w:w="1860" w:type="dxa"/>
            <w:vAlign w:val="bottom"/>
            <w:tcBorders>
              <w:left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i w:val="1"/>
                <w:iCs w:val="1"/>
                <w:color w:val="auto"/>
                <w:w w:val="99"/>
              </w:rPr>
              <w:t>2013</w:t>
            </w:r>
          </w:p>
        </w:tc>
        <w:tc>
          <w:tcPr>
            <w:tcW w:w="1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4,463</w:t>
            </w:r>
          </w:p>
        </w:tc>
        <w:tc>
          <w:tcPr>
            <w:tcW w:w="20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197</w:t>
            </w:r>
          </w:p>
        </w:tc>
        <w:tc>
          <w:tcPr>
            <w:tcW w:w="16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30</w:t>
            </w:r>
          </w:p>
        </w:tc>
        <w:tc>
          <w:tcPr>
            <w:tcW w:w="14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4,296</w:t>
            </w:r>
          </w:p>
        </w:tc>
        <w:tc>
          <w:tcPr>
            <w:tcW w:w="26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0</w:t>
            </w:r>
          </w:p>
        </w:tc>
      </w:tr>
      <w:tr>
        <w:trPr>
          <w:trHeight w:val="162"/>
        </w:trPr>
        <w:tc>
          <w:tcPr>
            <w:tcW w:w="1860" w:type="dxa"/>
            <w:vAlign w:val="bottom"/>
            <w:tcBorders>
              <w:left w:val="single" w:sz="8" w:color="auto"/>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right="340" w:firstLine="360"/>
        <w:spacing w:after="0" w:line="24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89" w:lineRule="exact"/>
        <w:rPr>
          <w:sz w:val="20"/>
          <w:szCs w:val="20"/>
          <w:color w:val="auto"/>
        </w:rPr>
      </w:pPr>
    </w:p>
    <w:p>
      <w:pPr>
        <w:jc w:val="both"/>
        <w:ind w:right="100" w:firstLine="360"/>
        <w:spacing w:after="0"/>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95" w:lineRule="exact"/>
        <w:rPr>
          <w:sz w:val="20"/>
          <w:szCs w:val="20"/>
          <w:color w:val="auto"/>
        </w:rPr>
      </w:pPr>
    </w:p>
    <w:p>
      <w:pPr>
        <w:ind w:right="80" w:firstLine="360"/>
        <w:spacing w:after="0" w:line="239"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April 19, 2013, we had resolved, by means of settlement or dismissal, 36,567 claims. The total cost of resolving all claims was $8.6 million. Of this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8" w:name="page39"/>
    <w:bookmarkEnd w:id="38"/>
    <w:p>
      <w:pPr>
        <w:ind w:right="160"/>
        <w:spacing w:after="0" w:line="246" w:lineRule="auto"/>
        <w:rPr>
          <w:sz w:val="20"/>
          <w:szCs w:val="20"/>
          <w:color w:val="auto"/>
        </w:rPr>
      </w:pPr>
      <w:r>
        <w:rPr>
          <w:rFonts w:ascii="Arial" w:cs="Arial" w:eastAsia="Arial" w:hAnsi="Arial"/>
          <w:sz w:val="18"/>
          <w:szCs w:val="18"/>
          <w:color w:val="auto"/>
        </w:rPr>
        <w:t>amount, almost 100% was paid by our insurance carrier. The Company has over $125 million in confirmed insurance coverage that should be available with respect to current and future asbestos claims, as well as additional insurance coverage that we should be able to access.</w:t>
      </w:r>
    </w:p>
    <w:p>
      <w:pPr>
        <w:spacing w:after="0" w:line="89" w:lineRule="exact"/>
        <w:rPr>
          <w:sz w:val="20"/>
          <w:szCs w:val="20"/>
          <w:color w:val="auto"/>
        </w:rPr>
      </w:pPr>
    </w:p>
    <w:p>
      <w:pPr>
        <w:ind w:right="280" w:firstLine="360"/>
        <w:spacing w:after="0"/>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7,866 claims as of April 19, 2013.</w:t>
      </w:r>
    </w:p>
    <w:p>
      <w:pPr>
        <w:spacing w:after="0" w:line="95" w:lineRule="exact"/>
        <w:rPr>
          <w:sz w:val="20"/>
          <w:szCs w:val="20"/>
          <w:color w:val="auto"/>
        </w:rPr>
      </w:pPr>
    </w:p>
    <w:p>
      <w:pPr>
        <w:ind w:right="80" w:firstLine="360"/>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1700" w:type="dxa"/>
            <w:vAlign w:val="bottom"/>
            <w:tcBorders>
              <w:top w:val="single" w:sz="8" w:color="auto"/>
              <w:left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Year ended</w:t>
            </w:r>
          </w:p>
        </w:tc>
        <w:tc>
          <w:tcPr>
            <w:tcW w:w="1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Opening Number</w:t>
            </w:r>
          </w:p>
        </w:tc>
        <w:tc>
          <w:tcPr>
            <w:tcW w:w="20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Claims Dismissed,</w:t>
            </w:r>
          </w:p>
        </w:tc>
        <w:tc>
          <w:tcPr>
            <w:tcW w:w="142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Closing</w:t>
            </w:r>
          </w:p>
        </w:tc>
        <w:tc>
          <w:tcPr>
            <w:tcW w:w="25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Amounts Paid</w:t>
            </w:r>
          </w:p>
        </w:tc>
      </w:tr>
      <w:tr>
        <w:trPr>
          <w:trHeight w:val="203"/>
        </w:trPr>
        <w:tc>
          <w:tcPr>
            <w:tcW w:w="1700" w:type="dxa"/>
            <w:vAlign w:val="bottom"/>
            <w:tcBorders>
              <w:left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December 31,</w:t>
            </w:r>
          </w:p>
        </w:tc>
        <w:tc>
          <w:tcPr>
            <w:tcW w:w="17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of Claims</w:t>
            </w:r>
          </w:p>
        </w:tc>
        <w:tc>
          <w:tcPr>
            <w:tcW w:w="20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Settled, or Resolved</w:t>
            </w:r>
          </w:p>
        </w:tc>
        <w:tc>
          <w:tcPr>
            <w:tcW w:w="14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Number of Claims</w:t>
            </w:r>
          </w:p>
        </w:tc>
        <w:tc>
          <w:tcPr>
            <w:tcW w:w="25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(thousands) to</w:t>
            </w:r>
          </w:p>
        </w:tc>
      </w:tr>
      <w:tr>
        <w:trPr>
          <w:trHeight w:val="203"/>
        </w:trPr>
        <w:tc>
          <w:tcPr>
            <w:tcW w:w="1700" w:type="dxa"/>
            <w:vAlign w:val="bottom"/>
            <w:tcBorders>
              <w:left w:val="single" w:sz="8" w:color="auto"/>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New Claims</w:t>
            </w:r>
          </w:p>
        </w:tc>
        <w:tc>
          <w:tcPr>
            <w:tcW w:w="188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i w:val="1"/>
                <w:iCs w:val="1"/>
                <w:color w:val="auto"/>
              </w:rPr>
              <w:t>Settle or</w:t>
            </w:r>
          </w:p>
        </w:tc>
      </w:tr>
      <w:tr>
        <w:trPr>
          <w:trHeight w:val="235"/>
        </w:trPr>
        <w:tc>
          <w:tcPr>
            <w:tcW w:w="170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25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Resolve</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2005</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9,985</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642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223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9,566</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$ 0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2006</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9,566</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1,182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730</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9,114</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2007</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9,114</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462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88</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8,740</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2008</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8,740</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86</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10</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8,664</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2009</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8,664</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760</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7,907</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2010</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7,907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47</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9</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7,869</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2011</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7,869</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3</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11</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7,877</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i w:val="1"/>
                <w:iCs w:val="1"/>
                <w:color w:val="auto"/>
                <w:w w:val="99"/>
              </w:rPr>
              <w:t>2012</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7,877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7,867</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r>
        <w:trPr>
          <w:trHeight w:val="237"/>
        </w:trPr>
        <w:tc>
          <w:tcPr>
            <w:tcW w:w="1700" w:type="dxa"/>
            <w:vAlign w:val="bottom"/>
            <w:tcBorders>
              <w:left w:val="single" w:sz="8" w:color="auto"/>
              <w:right w:val="single" w:sz="8" w:color="auto"/>
            </w:tcBorders>
          </w:tcPr>
          <w:p>
            <w:pPr>
              <w:jc w:val="right"/>
              <w:ind w:right="1190"/>
              <w:spacing w:after="0"/>
              <w:rPr>
                <w:sz w:val="20"/>
                <w:szCs w:val="20"/>
                <w:color w:val="auto"/>
              </w:rPr>
            </w:pPr>
            <w:r>
              <w:rPr>
                <w:rFonts w:ascii="Arial" w:cs="Arial" w:eastAsia="Arial" w:hAnsi="Arial"/>
                <w:sz w:val="18"/>
                <w:szCs w:val="18"/>
                <w:b w:val="1"/>
                <w:bCs w:val="1"/>
                <w:i w:val="1"/>
                <w:iCs w:val="1"/>
                <w:color w:val="auto"/>
                <w:w w:val="99"/>
              </w:rPr>
              <w:t>2013</w:t>
            </w:r>
          </w:p>
        </w:tc>
        <w:tc>
          <w:tcPr>
            <w:tcW w:w="1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7,867</w:t>
            </w:r>
          </w:p>
        </w:tc>
        <w:tc>
          <w:tcPr>
            <w:tcW w:w="20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w:t>
            </w:r>
          </w:p>
        </w:tc>
        <w:tc>
          <w:tcPr>
            <w:tcW w:w="14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1</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7,866</w:t>
            </w:r>
          </w:p>
        </w:tc>
        <w:tc>
          <w:tcPr>
            <w:tcW w:w="25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0</w:t>
            </w:r>
          </w:p>
        </w:tc>
      </w:tr>
      <w:tr>
        <w:trPr>
          <w:trHeight w:val="162"/>
        </w:trPr>
        <w:tc>
          <w:tcPr>
            <w:tcW w:w="1700" w:type="dxa"/>
            <w:vAlign w:val="bottom"/>
            <w:tcBorders>
              <w:left w:val="single" w:sz="8" w:color="auto"/>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208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right="40" w:firstLine="360"/>
        <w:spacing w:after="0" w:line="236"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January 30, 2013, Brandon has resolved, by means of settlement or dismissal, 9,733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97" w:lineRule="exact"/>
        <w:rPr>
          <w:sz w:val="20"/>
          <w:szCs w:val="20"/>
          <w:color w:val="auto"/>
        </w:rPr>
      </w:pPr>
    </w:p>
    <w:p>
      <w:pPr>
        <w:jc w:val="both"/>
        <w:ind w:right="240" w:firstLine="360"/>
        <w:spacing w:after="0"/>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9" w:name="page40"/>
    <w:bookmarkEnd w:id="39"/>
    <w:p>
      <w:pPr>
        <w:ind w:right="80" w:firstLine="360"/>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ind w:firstLine="360"/>
        <w:spacing w:after="0" w:line="236"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 we currently do not anticipate any material liability relating to the resolution of the aforementioned pending proceedings in excess of existing insurance limits. 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NAFTA Audits</w:t>
      </w:r>
    </w:p>
    <w:p>
      <w:pPr>
        <w:spacing w:after="0" w:line="126" w:lineRule="exact"/>
        <w:rPr>
          <w:sz w:val="20"/>
          <w:szCs w:val="20"/>
          <w:color w:val="auto"/>
        </w:rPr>
      </w:pPr>
    </w:p>
    <w:p>
      <w:pPr>
        <w:ind w:right="100" w:firstLine="360"/>
        <w:spacing w:after="0"/>
        <w:rPr>
          <w:sz w:val="20"/>
          <w:szCs w:val="20"/>
          <w:color w:val="auto"/>
        </w:rPr>
      </w:pPr>
      <w:r>
        <w:rPr>
          <w:rFonts w:ascii="Arial" w:cs="Arial" w:eastAsia="Arial" w:hAnsi="Arial"/>
          <w:sz w:val="18"/>
          <w:szCs w:val="18"/>
          <w:color w:val="auto"/>
        </w:rPr>
        <w:t>The Company’s affiliate in Mexico was notified in November 2010 that Mexican customs authorities expected to issue demands for duties on certain imports of PMC from the Company and the Company’s affiliate in Canada for which the Company has claimed duty-free treatment under the North American Free Trade Agreement (“NAFTA”).</w:t>
      </w:r>
    </w:p>
    <w:p>
      <w:pPr>
        <w:spacing w:after="0" w:line="95" w:lineRule="exact"/>
        <w:rPr>
          <w:sz w:val="20"/>
          <w:szCs w:val="20"/>
          <w:color w:val="auto"/>
        </w:rPr>
      </w:pPr>
    </w:p>
    <w:p>
      <w:pPr>
        <w:ind w:right="40" w:firstLine="360"/>
        <w:spacing w:after="0" w:line="238" w:lineRule="auto"/>
        <w:rPr>
          <w:sz w:val="20"/>
          <w:szCs w:val="20"/>
          <w:color w:val="auto"/>
        </w:rPr>
      </w:pPr>
      <w:r>
        <w:rPr>
          <w:rFonts w:ascii="Arial" w:cs="Arial" w:eastAsia="Arial" w:hAnsi="Arial"/>
          <w:sz w:val="18"/>
          <w:szCs w:val="18"/>
          <w:color w:val="auto"/>
        </w:rPr>
        <w:t>The notices result from a decision by the Mexican Servicio de Administración Tributaria (“SAT”) to invalidate NAFTA certificates provided by the Company on products shipped to its Mexican affiliate during the years 2006 through 2008. The Demand Notices arose from an SAT audit during 2010, at the conclusion of which the SAT determined that the Company had failed to provide documentation sufficient to show that the certificates were validly issued, and declared the certificates issued during this period to be invalid. The Company believes that the certificates of origin were valid and properly issued and therefore commenced administrative appeals with SAT disputing its resolutions.</w:t>
      </w:r>
    </w:p>
    <w:p>
      <w:pPr>
        <w:spacing w:after="0" w:line="95"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As a result of the aforementioned appeals, SAT ultimately revoked its earlier declarations of invalidation with respect to the certificates of origin at issue in all 36 open audit files, and ordered a further review of such certificates. The Company has been informed that review of 28 of the 36 audit files has been completed, and that a small number of shipments have been determined to be ineligible for duty-free NAFTA treatment, primarily due to some alternative raw material that was sourced from Europe during a brief period when sufficient U.S.-sourced material was temporarily unavailable. SAT is continuing its review of the certificates of origin in the remaining 8 open audits, for which the Company has submitted evidence that it believes will be sufficient to establish NAFTA qualification.</w:t>
      </w:r>
    </w:p>
    <w:p>
      <w:pPr>
        <w:spacing w:after="0" w:line="97" w:lineRule="exact"/>
        <w:rPr>
          <w:sz w:val="20"/>
          <w:szCs w:val="20"/>
          <w:color w:val="auto"/>
        </w:rPr>
      </w:pPr>
    </w:p>
    <w:p>
      <w:pPr>
        <w:ind w:right="100" w:firstLine="360"/>
        <w:spacing w:after="0" w:line="239" w:lineRule="auto"/>
        <w:rPr>
          <w:sz w:val="20"/>
          <w:szCs w:val="20"/>
          <w:color w:val="auto"/>
        </w:rPr>
      </w:pPr>
      <w:r>
        <w:rPr>
          <w:rFonts w:ascii="Arial" w:cs="Arial" w:eastAsia="Arial" w:hAnsi="Arial"/>
          <w:sz w:val="18"/>
          <w:szCs w:val="18"/>
          <w:color w:val="auto"/>
        </w:rPr>
        <w:t>Based on discussions with SAT, the Company currently expects to incur an immaterial amount of tariff charges and penalties with respect to the shipments determined to be ineligible. The Company does not believe that it faces any material risk of certificates being invalidated with respect to any period other than the 2006 through 2008 audit period. For this reason, the Company does not feel that this matter is likely to have a material adverse effect on the Company’s financial position, results of operations and cash flows.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w:t>
      </w:r>
    </w:p>
    <w:p>
      <w:pPr>
        <w:spacing w:after="0" w:line="126" w:lineRule="exact"/>
        <w:rPr>
          <w:sz w:val="20"/>
          <w:szCs w:val="20"/>
          <w:color w:val="auto"/>
        </w:rPr>
      </w:pPr>
    </w:p>
    <w:p>
      <w:pPr>
        <w:ind w:right="320" w:firstLine="360"/>
        <w:spacing w:after="0" w:line="246" w:lineRule="auto"/>
        <w:rPr>
          <w:sz w:val="20"/>
          <w:szCs w:val="20"/>
          <w:color w:val="auto"/>
        </w:rPr>
      </w:pPr>
      <w:r>
        <w:rPr>
          <w:rFonts w:ascii="Arial" w:cs="Arial" w:eastAsia="Arial" w:hAnsi="Arial"/>
          <w:sz w:val="18"/>
          <w:szCs w:val="18"/>
          <w:color w:val="auto"/>
        </w:rPr>
        <w:t>There have been no material changes in risks since December 31, 2012. For discussion of risk factors, refer to Item 1A of our Annual Report on Form 10-K for the year ended December 31, 2012.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We made no share purchases during the first quarter of 2013.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657" w:right="3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9"/>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780" w:type="dxa"/>
            <w:vAlign w:val="bottom"/>
          </w:tcPr>
          <w:p>
            <w:pPr>
              <w:spacing w:after="0"/>
              <w:rPr>
                <w:sz w:val="20"/>
                <w:szCs w:val="20"/>
                <w:color w:val="auto"/>
              </w:rPr>
            </w:pPr>
          </w:p>
        </w:tc>
      </w:tr>
      <w:tr>
        <w:trPr>
          <w:trHeight w:val="513"/>
        </w:trPr>
        <w:tc>
          <w:tcPr>
            <w:tcW w:w="1560" w:type="dxa"/>
            <w:vAlign w:val="bottom"/>
          </w:tcPr>
          <w:p>
            <w:pPr>
              <w:spacing w:after="0"/>
              <w:rPr>
                <w:sz w:val="20"/>
                <w:szCs w:val="20"/>
                <w:color w:val="auto"/>
              </w:rPr>
            </w:pPr>
            <w:r>
              <w:rPr>
                <w:rFonts w:ascii="Arial" w:cs="Arial" w:eastAsia="Arial" w:hAnsi="Arial"/>
                <w:sz w:val="18"/>
                <w:szCs w:val="18"/>
                <w:color w:val="auto"/>
              </w:rPr>
              <w:t>Exhibit No.</w:t>
            </w:r>
          </w:p>
        </w:tc>
        <w:tc>
          <w:tcPr>
            <w:tcW w:w="9780" w:type="dxa"/>
            <w:vAlign w:val="bottom"/>
          </w:tcPr>
          <w:p>
            <w:pPr>
              <w:ind w:left="240"/>
              <w:spacing w:after="0"/>
              <w:rPr>
                <w:sz w:val="20"/>
                <w:szCs w:val="20"/>
                <w:color w:val="auto"/>
              </w:rPr>
            </w:pPr>
            <w:r>
              <w:rPr>
                <w:rFonts w:ascii="Arial" w:cs="Arial" w:eastAsia="Arial" w:hAnsi="Arial"/>
                <w:sz w:val="18"/>
                <w:szCs w:val="18"/>
                <w:color w:val="auto"/>
              </w:rPr>
              <w:t>Description</w:t>
            </w:r>
          </w:p>
        </w:tc>
      </w:tr>
      <w:tr>
        <w:trPr>
          <w:trHeight w:val="284"/>
        </w:trPr>
        <w:tc>
          <w:tcPr>
            <w:tcW w:w="156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284"/>
        </w:trPr>
        <w:tc>
          <w:tcPr>
            <w:tcW w:w="1560" w:type="dxa"/>
            <w:vAlign w:val="bottom"/>
          </w:tcPr>
          <w:p>
            <w:pPr>
              <w:spacing w:after="0"/>
              <w:rPr>
                <w:sz w:val="20"/>
                <w:szCs w:val="20"/>
                <w:color w:val="auto"/>
              </w:rPr>
            </w:pPr>
            <w:r>
              <w:rPr>
                <w:rFonts w:ascii="Arial" w:cs="Arial" w:eastAsia="Arial" w:hAnsi="Arial"/>
                <w:sz w:val="18"/>
                <w:szCs w:val="18"/>
                <w:color w:val="auto"/>
              </w:rPr>
              <w:t>31.2</w:t>
            </w:r>
          </w:p>
        </w:tc>
        <w:tc>
          <w:tcPr>
            <w:tcW w:w="9780" w:type="dxa"/>
            <w:vAlign w:val="bottom"/>
          </w:tcPr>
          <w:p>
            <w:pPr>
              <w:ind w:left="24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269"/>
        </w:trPr>
        <w:tc>
          <w:tcPr>
            <w:tcW w:w="1560" w:type="dxa"/>
            <w:vAlign w:val="bottom"/>
          </w:tcPr>
          <w:p>
            <w:pPr>
              <w:spacing w:after="0"/>
              <w:rPr>
                <w:sz w:val="20"/>
                <w:szCs w:val="20"/>
                <w:color w:val="auto"/>
              </w:rPr>
            </w:pPr>
            <w:r>
              <w:rPr>
                <w:rFonts w:ascii="Arial" w:cs="Arial" w:eastAsia="Arial" w:hAnsi="Arial"/>
                <w:sz w:val="18"/>
                <w:szCs w:val="18"/>
                <w:color w:val="auto"/>
              </w:rPr>
              <w:t>32.1</w:t>
            </w:r>
          </w:p>
        </w:tc>
        <w:tc>
          <w:tcPr>
            <w:tcW w:w="9780" w:type="dxa"/>
            <w:vAlign w:val="bottom"/>
          </w:tcPr>
          <w:p>
            <w:pPr>
              <w:ind w:left="240"/>
              <w:spacing w:after="0"/>
              <w:rPr>
                <w:sz w:val="20"/>
                <w:szCs w:val="20"/>
                <w:color w:val="auto"/>
              </w:rPr>
            </w:pPr>
            <w:r>
              <w:rPr>
                <w:rFonts w:ascii="Arial" w:cs="Arial" w:eastAsia="Arial" w:hAnsi="Arial"/>
                <w:sz w:val="18"/>
                <w:szCs w:val="18"/>
                <w:color w:val="auto"/>
              </w:rPr>
              <w:t>Certification pursuant to Section 906 of the Sarbanes-Oxley Act of 2002 (Subsections (a) and (b) of Section 1350,</w:t>
            </w:r>
          </w:p>
        </w:tc>
      </w:tr>
      <w:tr>
        <w:trPr>
          <w:trHeight w:val="217"/>
        </w:trPr>
        <w:tc>
          <w:tcPr>
            <w:tcW w:w="156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Chapter 63 of Title 18, United States Code).</w:t>
            </w:r>
          </w:p>
        </w:tc>
      </w:tr>
      <w:tr>
        <w:trPr>
          <w:trHeight w:val="284"/>
        </w:trPr>
        <w:tc>
          <w:tcPr>
            <w:tcW w:w="1560" w:type="dxa"/>
            <w:vAlign w:val="bottom"/>
          </w:tcPr>
          <w:p>
            <w:pPr>
              <w:spacing w:after="0"/>
              <w:rPr>
                <w:sz w:val="20"/>
                <w:szCs w:val="20"/>
                <w:color w:val="auto"/>
              </w:rPr>
            </w:pPr>
            <w:r>
              <w:rPr>
                <w:rFonts w:ascii="Arial" w:cs="Arial" w:eastAsia="Arial" w:hAnsi="Arial"/>
                <w:sz w:val="18"/>
                <w:szCs w:val="18"/>
                <w:color w:val="auto"/>
              </w:rPr>
              <w:t>99.1</w:t>
            </w:r>
          </w:p>
        </w:tc>
        <w:tc>
          <w:tcPr>
            <w:tcW w:w="9780" w:type="dxa"/>
            <w:vAlign w:val="bottom"/>
          </w:tcPr>
          <w:p>
            <w:pPr>
              <w:ind w:left="240"/>
              <w:spacing w:after="0"/>
              <w:rPr>
                <w:sz w:val="20"/>
                <w:szCs w:val="20"/>
                <w:color w:val="auto"/>
              </w:rPr>
            </w:pPr>
            <w:r>
              <w:rPr>
                <w:rFonts w:ascii="Arial" w:cs="Arial" w:eastAsia="Arial" w:hAnsi="Arial"/>
                <w:sz w:val="18"/>
                <w:szCs w:val="18"/>
                <w:color w:val="auto"/>
              </w:rPr>
              <w:t>Quantitative and qualitative disclosures about market risks as reported at March 31, 2013.</w:t>
            </w:r>
          </w:p>
        </w:tc>
      </w:tr>
      <w:tr>
        <w:trPr>
          <w:trHeight w:val="269"/>
        </w:trPr>
        <w:tc>
          <w:tcPr>
            <w:tcW w:w="1560" w:type="dxa"/>
            <w:vAlign w:val="bottom"/>
          </w:tcPr>
          <w:p>
            <w:pPr>
              <w:spacing w:after="0"/>
              <w:rPr>
                <w:sz w:val="20"/>
                <w:szCs w:val="20"/>
                <w:color w:val="auto"/>
              </w:rPr>
            </w:pPr>
            <w:r>
              <w:rPr>
                <w:rFonts w:ascii="Arial" w:cs="Arial" w:eastAsia="Arial" w:hAnsi="Arial"/>
                <w:sz w:val="18"/>
                <w:szCs w:val="18"/>
                <w:color w:val="auto"/>
              </w:rPr>
              <w:t>101</w:t>
            </w:r>
          </w:p>
        </w:tc>
        <w:tc>
          <w:tcPr>
            <w:tcW w:w="9780" w:type="dxa"/>
            <w:vAlign w:val="bottom"/>
          </w:tcPr>
          <w:p>
            <w:pPr>
              <w:ind w:left="240"/>
              <w:spacing w:after="0"/>
              <w:rPr>
                <w:sz w:val="20"/>
                <w:szCs w:val="20"/>
                <w:color w:val="auto"/>
              </w:rPr>
            </w:pPr>
            <w:r>
              <w:rPr>
                <w:rFonts w:ascii="Arial" w:cs="Arial" w:eastAsia="Arial" w:hAnsi="Arial"/>
                <w:sz w:val="18"/>
                <w:szCs w:val="18"/>
                <w:color w:val="auto"/>
                <w:w w:val="99"/>
              </w:rPr>
              <w:t>The following financial information from the Registrant’s Quarterly Report on Form 10-Q for the quarter ended March 31,</w:t>
            </w:r>
          </w:p>
        </w:tc>
      </w:tr>
      <w:tr>
        <w:trPr>
          <w:trHeight w:val="217"/>
        </w:trPr>
        <w:tc>
          <w:tcPr>
            <w:tcW w:w="156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2013, formatted in eXtensible Business Reporting Language (XBRL), filed herewith:</w:t>
            </w:r>
          </w:p>
        </w:tc>
      </w:tr>
    </w:tbl>
    <w:p>
      <w:pPr>
        <w:spacing w:after="0" w:line="67" w:lineRule="exact"/>
        <w:rPr>
          <w:sz w:val="20"/>
          <w:szCs w:val="20"/>
          <w:color w:val="auto"/>
        </w:rPr>
      </w:pPr>
    </w:p>
    <w:p>
      <w:pPr>
        <w:ind w:left="1440" w:hanging="29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Income for the three months ended March 31, 2013 and 2012.</w:t>
      </w:r>
    </w:p>
    <w:p>
      <w:pPr>
        <w:spacing w:after="0" w:line="103" w:lineRule="exact"/>
        <w:rPr>
          <w:rFonts w:ascii="Arial" w:cs="Arial" w:eastAsia="Arial" w:hAnsi="Arial"/>
          <w:sz w:val="18"/>
          <w:szCs w:val="18"/>
          <w:color w:val="auto"/>
        </w:rPr>
      </w:pPr>
    </w:p>
    <w:p>
      <w:pPr>
        <w:ind w:left="1440" w:hanging="33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three months ended March 31, 2013 and 2012.</w:t>
      </w:r>
    </w:p>
    <w:p>
      <w:pPr>
        <w:spacing w:after="0" w:line="103" w:lineRule="exact"/>
        <w:rPr>
          <w:rFonts w:ascii="Arial" w:cs="Arial" w:eastAsia="Arial" w:hAnsi="Arial"/>
          <w:sz w:val="18"/>
          <w:szCs w:val="18"/>
          <w:color w:val="auto"/>
        </w:rPr>
      </w:pPr>
    </w:p>
    <w:p>
      <w:pPr>
        <w:ind w:left="1440" w:hanging="37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Balance Sheets at March 31, 2013 and December 31, 2012.</w:t>
      </w:r>
    </w:p>
    <w:p>
      <w:pPr>
        <w:spacing w:after="0" w:line="103" w:lineRule="exact"/>
        <w:rPr>
          <w:rFonts w:ascii="Arial" w:cs="Arial" w:eastAsia="Arial" w:hAnsi="Arial"/>
          <w:sz w:val="18"/>
          <w:szCs w:val="18"/>
          <w:color w:val="auto"/>
        </w:rPr>
      </w:pPr>
    </w:p>
    <w:p>
      <w:pPr>
        <w:ind w:left="1440" w:hanging="38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months ended March 31, 2013 and 2012.</w:t>
      </w:r>
    </w:p>
    <w:p>
      <w:pPr>
        <w:spacing w:after="0" w:line="103" w:lineRule="exact"/>
        <w:rPr>
          <w:rFonts w:ascii="Arial" w:cs="Arial" w:eastAsia="Arial" w:hAnsi="Arial"/>
          <w:sz w:val="18"/>
          <w:szCs w:val="18"/>
          <w:color w:val="auto"/>
        </w:rPr>
      </w:pPr>
    </w:p>
    <w:p>
      <w:pPr>
        <w:ind w:left="1440" w:hanging="34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3" w:lineRule="exact"/>
        <w:rPr>
          <w:rFonts w:ascii="Arial" w:cs="Arial" w:eastAsia="Arial" w:hAnsi="Arial"/>
          <w:sz w:val="18"/>
          <w:szCs w:val="18"/>
          <w:color w:val="auto"/>
        </w:rPr>
      </w:pPr>
    </w:p>
    <w:p>
      <w:pPr>
        <w:ind w:left="1440" w:right="100"/>
        <w:spacing w:after="0" w:line="275" w:lineRule="auto"/>
        <w:rPr>
          <w:rFonts w:ascii="Arial" w:cs="Arial" w:eastAsia="Arial" w:hAnsi="Arial"/>
          <w:sz w:val="18"/>
          <w:szCs w:val="18"/>
          <w:color w:val="auto"/>
        </w:rPr>
      </w:pPr>
      <w:r>
        <w:rPr>
          <w:rFonts w:ascii="Arial" w:cs="Arial" w:eastAsia="Arial" w:hAnsi="Arial"/>
          <w:sz w:val="17"/>
          <w:szCs w:val="17"/>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36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4" w:lineRule="exact"/>
        <w:rPr>
          <w:sz w:val="20"/>
          <w:szCs w:val="20"/>
          <w:color w:val="auto"/>
        </w:rPr>
      </w:pPr>
    </w:p>
    <w:p>
      <w:pPr>
        <w:ind w:left="732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 xml:space="preserve"> .</w:t>
      </w:r>
    </w:p>
    <w:p>
      <w:pPr>
        <w:ind w:left="8900"/>
        <w:spacing w:after="0" w:line="234" w:lineRule="auto"/>
        <w:rPr>
          <w:sz w:val="20"/>
          <w:szCs w:val="20"/>
          <w:color w:val="auto"/>
        </w:rPr>
      </w:pPr>
      <w:r>
        <w:rPr>
          <w:rFonts w:ascii="Arial" w:cs="Arial" w:eastAsia="Arial" w:hAnsi="Arial"/>
          <w:sz w:val="18"/>
          <w:szCs w:val="18"/>
          <w:color w:val="auto"/>
        </w:rPr>
        <w:t>(Registrant)</w:t>
      </w:r>
    </w:p>
    <w:p>
      <w:pPr>
        <w:spacing w:after="0" w:line="235" w:lineRule="auto"/>
        <w:rPr>
          <w:sz w:val="20"/>
          <w:szCs w:val="20"/>
          <w:color w:val="auto"/>
        </w:rPr>
      </w:pPr>
      <w:r>
        <w:rPr>
          <w:rFonts w:ascii="Arial" w:cs="Arial" w:eastAsia="Arial" w:hAnsi="Arial"/>
          <w:sz w:val="18"/>
          <w:szCs w:val="18"/>
          <w:color w:val="auto"/>
        </w:rPr>
        <w:t>Date: May 3, 2013</w:t>
      </w:r>
    </w:p>
    <w:p>
      <w:pPr>
        <w:ind w:left="7320"/>
        <w:spacing w:after="0" w:line="235" w:lineRule="auto"/>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John B. Cozzolino</w:t>
      </w:r>
    </w:p>
    <w:p>
      <w:pPr>
        <w:ind w:left="7780"/>
        <w:spacing w:after="0" w:line="235" w:lineRule="auto"/>
        <w:rPr>
          <w:sz w:val="20"/>
          <w:szCs w:val="20"/>
          <w:color w:val="auto"/>
        </w:rPr>
      </w:pPr>
      <w:r>
        <w:rPr>
          <w:rFonts w:ascii="Arial" w:cs="Arial" w:eastAsia="Arial" w:hAnsi="Arial"/>
          <w:sz w:val="18"/>
          <w:szCs w:val="18"/>
          <w:color w:val="auto"/>
        </w:rPr>
        <w:t>John B. Cozzolino</w:t>
      </w:r>
    </w:p>
    <w:p>
      <w:pPr>
        <w:ind w:left="7780"/>
        <w:spacing w:after="0" w:line="235" w:lineRule="auto"/>
        <w:rPr>
          <w:sz w:val="20"/>
          <w:szCs w:val="20"/>
          <w:color w:val="auto"/>
        </w:rPr>
      </w:pPr>
      <w:r>
        <w:rPr>
          <w:rFonts w:ascii="Arial" w:cs="Arial" w:eastAsia="Arial" w:hAnsi="Arial"/>
          <w:sz w:val="18"/>
          <w:szCs w:val="18"/>
          <w:color w:val="auto"/>
        </w:rPr>
        <w:t>Chief Financial Officer and Treasurer</w:t>
      </w:r>
    </w:p>
    <w:p>
      <w:pPr>
        <w:ind w:left="7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306" w:lineRule="exact"/>
        <w:rPr>
          <w:sz w:val="20"/>
          <w:szCs w:val="20"/>
          <w:color w:val="auto"/>
        </w:rPr>
      </w:pPr>
    </w:p>
    <w:p>
      <w:pPr>
        <w:ind w:left="720" w:hanging="21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319" w:lineRule="exact"/>
        <w:rPr>
          <w:rFonts w:ascii="Arial" w:cs="Arial" w:eastAsia="Arial" w:hAnsi="Arial"/>
          <w:sz w:val="18"/>
          <w:szCs w:val="18"/>
          <w:color w:val="auto"/>
        </w:rPr>
      </w:pPr>
    </w:p>
    <w:p>
      <w:pPr>
        <w:ind w:left="720" w:right="40" w:hanging="21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720" w:right="220" w:hanging="21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720" w:hanging="21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720" w:right="140" w:firstLine="8"/>
        <w:spacing w:after="0"/>
        <w:tabs>
          <w:tab w:leader="none" w:pos="9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8"/>
          <w:szCs w:val="18"/>
          <w:color w:val="auto"/>
        </w:rPr>
      </w:pPr>
    </w:p>
    <w:p>
      <w:pPr>
        <w:ind w:left="1000" w:hanging="272"/>
        <w:spacing w:after="0"/>
        <w:tabs>
          <w:tab w:leader="none" w:pos="10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ind w:left="720" w:right="180"/>
        <w:spacing w:after="0" w:line="24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8"/>
          <w:szCs w:val="18"/>
          <w:color w:val="auto"/>
        </w:rPr>
      </w:pPr>
    </w:p>
    <w:p>
      <w:pPr>
        <w:ind w:left="720" w:right="280" w:firstLine="8"/>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720" w:right="200" w:firstLine="8"/>
        <w:spacing w:after="0"/>
        <w:tabs>
          <w:tab w:leader="none" w:pos="9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720" w:right="220" w:hanging="214"/>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720" w:right="80" w:firstLine="8"/>
        <w:spacing w:after="0" w:line="246"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720" w:right="320" w:firstLine="8"/>
        <w:spacing w:after="0" w:line="246"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99" w:lineRule="exact"/>
        <w:rPr>
          <w:sz w:val="20"/>
          <w:szCs w:val="20"/>
          <w:color w:val="auto"/>
        </w:rPr>
      </w:pPr>
    </w:p>
    <w:p>
      <w:pPr>
        <w:ind w:left="69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Joseph G. Morone</w:t>
      </w:r>
    </w:p>
    <w:p>
      <w:pPr>
        <w:ind w:left="7440"/>
        <w:spacing w:after="0" w:line="234" w:lineRule="auto"/>
        <w:rPr>
          <w:sz w:val="20"/>
          <w:szCs w:val="20"/>
          <w:color w:val="auto"/>
        </w:rPr>
      </w:pPr>
      <w:r>
        <w:rPr>
          <w:rFonts w:ascii="Arial" w:cs="Arial" w:eastAsia="Arial" w:hAnsi="Arial"/>
          <w:sz w:val="18"/>
          <w:szCs w:val="18"/>
          <w:color w:val="auto"/>
        </w:rPr>
        <w:t>Joseph G. Morone</w:t>
      </w:r>
    </w:p>
    <w:p>
      <w:pPr>
        <w:ind w:left="744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jc w:val="center"/>
        <w:ind w:right="-39"/>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right="-3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306" w:lineRule="exact"/>
        <w:rPr>
          <w:sz w:val="20"/>
          <w:szCs w:val="20"/>
          <w:color w:val="auto"/>
        </w:rPr>
      </w:pPr>
    </w:p>
    <w:p>
      <w:pPr>
        <w:ind w:left="720" w:hanging="21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03" w:lineRule="exact"/>
        <w:rPr>
          <w:rFonts w:ascii="Arial" w:cs="Arial" w:eastAsia="Arial" w:hAnsi="Arial"/>
          <w:sz w:val="18"/>
          <w:szCs w:val="18"/>
          <w:color w:val="auto"/>
        </w:rPr>
      </w:pPr>
    </w:p>
    <w:p>
      <w:pPr>
        <w:ind w:left="720" w:right="40" w:hanging="21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720" w:right="220" w:hanging="21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720" w:hanging="21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720" w:right="140" w:firstLine="8"/>
        <w:spacing w:after="0"/>
        <w:tabs>
          <w:tab w:leader="none" w:pos="9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0" w:lineRule="exact"/>
        <w:rPr>
          <w:rFonts w:ascii="Arial" w:cs="Arial" w:eastAsia="Arial" w:hAnsi="Arial"/>
          <w:sz w:val="18"/>
          <w:szCs w:val="18"/>
          <w:color w:val="auto"/>
        </w:rPr>
      </w:pPr>
    </w:p>
    <w:p>
      <w:pPr>
        <w:ind w:left="1000" w:hanging="272"/>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ind w:left="720" w:right="180"/>
        <w:spacing w:after="0" w:line="24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Arial" w:cs="Arial" w:eastAsia="Arial" w:hAnsi="Arial"/>
          <w:sz w:val="18"/>
          <w:szCs w:val="18"/>
          <w:color w:val="auto"/>
        </w:rPr>
      </w:pPr>
    </w:p>
    <w:p>
      <w:pPr>
        <w:ind w:left="720" w:right="280" w:firstLine="8"/>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720" w:right="200" w:firstLine="8"/>
        <w:spacing w:after="0"/>
        <w:tabs>
          <w:tab w:leader="none" w:pos="9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720" w:right="220" w:hanging="21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720" w:right="80" w:firstLine="8"/>
        <w:spacing w:after="0" w:line="24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720" w:right="320" w:firstLine="8"/>
        <w:spacing w:after="0" w:line="246"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pacing w:after="0" w:line="73" w:lineRule="exact"/>
        <w:rPr>
          <w:sz w:val="20"/>
          <w:szCs w:val="20"/>
          <w:color w:val="auto"/>
        </w:rPr>
      </w:pPr>
    </w:p>
    <w:tbl>
      <w:tblPr>
        <w:tblLayout w:type="fixed"/>
        <w:tblInd w:w="720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 John B. Cozzolino</w:t>
            </w: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John B. Cozzolino</w:t>
            </w:r>
          </w:p>
        </w:tc>
      </w:tr>
      <w:tr>
        <w:trPr>
          <w:trHeight w:val="203"/>
        </w:trPr>
        <w:tc>
          <w:tcPr>
            <w:tcW w:w="340" w:type="dxa"/>
            <w:vAlign w:val="bottom"/>
          </w:tcPr>
          <w:p>
            <w:pPr>
              <w:spacing w:after="0"/>
              <w:rPr>
                <w:sz w:val="17"/>
                <w:szCs w:val="17"/>
                <w:color w:val="auto"/>
              </w:rPr>
            </w:pPr>
          </w:p>
        </w:tc>
        <w:tc>
          <w:tcPr>
            <w:tcW w:w="3060" w:type="dxa"/>
            <w:vAlign w:val="bottom"/>
            <w:gridSpan w:val="3"/>
          </w:tcPr>
          <w:p>
            <w:pPr>
              <w:ind w:left="120"/>
              <w:spacing w:after="0" w:line="202" w:lineRule="exact"/>
              <w:rPr>
                <w:sz w:val="20"/>
                <w:szCs w:val="20"/>
                <w:color w:val="auto"/>
              </w:rPr>
            </w:pPr>
            <w:r>
              <w:rPr>
                <w:rFonts w:ascii="Arial" w:cs="Arial" w:eastAsia="Arial" w:hAnsi="Arial"/>
                <w:sz w:val="18"/>
                <w:szCs w:val="18"/>
                <w:color w:val="auto"/>
                <w:w w:val="98"/>
              </w:rPr>
              <w:t>Chief Financial Officer and Treasurer</w:t>
            </w:r>
          </w:p>
        </w:tc>
      </w:tr>
      <w:tr>
        <w:trPr>
          <w:trHeight w:val="217"/>
        </w:trPr>
        <w:tc>
          <w:tcPr>
            <w:tcW w:w="340" w:type="dxa"/>
            <w:vAlign w:val="bottom"/>
          </w:tcPr>
          <w:p>
            <w:pPr>
              <w:spacing w:after="0"/>
              <w:rPr>
                <w:sz w:val="18"/>
                <w:szCs w:val="18"/>
                <w:color w:val="auto"/>
              </w:rPr>
            </w:pPr>
          </w:p>
        </w:tc>
        <w:tc>
          <w:tcPr>
            <w:tcW w:w="306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5" w:name="page46"/>
    <w:bookmarkEnd w:id="45"/>
    <w:p>
      <w:pPr>
        <w:jc w:val="center"/>
        <w:ind w:right="-99"/>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CERTIFICATION PURSUANT TO</w:t>
      </w:r>
    </w:p>
    <w:p>
      <w:pPr>
        <w:jc w:val="center"/>
        <w:ind w:right="-99"/>
        <w:spacing w:after="0" w:line="234" w:lineRule="auto"/>
        <w:rPr>
          <w:sz w:val="20"/>
          <w:szCs w:val="20"/>
          <w:color w:val="auto"/>
        </w:rPr>
      </w:pPr>
      <w:r>
        <w:rPr>
          <w:rFonts w:ascii="Arial" w:cs="Arial" w:eastAsia="Arial" w:hAnsi="Arial"/>
          <w:sz w:val="18"/>
          <w:szCs w:val="18"/>
          <w:b w:val="1"/>
          <w:bCs w:val="1"/>
          <w:color w:val="auto"/>
        </w:rPr>
        <w:t>18 U.S.C. SECTION 1350,</w:t>
      </w:r>
    </w:p>
    <w:p>
      <w:pPr>
        <w:jc w:val="center"/>
        <w:ind w:right="-99"/>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2013,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9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03" w:lineRule="exact"/>
        <w:rPr>
          <w:rFonts w:ascii="Arial" w:cs="Arial" w:eastAsia="Arial" w:hAnsi="Arial"/>
          <w:sz w:val="18"/>
          <w:szCs w:val="18"/>
          <w:color w:val="auto"/>
        </w:rPr>
      </w:pPr>
    </w:p>
    <w:p>
      <w:pPr>
        <w:ind w:left="360" w:right="380" w:hanging="352"/>
        <w:spacing w:after="0" w:line="246"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 May 3, 2013</w:t>
      </w:r>
    </w:p>
    <w:p>
      <w:pPr>
        <w:spacing w:after="0" w:line="302"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/s/ Joseph G. Morone</w:t>
      </w:r>
    </w:p>
    <w:p>
      <w:pPr>
        <w:ind w:left="7080"/>
        <w:spacing w:after="0" w:line="234" w:lineRule="auto"/>
        <w:rPr>
          <w:sz w:val="20"/>
          <w:szCs w:val="20"/>
          <w:color w:val="auto"/>
        </w:rPr>
      </w:pPr>
      <w:r>
        <w:rPr>
          <w:rFonts w:ascii="Arial" w:cs="Arial" w:eastAsia="Arial" w:hAnsi="Arial"/>
          <w:sz w:val="18"/>
          <w:szCs w:val="18"/>
          <w:color w:val="auto"/>
        </w:rPr>
        <w:t>Joseph G. Morone</w:t>
      </w:r>
    </w:p>
    <w:p>
      <w:pPr>
        <w:ind w:left="708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/s/ John B. Cozzolino</w:t>
      </w:r>
    </w:p>
    <w:p>
      <w:pPr>
        <w:ind w:left="7080"/>
        <w:spacing w:after="0" w:line="234" w:lineRule="auto"/>
        <w:rPr>
          <w:sz w:val="20"/>
          <w:szCs w:val="20"/>
          <w:color w:val="auto"/>
        </w:rPr>
      </w:pPr>
      <w:r>
        <w:rPr>
          <w:rFonts w:ascii="Arial" w:cs="Arial" w:eastAsia="Arial" w:hAnsi="Arial"/>
          <w:sz w:val="18"/>
          <w:szCs w:val="18"/>
          <w:color w:val="auto"/>
        </w:rPr>
        <w:t>John B. Cozzolino</w:t>
      </w:r>
    </w:p>
    <w:p>
      <w:pPr>
        <w:ind w:left="7080"/>
        <w:spacing w:after="0" w:line="235"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MARCH 31, 2013</w:t>
      </w:r>
    </w:p>
    <w:p>
      <w:pPr>
        <w:spacing w:after="0" w:line="212" w:lineRule="exact"/>
        <w:rPr>
          <w:sz w:val="20"/>
          <w:szCs w:val="20"/>
          <w:color w:val="auto"/>
        </w:rPr>
      </w:pPr>
    </w:p>
    <w:p>
      <w:pPr>
        <w:ind w:right="240" w:firstLine="360"/>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ind w:right="20" w:firstLine="360"/>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$615.3 million. The potential loss in fair value resulting from a hypothetical 10% adverse change in quoted foreign currency exchange rates amounts to $61.5 million. Furthermore, related to foreign currency transactions, we have exposure to various nonfunctional currency balances totaling $165.7 million. This amount includes, on an absolute basis, exposures to assets and liabilities held in currencies other than our local entity’s functional currency. On a net basis, we had $97.6 million of foreign currency liabilities as of March 31, 2013. As currency rates change, these nonfunctional currency balances are revalued, and the corresponding adjustment is recorded in the income statement. A hypothetical change of 10% in currency rates could result in an adjustment to the income statement of approximately $9.8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31, 2013, we had the following variable rate debt: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00" w:type="dxa"/>
            <w:vAlign w:val="bottom"/>
          </w:tcPr>
          <w:p>
            <w:pPr>
              <w:spacing w:after="0"/>
              <w:rPr>
                <w:sz w:val="20"/>
                <w:szCs w:val="20"/>
                <w:color w:val="auto"/>
              </w:rPr>
            </w:pPr>
            <w:r>
              <w:rPr>
                <w:rFonts w:ascii="Arial" w:cs="Arial" w:eastAsia="Arial" w:hAnsi="Arial"/>
                <w:sz w:val="18"/>
                <w:szCs w:val="18"/>
                <w:b w:val="1"/>
                <w:bCs w:val="1"/>
                <w:color w:val="auto"/>
              </w:rPr>
              <w:t>Short-term debt</w:t>
            </w:r>
          </w:p>
        </w:tc>
        <w:tc>
          <w:tcPr>
            <w:tcW w:w="1520" w:type="dxa"/>
            <w:vAlign w:val="bottom"/>
          </w:tcPr>
          <w:p>
            <w:pPr>
              <w:spacing w:after="0"/>
              <w:rPr>
                <w:sz w:val="19"/>
                <w:szCs w:val="19"/>
                <w:color w:val="auto"/>
              </w:rPr>
            </w:pPr>
          </w:p>
        </w:tc>
      </w:tr>
      <w:tr>
        <w:trPr>
          <w:trHeight w:val="217"/>
        </w:trPr>
        <w:tc>
          <w:tcPr>
            <w:tcW w:w="9900" w:type="dxa"/>
            <w:vAlign w:val="bottom"/>
          </w:tcPr>
          <w:p>
            <w:pPr>
              <w:spacing w:after="0"/>
              <w:rPr>
                <w:sz w:val="20"/>
                <w:szCs w:val="20"/>
                <w:color w:val="auto"/>
              </w:rPr>
            </w:pPr>
            <w:r>
              <w:rPr>
                <w:rFonts w:ascii="Arial" w:cs="Arial" w:eastAsia="Arial" w:hAnsi="Arial"/>
                <w:sz w:val="18"/>
                <w:szCs w:val="18"/>
                <w:color w:val="auto"/>
              </w:rPr>
              <w:t>Notes payable, end of period interest rate of 1.83%</w:t>
            </w:r>
          </w:p>
        </w:tc>
        <w:tc>
          <w:tcPr>
            <w:tcW w:w="152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29"/>
        </w:trPr>
        <w:tc>
          <w:tcPr>
            <w:tcW w:w="990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520" w:type="dxa"/>
            <w:vAlign w:val="bottom"/>
          </w:tcPr>
          <w:p>
            <w:pPr>
              <w:spacing w:after="0"/>
              <w:rPr>
                <w:sz w:val="19"/>
                <w:szCs w:val="19"/>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Credit agreement with borrowings outstanding, net of $105.0 million fixed rate portion, at an end of period interest</w:t>
            </w:r>
          </w:p>
        </w:tc>
        <w:tc>
          <w:tcPr>
            <w:tcW w:w="1520" w:type="dxa"/>
            <w:vAlign w:val="bottom"/>
          </w:tcPr>
          <w:p>
            <w:pPr>
              <w:spacing w:after="0"/>
              <w:rPr>
                <w:sz w:val="17"/>
                <w:szCs w:val="17"/>
                <w:color w:val="auto"/>
              </w:rPr>
            </w:pPr>
          </w:p>
        </w:tc>
      </w:tr>
      <w:tr>
        <w:trPr>
          <w:trHeight w:val="217"/>
        </w:trPr>
        <w:tc>
          <w:tcPr>
            <w:tcW w:w="9900" w:type="dxa"/>
            <w:vAlign w:val="bottom"/>
          </w:tcPr>
          <w:p>
            <w:pPr>
              <w:spacing w:after="0"/>
              <w:rPr>
                <w:sz w:val="20"/>
                <w:szCs w:val="20"/>
                <w:color w:val="auto"/>
              </w:rPr>
            </w:pPr>
            <w:r>
              <w:rPr>
                <w:rFonts w:ascii="Arial" w:cs="Arial" w:eastAsia="Arial" w:hAnsi="Arial"/>
                <w:sz w:val="18"/>
                <w:szCs w:val="18"/>
                <w:color w:val="auto"/>
              </w:rPr>
              <w:t>rate of 1.59% in 2013, due in 2018</w:t>
            </w:r>
          </w:p>
        </w:tc>
        <w:tc>
          <w:tcPr>
            <w:tcW w:w="1520" w:type="dxa"/>
            <w:vAlign w:val="bottom"/>
          </w:tcPr>
          <w:p>
            <w:pPr>
              <w:jc w:val="right"/>
              <w:spacing w:after="0"/>
              <w:rPr>
                <w:sz w:val="20"/>
                <w:szCs w:val="20"/>
                <w:color w:val="auto"/>
              </w:rPr>
            </w:pPr>
            <w:r>
              <w:rPr>
                <w:rFonts w:ascii="Arial" w:cs="Arial" w:eastAsia="Arial" w:hAnsi="Arial"/>
                <w:sz w:val="18"/>
                <w:szCs w:val="18"/>
                <w:color w:val="auto"/>
              </w:rPr>
              <w:t>71,000</w:t>
            </w:r>
          </w:p>
        </w:tc>
      </w:tr>
      <w:tr>
        <w:trPr>
          <w:trHeight w:val="431"/>
        </w:trPr>
        <w:tc>
          <w:tcPr>
            <w:tcW w:w="990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 at an average end of</w:t>
            </w:r>
          </w:p>
        </w:tc>
        <w:tc>
          <w:tcPr>
            <w:tcW w:w="1520" w:type="dxa"/>
            <w:vAlign w:val="bottom"/>
          </w:tcPr>
          <w:p>
            <w:pPr>
              <w:spacing w:after="0"/>
              <w:rPr>
                <w:sz w:val="24"/>
                <w:szCs w:val="24"/>
                <w:color w:val="auto"/>
              </w:rPr>
            </w:pPr>
          </w:p>
        </w:tc>
      </w:tr>
      <w:tr>
        <w:trPr>
          <w:trHeight w:val="203"/>
        </w:trPr>
        <w:tc>
          <w:tcPr>
            <w:tcW w:w="99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period rate of 3.02% in 2013, due in varying amounts through 2014</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7,500</w:t>
            </w:r>
          </w:p>
        </w:tc>
      </w:tr>
      <w:tr>
        <w:trPr>
          <w:trHeight w:val="399"/>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$79,280</w:t>
            </w:r>
          </w:p>
        </w:tc>
      </w:tr>
    </w:tbl>
    <w:p>
      <w:pPr>
        <w:spacing w:after="0" w:line="202" w:lineRule="exact"/>
        <w:rPr>
          <w:sz w:val="20"/>
          <w:szCs w:val="20"/>
          <w:color w:val="auto"/>
        </w:rPr>
      </w:pPr>
    </w:p>
    <w:p>
      <w:pPr>
        <w:ind w:right="260" w:firstLine="360"/>
        <w:spacing w:after="0"/>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$ 0.8 million. To manage interest rate risk, we may periodically enter into interest rate swap agreements to effectively fix the interest rates on variable debt to a specific rate for a period of time.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9"/>
    </w:lvl>
  </w:abstractNum>
  <w:abstractNum w:abstractNumId="3">
    <w:nsid w:val="3352255A"/>
    <w:multiLevelType w:val="hybridMultilevel"/>
    <w:lvl w:ilvl="0">
      <w:lvlJc w:val="left"/>
      <w:lvlText w:val="%1."/>
      <w:numFmt w:val="decimal"/>
      <w:start w:val="10"/>
    </w:lvl>
  </w:abstractNum>
  <w:abstractNum w:abstractNumId="4">
    <w:nsid w:val="109CF92E"/>
    <w:multiLevelType w:val="hybridMultilevel"/>
    <w:lvl w:ilvl="0">
      <w:lvlJc w:val="left"/>
      <w:lvlText w:val="%1."/>
      <w:numFmt w:val="decimal"/>
      <w:start w:val="13"/>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1."/>
      <w:numFmt w:val="decimal"/>
      <w:start w:val="14"/>
    </w:lvl>
    <w:lvl w:ilvl="1">
      <w:lvlJc w:val="left"/>
      <w:lvlText w:val="2"/>
      <w:numFmt w:val="bullet"/>
      <w:start w:val="1"/>
    </w:lvl>
  </w:abstractNum>
  <w:abstractNum w:abstractNumId="7">
    <w:nsid w:val="1BEFD79F"/>
    <w:multiLevelType w:val="hybridMultilevel"/>
    <w:lvl w:ilvl="0">
      <w:lvlJc w:val="left"/>
      <w:lvlText w:val="·"/>
      <w:numFmt w:val="bullet"/>
      <w:start w:val="1"/>
    </w:lvl>
    <w:lvl w:ilvl="1">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2019-12-06T01:00:34Z</dcterms:created>
  <dcterms:modified xsi:type="dcterms:W3CDTF">2019-12-06T01:00:34Z</dcterms:modified>
</cp:coreProperties>
</file>