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980"/>
        <w:spacing w:after="0"/>
        <w:rPr>
          <w:sz w:val="20"/>
          <w:szCs w:val="20"/>
          <w:color w:val="auto"/>
        </w:rPr>
      </w:pPr>
      <w:r>
        <w:rPr>
          <w:rFonts w:ascii="Arial" w:cs="Arial" w:eastAsia="Arial" w:hAnsi="Arial"/>
          <w:sz w:val="18"/>
          <w:szCs w:val="18"/>
          <w:color w:val="auto"/>
        </w:rPr>
        <w:t>UNITED STATES</w:t>
      </w:r>
    </w:p>
    <w:p>
      <w:pPr>
        <w:spacing w:after="0" w:line="167" w:lineRule="exact"/>
        <w:rPr>
          <w:sz w:val="24"/>
          <w:szCs w:val="24"/>
          <w:color w:val="auto"/>
        </w:rPr>
      </w:pPr>
    </w:p>
    <w:p>
      <w:pPr>
        <w:ind w:left="2780"/>
        <w:spacing w:after="0"/>
        <w:rPr>
          <w:sz w:val="20"/>
          <w:szCs w:val="20"/>
          <w:color w:val="auto"/>
        </w:rPr>
      </w:pPr>
      <w:r>
        <w:rPr>
          <w:rFonts w:ascii="Arial" w:cs="Arial" w:eastAsia="Arial" w:hAnsi="Arial"/>
          <w:sz w:val="18"/>
          <w:szCs w:val="18"/>
          <w:color w:val="auto"/>
        </w:rPr>
        <w:t>SECURITIES AND EXCHANGE COMMISSION</w:t>
      </w:r>
    </w:p>
    <w:p>
      <w:pPr>
        <w:ind w:left="3700"/>
        <w:spacing w:after="0"/>
        <w:rPr>
          <w:sz w:val="20"/>
          <w:szCs w:val="20"/>
          <w:color w:val="auto"/>
        </w:rPr>
      </w:pPr>
      <w:r>
        <w:rPr>
          <w:rFonts w:ascii="Arial" w:cs="Arial" w:eastAsia="Arial" w:hAnsi="Arial"/>
          <w:sz w:val="18"/>
          <w:szCs w:val="18"/>
          <w:color w:val="auto"/>
        </w:rPr>
        <w:t>Washington, D.C. 20549</w:t>
      </w:r>
    </w:p>
    <w:p>
      <w:pPr>
        <w:spacing w:after="0" w:line="197" w:lineRule="exact"/>
        <w:rPr>
          <w:sz w:val="24"/>
          <w:szCs w:val="24"/>
          <w:color w:val="auto"/>
        </w:rPr>
      </w:pPr>
    </w:p>
    <w:p>
      <w:pPr>
        <w:jc w:val="center"/>
        <w:ind w:right="1040"/>
        <w:spacing w:after="0"/>
        <w:rPr>
          <w:sz w:val="20"/>
          <w:szCs w:val="20"/>
          <w:color w:val="auto"/>
        </w:rPr>
      </w:pPr>
      <w:r>
        <w:rPr>
          <w:rFonts w:ascii="Arial" w:cs="Arial" w:eastAsia="Arial" w:hAnsi="Arial"/>
          <w:sz w:val="36"/>
          <w:szCs w:val="36"/>
          <w:color w:val="auto"/>
        </w:rPr>
        <w:t>FORM 10-K</w:t>
      </w:r>
    </w:p>
    <w:p>
      <w:pPr>
        <w:spacing w:after="0" w:line="195" w:lineRule="exact"/>
        <w:rPr>
          <w:sz w:val="24"/>
          <w:szCs w:val="24"/>
          <w:color w:val="auto"/>
        </w:rPr>
      </w:pPr>
    </w:p>
    <w:p>
      <w:pPr>
        <w:ind w:left="140"/>
        <w:spacing w:after="0"/>
        <w:rPr>
          <w:sz w:val="20"/>
          <w:szCs w:val="20"/>
          <w:color w:val="auto"/>
        </w:rPr>
      </w:pPr>
      <w:r>
        <w:rPr>
          <w:rFonts w:ascii="Arial" w:cs="Arial" w:eastAsia="Arial" w:hAnsi="Arial"/>
          <w:sz w:val="18"/>
          <w:szCs w:val="18"/>
          <w:color w:val="auto"/>
        </w:rPr>
        <w:t>(x) ANNUAL REPORT PURSUANT TO SECTION 13 OR 15(d) OF THE SECURITIES EXCHANGE ACT OF 1934</w:t>
      </w:r>
    </w:p>
    <w:p>
      <w:pPr>
        <w:spacing w:after="0" w:line="194" w:lineRule="exact"/>
        <w:rPr>
          <w:sz w:val="24"/>
          <w:szCs w:val="24"/>
          <w:color w:val="auto"/>
        </w:rPr>
      </w:pPr>
    </w:p>
    <w:p>
      <w:pPr>
        <w:ind w:left="2840"/>
        <w:spacing w:after="0"/>
        <w:rPr>
          <w:sz w:val="20"/>
          <w:szCs w:val="20"/>
          <w:color w:val="auto"/>
        </w:rPr>
      </w:pPr>
      <w:r>
        <w:rPr>
          <w:rFonts w:ascii="Arial" w:cs="Arial" w:eastAsia="Arial" w:hAnsi="Arial"/>
          <w:sz w:val="18"/>
          <w:szCs w:val="18"/>
          <w:color w:val="auto"/>
        </w:rPr>
        <w:t xml:space="preserve">For the fiscal year ended: </w:t>
      </w:r>
      <w:r>
        <w:rPr>
          <w:rFonts w:ascii="Arial" w:cs="Arial" w:eastAsia="Arial" w:hAnsi="Arial"/>
          <w:sz w:val="18"/>
          <w:szCs w:val="18"/>
          <w:u w:val="single" w:color="auto"/>
          <w:color w:val="auto"/>
        </w:rPr>
        <w:t>December 31, 2016</w:t>
      </w:r>
    </w:p>
    <w:p>
      <w:pPr>
        <w:ind w:left="4540"/>
        <w:spacing w:after="0"/>
        <w:rPr>
          <w:sz w:val="20"/>
          <w:szCs w:val="20"/>
          <w:color w:val="auto"/>
        </w:rPr>
      </w:pPr>
      <w:r>
        <w:rPr>
          <w:rFonts w:ascii="Arial" w:cs="Arial" w:eastAsia="Arial" w:hAnsi="Arial"/>
          <w:sz w:val="18"/>
          <w:szCs w:val="18"/>
          <w:color w:val="auto"/>
        </w:rPr>
        <w:t>OR</w:t>
      </w:r>
    </w:p>
    <w:p>
      <w:pPr>
        <w:spacing w:after="0" w:line="171" w:lineRule="exact"/>
        <w:rPr>
          <w:sz w:val="24"/>
          <w:szCs w:val="24"/>
          <w:color w:val="auto"/>
        </w:rPr>
      </w:pPr>
    </w:p>
    <w:p>
      <w:pPr>
        <w:jc w:val="center"/>
        <w:ind w:left="2060" w:right="1040" w:hanging="2054"/>
        <w:spacing w:after="0" w:line="454" w:lineRule="auto"/>
        <w:tabs>
          <w:tab w:leader="none" w:pos="159" w:val="left"/>
        </w:tabs>
        <w:numPr>
          <w:ilvl w:val="0"/>
          <w:numId w:val="1"/>
        </w:numPr>
        <w:rPr>
          <w:rFonts w:ascii="Arial" w:cs="Arial" w:eastAsia="Arial" w:hAnsi="Arial"/>
          <w:sz w:val="18"/>
          <w:szCs w:val="18"/>
          <w:color w:val="auto"/>
        </w:rPr>
      </w:pPr>
      <w:r>
        <w:rPr>
          <w:rFonts w:ascii="Arial" w:cs="Arial" w:eastAsia="Arial" w:hAnsi="Arial"/>
          <w:sz w:val="18"/>
          <w:szCs w:val="18"/>
          <w:color w:val="auto"/>
        </w:rPr>
        <w:t>) TRANSITION REPORT PURSUANT TO SECTION 13 or 15(d) OF THE SECURITIES EXCHANGE ACT OF 1934 For the transition period from _____________ to _____________</w:t>
      </w:r>
    </w:p>
    <w:p>
      <w:pPr>
        <w:ind w:left="3320"/>
        <w:spacing w:after="0"/>
        <w:rPr>
          <w:rFonts w:ascii="Arial" w:cs="Arial" w:eastAsia="Arial" w:hAnsi="Arial"/>
          <w:sz w:val="18"/>
          <w:szCs w:val="18"/>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1-10026</w:t>
      </w:r>
    </w:p>
    <w:p>
      <w:pPr>
        <w:spacing w:after="0" w:line="197" w:lineRule="exact"/>
        <w:rPr>
          <w:sz w:val="24"/>
          <w:szCs w:val="24"/>
          <w:color w:val="auto"/>
        </w:rPr>
      </w:pPr>
    </w:p>
    <w:p>
      <w:pPr>
        <w:jc w:val="center"/>
        <w:ind w:right="1040"/>
        <w:spacing w:after="0"/>
        <w:rPr>
          <w:sz w:val="20"/>
          <w:szCs w:val="20"/>
          <w:color w:val="auto"/>
        </w:rPr>
      </w:pPr>
      <w:r>
        <w:rPr>
          <w:rFonts w:ascii="Arial" w:cs="Arial" w:eastAsia="Arial" w:hAnsi="Arial"/>
          <w:sz w:val="36"/>
          <w:szCs w:val="36"/>
          <w:u w:val="single" w:color="auto"/>
          <w:color w:val="auto"/>
        </w:rPr>
        <w:t>ALBANY INTERNATIONAL CORP.</w:t>
      </w:r>
    </w:p>
    <w:p>
      <w:pPr>
        <w:spacing w:after="0" w:line="6" w:lineRule="exact"/>
        <w:rPr>
          <w:sz w:val="24"/>
          <w:szCs w:val="24"/>
          <w:color w:val="auto"/>
        </w:rPr>
      </w:pPr>
    </w:p>
    <w:p>
      <w:pPr>
        <w:ind w:left="2620"/>
        <w:spacing w:after="0"/>
        <w:rPr>
          <w:sz w:val="20"/>
          <w:szCs w:val="20"/>
          <w:color w:val="auto"/>
        </w:rPr>
      </w:pPr>
      <w:r>
        <w:rPr>
          <w:rFonts w:ascii="Arial" w:cs="Arial" w:eastAsia="Arial" w:hAnsi="Arial"/>
          <w:sz w:val="18"/>
          <w:szCs w:val="18"/>
          <w:color w:val="auto"/>
        </w:rPr>
        <w:t>(Exact name of registrant as specified in its charter)</w:t>
      </w:r>
    </w:p>
    <w:p>
      <w:pPr>
        <w:spacing w:after="0" w:line="154"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440" w:type="dxa"/>
            <w:vAlign w:val="bottom"/>
          </w:tcPr>
          <w:p>
            <w:pPr>
              <w:spacing w:after="0"/>
              <w:rPr>
                <w:sz w:val="17"/>
                <w:szCs w:val="17"/>
                <w:color w:val="auto"/>
              </w:rPr>
            </w:pPr>
          </w:p>
        </w:tc>
        <w:tc>
          <w:tcPr>
            <w:tcW w:w="3800" w:type="dxa"/>
            <w:vAlign w:val="bottom"/>
            <w:gridSpan w:val="3"/>
          </w:tcPr>
          <w:p>
            <w:pPr>
              <w:jc w:val="center"/>
              <w:ind w:right="3040"/>
              <w:spacing w:after="0"/>
              <w:rPr>
                <w:sz w:val="20"/>
                <w:szCs w:val="20"/>
                <w:color w:val="auto"/>
              </w:rPr>
            </w:pPr>
            <w:r>
              <w:rPr>
                <w:rFonts w:ascii="Arial" w:cs="Arial" w:eastAsia="Arial" w:hAnsi="Arial"/>
                <w:sz w:val="18"/>
                <w:szCs w:val="18"/>
                <w:color w:val="auto"/>
                <w:w w:val="99"/>
              </w:rPr>
              <w:t>Delaware</w:t>
            </w:r>
          </w:p>
        </w:tc>
        <w:tc>
          <w:tcPr>
            <w:tcW w:w="3000" w:type="dxa"/>
            <w:vAlign w:val="bottom"/>
            <w:gridSpan w:val="5"/>
          </w:tcPr>
          <w:p>
            <w:pPr>
              <w:jc w:val="right"/>
              <w:ind w:right="220"/>
              <w:spacing w:after="0"/>
              <w:rPr>
                <w:sz w:val="20"/>
                <w:szCs w:val="20"/>
                <w:color w:val="auto"/>
              </w:rPr>
            </w:pPr>
            <w:r>
              <w:rPr>
                <w:rFonts w:ascii="Arial" w:cs="Arial" w:eastAsia="Arial" w:hAnsi="Arial"/>
                <w:sz w:val="18"/>
                <w:szCs w:val="18"/>
                <w:color w:val="auto"/>
              </w:rPr>
              <w:t>14-0462060</w:t>
            </w:r>
          </w:p>
        </w:tc>
      </w:tr>
      <w:tr>
        <w:trPr>
          <w:trHeight w:val="20"/>
        </w:trPr>
        <w:tc>
          <w:tcPr>
            <w:tcW w:w="14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5240" w:type="dxa"/>
            <w:vAlign w:val="bottom"/>
            <w:gridSpan w:val="4"/>
          </w:tcPr>
          <w:p>
            <w:pPr>
              <w:jc w:val="center"/>
              <w:ind w:right="1580"/>
              <w:spacing w:after="0"/>
              <w:rPr>
                <w:sz w:val="20"/>
                <w:szCs w:val="20"/>
                <w:color w:val="auto"/>
              </w:rPr>
            </w:pPr>
            <w:r>
              <w:rPr>
                <w:rFonts w:ascii="Arial" w:cs="Arial" w:eastAsia="Arial" w:hAnsi="Arial"/>
                <w:sz w:val="18"/>
                <w:szCs w:val="18"/>
                <w:color w:val="auto"/>
              </w:rPr>
              <w:t>(State or other jurisdiction of</w:t>
            </w:r>
          </w:p>
        </w:tc>
        <w:tc>
          <w:tcPr>
            <w:tcW w:w="3000" w:type="dxa"/>
            <w:vAlign w:val="bottom"/>
            <w:gridSpan w:val="5"/>
          </w:tcPr>
          <w:p>
            <w:pPr>
              <w:ind w:left="1740"/>
              <w:spacing w:after="0"/>
              <w:rPr>
                <w:sz w:val="20"/>
                <w:szCs w:val="20"/>
                <w:color w:val="auto"/>
              </w:rPr>
            </w:pPr>
            <w:r>
              <w:rPr>
                <w:rFonts w:ascii="Arial" w:cs="Arial" w:eastAsia="Arial" w:hAnsi="Arial"/>
                <w:sz w:val="18"/>
                <w:szCs w:val="18"/>
                <w:color w:val="auto"/>
              </w:rPr>
              <w:t>(IRS Employer</w:t>
            </w:r>
          </w:p>
        </w:tc>
      </w:tr>
      <w:tr>
        <w:trPr>
          <w:trHeight w:val="217"/>
        </w:trPr>
        <w:tc>
          <w:tcPr>
            <w:tcW w:w="5240" w:type="dxa"/>
            <w:vAlign w:val="bottom"/>
            <w:gridSpan w:val="4"/>
          </w:tcPr>
          <w:p>
            <w:pPr>
              <w:jc w:val="center"/>
              <w:ind w:right="1580"/>
              <w:spacing w:after="0"/>
              <w:rPr>
                <w:sz w:val="20"/>
                <w:szCs w:val="20"/>
                <w:color w:val="auto"/>
              </w:rPr>
            </w:pPr>
            <w:r>
              <w:rPr>
                <w:rFonts w:ascii="Arial" w:cs="Arial" w:eastAsia="Arial" w:hAnsi="Arial"/>
                <w:sz w:val="18"/>
                <w:szCs w:val="18"/>
                <w:color w:val="auto"/>
                <w:w w:val="99"/>
              </w:rPr>
              <w:t>incorporation or organization)</w:t>
            </w:r>
          </w:p>
        </w:tc>
        <w:tc>
          <w:tcPr>
            <w:tcW w:w="3000" w:type="dxa"/>
            <w:vAlign w:val="bottom"/>
            <w:gridSpan w:val="5"/>
          </w:tcPr>
          <w:p>
            <w:pPr>
              <w:jc w:val="center"/>
              <w:ind w:left="1510"/>
              <w:spacing w:after="0"/>
              <w:rPr>
                <w:sz w:val="20"/>
                <w:szCs w:val="20"/>
                <w:color w:val="auto"/>
              </w:rPr>
            </w:pPr>
            <w:r>
              <w:rPr>
                <w:rFonts w:ascii="Arial" w:cs="Arial" w:eastAsia="Arial" w:hAnsi="Arial"/>
                <w:sz w:val="18"/>
                <w:szCs w:val="18"/>
                <w:color w:val="auto"/>
                <w:w w:val="99"/>
              </w:rPr>
              <w:t>Identification No.)</w:t>
            </w:r>
          </w:p>
        </w:tc>
      </w:tr>
      <w:tr>
        <w:trPr>
          <w:trHeight w:val="716"/>
        </w:trPr>
        <w:tc>
          <w:tcPr>
            <w:tcW w:w="5240" w:type="dxa"/>
            <w:vAlign w:val="bottom"/>
            <w:gridSpan w:val="4"/>
          </w:tcPr>
          <w:p>
            <w:pPr>
              <w:jc w:val="center"/>
              <w:ind w:right="1600"/>
              <w:spacing w:after="0"/>
              <w:rPr>
                <w:sz w:val="20"/>
                <w:szCs w:val="20"/>
                <w:color w:val="auto"/>
              </w:rPr>
            </w:pPr>
            <w:r>
              <w:rPr>
                <w:rFonts w:ascii="Arial" w:cs="Arial" w:eastAsia="Arial" w:hAnsi="Arial"/>
                <w:sz w:val="18"/>
                <w:szCs w:val="18"/>
                <w:color w:val="auto"/>
                <w:w w:val="99"/>
              </w:rPr>
              <w:t>216 Airport Drive, Rochester, New Hampshire</w:t>
            </w:r>
          </w:p>
        </w:tc>
        <w:tc>
          <w:tcPr>
            <w:tcW w:w="2780" w:type="dxa"/>
            <w:vAlign w:val="bottom"/>
            <w:gridSpan w:val="4"/>
          </w:tcPr>
          <w:p>
            <w:pPr>
              <w:jc w:val="right"/>
              <w:ind w:right="240"/>
              <w:spacing w:after="0"/>
              <w:rPr>
                <w:sz w:val="20"/>
                <w:szCs w:val="20"/>
                <w:color w:val="auto"/>
              </w:rPr>
            </w:pPr>
            <w:r>
              <w:rPr>
                <w:rFonts w:ascii="Arial" w:cs="Arial" w:eastAsia="Arial" w:hAnsi="Arial"/>
                <w:sz w:val="18"/>
                <w:szCs w:val="18"/>
                <w:color w:val="auto"/>
              </w:rPr>
              <w:t>03867</w:t>
            </w:r>
          </w:p>
        </w:tc>
        <w:tc>
          <w:tcPr>
            <w:tcW w:w="220" w:type="dxa"/>
            <w:vAlign w:val="bottom"/>
          </w:tcPr>
          <w:p>
            <w:pPr>
              <w:spacing w:after="0"/>
              <w:rPr>
                <w:sz w:val="24"/>
                <w:szCs w:val="24"/>
                <w:color w:val="auto"/>
              </w:rPr>
            </w:pPr>
          </w:p>
        </w:tc>
      </w:tr>
      <w:tr>
        <w:trPr>
          <w:trHeight w:val="20"/>
        </w:trPr>
        <w:tc>
          <w:tcPr>
            <w:tcW w:w="3640" w:type="dxa"/>
            <w:vAlign w:val="bottom"/>
            <w:gridSpan w:val="3"/>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r>
      <w:tr>
        <w:trPr>
          <w:trHeight w:val="223"/>
        </w:trPr>
        <w:tc>
          <w:tcPr>
            <w:tcW w:w="3640" w:type="dxa"/>
            <w:vAlign w:val="bottom"/>
            <w:gridSpan w:val="3"/>
          </w:tcPr>
          <w:p>
            <w:pPr>
              <w:jc w:val="center"/>
              <w:spacing w:after="0"/>
              <w:rPr>
                <w:sz w:val="20"/>
                <w:szCs w:val="20"/>
                <w:color w:val="auto"/>
              </w:rPr>
            </w:pPr>
            <w:r>
              <w:rPr>
                <w:rFonts w:ascii="Arial" w:cs="Arial" w:eastAsia="Arial" w:hAnsi="Arial"/>
                <w:sz w:val="18"/>
                <w:szCs w:val="18"/>
                <w:color w:val="auto"/>
                <w:w w:val="99"/>
              </w:rPr>
              <w:t>(Address of principal executive offices)</w:t>
            </w:r>
          </w:p>
        </w:tc>
        <w:tc>
          <w:tcPr>
            <w:tcW w:w="16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0" w:type="dxa"/>
            <w:vAlign w:val="bottom"/>
            <w:gridSpan w:val="4"/>
          </w:tcPr>
          <w:p>
            <w:pPr>
              <w:jc w:val="center"/>
              <w:ind w:right="220"/>
              <w:spacing w:after="0"/>
              <w:rPr>
                <w:sz w:val="20"/>
                <w:szCs w:val="20"/>
                <w:color w:val="auto"/>
              </w:rPr>
            </w:pPr>
            <w:r>
              <w:rPr>
                <w:rFonts w:ascii="Arial" w:cs="Arial" w:eastAsia="Arial" w:hAnsi="Arial"/>
                <w:sz w:val="18"/>
                <w:szCs w:val="18"/>
                <w:color w:val="auto"/>
              </w:rPr>
              <w:t>(Zip Code)</w:t>
            </w:r>
          </w:p>
        </w:tc>
      </w:tr>
    </w:tbl>
    <w:p>
      <w:pPr>
        <w:spacing w:after="0" w:line="175"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Registrant's telephone number, including area code 603-330-5850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3896995</wp:posOffset>
            </wp:positionH>
            <wp:positionV relativeFrom="paragraph">
              <wp:posOffset>-19050</wp:posOffset>
            </wp:positionV>
            <wp:extent cx="7435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43585" cy="8890"/>
                    </a:xfrm>
                    <a:prstGeom prst="rect">
                      <a:avLst/>
                    </a:prstGeom>
                    <a:noFill/>
                  </pic:spPr>
                </pic:pic>
              </a:graphicData>
            </a:graphic>
          </wp:anchor>
        </w:drawing>
      </w:r>
    </w:p>
    <w:p>
      <w:pPr>
        <w:spacing w:after="0" w:line="151"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41" w:lineRule="exact"/>
        <w:rPr>
          <w:sz w:val="24"/>
          <w:szCs w:val="24"/>
          <w:color w:val="auto"/>
        </w:rPr>
      </w:pPr>
    </w:p>
    <w:tbl>
      <w:tblPr>
        <w:tblLayout w:type="fixed"/>
        <w:tblInd w:w="120" w:type="dxa"/>
        <w:tblCellMar>
          <w:top w:w="0" w:type="dxa"/>
          <w:left w:w="0" w:type="dxa"/>
          <w:bottom w:w="0" w:type="dxa"/>
          <w:right w:w="0" w:type="dxa"/>
        </w:tblCellMar>
      </w:tblPr>
      <w:tr>
        <w:trPr>
          <w:trHeight w:val="207"/>
        </w:trPr>
        <w:tc>
          <w:tcPr>
            <w:tcW w:w="980" w:type="dxa"/>
            <w:vAlign w:val="bottom"/>
          </w:tcPr>
          <w:p>
            <w:pPr>
              <w:spacing w:after="0"/>
              <w:rPr>
                <w:sz w:val="18"/>
                <w:szCs w:val="18"/>
                <w:color w:val="auto"/>
              </w:rPr>
            </w:pPr>
          </w:p>
        </w:tc>
        <w:tc>
          <w:tcPr>
            <w:tcW w:w="4640" w:type="dxa"/>
            <w:vAlign w:val="bottom"/>
            <w:gridSpan w:val="2"/>
          </w:tcPr>
          <w:p>
            <w:pPr>
              <w:jc w:val="center"/>
              <w:ind w:right="3200"/>
              <w:spacing w:after="0"/>
              <w:rPr>
                <w:sz w:val="20"/>
                <w:szCs w:val="20"/>
                <w:color w:val="auto"/>
              </w:rPr>
            </w:pPr>
            <w:r>
              <w:rPr>
                <w:rFonts w:ascii="Arial" w:cs="Arial" w:eastAsia="Arial" w:hAnsi="Arial"/>
                <w:sz w:val="18"/>
                <w:szCs w:val="18"/>
                <w:color w:val="auto"/>
                <w:w w:val="99"/>
              </w:rPr>
              <w:t>Title of each class</w:t>
            </w:r>
          </w:p>
        </w:tc>
        <w:tc>
          <w:tcPr>
            <w:tcW w:w="3720" w:type="dxa"/>
            <w:vAlign w:val="bottom"/>
            <w:gridSpan w:val="5"/>
          </w:tcPr>
          <w:p>
            <w:pPr>
              <w:jc w:val="center"/>
              <w:ind w:right="140"/>
              <w:spacing w:after="0"/>
              <w:rPr>
                <w:sz w:val="20"/>
                <w:szCs w:val="20"/>
                <w:color w:val="auto"/>
              </w:rPr>
            </w:pPr>
            <w:r>
              <w:rPr>
                <w:rFonts w:ascii="Arial" w:cs="Arial" w:eastAsia="Arial" w:hAnsi="Arial"/>
                <w:sz w:val="18"/>
                <w:szCs w:val="18"/>
                <w:color w:val="auto"/>
              </w:rPr>
              <w:t>Name of each exchange on which registered</w:t>
            </w:r>
          </w:p>
        </w:tc>
      </w:tr>
      <w:tr>
        <w:trPr>
          <w:trHeight w:val="20"/>
        </w:trPr>
        <w:tc>
          <w:tcPr>
            <w:tcW w:w="9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99"/>
        </w:trPr>
        <w:tc>
          <w:tcPr>
            <w:tcW w:w="5620" w:type="dxa"/>
            <w:vAlign w:val="bottom"/>
            <w:gridSpan w:val="3"/>
          </w:tcPr>
          <w:p>
            <w:pPr>
              <w:jc w:val="center"/>
              <w:ind w:right="2200"/>
              <w:spacing w:after="0"/>
              <w:rPr>
                <w:sz w:val="20"/>
                <w:szCs w:val="20"/>
                <w:color w:val="auto"/>
              </w:rPr>
            </w:pPr>
            <w:r>
              <w:rPr>
                <w:rFonts w:ascii="Arial" w:cs="Arial" w:eastAsia="Arial" w:hAnsi="Arial"/>
                <w:sz w:val="18"/>
                <w:szCs w:val="18"/>
                <w:color w:val="auto"/>
              </w:rPr>
              <w:t>Class A Common Stock ($0.001 par value)</w:t>
            </w:r>
          </w:p>
        </w:tc>
        <w:tc>
          <w:tcPr>
            <w:tcW w:w="440" w:type="dxa"/>
            <w:vAlign w:val="bottom"/>
          </w:tcPr>
          <w:p>
            <w:pPr>
              <w:spacing w:after="0"/>
              <w:rPr>
                <w:sz w:val="24"/>
                <w:szCs w:val="24"/>
                <w:color w:val="auto"/>
              </w:rPr>
            </w:pPr>
          </w:p>
        </w:tc>
        <w:tc>
          <w:tcPr>
            <w:tcW w:w="3280" w:type="dxa"/>
            <w:vAlign w:val="bottom"/>
            <w:gridSpan w:val="4"/>
          </w:tcPr>
          <w:p>
            <w:pPr>
              <w:jc w:val="center"/>
              <w:ind w:right="580"/>
              <w:spacing w:after="0"/>
              <w:rPr>
                <w:sz w:val="20"/>
                <w:szCs w:val="20"/>
                <w:color w:val="auto"/>
              </w:rPr>
            </w:pPr>
            <w:r>
              <w:rPr>
                <w:rFonts w:ascii="Arial" w:cs="Arial" w:eastAsia="Arial" w:hAnsi="Arial"/>
                <w:sz w:val="18"/>
                <w:szCs w:val="18"/>
                <w:color w:val="auto"/>
                <w:w w:val="98"/>
              </w:rPr>
              <w:t>New York Stock Exchange</w:t>
            </w:r>
          </w:p>
        </w:tc>
      </w:tr>
      <w:tr>
        <w:trPr>
          <w:trHeight w:val="729"/>
        </w:trPr>
        <w:tc>
          <w:tcPr>
            <w:tcW w:w="980" w:type="dxa"/>
            <w:vAlign w:val="bottom"/>
          </w:tcPr>
          <w:p>
            <w:pPr>
              <w:spacing w:after="0"/>
              <w:rPr>
                <w:sz w:val="24"/>
                <w:szCs w:val="24"/>
                <w:color w:val="auto"/>
              </w:rPr>
            </w:pPr>
          </w:p>
        </w:tc>
        <w:tc>
          <w:tcPr>
            <w:tcW w:w="5080" w:type="dxa"/>
            <w:vAlign w:val="bottom"/>
            <w:gridSpan w:val="3"/>
          </w:tcPr>
          <w:p>
            <w:pPr>
              <w:ind w:left="200"/>
              <w:spacing w:after="0"/>
              <w:rPr>
                <w:sz w:val="20"/>
                <w:szCs w:val="20"/>
                <w:color w:val="auto"/>
              </w:rPr>
            </w:pPr>
            <w:r>
              <w:rPr>
                <w:rFonts w:ascii="Arial" w:cs="Arial" w:eastAsia="Arial" w:hAnsi="Arial"/>
                <w:sz w:val="18"/>
                <w:szCs w:val="18"/>
                <w:color w:val="auto"/>
              </w:rPr>
              <w:t>Securities registered pursuant to Section 12(g) of the Act:</w:t>
            </w:r>
          </w:p>
        </w:tc>
        <w:tc>
          <w:tcPr>
            <w:tcW w:w="2140" w:type="dxa"/>
            <w:vAlign w:val="bottom"/>
          </w:tcPr>
          <w:p>
            <w:pPr>
              <w:spacing w:after="0"/>
              <w:rPr>
                <w:sz w:val="24"/>
                <w:szCs w:val="24"/>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auto"/>
              </w:rPr>
              <w:t>None</w:t>
            </w:r>
          </w:p>
        </w:tc>
      </w:tr>
      <w:tr>
        <w:trPr>
          <w:trHeight w:val="20"/>
        </w:trPr>
        <w:tc>
          <w:tcPr>
            <w:tcW w:w="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r>
      <w:tr>
        <w:trPr>
          <w:trHeight w:val="399"/>
        </w:trPr>
        <w:tc>
          <w:tcPr>
            <w:tcW w:w="9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auto"/>
                <w:w w:val="96"/>
              </w:rPr>
              <w:t>(Title of Class)</w:t>
            </w:r>
          </w:p>
        </w:tc>
      </w:tr>
    </w:tbl>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-654685</wp:posOffset>
            </wp:positionH>
            <wp:positionV relativeFrom="paragraph">
              <wp:posOffset>66040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380"/>
          </w:cols>
          <w:pgMar w:left="1280" w:top="247" w:right="239" w:bottom="1440" w:gutter="0" w:footer="0" w:header="0"/>
        </w:sectPr>
      </w:pPr>
    </w:p>
    <w:bookmarkStart w:id="1" w:name="page2"/>
    <w:bookmarkEnd w:id="1"/>
    <w:tbl>
      <w:tblPr>
        <w:tblLayout w:type="fixed"/>
        <w:tblInd w:w="660" w:type="dxa"/>
        <w:tblCellMar>
          <w:top w:w="0" w:type="dxa"/>
          <w:left w:w="0" w:type="dxa"/>
          <w:bottom w:w="0" w:type="dxa"/>
          <w:right w:w="0" w:type="dxa"/>
        </w:tblCellMar>
      </w:tblPr>
      <w:tr>
        <w:trPr>
          <w:trHeight w:val="207"/>
        </w:trPr>
        <w:tc>
          <w:tcPr>
            <w:tcW w:w="9980" w:type="dxa"/>
            <w:vAlign w:val="bottom"/>
            <w:gridSpan w:val="3"/>
          </w:tcPr>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 Yes X</w:t>
            </w: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No _</w:t>
            </w:r>
          </w:p>
        </w:tc>
      </w:tr>
      <w:tr>
        <w:trPr>
          <w:trHeight w:val="20"/>
        </w:trPr>
        <w:tc>
          <w:tcPr>
            <w:tcW w:w="9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8"/>
        </w:trPr>
        <w:tc>
          <w:tcPr>
            <w:tcW w:w="9980" w:type="dxa"/>
            <w:vAlign w:val="bottom"/>
            <w:gridSpan w:val="3"/>
          </w:tcPr>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 Yes _</w:t>
            </w:r>
          </w:p>
        </w:tc>
        <w:tc>
          <w:tcPr>
            <w:tcW w:w="620" w:type="dxa"/>
            <w:vAlign w:val="bottom"/>
            <w:gridSpan w:val="2"/>
          </w:tcPr>
          <w:p>
            <w:pPr>
              <w:ind w:left="220"/>
              <w:spacing w:after="0"/>
              <w:rPr>
                <w:sz w:val="20"/>
                <w:szCs w:val="20"/>
                <w:color w:val="auto"/>
              </w:rPr>
            </w:pPr>
            <w:r>
              <w:rPr>
                <w:rFonts w:ascii="Arial" w:cs="Arial" w:eastAsia="Arial" w:hAnsi="Arial"/>
                <w:sz w:val="18"/>
                <w:szCs w:val="18"/>
                <w:color w:val="auto"/>
                <w:w w:val="94"/>
              </w:rPr>
              <w:t>No X</w:t>
            </w:r>
          </w:p>
        </w:tc>
      </w:tr>
      <w:tr>
        <w:trPr>
          <w:trHeight w:val="20"/>
        </w:trPr>
        <w:tc>
          <w:tcPr>
            <w:tcW w:w="9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ind w:right="180" w:firstLine="648"/>
        <w:spacing w:after="0"/>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8"/>
          <w:szCs w:val="18"/>
          <w:u w:val="single" w:color="auto"/>
          <w:color w:val="auto"/>
        </w:rPr>
        <w:t>X</w:t>
      </w:r>
      <w:r>
        <w:rPr>
          <w:rFonts w:ascii="Arial" w:cs="Arial" w:eastAsia="Arial" w:hAnsi="Arial"/>
          <w:sz w:val="18"/>
          <w:szCs w:val="18"/>
          <w:color w:val="auto"/>
        </w:rPr>
        <w:t xml:space="preserve"> No _</w:t>
      </w:r>
    </w:p>
    <w:p>
      <w:pPr>
        <w:spacing w:after="0" w:line="162" w:lineRule="exact"/>
        <w:rPr>
          <w:sz w:val="20"/>
          <w:szCs w:val="20"/>
          <w:color w:val="auto"/>
        </w:rPr>
      </w:pPr>
    </w:p>
    <w:p>
      <w:pPr>
        <w:ind w:right="700" w:firstLine="648"/>
        <w:spacing w:after="0"/>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Arial" w:cs="Arial" w:eastAsia="Arial" w:hAnsi="Arial"/>
          <w:sz w:val="18"/>
          <w:szCs w:val="18"/>
          <w:u w:val="single" w:color="auto"/>
          <w:color w:val="auto"/>
        </w:rPr>
        <w:t>X</w:t>
      </w:r>
      <w:r>
        <w:rPr>
          <w:rFonts w:ascii="Arial" w:cs="Arial" w:eastAsia="Arial" w:hAnsi="Arial"/>
          <w:sz w:val="18"/>
          <w:szCs w:val="18"/>
          <w:color w:val="auto"/>
        </w:rPr>
        <w:t xml:space="preserve"> No _</w:t>
      </w:r>
    </w:p>
    <w:p>
      <w:pPr>
        <w:spacing w:after="0" w:line="162" w:lineRule="exact"/>
        <w:rPr>
          <w:sz w:val="20"/>
          <w:szCs w:val="20"/>
          <w:color w:val="auto"/>
        </w:rPr>
      </w:pPr>
    </w:p>
    <w:p>
      <w:pPr>
        <w:jc w:val="both"/>
        <w:ind w:right="140" w:firstLine="648"/>
        <w:spacing w:after="0"/>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p>
    <w:p>
      <w:pPr>
        <w:spacing w:after="0" w:line="176" w:lineRule="exact"/>
        <w:rPr>
          <w:sz w:val="20"/>
          <w:szCs w:val="20"/>
          <w:color w:val="auto"/>
        </w:rPr>
      </w:pPr>
    </w:p>
    <w:p>
      <w:pPr>
        <w:ind w:right="600" w:firstLine="648"/>
        <w:spacing w:after="0" w:line="24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 reporting company.</w:t>
      </w:r>
    </w:p>
    <w:p>
      <w:pPr>
        <w:spacing w:after="0" w:line="126" w:lineRule="exact"/>
        <w:rPr>
          <w:sz w:val="20"/>
          <w:szCs w:val="20"/>
          <w:color w:val="auto"/>
        </w:rPr>
      </w:pPr>
    </w:p>
    <w:tbl>
      <w:tblPr>
        <w:tblLayout w:type="fixed"/>
        <w:tblInd w:w="1820" w:type="dxa"/>
        <w:tblCellMar>
          <w:top w:w="0" w:type="dxa"/>
          <w:left w:w="0" w:type="dxa"/>
          <w:bottom w:w="0" w:type="dxa"/>
          <w:right w:w="0" w:type="dxa"/>
        </w:tblCellMar>
      </w:tblPr>
      <w:tr>
        <w:trPr>
          <w:trHeight w:val="207"/>
        </w:trPr>
        <w:tc>
          <w:tcPr>
            <w:tcW w:w="2980" w:type="dxa"/>
            <w:vAlign w:val="bottom"/>
            <w:gridSpan w:val="3"/>
          </w:tcPr>
          <w:p>
            <w:pPr>
              <w:spacing w:after="0"/>
              <w:rPr>
                <w:sz w:val="20"/>
                <w:szCs w:val="20"/>
                <w:color w:val="auto"/>
              </w:rPr>
            </w:pPr>
            <w:r>
              <w:rPr>
                <w:rFonts w:ascii="Arial" w:cs="Arial" w:eastAsia="Arial" w:hAnsi="Arial"/>
                <w:sz w:val="18"/>
                <w:szCs w:val="18"/>
                <w:color w:val="auto"/>
              </w:rPr>
              <w:t>Large accelerated filer X</w:t>
            </w:r>
          </w:p>
        </w:tc>
        <w:tc>
          <w:tcPr>
            <w:tcW w:w="3320" w:type="dxa"/>
            <w:vAlign w:val="bottom"/>
          </w:tcPr>
          <w:p>
            <w:pPr>
              <w:ind w:left="1020"/>
              <w:spacing w:after="0"/>
              <w:rPr>
                <w:sz w:val="20"/>
                <w:szCs w:val="20"/>
                <w:color w:val="auto"/>
              </w:rPr>
            </w:pPr>
            <w:r>
              <w:rPr>
                <w:rFonts w:ascii="Arial" w:cs="Arial" w:eastAsia="Arial" w:hAnsi="Arial"/>
                <w:sz w:val="18"/>
                <w:szCs w:val="18"/>
                <w:color w:val="auto"/>
              </w:rPr>
              <w:t>Accelerated filer _</w:t>
            </w:r>
          </w:p>
        </w:tc>
      </w:tr>
      <w:tr>
        <w:trPr>
          <w:trHeight w:val="399"/>
        </w:trPr>
        <w:tc>
          <w:tcPr>
            <w:tcW w:w="1840" w:type="dxa"/>
            <w:vAlign w:val="bottom"/>
          </w:tcPr>
          <w:p>
            <w:pPr>
              <w:spacing w:after="0"/>
              <w:rPr>
                <w:sz w:val="20"/>
                <w:szCs w:val="20"/>
                <w:color w:val="auto"/>
              </w:rPr>
            </w:pPr>
            <w:r>
              <w:rPr>
                <w:rFonts w:ascii="Arial" w:cs="Arial" w:eastAsia="Arial" w:hAnsi="Arial"/>
                <w:sz w:val="18"/>
                <w:szCs w:val="18"/>
                <w:color w:val="auto"/>
              </w:rPr>
              <w:t>Non-accelerated filer_</w:t>
            </w:r>
          </w:p>
        </w:tc>
        <w:tc>
          <w:tcPr>
            <w:tcW w:w="120" w:type="dxa"/>
            <w:vAlign w:val="bottom"/>
            <w:tcBorders>
              <w:top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3320" w:type="dxa"/>
            <w:vAlign w:val="bottom"/>
          </w:tcPr>
          <w:p>
            <w:pPr>
              <w:ind w:left="1020"/>
              <w:spacing w:after="0"/>
              <w:rPr>
                <w:sz w:val="20"/>
                <w:szCs w:val="20"/>
                <w:color w:val="auto"/>
              </w:rPr>
            </w:pPr>
            <w:r>
              <w:rPr>
                <w:rFonts w:ascii="Arial" w:cs="Arial" w:eastAsia="Arial" w:hAnsi="Arial"/>
                <w:sz w:val="18"/>
                <w:szCs w:val="18"/>
                <w:color w:val="auto"/>
                <w:w w:val="99"/>
              </w:rPr>
              <w:t>Smaller reporting company _</w:t>
            </w:r>
          </w:p>
        </w:tc>
      </w:tr>
    </w:tbl>
    <w:p>
      <w:pPr>
        <w:spacing w:after="0" w:line="161" w:lineRule="exact"/>
        <w:rPr>
          <w:sz w:val="20"/>
          <w:szCs w:val="20"/>
          <w:color w:val="auto"/>
        </w:rPr>
      </w:pPr>
    </w:p>
    <w:p>
      <w:pPr>
        <w:ind w:left="660"/>
        <w:spacing w:after="0"/>
        <w:tabs>
          <w:tab w:leader="none" w:pos="9580" w:val="left"/>
        </w:tabs>
        <w:rPr>
          <w:sz w:val="20"/>
          <w:szCs w:val="20"/>
          <w:color w:val="auto"/>
        </w:rPr>
      </w:pPr>
      <w:r>
        <w:rPr>
          <w:rFonts w:ascii="Arial" w:cs="Arial" w:eastAsia="Arial" w:hAnsi="Arial"/>
          <w:sz w:val="18"/>
          <w:szCs w:val="18"/>
          <w:color w:val="auto"/>
        </w:rPr>
        <w:t>Indicate by check mark whether the registrant is a shell company (as defined in Rule 12b-2 of the Act). Yes _</w:t>
      </w:r>
      <w:r>
        <w:rPr>
          <w:sz w:val="20"/>
          <w:szCs w:val="20"/>
          <w:color w:val="auto"/>
        </w:rPr>
        <w:tab/>
      </w:r>
      <w:r>
        <w:rPr>
          <w:rFonts w:ascii="Arial" w:cs="Arial" w:eastAsia="Arial" w:hAnsi="Arial"/>
          <w:sz w:val="17"/>
          <w:szCs w:val="17"/>
          <w:color w:val="auto"/>
        </w:rPr>
        <w:t xml:space="preserve">No </w:t>
      </w:r>
      <w:r>
        <w:rPr>
          <w:rFonts w:ascii="Arial" w:cs="Arial" w:eastAsia="Arial" w:hAnsi="Arial"/>
          <w:sz w:val="17"/>
          <w:szCs w:val="17"/>
          <w:u w:val="single" w:color="auto"/>
          <w:color w:val="auto"/>
        </w:rPr>
        <w:t>X</w:t>
      </w:r>
    </w:p>
    <w:p>
      <w:pPr>
        <w:spacing w:after="0" w:line="171" w:lineRule="exact"/>
        <w:rPr>
          <w:sz w:val="20"/>
          <w:szCs w:val="20"/>
          <w:color w:val="auto"/>
        </w:rPr>
      </w:pPr>
    </w:p>
    <w:p>
      <w:pPr>
        <w:jc w:val="both"/>
        <w:ind w:right="20" w:firstLine="648"/>
        <w:spacing w:after="0"/>
        <w:rPr>
          <w:sz w:val="20"/>
          <w:szCs w:val="20"/>
          <w:color w:val="auto"/>
        </w:rPr>
      </w:pPr>
      <w:r>
        <w:rPr>
          <w:rFonts w:ascii="Arial" w:cs="Arial" w:eastAsia="Arial" w:hAnsi="Arial"/>
          <w:sz w:val="18"/>
          <w:szCs w:val="18"/>
          <w:color w:val="auto"/>
        </w:rPr>
        <w:t>The aggregate market value of the Common Stock held by non-affiliates of the registrant on June 30, 2016, the last business day of the registrant’s most recently completed second quarter, computed by reference to the price at which Common Stock was last sold on such a date, was $1.1 billion.</w:t>
      </w:r>
    </w:p>
    <w:p>
      <w:pPr>
        <w:spacing w:after="0" w:line="176" w:lineRule="exact"/>
        <w:rPr>
          <w:sz w:val="20"/>
          <w:szCs w:val="20"/>
          <w:color w:val="auto"/>
        </w:rPr>
      </w:pPr>
    </w:p>
    <w:p>
      <w:pPr>
        <w:ind w:right="220" w:firstLine="648"/>
        <w:spacing w:after="0" w:line="246" w:lineRule="auto"/>
        <w:rPr>
          <w:sz w:val="20"/>
          <w:szCs w:val="20"/>
          <w:color w:val="auto"/>
        </w:rPr>
      </w:pPr>
      <w:r>
        <w:rPr>
          <w:rFonts w:ascii="Arial" w:cs="Arial" w:eastAsia="Arial" w:hAnsi="Arial"/>
          <w:sz w:val="18"/>
          <w:szCs w:val="18"/>
          <w:color w:val="auto"/>
        </w:rPr>
        <w:t>The registrant had 28.9 million shares of Class A Common Stock and 3.2 million shares of Class B Common Stock outstanding as of January 31, 2017.</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920" w:type="dxa"/>
            <w:vAlign w:val="bottom"/>
            <w:gridSpan w:val="2"/>
          </w:tcPr>
          <w:p>
            <w:pPr>
              <w:spacing w:after="0"/>
              <w:rPr>
                <w:sz w:val="20"/>
                <w:szCs w:val="20"/>
                <w:color w:val="auto"/>
              </w:rPr>
            </w:pPr>
            <w:r>
              <w:rPr>
                <w:rFonts w:ascii="Arial" w:cs="Arial" w:eastAsia="Arial" w:hAnsi="Arial"/>
                <w:sz w:val="18"/>
                <w:szCs w:val="18"/>
                <w:color w:val="auto"/>
              </w:rPr>
              <w:t>DOCUMENTS INCORPORATED BY REFERENCE</w:t>
            </w:r>
          </w:p>
        </w:tc>
        <w:tc>
          <w:tcPr>
            <w:tcW w:w="1440" w:type="dxa"/>
            <w:vAlign w:val="bottom"/>
            <w:gridSpan w:val="2"/>
          </w:tcPr>
          <w:p>
            <w:pPr>
              <w:jc w:val="center"/>
              <w:ind w:left="890"/>
              <w:spacing w:after="0"/>
              <w:rPr>
                <w:sz w:val="20"/>
                <w:szCs w:val="20"/>
                <w:color w:val="auto"/>
              </w:rPr>
            </w:pPr>
            <w:r>
              <w:rPr>
                <w:rFonts w:ascii="Arial" w:cs="Arial" w:eastAsia="Arial" w:hAnsi="Arial"/>
                <w:sz w:val="18"/>
                <w:szCs w:val="18"/>
                <w:color w:val="auto"/>
                <w:w w:val="95"/>
              </w:rPr>
              <w:t>PART</w:t>
            </w:r>
          </w:p>
        </w:tc>
      </w:tr>
      <w:tr>
        <w:trPr>
          <w:trHeight w:val="20"/>
        </w:trPr>
        <w:tc>
          <w:tcPr>
            <w:tcW w:w="4100" w:type="dxa"/>
            <w:vAlign w:val="bottom"/>
            <w:shd w:val="clear" w:color="auto" w:fill="000000"/>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r>
      <w:tr>
        <w:trPr>
          <w:trHeight w:val="399"/>
        </w:trPr>
        <w:tc>
          <w:tcPr>
            <w:tcW w:w="9920" w:type="dxa"/>
            <w:vAlign w:val="bottom"/>
            <w:gridSpan w:val="2"/>
          </w:tcPr>
          <w:p>
            <w:pPr>
              <w:spacing w:after="0"/>
              <w:rPr>
                <w:sz w:val="20"/>
                <w:szCs w:val="20"/>
                <w:color w:val="auto"/>
              </w:rPr>
            </w:pPr>
            <w:r>
              <w:rPr>
                <w:rFonts w:ascii="Arial" w:cs="Arial" w:eastAsia="Arial" w:hAnsi="Arial"/>
                <w:sz w:val="18"/>
                <w:szCs w:val="18"/>
                <w:color w:val="auto"/>
              </w:rPr>
              <w:t>Portions of the Registrant's Proxy Statement for the Annual Meeting of Shareholders to be held on May 12, 2017</w:t>
            </w:r>
          </w:p>
        </w:tc>
        <w:tc>
          <w:tcPr>
            <w:tcW w:w="98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2"/>
              </w:rPr>
              <w:t>III</w:t>
            </w:r>
          </w:p>
        </w:tc>
      </w:tr>
    </w:tbl>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20" w:type="dxa"/>
            <w:vAlign w:val="bottom"/>
            <w:gridSpan w:val="8"/>
          </w:tcPr>
          <w:p>
            <w:pPr>
              <w:jc w:val="center"/>
              <w:ind w:right="3920"/>
              <w:spacing w:after="0"/>
              <w:rPr>
                <w:sz w:val="20"/>
                <w:szCs w:val="20"/>
                <w:color w:val="auto"/>
              </w:rPr>
            </w:pPr>
            <w:r>
              <w:rPr>
                <w:rFonts w:ascii="Arial" w:cs="Arial" w:eastAsia="Arial" w:hAnsi="Arial"/>
                <w:sz w:val="18"/>
                <w:szCs w:val="18"/>
                <w:b w:val="1"/>
                <w:bCs w:val="1"/>
                <w:color w:val="auto"/>
                <w:w w:val="98"/>
              </w:rPr>
              <w:t>TABLE OF CONTENTS</w:t>
            </w:r>
          </w:p>
        </w:tc>
        <w:tc>
          <w:tcPr>
            <w:tcW w:w="740" w:type="dxa"/>
            <w:vAlign w:val="bottom"/>
          </w:tcPr>
          <w:p>
            <w:pPr>
              <w:spacing w:after="0"/>
              <w:rPr>
                <w:sz w:val="20"/>
                <w:szCs w:val="20"/>
                <w:color w:val="auto"/>
              </w:rPr>
            </w:pPr>
          </w:p>
        </w:tc>
      </w:tr>
      <w:tr>
        <w:trPr>
          <w:trHeight w:val="378"/>
        </w:trPr>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20" w:type="dxa"/>
            <w:vAlign w:val="bottom"/>
            <w:gridSpan w:val="8"/>
          </w:tcPr>
          <w:p>
            <w:pPr>
              <w:jc w:val="center"/>
              <w:ind w:right="3940"/>
              <w:spacing w:after="0"/>
              <w:rPr>
                <w:sz w:val="20"/>
                <w:szCs w:val="20"/>
                <w:color w:val="auto"/>
              </w:rPr>
            </w:pPr>
            <w:r>
              <w:rPr>
                <w:rFonts w:ascii="Arial" w:cs="Arial" w:eastAsia="Arial" w:hAnsi="Arial"/>
                <w:sz w:val="18"/>
                <w:szCs w:val="18"/>
                <w:b w:val="1"/>
                <w:bCs w:val="1"/>
                <w:color w:val="auto"/>
                <w:w w:val="98"/>
              </w:rPr>
              <w:t>PART I</w:t>
            </w:r>
          </w:p>
        </w:tc>
        <w:tc>
          <w:tcPr>
            <w:tcW w:w="740" w:type="dxa"/>
            <w:vAlign w:val="bottom"/>
          </w:tcPr>
          <w:p>
            <w:pPr>
              <w:spacing w:after="0"/>
              <w:rPr>
                <w:sz w:val="24"/>
                <w:szCs w:val="24"/>
                <w:color w:val="auto"/>
              </w:rPr>
            </w:pPr>
          </w:p>
        </w:tc>
      </w:tr>
      <w:tr>
        <w:trPr>
          <w:trHeight w:val="338"/>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9640" w:type="dxa"/>
            <w:vAlign w:val="bottom"/>
            <w:gridSpan w:val="20"/>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10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58"/>
        </w:trPr>
        <w:tc>
          <w:tcPr>
            <w:tcW w:w="1000" w:type="dxa"/>
            <w:vAlign w:val="bottom"/>
          </w:tcPr>
          <w:p>
            <w:pPr>
              <w:spacing w:after="0"/>
              <w:rPr>
                <w:sz w:val="20"/>
                <w:szCs w:val="20"/>
                <w:color w:val="auto"/>
              </w:rPr>
            </w:pPr>
            <w:r>
              <w:rPr>
                <w:rFonts w:ascii="Arial" w:cs="Arial" w:eastAsia="Arial" w:hAnsi="Arial"/>
                <w:sz w:val="18"/>
                <w:szCs w:val="18"/>
                <w:color w:val="auto"/>
              </w:rPr>
              <w:t>Item 1A.</w:t>
            </w:r>
          </w:p>
        </w:tc>
        <w:tc>
          <w:tcPr>
            <w:tcW w:w="1000" w:type="dxa"/>
            <w:vAlign w:val="bottom"/>
            <w:tcBorders>
              <w:bottom w:val="single" w:sz="8" w:color="0000EE"/>
            </w:tcBorders>
            <w:gridSpan w:val="3"/>
          </w:tcPr>
          <w:p>
            <w:pPr>
              <w:spacing w:after="0"/>
              <w:rPr>
                <w:rFonts w:ascii="Arial" w:cs="Arial" w:eastAsia="Arial" w:hAnsi="Arial"/>
                <w:sz w:val="18"/>
                <w:szCs w:val="18"/>
                <w:color w:val="0000EE"/>
                <w:w w:val="97"/>
              </w:rPr>
            </w:pPr>
            <w:hyperlink w:anchor="page10">
              <w:r>
                <w:rPr>
                  <w:rFonts w:ascii="Arial" w:cs="Arial" w:eastAsia="Arial" w:hAnsi="Arial"/>
                  <w:sz w:val="18"/>
                  <w:szCs w:val="18"/>
                  <w:color w:val="0000EE"/>
                  <w:w w:val="97"/>
                </w:rPr>
                <w:t>Risk Factors</w:t>
              </w:r>
            </w:hyperlink>
          </w:p>
        </w:tc>
        <w:tc>
          <w:tcPr>
            <w:tcW w:w="8640" w:type="dxa"/>
            <w:vAlign w:val="bottom"/>
            <w:gridSpan w:val="17"/>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58"/>
        </w:trPr>
        <w:tc>
          <w:tcPr>
            <w:tcW w:w="1000" w:type="dxa"/>
            <w:vAlign w:val="bottom"/>
          </w:tcPr>
          <w:p>
            <w:pPr>
              <w:spacing w:after="0"/>
              <w:rPr>
                <w:sz w:val="20"/>
                <w:szCs w:val="20"/>
                <w:color w:val="auto"/>
              </w:rPr>
            </w:pPr>
            <w:r>
              <w:rPr>
                <w:rFonts w:ascii="Arial" w:cs="Arial" w:eastAsia="Arial" w:hAnsi="Arial"/>
                <w:sz w:val="18"/>
                <w:szCs w:val="18"/>
                <w:color w:val="auto"/>
              </w:rPr>
              <w:t>Item 1B.</w:t>
            </w:r>
          </w:p>
        </w:tc>
        <w:tc>
          <w:tcPr>
            <w:tcW w:w="9640" w:type="dxa"/>
            <w:vAlign w:val="bottom"/>
            <w:gridSpan w:val="20"/>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Unresolved Staff Comments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58"/>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8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7"/>
              </w:rPr>
            </w:pPr>
            <w:hyperlink w:anchor="page20">
              <w:r>
                <w:rPr>
                  <w:rFonts w:ascii="Arial" w:cs="Arial" w:eastAsia="Arial" w:hAnsi="Arial"/>
                  <w:sz w:val="18"/>
                  <w:szCs w:val="18"/>
                  <w:color w:val="0000EE"/>
                  <w:w w:val="97"/>
                </w:rPr>
                <w:t>Properties</w:t>
              </w:r>
            </w:hyperlink>
          </w:p>
        </w:tc>
        <w:tc>
          <w:tcPr>
            <w:tcW w:w="1420" w:type="dxa"/>
            <w:vAlign w:val="bottom"/>
            <w:tcBorders>
              <w:top w:val="single" w:sz="8" w:color="0000EE"/>
            </w:tcBorders>
            <w:gridSpan w:val="7"/>
          </w:tcPr>
          <w:p>
            <w:pPr>
              <w:spacing w:after="0"/>
              <w:rPr>
                <w:sz w:val="24"/>
                <w:szCs w:val="24"/>
                <w:color w:val="auto"/>
              </w:rPr>
            </w:pPr>
          </w:p>
        </w:tc>
        <w:tc>
          <w:tcPr>
            <w:tcW w:w="7400" w:type="dxa"/>
            <w:vAlign w:val="bottom"/>
            <w:gridSpan w:val="11"/>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58"/>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9640" w:type="dxa"/>
            <w:vAlign w:val="bottom"/>
            <w:gridSpan w:val="20"/>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Legal Proceedings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100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58"/>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9640" w:type="dxa"/>
            <w:vAlign w:val="bottom"/>
            <w:gridSpan w:val="20"/>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Mine Safety Disclosures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99"/>
        </w:trPr>
        <w:tc>
          <w:tcPr>
            <w:tcW w:w="1000" w:type="dxa"/>
            <w:vAlign w:val="bottom"/>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20" w:type="dxa"/>
            <w:vAlign w:val="bottom"/>
            <w:gridSpan w:val="8"/>
          </w:tcPr>
          <w:p>
            <w:pPr>
              <w:jc w:val="center"/>
              <w:ind w:right="3940"/>
              <w:spacing w:after="0"/>
              <w:rPr>
                <w:sz w:val="20"/>
                <w:szCs w:val="20"/>
                <w:color w:val="auto"/>
              </w:rPr>
            </w:pPr>
            <w:r>
              <w:rPr>
                <w:rFonts w:ascii="Arial" w:cs="Arial" w:eastAsia="Arial" w:hAnsi="Arial"/>
                <w:sz w:val="18"/>
                <w:szCs w:val="18"/>
                <w:b w:val="1"/>
                <w:bCs w:val="1"/>
                <w:color w:val="auto"/>
                <w:w w:val="96"/>
              </w:rPr>
              <w:t>PART II</w:t>
            </w:r>
          </w:p>
        </w:tc>
        <w:tc>
          <w:tcPr>
            <w:tcW w:w="740" w:type="dxa"/>
            <w:vAlign w:val="bottom"/>
          </w:tcPr>
          <w:p>
            <w:pPr>
              <w:spacing w:after="0"/>
              <w:rPr>
                <w:sz w:val="24"/>
                <w:szCs w:val="24"/>
                <w:color w:val="auto"/>
              </w:rPr>
            </w:pPr>
          </w:p>
        </w:tc>
      </w:tr>
      <w:tr>
        <w:trPr>
          <w:trHeight w:val="338"/>
        </w:trPr>
        <w:tc>
          <w:tcPr>
            <w:tcW w:w="1000" w:type="dxa"/>
            <w:vAlign w:val="bottom"/>
          </w:tcPr>
          <w:p>
            <w:pPr>
              <w:spacing w:after="0"/>
              <w:rPr>
                <w:sz w:val="20"/>
                <w:szCs w:val="20"/>
                <w:color w:val="auto"/>
              </w:rPr>
            </w:pPr>
            <w:r>
              <w:rPr>
                <w:rFonts w:ascii="Arial" w:cs="Arial" w:eastAsia="Arial" w:hAnsi="Arial"/>
                <w:sz w:val="18"/>
                <w:szCs w:val="18"/>
                <w:color w:val="auto"/>
              </w:rPr>
              <w:t>Item 5.</w:t>
            </w:r>
          </w:p>
        </w:tc>
        <w:tc>
          <w:tcPr>
            <w:tcW w:w="9640" w:type="dxa"/>
            <w:vAlign w:val="bottom"/>
            <w:gridSpan w:val="20"/>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Market for the Registrant’s Common Equity, Related Stockholder Matters, and Issuer Purchases of Equity Securities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58"/>
        </w:trPr>
        <w:tc>
          <w:tcPr>
            <w:tcW w:w="1000" w:type="dxa"/>
            <w:vAlign w:val="bottom"/>
          </w:tcPr>
          <w:p>
            <w:pPr>
              <w:spacing w:after="0"/>
              <w:rPr>
                <w:sz w:val="20"/>
                <w:szCs w:val="20"/>
                <w:color w:val="auto"/>
              </w:rPr>
            </w:pPr>
            <w:r>
              <w:rPr>
                <w:rFonts w:ascii="Arial" w:cs="Arial" w:eastAsia="Arial" w:hAnsi="Arial"/>
                <w:sz w:val="18"/>
                <w:szCs w:val="18"/>
                <w:color w:val="auto"/>
              </w:rPr>
              <w:t>Item 6.</w:t>
            </w:r>
          </w:p>
        </w:tc>
        <w:tc>
          <w:tcPr>
            <w:tcW w:w="19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8"/>
              </w:rPr>
            </w:pPr>
            <w:hyperlink w:anchor="page23">
              <w:r>
                <w:rPr>
                  <w:rFonts w:ascii="Arial" w:cs="Arial" w:eastAsia="Arial" w:hAnsi="Arial"/>
                  <w:sz w:val="18"/>
                  <w:szCs w:val="18"/>
                  <w:color w:val="0000EE"/>
                  <w:w w:val="98"/>
                </w:rPr>
                <w:t>Selected Financial Data</w:t>
              </w:r>
            </w:hyperlink>
          </w:p>
        </w:tc>
        <w:tc>
          <w:tcPr>
            <w:tcW w:w="7320" w:type="dxa"/>
            <w:vAlign w:val="bottom"/>
            <w:tcBorders>
              <w:top w:val="single" w:sz="8" w:color="0000EE"/>
            </w:tcBorders>
            <w:gridSpan w:val="13"/>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58"/>
        </w:trPr>
        <w:tc>
          <w:tcPr>
            <w:tcW w:w="1000" w:type="dxa"/>
            <w:vAlign w:val="bottom"/>
          </w:tcPr>
          <w:p>
            <w:pPr>
              <w:spacing w:after="0"/>
              <w:rPr>
                <w:sz w:val="20"/>
                <w:szCs w:val="20"/>
                <w:color w:val="auto"/>
              </w:rPr>
            </w:pPr>
            <w:r>
              <w:rPr>
                <w:rFonts w:ascii="Arial" w:cs="Arial" w:eastAsia="Arial" w:hAnsi="Arial"/>
                <w:sz w:val="18"/>
                <w:szCs w:val="18"/>
                <w:color w:val="auto"/>
              </w:rPr>
              <w:t>Item 7.</w:t>
            </w:r>
          </w:p>
        </w:tc>
        <w:tc>
          <w:tcPr>
            <w:tcW w:w="7080" w:type="dxa"/>
            <w:vAlign w:val="bottom"/>
            <w:tcBorders>
              <w:bottom w:val="single" w:sz="8" w:color="0000EE"/>
            </w:tcBorders>
            <w:gridSpan w:val="16"/>
          </w:tcPr>
          <w:p>
            <w:pPr>
              <w:spacing w:after="0"/>
              <w:rPr>
                <w:rFonts w:ascii="Arial" w:cs="Arial" w:eastAsia="Arial" w:hAnsi="Arial"/>
                <w:sz w:val="18"/>
                <w:szCs w:val="18"/>
                <w:color w:val="0000EE"/>
                <w:w w:val="99"/>
              </w:rPr>
            </w:pPr>
            <w:hyperlink w:anchor="page25">
              <w:r>
                <w:rPr>
                  <w:rFonts w:ascii="Arial" w:cs="Arial" w:eastAsia="Arial" w:hAnsi="Arial"/>
                  <w:sz w:val="18"/>
                  <w:szCs w:val="18"/>
                  <w:color w:val="0000EE"/>
                  <w:w w:val="99"/>
                </w:rPr>
                <w:t>Management’s Discussion and Analysis of Financial Condition and Results of Operations</w:t>
              </w:r>
            </w:hyperlink>
          </w:p>
        </w:tc>
        <w:tc>
          <w:tcPr>
            <w:tcW w:w="2560" w:type="dxa"/>
            <w:vAlign w:val="bottom"/>
            <w:gridSpan w:val="4"/>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58"/>
        </w:trPr>
        <w:tc>
          <w:tcPr>
            <w:tcW w:w="1000" w:type="dxa"/>
            <w:vAlign w:val="bottom"/>
          </w:tcPr>
          <w:p>
            <w:pPr>
              <w:spacing w:after="0"/>
              <w:rPr>
                <w:sz w:val="20"/>
                <w:szCs w:val="20"/>
                <w:color w:val="auto"/>
              </w:rPr>
            </w:pPr>
            <w:r>
              <w:rPr>
                <w:rFonts w:ascii="Arial" w:cs="Arial" w:eastAsia="Arial" w:hAnsi="Arial"/>
                <w:sz w:val="18"/>
                <w:szCs w:val="18"/>
                <w:color w:val="auto"/>
              </w:rPr>
              <w:t>Item 7A.</w:t>
            </w:r>
          </w:p>
        </w:tc>
        <w:tc>
          <w:tcPr>
            <w:tcW w:w="9640" w:type="dxa"/>
            <w:vAlign w:val="bottom"/>
            <w:gridSpan w:val="20"/>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Quantitative and Qualitative Disclosures about Market Risk</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58"/>
        </w:trPr>
        <w:tc>
          <w:tcPr>
            <w:tcW w:w="1000" w:type="dxa"/>
            <w:vAlign w:val="bottom"/>
          </w:tcPr>
          <w:p>
            <w:pPr>
              <w:spacing w:after="0"/>
              <w:rPr>
                <w:sz w:val="20"/>
                <w:szCs w:val="20"/>
                <w:color w:val="auto"/>
              </w:rPr>
            </w:pPr>
            <w:r>
              <w:rPr>
                <w:rFonts w:ascii="Arial" w:cs="Arial" w:eastAsia="Arial" w:hAnsi="Arial"/>
                <w:sz w:val="18"/>
                <w:szCs w:val="18"/>
                <w:color w:val="auto"/>
              </w:rPr>
              <w:t>Item 8.</w:t>
            </w:r>
          </w:p>
        </w:tc>
        <w:tc>
          <w:tcPr>
            <w:tcW w:w="372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9"/>
              </w:rPr>
            </w:pPr>
            <w:hyperlink w:anchor="page47">
              <w:r>
                <w:rPr>
                  <w:rFonts w:ascii="Arial" w:cs="Arial" w:eastAsia="Arial" w:hAnsi="Arial"/>
                  <w:sz w:val="18"/>
                  <w:szCs w:val="18"/>
                  <w:color w:val="0000EE"/>
                  <w:w w:val="99"/>
                </w:rPr>
                <w:t>Financial Statements and Supplementary Data</w:t>
              </w:r>
            </w:hyperlink>
          </w:p>
        </w:tc>
        <w:tc>
          <w:tcPr>
            <w:tcW w:w="960" w:type="dxa"/>
            <w:vAlign w:val="bottom"/>
            <w:tcBorders>
              <w:top w:val="single" w:sz="8" w:color="0000EE"/>
            </w:tcBorders>
            <w:gridSpan w:val="2"/>
          </w:tcPr>
          <w:p>
            <w:pPr>
              <w:spacing w:after="0"/>
              <w:rPr>
                <w:sz w:val="24"/>
                <w:szCs w:val="24"/>
                <w:color w:val="auto"/>
              </w:rPr>
            </w:pPr>
          </w:p>
        </w:tc>
        <w:tc>
          <w:tcPr>
            <w:tcW w:w="4960" w:type="dxa"/>
            <w:vAlign w:val="bottom"/>
            <w:gridSpan w:val="6"/>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58"/>
        </w:trPr>
        <w:tc>
          <w:tcPr>
            <w:tcW w:w="1000" w:type="dxa"/>
            <w:vAlign w:val="bottom"/>
          </w:tcPr>
          <w:p>
            <w:pPr>
              <w:spacing w:after="0"/>
              <w:rPr>
                <w:sz w:val="20"/>
                <w:szCs w:val="20"/>
                <w:color w:val="auto"/>
              </w:rPr>
            </w:pPr>
            <w:r>
              <w:rPr>
                <w:rFonts w:ascii="Arial" w:cs="Arial" w:eastAsia="Arial" w:hAnsi="Arial"/>
                <w:sz w:val="18"/>
                <w:szCs w:val="18"/>
                <w:color w:val="auto"/>
              </w:rPr>
              <w:t>Item 9.</w:t>
            </w:r>
          </w:p>
        </w:tc>
        <w:tc>
          <w:tcPr>
            <w:tcW w:w="9640" w:type="dxa"/>
            <w:vAlign w:val="bottom"/>
            <w:gridSpan w:val="20"/>
          </w:tcPr>
          <w:p>
            <w:pPr>
              <w:spacing w:after="0"/>
              <w:rPr>
                <w:sz w:val="20"/>
                <w:szCs w:val="20"/>
                <w:color w:val="auto"/>
              </w:rPr>
            </w:pPr>
            <w:r>
              <w:rPr>
                <w:rFonts w:ascii="Arial" w:cs="Arial" w:eastAsia="Arial" w:hAnsi="Arial"/>
                <w:sz w:val="18"/>
                <w:szCs w:val="18"/>
                <w:color w:val="0000EE"/>
              </w:rPr>
              <w:t>Changes in and Disagreements with Accountants on Accounting and Financial Disclosure</w:t>
            </w:r>
          </w:p>
        </w:tc>
        <w:tc>
          <w:tcPr>
            <w:tcW w:w="74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358"/>
        </w:trPr>
        <w:tc>
          <w:tcPr>
            <w:tcW w:w="1000" w:type="dxa"/>
            <w:vAlign w:val="bottom"/>
          </w:tcPr>
          <w:p>
            <w:pPr>
              <w:spacing w:after="0"/>
              <w:rPr>
                <w:sz w:val="20"/>
                <w:szCs w:val="20"/>
                <w:color w:val="auto"/>
              </w:rPr>
            </w:pPr>
            <w:r>
              <w:rPr>
                <w:rFonts w:ascii="Arial" w:cs="Arial" w:eastAsia="Arial" w:hAnsi="Arial"/>
                <w:sz w:val="18"/>
                <w:szCs w:val="18"/>
                <w:color w:val="auto"/>
              </w:rPr>
              <w:t>Item 9A.</w:t>
            </w:r>
          </w:p>
        </w:tc>
        <w:tc>
          <w:tcPr>
            <w:tcW w:w="7120" w:type="dxa"/>
            <w:vAlign w:val="bottom"/>
            <w:tcBorders>
              <w:top w:val="single" w:sz="8" w:color="0000EE"/>
            </w:tcBorders>
            <w:gridSpan w:val="17"/>
          </w:tcPr>
          <w:p>
            <w:pPr>
              <w:spacing w:after="0"/>
              <w:rPr>
                <w:sz w:val="20"/>
                <w:szCs w:val="20"/>
                <w:color w:val="auto"/>
              </w:rPr>
            </w:pPr>
            <w:r>
              <w:rPr>
                <w:rFonts w:ascii="Arial" w:cs="Arial" w:eastAsia="Arial" w:hAnsi="Arial"/>
                <w:sz w:val="18"/>
                <w:szCs w:val="18"/>
                <w:color w:val="0000EE"/>
              </w:rPr>
              <w:t>Controls and Procedures</w:t>
            </w:r>
          </w:p>
        </w:tc>
        <w:tc>
          <w:tcPr>
            <w:tcW w:w="2520" w:type="dxa"/>
            <w:vAlign w:val="bottom"/>
            <w:gridSpan w:val="3"/>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358"/>
        </w:trPr>
        <w:tc>
          <w:tcPr>
            <w:tcW w:w="1000" w:type="dxa"/>
            <w:vAlign w:val="bottom"/>
          </w:tcPr>
          <w:p>
            <w:pPr>
              <w:spacing w:after="0"/>
              <w:rPr>
                <w:sz w:val="20"/>
                <w:szCs w:val="20"/>
                <w:color w:val="auto"/>
              </w:rPr>
            </w:pPr>
            <w:r>
              <w:rPr>
                <w:rFonts w:ascii="Arial" w:cs="Arial" w:eastAsia="Arial" w:hAnsi="Arial"/>
                <w:sz w:val="18"/>
                <w:szCs w:val="18"/>
                <w:color w:val="auto"/>
              </w:rPr>
              <w:t>Item 9B.</w:t>
            </w:r>
          </w:p>
        </w:tc>
        <w:tc>
          <w:tcPr>
            <w:tcW w:w="1980" w:type="dxa"/>
            <w:vAlign w:val="bottom"/>
            <w:tcBorders>
              <w:top w:val="single" w:sz="8" w:color="0000EE"/>
            </w:tcBorders>
            <w:gridSpan w:val="8"/>
          </w:tcPr>
          <w:p>
            <w:pPr>
              <w:spacing w:after="0"/>
              <w:rPr>
                <w:sz w:val="20"/>
                <w:szCs w:val="20"/>
                <w:color w:val="auto"/>
              </w:rPr>
            </w:pPr>
            <w:r>
              <w:rPr>
                <w:rFonts w:ascii="Arial" w:cs="Arial" w:eastAsia="Arial" w:hAnsi="Arial"/>
                <w:sz w:val="18"/>
                <w:szCs w:val="18"/>
                <w:color w:val="0000EE"/>
              </w:rPr>
              <w:t>Other Information</w:t>
            </w:r>
          </w:p>
        </w:tc>
        <w:tc>
          <w:tcPr>
            <w:tcW w:w="7660" w:type="dxa"/>
            <w:vAlign w:val="bottom"/>
            <w:gridSpan w:val="12"/>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399"/>
        </w:trPr>
        <w:tc>
          <w:tcPr>
            <w:tcW w:w="1000" w:type="dxa"/>
            <w:vAlign w:val="bottom"/>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20" w:type="dxa"/>
            <w:vAlign w:val="bottom"/>
            <w:gridSpan w:val="8"/>
          </w:tcPr>
          <w:p>
            <w:pPr>
              <w:jc w:val="center"/>
              <w:ind w:right="3920"/>
              <w:spacing w:after="0"/>
              <w:rPr>
                <w:sz w:val="20"/>
                <w:szCs w:val="20"/>
                <w:color w:val="auto"/>
              </w:rPr>
            </w:pPr>
            <w:r>
              <w:rPr>
                <w:rFonts w:ascii="Arial" w:cs="Arial" w:eastAsia="Arial" w:hAnsi="Arial"/>
                <w:sz w:val="18"/>
                <w:szCs w:val="18"/>
                <w:b w:val="1"/>
                <w:bCs w:val="1"/>
                <w:color w:val="auto"/>
                <w:w w:val="98"/>
              </w:rPr>
              <w:t>PART III</w:t>
            </w:r>
          </w:p>
        </w:tc>
        <w:tc>
          <w:tcPr>
            <w:tcW w:w="740" w:type="dxa"/>
            <w:vAlign w:val="bottom"/>
          </w:tcPr>
          <w:p>
            <w:pPr>
              <w:spacing w:after="0"/>
              <w:rPr>
                <w:sz w:val="24"/>
                <w:szCs w:val="24"/>
                <w:color w:val="auto"/>
              </w:rPr>
            </w:pPr>
          </w:p>
        </w:tc>
      </w:tr>
      <w:tr>
        <w:trPr>
          <w:trHeight w:val="338"/>
        </w:trPr>
        <w:tc>
          <w:tcPr>
            <w:tcW w:w="1000" w:type="dxa"/>
            <w:vAlign w:val="bottom"/>
          </w:tcPr>
          <w:p>
            <w:pPr>
              <w:spacing w:after="0"/>
              <w:rPr>
                <w:sz w:val="20"/>
                <w:szCs w:val="20"/>
                <w:color w:val="auto"/>
              </w:rPr>
            </w:pPr>
            <w:r>
              <w:rPr>
                <w:rFonts w:ascii="Arial" w:cs="Arial" w:eastAsia="Arial" w:hAnsi="Arial"/>
                <w:sz w:val="18"/>
                <w:szCs w:val="18"/>
                <w:color w:val="auto"/>
              </w:rPr>
              <w:t>Item 10.</w:t>
            </w:r>
          </w:p>
        </w:tc>
        <w:tc>
          <w:tcPr>
            <w:tcW w:w="4500" w:type="dxa"/>
            <w:vAlign w:val="bottom"/>
            <w:tcBorders>
              <w:bottom w:val="single" w:sz="8" w:color="0000EE"/>
            </w:tcBorders>
            <w:gridSpan w:val="13"/>
          </w:tcPr>
          <w:p>
            <w:pPr>
              <w:spacing w:after="0"/>
              <w:rPr>
                <w:rFonts w:ascii="Arial" w:cs="Arial" w:eastAsia="Arial" w:hAnsi="Arial"/>
                <w:sz w:val="18"/>
                <w:szCs w:val="18"/>
                <w:color w:val="0000EE"/>
                <w:w w:val="99"/>
              </w:rPr>
            </w:pPr>
            <w:hyperlink w:anchor="page106">
              <w:r>
                <w:rPr>
                  <w:rFonts w:ascii="Arial" w:cs="Arial" w:eastAsia="Arial" w:hAnsi="Arial"/>
                  <w:sz w:val="18"/>
                  <w:szCs w:val="18"/>
                  <w:color w:val="0000EE"/>
                  <w:w w:val="99"/>
                </w:rPr>
                <w:t>Directors, Executive Officers and Corporate Governance</w:t>
              </w:r>
            </w:hyperlink>
          </w:p>
        </w:tc>
        <w:tc>
          <w:tcPr>
            <w:tcW w:w="5140" w:type="dxa"/>
            <w:vAlign w:val="bottom"/>
            <w:gridSpan w:val="7"/>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358"/>
        </w:trPr>
        <w:tc>
          <w:tcPr>
            <w:tcW w:w="1000" w:type="dxa"/>
            <w:vAlign w:val="bottom"/>
          </w:tcPr>
          <w:p>
            <w:pPr>
              <w:spacing w:after="0"/>
              <w:rPr>
                <w:sz w:val="20"/>
                <w:szCs w:val="20"/>
                <w:color w:val="auto"/>
              </w:rPr>
            </w:pPr>
            <w:r>
              <w:rPr>
                <w:rFonts w:ascii="Arial" w:cs="Arial" w:eastAsia="Arial" w:hAnsi="Arial"/>
                <w:sz w:val="18"/>
                <w:szCs w:val="18"/>
                <w:color w:val="auto"/>
              </w:rPr>
              <w:t>Item 11.</w:t>
            </w:r>
          </w:p>
        </w:tc>
        <w:tc>
          <w:tcPr>
            <w:tcW w:w="9640" w:type="dxa"/>
            <w:vAlign w:val="bottom"/>
            <w:gridSpan w:val="20"/>
          </w:tcPr>
          <w:p>
            <w:pPr>
              <w:spacing w:after="0"/>
              <w:rPr>
                <w:rFonts w:ascii="Arial" w:cs="Arial" w:eastAsia="Arial" w:hAnsi="Arial"/>
                <w:sz w:val="18"/>
                <w:szCs w:val="18"/>
                <w:color w:val="0000EE"/>
              </w:rPr>
            </w:pPr>
            <w:hyperlink w:anchor="page106">
              <w:r>
                <w:rPr>
                  <w:rFonts w:ascii="Arial" w:cs="Arial" w:eastAsia="Arial" w:hAnsi="Arial"/>
                  <w:sz w:val="18"/>
                  <w:szCs w:val="18"/>
                  <w:color w:val="0000EE"/>
                </w:rPr>
                <w:t>Executive Compensation</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0"/>
        </w:trPr>
        <w:tc>
          <w:tcPr>
            <w:tcW w:w="1000" w:type="dxa"/>
            <w:vAlign w:val="bottom"/>
          </w:tcPr>
          <w:p>
            <w:pPr>
              <w:spacing w:after="0" w:line="20" w:lineRule="exact"/>
              <w:rPr>
                <w:sz w:val="1"/>
                <w:szCs w:val="1"/>
                <w:color w:val="auto"/>
              </w:rPr>
            </w:pPr>
          </w:p>
        </w:tc>
        <w:tc>
          <w:tcPr>
            <w:tcW w:w="1980" w:type="dxa"/>
            <w:vAlign w:val="bottom"/>
            <w:gridSpan w:val="8"/>
            <w:shd w:val="clear" w:color="auto" w:fill="0000E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58"/>
        </w:trPr>
        <w:tc>
          <w:tcPr>
            <w:tcW w:w="1000" w:type="dxa"/>
            <w:vAlign w:val="bottom"/>
          </w:tcPr>
          <w:p>
            <w:pPr>
              <w:spacing w:after="0"/>
              <w:rPr>
                <w:sz w:val="20"/>
                <w:szCs w:val="20"/>
                <w:color w:val="auto"/>
              </w:rPr>
            </w:pPr>
            <w:r>
              <w:rPr>
                <w:rFonts w:ascii="Arial" w:cs="Arial" w:eastAsia="Arial" w:hAnsi="Arial"/>
                <w:sz w:val="18"/>
                <w:szCs w:val="18"/>
                <w:color w:val="auto"/>
              </w:rPr>
              <w:t>Item 12.</w:t>
            </w:r>
          </w:p>
        </w:tc>
        <w:tc>
          <w:tcPr>
            <w:tcW w:w="9640" w:type="dxa"/>
            <w:vAlign w:val="bottom"/>
            <w:gridSpan w:val="20"/>
          </w:tcPr>
          <w:p>
            <w:pPr>
              <w:spacing w:after="0"/>
              <w:rPr>
                <w:rFonts w:ascii="Arial" w:cs="Arial" w:eastAsia="Arial" w:hAnsi="Arial"/>
                <w:sz w:val="18"/>
                <w:szCs w:val="18"/>
                <w:color w:val="0000EE"/>
              </w:rPr>
            </w:pPr>
            <w:hyperlink w:anchor="page107">
              <w:r>
                <w:rPr>
                  <w:rFonts w:ascii="Arial" w:cs="Arial" w:eastAsia="Arial" w:hAnsi="Arial"/>
                  <w:sz w:val="18"/>
                  <w:szCs w:val="18"/>
                  <w:color w:val="0000EE"/>
                </w:rPr>
                <w:t>Security Ownership of Certain Beneficial Owners and Management and Related Stockholder Matters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358"/>
        </w:trPr>
        <w:tc>
          <w:tcPr>
            <w:tcW w:w="1000" w:type="dxa"/>
            <w:vAlign w:val="bottom"/>
          </w:tcPr>
          <w:p>
            <w:pPr>
              <w:spacing w:after="0"/>
              <w:rPr>
                <w:sz w:val="20"/>
                <w:szCs w:val="20"/>
                <w:color w:val="auto"/>
              </w:rPr>
            </w:pPr>
            <w:r>
              <w:rPr>
                <w:rFonts w:ascii="Arial" w:cs="Arial" w:eastAsia="Arial" w:hAnsi="Arial"/>
                <w:sz w:val="18"/>
                <w:szCs w:val="18"/>
                <w:color w:val="auto"/>
              </w:rPr>
              <w:t>Item 13.</w:t>
            </w:r>
          </w:p>
        </w:tc>
        <w:tc>
          <w:tcPr>
            <w:tcW w:w="8000" w:type="dxa"/>
            <w:vAlign w:val="bottom"/>
            <w:tcBorders>
              <w:top w:val="single" w:sz="8" w:color="0000EE"/>
            </w:tcBorders>
            <w:gridSpan w:val="18"/>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Certain Relationships, Related Transactions and Director Independence</w:t>
              </w:r>
            </w:hyperlink>
          </w:p>
        </w:tc>
        <w:tc>
          <w:tcPr>
            <w:tcW w:w="1640" w:type="dxa"/>
            <w:vAlign w:val="bottom"/>
            <w:gridSpan w:val="2"/>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358"/>
        </w:trPr>
        <w:tc>
          <w:tcPr>
            <w:tcW w:w="1000" w:type="dxa"/>
            <w:vAlign w:val="bottom"/>
          </w:tcPr>
          <w:p>
            <w:pPr>
              <w:spacing w:after="0"/>
              <w:rPr>
                <w:sz w:val="20"/>
                <w:szCs w:val="20"/>
                <w:color w:val="auto"/>
              </w:rPr>
            </w:pPr>
            <w:r>
              <w:rPr>
                <w:rFonts w:ascii="Arial" w:cs="Arial" w:eastAsia="Arial" w:hAnsi="Arial"/>
                <w:sz w:val="18"/>
                <w:szCs w:val="18"/>
                <w:color w:val="auto"/>
              </w:rPr>
              <w:t>Item 14.</w:t>
            </w:r>
          </w:p>
        </w:tc>
        <w:tc>
          <w:tcPr>
            <w:tcW w:w="5720" w:type="dxa"/>
            <w:vAlign w:val="bottom"/>
            <w:tcBorders>
              <w:top w:val="single" w:sz="8" w:color="0000EE"/>
            </w:tcBorders>
            <w:gridSpan w:val="15"/>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Principal Accountant Fees and Services</w:t>
              </w:r>
            </w:hyperlink>
          </w:p>
        </w:tc>
        <w:tc>
          <w:tcPr>
            <w:tcW w:w="3920" w:type="dxa"/>
            <w:vAlign w:val="bottom"/>
            <w:gridSpan w:val="5"/>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777"/>
        </w:trPr>
        <w:tc>
          <w:tcPr>
            <w:tcW w:w="1000" w:type="dxa"/>
            <w:vAlign w:val="bottom"/>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20" w:type="dxa"/>
            <w:vAlign w:val="bottom"/>
            <w:gridSpan w:val="8"/>
          </w:tcPr>
          <w:p>
            <w:pPr>
              <w:jc w:val="center"/>
              <w:ind w:right="3940"/>
              <w:spacing w:after="0"/>
              <w:rPr>
                <w:sz w:val="20"/>
                <w:szCs w:val="20"/>
                <w:color w:val="auto"/>
              </w:rPr>
            </w:pPr>
            <w:r>
              <w:rPr>
                <w:rFonts w:ascii="Arial" w:cs="Arial" w:eastAsia="Arial" w:hAnsi="Arial"/>
                <w:sz w:val="18"/>
                <w:szCs w:val="18"/>
                <w:b w:val="1"/>
                <w:bCs w:val="1"/>
                <w:color w:val="auto"/>
                <w:w w:val="98"/>
              </w:rPr>
              <w:t>PART IV</w:t>
            </w:r>
          </w:p>
        </w:tc>
        <w:tc>
          <w:tcPr>
            <w:tcW w:w="740" w:type="dxa"/>
            <w:vAlign w:val="bottom"/>
          </w:tcPr>
          <w:p>
            <w:pPr>
              <w:spacing w:after="0"/>
              <w:rPr>
                <w:sz w:val="24"/>
                <w:szCs w:val="24"/>
                <w:color w:val="auto"/>
              </w:rPr>
            </w:pPr>
          </w:p>
        </w:tc>
      </w:tr>
      <w:tr>
        <w:trPr>
          <w:trHeight w:val="338"/>
        </w:trPr>
        <w:tc>
          <w:tcPr>
            <w:tcW w:w="1000" w:type="dxa"/>
            <w:vAlign w:val="bottom"/>
          </w:tcPr>
          <w:p>
            <w:pPr>
              <w:spacing w:after="0"/>
              <w:rPr>
                <w:sz w:val="20"/>
                <w:szCs w:val="20"/>
                <w:color w:val="auto"/>
              </w:rPr>
            </w:pPr>
            <w:r>
              <w:rPr>
                <w:rFonts w:ascii="Arial" w:cs="Arial" w:eastAsia="Arial" w:hAnsi="Arial"/>
                <w:sz w:val="18"/>
                <w:szCs w:val="18"/>
                <w:color w:val="auto"/>
              </w:rPr>
              <w:t>Item 15.</w:t>
            </w:r>
          </w:p>
        </w:tc>
        <w:tc>
          <w:tcPr>
            <w:tcW w:w="9640" w:type="dxa"/>
            <w:vAlign w:val="bottom"/>
            <w:gridSpan w:val="20"/>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Exhibits and Financial Statement Schedules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0"/>
        </w:trPr>
        <w:tc>
          <w:tcPr>
            <w:tcW w:w="10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Forward-Looking Statements</w:t>
      </w:r>
    </w:p>
    <w:p>
      <w:pPr>
        <w:spacing w:after="0" w:line="192"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This annual report and the documents incorporated or deemed to be incorporated by reference in this annual report contain statements concerning future results and performance and other matters that are “forward-looking” statements within the meaning of Section 27A of the Securities Act and Section 21E of the Securities Exchange Act of 1934, as amended (the “Exchange Act”). The words “believe,” “expect,” “anticipate,” “intend,” “estimate,” “plan,” “project,” “may,” “will,” “should,” and variations of such words or similar expressions are intended, but are not the exclusive means, to identify forward-looking statements. Because forward-looking statements are subject to risks and uncertainties, actual results may differ materially from those expressed or implied by the forward-looking statements.</w:t>
      </w:r>
    </w:p>
    <w:p>
      <w:pPr>
        <w:spacing w:after="0" w:line="178" w:lineRule="exact"/>
        <w:rPr>
          <w:sz w:val="20"/>
          <w:szCs w:val="20"/>
          <w:color w:val="auto"/>
        </w:rPr>
      </w:pPr>
    </w:p>
    <w:p>
      <w:pPr>
        <w:ind w:right="540" w:firstLine="648"/>
        <w:spacing w:after="0" w:line="246" w:lineRule="auto"/>
        <w:rPr>
          <w:sz w:val="20"/>
          <w:szCs w:val="20"/>
          <w:color w:val="auto"/>
        </w:rPr>
      </w:pPr>
      <w:r>
        <w:rPr>
          <w:rFonts w:ascii="Arial" w:cs="Arial" w:eastAsia="Arial" w:hAnsi="Arial"/>
          <w:sz w:val="18"/>
          <w:szCs w:val="18"/>
          <w:color w:val="auto"/>
        </w:rPr>
        <w:t>There are a number of risks, uncertainties, and other important factors that could cause actual results to differ materially from the forward-looking statements, including, but not limited to:</w:t>
      </w:r>
    </w:p>
    <w:p>
      <w:pPr>
        <w:spacing w:after="0" w:line="156" w:lineRule="exact"/>
        <w:rPr>
          <w:sz w:val="20"/>
          <w:szCs w:val="20"/>
          <w:color w:val="auto"/>
        </w:rPr>
      </w:pPr>
    </w:p>
    <w:p>
      <w:pPr>
        <w:ind w:left="1300" w:right="100" w:hanging="320"/>
        <w:spacing w:after="0" w:line="218" w:lineRule="auto"/>
        <w:tabs>
          <w:tab w:leader="none" w:pos="1300" w:val="left"/>
        </w:tabs>
        <w:numPr>
          <w:ilvl w:val="0"/>
          <w:numId w:val="2"/>
        </w:numPr>
        <w:rPr>
          <w:rFonts w:ascii="Arial" w:cs="Arial" w:eastAsia="Arial" w:hAnsi="Arial"/>
          <w:sz w:val="22"/>
          <w:szCs w:val="22"/>
          <w:color w:val="auto"/>
        </w:rPr>
      </w:pPr>
      <w:r>
        <w:rPr>
          <w:rFonts w:ascii="Arial" w:cs="Arial" w:eastAsia="Arial" w:hAnsi="Arial"/>
          <w:sz w:val="18"/>
          <w:szCs w:val="18"/>
          <w:color w:val="auto"/>
        </w:rPr>
        <w:t>Conditions in the industries in which our Machine Clothing and Albany Engineered Composites segments compete, along with general risks associated with macroeconomic conditions;</w:t>
      </w:r>
    </w:p>
    <w:p>
      <w:pPr>
        <w:spacing w:after="0" w:line="189" w:lineRule="exact"/>
        <w:rPr>
          <w:rFonts w:ascii="Arial" w:cs="Arial" w:eastAsia="Arial" w:hAnsi="Arial"/>
          <w:sz w:val="22"/>
          <w:szCs w:val="22"/>
          <w:color w:val="auto"/>
        </w:rPr>
      </w:pPr>
    </w:p>
    <w:p>
      <w:pPr>
        <w:ind w:left="1300" w:right="340" w:hanging="320"/>
        <w:spacing w:after="0" w:line="223" w:lineRule="auto"/>
        <w:tabs>
          <w:tab w:leader="none" w:pos="1300" w:val="left"/>
        </w:tabs>
        <w:numPr>
          <w:ilvl w:val="0"/>
          <w:numId w:val="2"/>
        </w:numPr>
        <w:rPr>
          <w:rFonts w:ascii="Arial" w:cs="Arial" w:eastAsia="Arial" w:hAnsi="Arial"/>
          <w:sz w:val="22"/>
          <w:szCs w:val="22"/>
          <w:color w:val="auto"/>
        </w:rPr>
      </w:pPr>
      <w:r>
        <w:rPr>
          <w:rFonts w:ascii="Arial" w:cs="Arial" w:eastAsia="Arial" w:hAnsi="Arial"/>
          <w:sz w:val="18"/>
          <w:szCs w:val="18"/>
          <w:color w:val="auto"/>
        </w:rPr>
        <w:t>In the Machine Clothing segment, declines in demand for paper in certain regions and market segments that continues at a rate that is greater than anticipated, and growth in demand in other segments or regions that is lower or slower than anticipated;</w:t>
      </w:r>
    </w:p>
    <w:p>
      <w:pPr>
        <w:spacing w:after="0" w:line="190" w:lineRule="exact"/>
        <w:rPr>
          <w:rFonts w:ascii="Arial" w:cs="Arial" w:eastAsia="Arial" w:hAnsi="Arial"/>
          <w:sz w:val="22"/>
          <w:szCs w:val="22"/>
          <w:color w:val="auto"/>
        </w:rPr>
      </w:pPr>
    </w:p>
    <w:p>
      <w:pPr>
        <w:ind w:left="1300" w:right="940" w:hanging="320"/>
        <w:spacing w:after="0" w:line="218" w:lineRule="auto"/>
        <w:tabs>
          <w:tab w:leader="none" w:pos="1300" w:val="left"/>
        </w:tabs>
        <w:numPr>
          <w:ilvl w:val="0"/>
          <w:numId w:val="2"/>
        </w:numPr>
        <w:rPr>
          <w:rFonts w:ascii="Arial" w:cs="Arial" w:eastAsia="Arial" w:hAnsi="Arial"/>
          <w:sz w:val="22"/>
          <w:szCs w:val="22"/>
          <w:color w:val="auto"/>
        </w:rPr>
      </w:pPr>
      <w:r>
        <w:rPr>
          <w:rFonts w:ascii="Arial" w:cs="Arial" w:eastAsia="Arial" w:hAnsi="Arial"/>
          <w:sz w:val="18"/>
          <w:szCs w:val="18"/>
          <w:color w:val="auto"/>
        </w:rPr>
        <w:t>In the Albany Engineered Composites segment, unanticipated reductions in demand, delays, technical difficulties or cancellations in aerospace programs that are expected to drive growth;</w:t>
      </w:r>
    </w:p>
    <w:p>
      <w:pPr>
        <w:spacing w:after="0" w:line="153" w:lineRule="exact"/>
        <w:rPr>
          <w:rFonts w:ascii="Arial" w:cs="Arial" w:eastAsia="Arial" w:hAnsi="Arial"/>
          <w:sz w:val="22"/>
          <w:szCs w:val="22"/>
          <w:color w:val="auto"/>
        </w:rPr>
      </w:pPr>
    </w:p>
    <w:p>
      <w:pPr>
        <w:ind w:left="1300" w:hanging="320"/>
        <w:spacing w:after="0"/>
        <w:tabs>
          <w:tab w:leader="none" w:pos="1300" w:val="left"/>
        </w:tabs>
        <w:numPr>
          <w:ilvl w:val="0"/>
          <w:numId w:val="2"/>
        </w:numPr>
        <w:rPr>
          <w:rFonts w:ascii="Arial" w:cs="Arial" w:eastAsia="Arial" w:hAnsi="Arial"/>
          <w:sz w:val="22"/>
          <w:szCs w:val="22"/>
          <w:color w:val="auto"/>
        </w:rPr>
      </w:pPr>
      <w:r>
        <w:rPr>
          <w:rFonts w:ascii="Arial" w:cs="Arial" w:eastAsia="Arial" w:hAnsi="Arial"/>
          <w:sz w:val="18"/>
          <w:szCs w:val="18"/>
          <w:color w:val="auto"/>
        </w:rPr>
        <w:t>Failure to achieve or maintain anticipated profitable growth in our Albany Engineered Composites segment;</w:t>
      </w:r>
    </w:p>
    <w:p>
      <w:pPr>
        <w:spacing w:after="0" w:line="228" w:lineRule="exact"/>
        <w:rPr>
          <w:rFonts w:ascii="Arial" w:cs="Arial" w:eastAsia="Arial" w:hAnsi="Arial"/>
          <w:sz w:val="22"/>
          <w:szCs w:val="22"/>
          <w:color w:val="auto"/>
        </w:rPr>
      </w:pPr>
    </w:p>
    <w:p>
      <w:pPr>
        <w:ind w:left="1300" w:right="520" w:hanging="320"/>
        <w:spacing w:after="0" w:line="218" w:lineRule="auto"/>
        <w:tabs>
          <w:tab w:leader="none" w:pos="1300" w:val="left"/>
        </w:tabs>
        <w:numPr>
          <w:ilvl w:val="0"/>
          <w:numId w:val="2"/>
        </w:numPr>
        <w:rPr>
          <w:rFonts w:ascii="Arial" w:cs="Arial" w:eastAsia="Arial" w:hAnsi="Arial"/>
          <w:sz w:val="22"/>
          <w:szCs w:val="22"/>
          <w:color w:val="auto"/>
        </w:rPr>
      </w:pPr>
      <w:r>
        <w:rPr>
          <w:rFonts w:ascii="Arial" w:cs="Arial" w:eastAsia="Arial" w:hAnsi="Arial"/>
          <w:sz w:val="18"/>
          <w:szCs w:val="18"/>
          <w:color w:val="auto"/>
        </w:rPr>
        <w:t>Other risks and conditions in the industries in which our Machine Clothing and Albany Engineered Composites segments compete, along with general risks associated with macroeconomic conditions; and</w:t>
      </w:r>
    </w:p>
    <w:p>
      <w:pPr>
        <w:spacing w:after="0" w:line="153" w:lineRule="exact"/>
        <w:rPr>
          <w:rFonts w:ascii="Arial" w:cs="Arial" w:eastAsia="Arial" w:hAnsi="Arial"/>
          <w:sz w:val="22"/>
          <w:szCs w:val="22"/>
          <w:color w:val="auto"/>
        </w:rPr>
      </w:pPr>
    </w:p>
    <w:p>
      <w:pPr>
        <w:ind w:left="1300" w:hanging="320"/>
        <w:spacing w:after="0"/>
        <w:tabs>
          <w:tab w:leader="none" w:pos="1300" w:val="left"/>
        </w:tabs>
        <w:numPr>
          <w:ilvl w:val="0"/>
          <w:numId w:val="2"/>
        </w:numPr>
        <w:rPr>
          <w:rFonts w:ascii="Arial" w:cs="Arial" w:eastAsia="Arial" w:hAnsi="Arial"/>
          <w:sz w:val="22"/>
          <w:szCs w:val="22"/>
          <w:color w:val="auto"/>
        </w:rPr>
      </w:pPr>
      <w:r>
        <w:rPr>
          <w:rFonts w:ascii="Arial" w:cs="Arial" w:eastAsia="Arial" w:hAnsi="Arial"/>
          <w:sz w:val="18"/>
          <w:szCs w:val="18"/>
          <w:color w:val="auto"/>
        </w:rPr>
        <w:t>Other risks and uncertainties detailed in this report.</w:t>
      </w:r>
    </w:p>
    <w:p>
      <w:pPr>
        <w:spacing w:after="0" w:line="202"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Further information concerning important factors that could cause actual events or results to be materially different from the forward-looking statements can be found in Item 1A - “Risk Factors”, as well as in the “Business Environment Overview and Trends” in Item 7 of this annual report. Statements expressing our assessments of the growth potential of the Albany Engineered Composites segment are not intended as forecasts of actual future growth, and should not be relied on as such. While we believe such assessments to have a reasonable basis, such assessments are, by their nature, inherently uncertain. This report sets forth a number of assumptions regarding these assessments. Such assumptions could prove incorrect. Although we believe the expectations reflected in our forward-looking statements are based on reasonable assumptions, it is not possible to foresee or identify all factors that could have a material and negative impact on our future performance. The forward-looking statements included or incorporated by reference in this annual report are made on the basis of our assumptions and analyses, as of the time the statements are made, in light of our experience and perception of historical conditions, expected future developments, and other factors believed to be appropriate under the circumstances.</w:t>
      </w:r>
    </w:p>
    <w:p>
      <w:pPr>
        <w:spacing w:after="0" w:line="180" w:lineRule="exact"/>
        <w:rPr>
          <w:sz w:val="20"/>
          <w:szCs w:val="20"/>
          <w:color w:val="auto"/>
        </w:rPr>
      </w:pPr>
    </w:p>
    <w:p>
      <w:pPr>
        <w:ind w:right="160" w:firstLine="648"/>
        <w:spacing w:after="0"/>
        <w:rPr>
          <w:sz w:val="20"/>
          <w:szCs w:val="20"/>
          <w:color w:val="auto"/>
        </w:rPr>
      </w:pPr>
      <w:r>
        <w:rPr>
          <w:rFonts w:ascii="Arial" w:cs="Arial" w:eastAsia="Arial" w:hAnsi="Arial"/>
          <w:sz w:val="18"/>
          <w:szCs w:val="18"/>
          <w:color w:val="auto"/>
        </w:rPr>
        <w:t>Except as otherwise required by the federal securities laws, we disclaim any obligation or undertaking to publicly release any updates or revisions to any forward-looking statement contained or incorporated by reference in this annual report to reflect any change in our expectations with regard thereto or any change in events, conditions, or circumstances on which any such statement is based.</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17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Albany International Corp. (the Registrant, the Company, we, us, or our) and its subsidiaries are engaged in two business segments.</w:t>
      </w:r>
    </w:p>
    <w:p>
      <w:pPr>
        <w:spacing w:after="0" w:line="171" w:lineRule="exact"/>
        <w:rPr>
          <w:sz w:val="20"/>
          <w:szCs w:val="20"/>
          <w:color w:val="auto"/>
        </w:rPr>
      </w:pPr>
    </w:p>
    <w:p>
      <w:pPr>
        <w:ind w:right="60" w:firstLine="648"/>
        <w:spacing w:after="0" w:line="246" w:lineRule="auto"/>
        <w:rPr>
          <w:sz w:val="20"/>
          <w:szCs w:val="20"/>
          <w:color w:val="auto"/>
        </w:rPr>
      </w:pPr>
      <w:r>
        <w:rPr>
          <w:rFonts w:ascii="Arial" w:cs="Arial" w:eastAsia="Arial" w:hAnsi="Arial"/>
          <w:sz w:val="18"/>
          <w:szCs w:val="18"/>
          <w:color w:val="auto"/>
        </w:rPr>
        <w:t>The Machine Clothing (MC) segment supplies permeable and impermeable belts used in the manufacture of paper, paperboard, tissue and towel, pulp, nonwovens, fiber cement and several other industrial applications.</w:t>
      </w:r>
    </w:p>
    <w:p>
      <w:pPr>
        <w:spacing w:after="0" w:line="156"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We design, manufacture, and market paper machine clothing for each section of the paper machine and for every grade of paper. We manufacture and sell approximately twice as much paper machine clothing worldwide than any other company. Paper machine clothing products are customized, consumable products of technologically sophisticated design that utilize polymeric materials in a complex structure. The design and material composition of paper machine clothing can have a considerable effect on the quality of paper products produced and the efficiency of the paper machines on which it is used. Principal paper machine clothing products include forming, pressing, and dryer fabrics, and process belts. A forming fabric assists in paper sheet formation and conveys the very wet sheet (more than 75% water) through the forming section. Press fabrics are designed to carry the sheet through the press section, where water is pressed from the sheet as it passes through the press nip. In the dryer section, dryer fabrics manage air movement and hold the sheet against heated cylinders to enhance drying. Process belts are used in the press section to increase dryness and enhance sheet properties, as well as in other sections of the machine to improve runnability and enhance sheet qualities.</w:t>
      </w:r>
    </w:p>
    <w:p>
      <w:pPr>
        <w:spacing w:after="0" w:line="180" w:lineRule="exact"/>
        <w:rPr>
          <w:sz w:val="20"/>
          <w:szCs w:val="20"/>
          <w:color w:val="auto"/>
        </w:rPr>
      </w:pPr>
    </w:p>
    <w:p>
      <w:pPr>
        <w:ind w:right="840" w:firstLine="648"/>
        <w:spacing w:after="0" w:line="246" w:lineRule="auto"/>
        <w:rPr>
          <w:sz w:val="20"/>
          <w:szCs w:val="20"/>
          <w:color w:val="auto"/>
        </w:rPr>
      </w:pPr>
      <w:r>
        <w:rPr>
          <w:rFonts w:ascii="Arial" w:cs="Arial" w:eastAsia="Arial" w:hAnsi="Arial"/>
          <w:sz w:val="18"/>
          <w:szCs w:val="18"/>
          <w:color w:val="auto"/>
        </w:rPr>
        <w:t>The Machine Clothing segment also supplies customized, consumable fabrics used in the manufacturing process in the pulp, corrugator, nonwovens, fiber cement, building products, and tannery and textile industries.</w:t>
      </w:r>
    </w:p>
    <w:p>
      <w:pPr>
        <w:spacing w:after="0" w:line="156" w:lineRule="exact"/>
        <w:rPr>
          <w:sz w:val="20"/>
          <w:szCs w:val="20"/>
          <w:color w:val="auto"/>
        </w:rPr>
      </w:pPr>
    </w:p>
    <w:p>
      <w:pPr>
        <w:ind w:right="180" w:firstLine="648"/>
        <w:spacing w:after="0" w:line="238" w:lineRule="auto"/>
        <w:rPr>
          <w:sz w:val="20"/>
          <w:szCs w:val="20"/>
          <w:color w:val="auto"/>
        </w:rPr>
      </w:pPr>
      <w:r>
        <w:rPr>
          <w:rFonts w:ascii="Arial" w:cs="Arial" w:eastAsia="Arial" w:hAnsi="Arial"/>
          <w:sz w:val="18"/>
          <w:szCs w:val="18"/>
          <w:color w:val="auto"/>
        </w:rPr>
        <w:t>We sell our Machine Clothing products directly to customer end-users in countries across the globe. Our products, manufacturing processes, and distribution channels for Machine Clothing are substantially the same in each region of the world in which we operate. The sales of paper machine clothing forming, pressing, and dryer fabrics, individually and in the aggregate, accounted for more than 10 percent of our consolidated net sales during one or more of the last three years. No individual customer accounted for as much as 10% of Machine Clothing net sales in any of the periods presented.</w:t>
      </w:r>
    </w:p>
    <w:p>
      <w:pPr>
        <w:spacing w:after="0" w:line="162"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The Albany Engineered Composites (AEC) segment, including Albany Safran Composites, LLC (ASC), in which our customer SAFRAN Group owns a 10 percent noncontrolling interest, provides highly engineered, advanced composite structures based on proprietary technology to customers in the aerospace and defense industries. AEC’s largest aerospace customer is the SAFRAN Group and sales to SAFRAN accounted for approximately 11% of the Company’s consolidated net sales in 2016. AEC’s largest program relates to CFM International’s LEAP engine. AEC, through ASC, is the exclusive supplier to this program of advanced composite fan blades and cases under a long-term supply contract. Other significant AEC programs include components for the F-35 Joint Strike Fighter, fuselage frame components for the Boeing 787, and the fan case for the GE9X engine. In 2016, approximately 30 percent of this segment’s sales were related to U.S. government contracts or programs.</w:t>
      </w:r>
    </w:p>
    <w:p>
      <w:pPr>
        <w:spacing w:after="0" w:line="181" w:lineRule="exact"/>
        <w:rPr>
          <w:sz w:val="20"/>
          <w:szCs w:val="20"/>
          <w:color w:val="auto"/>
        </w:rPr>
      </w:pPr>
    </w:p>
    <w:p>
      <w:pPr>
        <w:ind w:right="260" w:firstLine="648"/>
        <w:spacing w:after="0" w:line="246" w:lineRule="auto"/>
        <w:rPr>
          <w:sz w:val="20"/>
          <w:szCs w:val="20"/>
          <w:color w:val="auto"/>
        </w:rPr>
      </w:pPr>
      <w:r>
        <w:rPr>
          <w:rFonts w:ascii="Arial" w:cs="Arial" w:eastAsia="Arial" w:hAnsi="Arial"/>
          <w:sz w:val="18"/>
          <w:szCs w:val="18"/>
          <w:color w:val="auto"/>
        </w:rPr>
        <w:t>See “Business Environment Overview and Trends” under Item 7, Management’s Discussion and Analysis of Financial Condition and Results of Operations, for a discussion of general segment developments in recent years.</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ind w:left="660"/>
        <w:spacing w:after="0"/>
        <w:rPr>
          <w:sz w:val="20"/>
          <w:szCs w:val="20"/>
          <w:color w:val="auto"/>
        </w:rPr>
      </w:pPr>
      <w:r>
        <w:rPr>
          <w:rFonts w:ascii="Arial" w:cs="Arial" w:eastAsia="Arial" w:hAnsi="Arial"/>
          <w:sz w:val="18"/>
          <w:szCs w:val="18"/>
          <w:color w:val="auto"/>
        </w:rPr>
        <w:t>Following is a table of net sales by segment for 2016, 2015, and 2014.</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rPr>
              <w:t>(in thousands)</w:t>
            </w:r>
          </w:p>
        </w:tc>
        <w:tc>
          <w:tcPr>
            <w:tcW w:w="3240" w:type="dxa"/>
            <w:vAlign w:val="bottom"/>
            <w:tcBorders>
              <w:top w:val="single" w:sz="8" w:color="auto"/>
              <w:bottom w:val="single" w:sz="8" w:color="auto"/>
            </w:tcBorders>
          </w:tcPr>
          <w:p>
            <w:pPr>
              <w:jc w:val="center"/>
              <w:ind w:left="1470"/>
              <w:spacing w:after="0"/>
              <w:rPr>
                <w:sz w:val="20"/>
                <w:szCs w:val="20"/>
                <w:color w:val="auto"/>
              </w:rPr>
            </w:pPr>
            <w:r>
              <w:rPr>
                <w:rFonts w:ascii="Arial" w:cs="Arial" w:eastAsia="Arial" w:hAnsi="Arial"/>
                <w:sz w:val="18"/>
                <w:szCs w:val="18"/>
                <w:b w:val="1"/>
                <w:bCs w:val="1"/>
                <w:color w:val="auto"/>
                <w:w w:val="99"/>
              </w:rPr>
              <w:t>2016</w:t>
            </w:r>
          </w:p>
        </w:tc>
        <w:tc>
          <w:tcPr>
            <w:tcW w:w="17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2015</w:t>
            </w:r>
          </w:p>
        </w:tc>
        <w:tc>
          <w:tcPr>
            <w:tcW w:w="17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2014</w:t>
            </w:r>
          </w:p>
        </w:tc>
      </w:tr>
      <w:tr>
        <w:trPr>
          <w:trHeight w:val="173"/>
        </w:trPr>
        <w:tc>
          <w:tcPr>
            <w:tcW w:w="4700" w:type="dxa"/>
            <w:vAlign w:val="bottom"/>
          </w:tcPr>
          <w:p>
            <w:pPr>
              <w:ind w:left="160"/>
              <w:spacing w:after="0" w:line="173" w:lineRule="exact"/>
              <w:rPr>
                <w:sz w:val="20"/>
                <w:szCs w:val="20"/>
                <w:color w:val="auto"/>
              </w:rPr>
            </w:pPr>
            <w:r>
              <w:rPr>
                <w:rFonts w:ascii="Arial" w:cs="Arial" w:eastAsia="Arial" w:hAnsi="Arial"/>
                <w:sz w:val="18"/>
                <w:szCs w:val="18"/>
                <w:color w:val="auto"/>
              </w:rPr>
              <w:t>Machine Clothing</w:t>
            </w:r>
          </w:p>
        </w:tc>
        <w:tc>
          <w:tcPr>
            <w:tcW w:w="3240" w:type="dxa"/>
            <w:vAlign w:val="bottom"/>
          </w:tcPr>
          <w:p>
            <w:pPr>
              <w:jc w:val="center"/>
              <w:ind w:left="1450"/>
              <w:spacing w:after="0" w:line="173" w:lineRule="exact"/>
              <w:rPr>
                <w:sz w:val="20"/>
                <w:szCs w:val="20"/>
                <w:color w:val="auto"/>
              </w:rPr>
            </w:pPr>
            <w:r>
              <w:rPr>
                <w:rFonts w:ascii="Arial" w:cs="Arial" w:eastAsia="Arial" w:hAnsi="Arial"/>
                <w:sz w:val="18"/>
                <w:szCs w:val="18"/>
                <w:b w:val="1"/>
                <w:bCs w:val="1"/>
                <w:color w:val="auto"/>
                <w:w w:val="98"/>
              </w:rPr>
              <w:t>$582,190</w:t>
            </w:r>
          </w:p>
        </w:tc>
        <w:tc>
          <w:tcPr>
            <w:tcW w:w="1720" w:type="dxa"/>
            <w:vAlign w:val="bottom"/>
          </w:tcPr>
          <w:p>
            <w:pPr>
              <w:jc w:val="center"/>
              <w:spacing w:after="0" w:line="173" w:lineRule="exact"/>
              <w:rPr>
                <w:sz w:val="20"/>
                <w:szCs w:val="20"/>
                <w:color w:val="auto"/>
              </w:rPr>
            </w:pPr>
            <w:r>
              <w:rPr>
                <w:rFonts w:ascii="Arial" w:cs="Arial" w:eastAsia="Arial" w:hAnsi="Arial"/>
                <w:sz w:val="18"/>
                <w:szCs w:val="18"/>
                <w:color w:val="auto"/>
              </w:rPr>
              <w:t>$608,581</w:t>
            </w:r>
          </w:p>
        </w:tc>
        <w:tc>
          <w:tcPr>
            <w:tcW w:w="1760" w:type="dxa"/>
            <w:vAlign w:val="bottom"/>
          </w:tcPr>
          <w:p>
            <w:pPr>
              <w:jc w:val="center"/>
              <w:spacing w:after="0" w:line="173" w:lineRule="exact"/>
              <w:rPr>
                <w:sz w:val="20"/>
                <w:szCs w:val="20"/>
                <w:color w:val="auto"/>
              </w:rPr>
            </w:pPr>
            <w:r>
              <w:rPr>
                <w:rFonts w:ascii="Arial" w:cs="Arial" w:eastAsia="Arial" w:hAnsi="Arial"/>
                <w:sz w:val="18"/>
                <w:szCs w:val="18"/>
                <w:color w:val="auto"/>
                <w:w w:val="98"/>
              </w:rPr>
              <w:t>$655,026</w:t>
            </w:r>
          </w:p>
        </w:tc>
      </w:tr>
      <w:tr>
        <w:trPr>
          <w:trHeight w:val="225"/>
        </w:trPr>
        <w:tc>
          <w:tcPr>
            <w:tcW w:w="47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Albany Engineered Composites</w:t>
            </w:r>
          </w:p>
        </w:tc>
        <w:tc>
          <w:tcPr>
            <w:tcW w:w="3240" w:type="dxa"/>
            <w:vAlign w:val="bottom"/>
            <w:tcBorders>
              <w:bottom w:val="single" w:sz="8" w:color="auto"/>
            </w:tcBorders>
          </w:tcPr>
          <w:p>
            <w:pPr>
              <w:jc w:val="center"/>
              <w:ind w:left="1450"/>
              <w:spacing w:after="0"/>
              <w:rPr>
                <w:sz w:val="20"/>
                <w:szCs w:val="20"/>
                <w:color w:val="auto"/>
              </w:rPr>
            </w:pPr>
            <w:r>
              <w:rPr>
                <w:rFonts w:ascii="Arial" w:cs="Arial" w:eastAsia="Arial" w:hAnsi="Arial"/>
                <w:sz w:val="18"/>
                <w:szCs w:val="18"/>
                <w:b w:val="1"/>
                <w:bCs w:val="1"/>
                <w:color w:val="auto"/>
              </w:rPr>
              <w:t>197,649</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101,287</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90,319</w:t>
            </w:r>
          </w:p>
        </w:tc>
      </w:tr>
      <w:tr>
        <w:trPr>
          <w:trHeight w:val="196"/>
        </w:trPr>
        <w:tc>
          <w:tcPr>
            <w:tcW w:w="4700" w:type="dxa"/>
            <w:vAlign w:val="bottom"/>
            <w:tcBorders>
              <w:bottom w:val="single" w:sz="8" w:color="auto"/>
            </w:tcBorders>
          </w:tcPr>
          <w:p>
            <w:pPr>
              <w:ind w:left="160"/>
              <w:spacing w:after="0" w:line="196" w:lineRule="exact"/>
              <w:rPr>
                <w:sz w:val="20"/>
                <w:szCs w:val="20"/>
                <w:color w:val="auto"/>
              </w:rPr>
            </w:pPr>
            <w:r>
              <w:rPr>
                <w:rFonts w:ascii="Arial" w:cs="Arial" w:eastAsia="Arial" w:hAnsi="Arial"/>
                <w:sz w:val="18"/>
                <w:szCs w:val="18"/>
                <w:color w:val="auto"/>
              </w:rPr>
              <w:t>Consolidated total</w:t>
            </w:r>
          </w:p>
        </w:tc>
        <w:tc>
          <w:tcPr>
            <w:tcW w:w="3240" w:type="dxa"/>
            <w:vAlign w:val="bottom"/>
            <w:tcBorders>
              <w:bottom w:val="single" w:sz="8" w:color="auto"/>
            </w:tcBorders>
          </w:tcPr>
          <w:p>
            <w:pPr>
              <w:jc w:val="center"/>
              <w:ind w:left="1450"/>
              <w:spacing w:after="0" w:line="196" w:lineRule="exact"/>
              <w:rPr>
                <w:sz w:val="20"/>
                <w:szCs w:val="20"/>
                <w:color w:val="auto"/>
              </w:rPr>
            </w:pPr>
            <w:r>
              <w:rPr>
                <w:rFonts w:ascii="Arial" w:cs="Arial" w:eastAsia="Arial" w:hAnsi="Arial"/>
                <w:sz w:val="18"/>
                <w:szCs w:val="18"/>
                <w:b w:val="1"/>
                <w:bCs w:val="1"/>
                <w:color w:val="auto"/>
                <w:w w:val="98"/>
              </w:rPr>
              <w:t>$779,839</w:t>
            </w:r>
          </w:p>
        </w:tc>
        <w:tc>
          <w:tcPr>
            <w:tcW w:w="172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rPr>
              <w:t>$709,868</w:t>
            </w:r>
          </w:p>
        </w:tc>
        <w:tc>
          <w:tcPr>
            <w:tcW w:w="176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$745,345</w:t>
            </w:r>
          </w:p>
        </w:tc>
      </w:tr>
    </w:tbl>
    <w:p>
      <w:pPr>
        <w:spacing w:after="0" w:line="161" w:lineRule="exact"/>
        <w:rPr>
          <w:sz w:val="20"/>
          <w:szCs w:val="20"/>
          <w:color w:val="auto"/>
        </w:rPr>
      </w:pPr>
    </w:p>
    <w:p>
      <w:pPr>
        <w:ind w:right="440" w:firstLine="648"/>
        <w:spacing w:after="0" w:line="246" w:lineRule="auto"/>
        <w:rPr>
          <w:sz w:val="20"/>
          <w:szCs w:val="20"/>
          <w:color w:val="auto"/>
        </w:rPr>
      </w:pPr>
      <w:r>
        <w:rPr>
          <w:rFonts w:ascii="Arial" w:cs="Arial" w:eastAsia="Arial" w:hAnsi="Arial"/>
          <w:sz w:val="18"/>
          <w:szCs w:val="18"/>
          <w:color w:val="auto"/>
        </w:rPr>
        <w:t>The table setting forth certain sales, operating income, and balance sheet data that appears in Note 3, “Reportable Segments and Geographic Data,” of the Consolidated Financial Statements, included under Item 8 of this Form 10-K, is incorporated herein.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Operations</w:t>
      </w:r>
    </w:p>
    <w:p>
      <w:pPr>
        <w:spacing w:after="0" w:line="193"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Our Machine Clothing business segment maintains manufacturing facilities in Brazil, Canada, China, France, Italy, Mexico, South Korea, Sweden, the United Kingdom, and the United States. Our AEC business segment maintains manufacturing facilities in the United States and France, and will be begin manufacturing operations in Mexico during 2017.</w:t>
      </w:r>
    </w:p>
    <w:p>
      <w:pPr>
        <w:spacing w:after="0" w:line="162" w:lineRule="exact"/>
        <w:rPr>
          <w:sz w:val="20"/>
          <w:szCs w:val="20"/>
          <w:color w:val="auto"/>
        </w:rPr>
      </w:pPr>
    </w:p>
    <w:p>
      <w:pPr>
        <w:ind w:right="120" w:firstLine="648"/>
        <w:spacing w:after="0" w:line="237" w:lineRule="auto"/>
        <w:rPr>
          <w:sz w:val="20"/>
          <w:szCs w:val="20"/>
          <w:color w:val="auto"/>
        </w:rPr>
      </w:pPr>
      <w:r>
        <w:rPr>
          <w:rFonts w:ascii="Arial" w:cs="Arial" w:eastAsia="Arial" w:hAnsi="Arial"/>
          <w:sz w:val="18"/>
          <w:szCs w:val="18"/>
          <w:color w:val="auto"/>
        </w:rPr>
        <w:t>Our global presence subjects us to certain risks, including controls on foreign exchange and the repatriation of funds. We have a cash repatriation strategy that targets a certain amount of foreign current year earnings that are not permanently reinvested. To date, while we have been able to make such repatriations without substantial governmental restrictions, changes in the trade or regulatory environment in the United States or in the countries where we have significant cash balances could make it more difficult to repatriate foreign earnings cost-effectively in the future. We believe that the risks associated with our operations outside the United States are no greater than those normally associated with doing business in those locations.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 Customers, Seasonality, and Backlog</w:t>
      </w:r>
    </w:p>
    <w:p>
      <w:pPr>
        <w:spacing w:after="0" w:line="193" w:lineRule="exact"/>
        <w:rPr>
          <w:sz w:val="20"/>
          <w:szCs w:val="20"/>
          <w:color w:val="auto"/>
        </w:rPr>
      </w:pPr>
    </w:p>
    <w:p>
      <w:pPr>
        <w:ind w:right="140" w:firstLine="648"/>
        <w:spacing w:after="0"/>
        <w:rPr>
          <w:sz w:val="20"/>
          <w:szCs w:val="20"/>
          <w:color w:val="auto"/>
        </w:rPr>
      </w:pPr>
      <w:r>
        <w:rPr>
          <w:rFonts w:ascii="Arial" w:cs="Arial" w:eastAsia="Arial" w:hAnsi="Arial"/>
          <w:sz w:val="18"/>
          <w:szCs w:val="18"/>
          <w:color w:val="auto"/>
        </w:rPr>
        <w:t>Payment terms granted to paper industry and other machine clothing customers reflect general competitive practices. Terms vary with product, competitive conditions, and the country of operation. In some markets, customer agreements require us to maintain significant amounts of finished goods inventories to assure continuous availability of our products.</w:t>
      </w:r>
    </w:p>
    <w:p>
      <w:pPr>
        <w:spacing w:after="0" w:line="162" w:lineRule="exact"/>
        <w:rPr>
          <w:sz w:val="20"/>
          <w:szCs w:val="20"/>
          <w:color w:val="auto"/>
        </w:rPr>
      </w:pPr>
    </w:p>
    <w:p>
      <w:pPr>
        <w:ind w:right="120" w:firstLine="648"/>
        <w:spacing w:after="0" w:line="239" w:lineRule="auto"/>
        <w:rPr>
          <w:sz w:val="20"/>
          <w:szCs w:val="20"/>
          <w:color w:val="auto"/>
        </w:rPr>
      </w:pPr>
      <w:r>
        <w:rPr>
          <w:rFonts w:ascii="Arial" w:cs="Arial" w:eastAsia="Arial" w:hAnsi="Arial"/>
          <w:sz w:val="18"/>
          <w:szCs w:val="18"/>
          <w:color w:val="auto"/>
        </w:rPr>
        <w:t>In addition to supplying paper, paperboard, and tissue companies, the Machine Clothing segment is a leading supplier to the nonwovens (which includes the manufacture of products such as diapers, personal care and household wipes), building products, and tannery and textile industries. These non-paper industries have a wide range of customers, with markets that vary from industrial applications to consumer use.</w:t>
      </w:r>
    </w:p>
    <w:p>
      <w:pPr>
        <w:spacing w:after="0" w:line="175" w:lineRule="exact"/>
        <w:rPr>
          <w:sz w:val="20"/>
          <w:szCs w:val="20"/>
          <w:color w:val="auto"/>
        </w:rPr>
      </w:pPr>
    </w:p>
    <w:p>
      <w:pPr>
        <w:ind w:right="140" w:firstLine="648"/>
        <w:spacing w:after="0"/>
        <w:rPr>
          <w:sz w:val="20"/>
          <w:szCs w:val="20"/>
          <w:color w:val="auto"/>
        </w:rPr>
      </w:pPr>
      <w:r>
        <w:rPr>
          <w:rFonts w:ascii="Arial" w:cs="Arial" w:eastAsia="Arial" w:hAnsi="Arial"/>
          <w:sz w:val="18"/>
          <w:szCs w:val="18"/>
          <w:color w:val="auto"/>
        </w:rPr>
        <w:t>The Albany Engineered Composites segment primarily serves customers in commercial and military aircraft engine and airframe markets. Sales and working capital rose sharply in the last few years in this segment. Additionally, we anticipate intensive growth in the future, which could lead to further increases in working capital levels.</w:t>
      </w:r>
    </w:p>
    <w:p>
      <w:pPr>
        <w:spacing w:after="0" w:line="162" w:lineRule="exact"/>
        <w:rPr>
          <w:sz w:val="20"/>
          <w:szCs w:val="20"/>
          <w:color w:val="auto"/>
        </w:rPr>
      </w:pPr>
    </w:p>
    <w:p>
      <w:pPr>
        <w:ind w:right="60" w:firstLine="648"/>
        <w:spacing w:after="0" w:line="237" w:lineRule="auto"/>
        <w:rPr>
          <w:sz w:val="20"/>
          <w:szCs w:val="20"/>
          <w:color w:val="auto"/>
        </w:rPr>
      </w:pPr>
      <w:r>
        <w:rPr>
          <w:rFonts w:ascii="Arial" w:cs="Arial" w:eastAsia="Arial" w:hAnsi="Arial"/>
          <w:sz w:val="18"/>
          <w:szCs w:val="18"/>
          <w:color w:val="auto"/>
        </w:rPr>
        <w:t>In the Machine Clothing segment, the Chinese New Year, summer months, and the end of the year are often periods of lower production for some of our customers, which has often contributed to weaker sales and orders for the Company during these periods. In recent years, shorter order cycles and lower inventory levels throughout the supply chain have increased volatility in quarterly sales. The impact of these combined factors on any quarter can be difficult to predict, and can make quarterly comparisons less meaningful than in prior years. While seasonality is generally not a significant factor in the Albany Engineered Composites segment, the commercial terms of the supply agreement governing the LEAP program, together with customer year-end ordering activity, has resulted in fourth quarter sales volatility in recent years.</w:t>
      </w:r>
    </w:p>
    <w:p>
      <w:pPr>
        <w:spacing w:after="0" w:line="163" w:lineRule="exact"/>
        <w:rPr>
          <w:sz w:val="20"/>
          <w:szCs w:val="20"/>
          <w:color w:val="auto"/>
        </w:rPr>
      </w:pPr>
    </w:p>
    <w:p>
      <w:pPr>
        <w:ind w:right="160" w:firstLine="648"/>
        <w:spacing w:after="0"/>
        <w:rPr>
          <w:sz w:val="20"/>
          <w:szCs w:val="20"/>
          <w:color w:val="auto"/>
        </w:rPr>
      </w:pPr>
      <w:r>
        <w:rPr>
          <w:rFonts w:ascii="Arial" w:cs="Arial" w:eastAsia="Arial" w:hAnsi="Arial"/>
          <w:sz w:val="18"/>
          <w:szCs w:val="18"/>
          <w:color w:val="auto"/>
        </w:rPr>
        <w:t>Backlog in the Machine Clothing segment was $163.8 million at December 31, 2016, compared to $171.0 million at December 31, 2015. The decrease reflects a trend toward shorter order-to-delivery times. Backlog in the Albany Engineered Composites segment increased to $128.4 million at December 31, 2016, compared to $34.0</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6" w:name="page7"/>
    <w:bookmarkEnd w:id="6"/>
    <w:p>
      <w:pPr>
        <w:ind w:right="420"/>
        <w:spacing w:after="0" w:line="245" w:lineRule="auto"/>
        <w:rPr>
          <w:sz w:val="20"/>
          <w:szCs w:val="20"/>
          <w:color w:val="auto"/>
        </w:rPr>
      </w:pPr>
      <w:r>
        <w:rPr>
          <w:rFonts w:ascii="Arial" w:cs="Arial" w:eastAsia="Arial" w:hAnsi="Arial"/>
          <w:sz w:val="18"/>
          <w:szCs w:val="18"/>
          <w:color w:val="auto"/>
        </w:rPr>
        <w:t>million at December 31, 2015, reflecting the impact of the 2016 acquisition of Harris Corporation’s composite aerostructures business. The backlog in each segment is generally expected to be invoiced during the next 12 months.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and Technology</w:t>
      </w:r>
    </w:p>
    <w:p>
      <w:pPr>
        <w:spacing w:after="0" w:line="207" w:lineRule="exact"/>
        <w:rPr>
          <w:sz w:val="20"/>
          <w:szCs w:val="20"/>
          <w:color w:val="auto"/>
        </w:rPr>
      </w:pPr>
    </w:p>
    <w:p>
      <w:pPr>
        <w:ind w:right="120" w:firstLine="648"/>
        <w:spacing w:after="0"/>
        <w:rPr>
          <w:sz w:val="20"/>
          <w:szCs w:val="20"/>
          <w:color w:val="auto"/>
        </w:rPr>
      </w:pPr>
      <w:r>
        <w:rPr>
          <w:rFonts w:ascii="Arial" w:cs="Arial" w:eastAsia="Arial" w:hAnsi="Arial"/>
          <w:sz w:val="18"/>
          <w:szCs w:val="18"/>
          <w:color w:val="auto"/>
        </w:rPr>
        <w:t>We invest in research, new product development, and technical analysis with the objective of maintaining our technological leadership in each business segment. While much of our research activity supports existing products, we also engage in significant research and development activities for new technology platforms, products and product enhancements.</w:t>
      </w:r>
    </w:p>
    <w:p>
      <w:pPr>
        <w:spacing w:after="0" w:line="162" w:lineRule="exact"/>
        <w:rPr>
          <w:sz w:val="20"/>
          <w:szCs w:val="20"/>
          <w:color w:val="auto"/>
        </w:rPr>
      </w:pPr>
    </w:p>
    <w:p>
      <w:pPr>
        <w:ind w:right="180" w:firstLine="648"/>
        <w:spacing w:after="0" w:line="237" w:lineRule="auto"/>
        <w:rPr>
          <w:sz w:val="20"/>
          <w:szCs w:val="20"/>
          <w:color w:val="auto"/>
        </w:rPr>
      </w:pPr>
      <w:r>
        <w:rPr>
          <w:rFonts w:ascii="Arial" w:cs="Arial" w:eastAsia="Arial" w:hAnsi="Arial"/>
          <w:sz w:val="18"/>
          <w:szCs w:val="18"/>
          <w:color w:val="auto"/>
        </w:rPr>
        <w:t>Machine Clothing is custom-designed for each user, depending on the type, size, and speed of the machine, and the products being produced. Product design is also a function of the machine section, the grade of product being produced, and the quality of the stock used. Technical expertise, judgment, and experience are critical in designing the appropriate clothing for machine, position, and application. As a result, many employees in sales and technical functions have engineering degrees, paper mill experience, or other manufacturing experience in the markets in which they operate. Our market leadership position reflects our commitment to technological innovation. This innovation has resulted in a continuing stream of new Machine Clothing products and enhancements across all of our product lines.</w:t>
      </w:r>
    </w:p>
    <w:p>
      <w:pPr>
        <w:spacing w:after="0" w:line="165" w:lineRule="exact"/>
        <w:rPr>
          <w:sz w:val="20"/>
          <w:szCs w:val="20"/>
          <w:color w:val="auto"/>
        </w:rPr>
      </w:pPr>
    </w:p>
    <w:p>
      <w:pPr>
        <w:ind w:right="140" w:firstLine="648"/>
        <w:spacing w:after="0"/>
        <w:rPr>
          <w:sz w:val="20"/>
          <w:szCs w:val="20"/>
          <w:color w:val="auto"/>
        </w:rPr>
      </w:pPr>
      <w:r>
        <w:rPr>
          <w:rFonts w:ascii="Arial" w:cs="Arial" w:eastAsia="Arial" w:hAnsi="Arial"/>
          <w:sz w:val="18"/>
          <w:szCs w:val="18"/>
          <w:color w:val="auto"/>
        </w:rPr>
        <w:t>Albany Engineered Composites designs, develops and manufactures advanced composite parts for complex aerospace and other high-performance applications, using a range of core technologies, including its proprietary 3D-woven reinforced composites technology, traditional 2D laminated composite structures, automated material placement, filament winding, through-thickness reinforcement and braiding.</w:t>
      </w:r>
    </w:p>
    <w:p>
      <w:pPr>
        <w:spacing w:after="0" w:line="176" w:lineRule="exact"/>
        <w:rPr>
          <w:sz w:val="20"/>
          <w:szCs w:val="20"/>
          <w:color w:val="auto"/>
        </w:rPr>
      </w:pPr>
    </w:p>
    <w:p>
      <w:pPr>
        <w:ind w:right="160" w:firstLine="648"/>
        <w:spacing w:after="0"/>
        <w:rPr>
          <w:sz w:val="20"/>
          <w:szCs w:val="20"/>
          <w:color w:val="auto"/>
        </w:rPr>
      </w:pPr>
      <w:r>
        <w:rPr>
          <w:rFonts w:ascii="Arial" w:cs="Arial" w:eastAsia="Arial" w:hAnsi="Arial"/>
          <w:sz w:val="18"/>
          <w:szCs w:val="18"/>
          <w:color w:val="auto"/>
        </w:rPr>
        <w:t>In addition to continuous significant investment in core research and development activities in pursuit of new proprietary products and manufacturing processes, experienced research and development employees in each business segment also work collaboratively with customers, OEMs and suppliers on targeted development efforts to introduce new products and applications to in their respective markets.</w:t>
      </w:r>
    </w:p>
    <w:p>
      <w:pPr>
        <w:spacing w:after="0" w:line="162" w:lineRule="exact"/>
        <w:rPr>
          <w:sz w:val="20"/>
          <w:szCs w:val="20"/>
          <w:color w:val="auto"/>
        </w:rPr>
      </w:pPr>
    </w:p>
    <w:p>
      <w:pPr>
        <w:ind w:right="100" w:firstLine="648"/>
        <w:spacing w:after="0" w:line="237" w:lineRule="auto"/>
        <w:rPr>
          <w:sz w:val="20"/>
          <w:szCs w:val="20"/>
          <w:color w:val="auto"/>
        </w:rPr>
      </w:pPr>
      <w:r>
        <w:rPr>
          <w:rFonts w:ascii="Arial" w:cs="Arial" w:eastAsia="Arial" w:hAnsi="Arial"/>
          <w:sz w:val="18"/>
          <w:szCs w:val="18"/>
          <w:color w:val="auto"/>
        </w:rPr>
        <w:t>Company-funded research expenses totaled $ 28.8 million in 2016, $31.7 million in 2015, and $32.4 million in 2014. In 2016, these costs were 3.7% of total Company net sales, including $11.9 million, or 6.0% of net sales, in our AEC segment. Research and development in the AEC segment includes both Company-sponsored and customer-funded activities. Some customer funded research and development may be on a cost sharing basis, in which case, amounts charged to the customer are credited against research and development costs. For customer-funded research and development in which we anticipate funding to exceed expenses, we include amounts charged to the customer in Net sales. Cost of sales associated with customer-funded research was $3.1 million in 2016, $3.4 million in 2015, and $3.6 million in 2014.</w:t>
      </w:r>
    </w:p>
    <w:p>
      <w:pPr>
        <w:spacing w:after="0" w:line="165" w:lineRule="exact"/>
        <w:rPr>
          <w:sz w:val="20"/>
          <w:szCs w:val="20"/>
          <w:color w:val="auto"/>
        </w:rPr>
      </w:pPr>
    </w:p>
    <w:p>
      <w:pPr>
        <w:ind w:right="100" w:firstLine="648"/>
        <w:spacing w:after="0" w:line="236" w:lineRule="auto"/>
        <w:rPr>
          <w:sz w:val="20"/>
          <w:szCs w:val="20"/>
          <w:color w:val="auto"/>
        </w:rPr>
      </w:pPr>
      <w:r>
        <w:rPr>
          <w:rFonts w:ascii="Arial" w:cs="Arial" w:eastAsia="Arial" w:hAnsi="Arial"/>
          <w:sz w:val="18"/>
          <w:szCs w:val="18"/>
          <w:color w:val="auto"/>
        </w:rPr>
        <w:t>We have developed, and continue to develop, proprietary intellectual property germane to the industries we serve. Our intellectual property takes many forms, including patents, trademarks, trade names and domains, and trade secrets. Our trade secrets include, among other things, manufacturing know-how and unique processes and equipment. Because intellectual property in the form of patents is published, we often forgo patent protection and preserve the intellectual property as trade secrets. We aggressively protect our proprietary intellectual property, pursuing patent protection when appropriate. Our active portfolio currently contains well over 2,100 patents, and more than 300 new patents are typically granted each year. While we consider our total portfolio of intellectual property, including our patents, to be an important competitive advantage, we do not believe that any single patent is critical to the continuation of our business. All brand names and product names are trade names of Albany International Corp. or its subsidiaries. We have from time to time licensed some of our patents and/or know-how to one or more competitors, and have been licensed under some competitors’ patents, in each case mainly to enhance customer acceptance of new products. The revenue from such licenses is less than 1 percent of consolidated net sales.</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Raw Materials</w:t>
      </w:r>
    </w:p>
    <w:p>
      <w:pPr>
        <w:spacing w:after="0" w:line="192"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Primary raw materials for our Machine Clothing products are polymer monofilaments and fibers, which have generally been available from a number of suppliers. Therefore, we have not needed to maintain raw material inventories in excess of our current needs to assure availability. In addition, we manufacture polymer monofilaments, a basic raw material for all types of Machine Clothing, at our facility in Homer, New York, which supplies approximately 35% of our worldwide monofilament requirements. In the AEC segment, the primary raw materials are carbon fiber and resin. While there are a number of potential suppliers of carbon fiber and other raw materials used by AEC, the use of certain suppliers may be mandated by customer agreements, and alternative suppliers would be subject to material qualification or other requirements. In the case of mandated suppliers, AEC endeavors to enter into long-term supply agreements to help mitigate price and availability risks. Currently, the primary raw materials used in each segment are derived from petroleum, and are therefore sensitive to changes in the price of petroleum and petroleum intermediates.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93" w:lineRule="exact"/>
        <w:rPr>
          <w:sz w:val="20"/>
          <w:szCs w:val="20"/>
          <w:color w:val="auto"/>
        </w:rPr>
      </w:pPr>
    </w:p>
    <w:p>
      <w:pPr>
        <w:ind w:right="200" w:firstLine="648"/>
        <w:spacing w:after="0" w:line="246" w:lineRule="auto"/>
        <w:rPr>
          <w:sz w:val="20"/>
          <w:szCs w:val="20"/>
          <w:color w:val="auto"/>
        </w:rPr>
      </w:pPr>
      <w:r>
        <w:rPr>
          <w:rFonts w:ascii="Arial" w:cs="Arial" w:eastAsia="Arial" w:hAnsi="Arial"/>
          <w:sz w:val="18"/>
          <w:szCs w:val="18"/>
          <w:color w:val="auto"/>
        </w:rPr>
        <w:t>In the paper machine clothing market, we believe that we had a worldwide market share of approximately 30% in 2016, while the two largest competitors each had a market share of approximately half of ours.</w:t>
      </w:r>
    </w:p>
    <w:p>
      <w:pPr>
        <w:spacing w:after="0" w:line="156"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While some competitors in the Machine Clothing segment tend to compete more on the basis of price, and others attempt to compete more on the basis of technology, both are significant competitive factors in this industry. Albany’s Machine Clothing product portfolio is broad and deep, with products for every part of the machine and for every machine type and paper grade. The Company’s research and development team works closely with the sales and technical organization to develop new products to meet changes in customer needs, and also pursues targeted joint development activities with customers and equipment manufacturers to create new products. Albany’s experienced sales and technical team members – many of whom have worked in the industries that we serve - work closely with each customer to acquire deep understanding of the customer’s combination of raw materials, manufacturing equipment, manufacturing processes, and paper, pulp, nonwovens or other product being produced – a combination that is unique to each customer, plant and machine. This experience and knowledge, combined with knowledge of and experience with the Company’s own extensive product portfolio, allows the sales and technical teams to ensure that the appropriate machine clothing products are being supplied for each part of the machine, to customize those products as needed for best performance, and to continuously propose new Machine Clothing products that offer each customer the possibility of even better performance and increased savings. These efforts – which effectively integrate the Company’s experience and technological expertise into each product we sell - is reflected in the marketplace by our high market share. Some of the Company’s paper machine clothing competitors also supply paper machines, papermaking equipment, and aftermarket parts and services, and endeavor to compete by bundling clothing with original equipment and aftermarket services.</w:t>
      </w:r>
    </w:p>
    <w:p>
      <w:pPr>
        <w:spacing w:after="0" w:line="175"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The primary competitive factors in the markets in which our Albany Engineered Composites segment competes is product performance and price. Achieving lower weight without sacrificing strength is the key to improving fuel efficiency, and is a critical performance requirement in the aerospace industry. Our broad array of capabilities in composites enable us to offer customers the opportunity to displace metal components and, in some cases, conventional composites with lower-weight, high-strength, and potentially high-temperature composites. The dominant competitive factor is how the customer weighs these performance benefits, which include fuel savings due to lower weight, against the possible cost advantage of more traditional metal and composite components.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93" w:lineRule="exact"/>
        <w:rPr>
          <w:sz w:val="20"/>
          <w:szCs w:val="20"/>
          <w:color w:val="auto"/>
        </w:rPr>
      </w:pPr>
    </w:p>
    <w:p>
      <w:pPr>
        <w:ind w:right="200" w:firstLine="648"/>
        <w:spacing w:after="0"/>
        <w:rPr>
          <w:sz w:val="20"/>
          <w:szCs w:val="20"/>
          <w:color w:val="auto"/>
        </w:rPr>
      </w:pPr>
      <w:r>
        <w:rPr>
          <w:rFonts w:ascii="Arial" w:cs="Arial" w:eastAsia="Arial" w:hAnsi="Arial"/>
          <w:sz w:val="18"/>
          <w:szCs w:val="18"/>
          <w:color w:val="auto"/>
        </w:rPr>
        <w:t>We employ approximately 4,400 persons, of whom 65% are engaged in manufacturing our products. Wages and benefits are competitive with those of other manufacturers in the geographic areas in which our facilities are located. In general, we consider our relations with employees to be excellent.</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 w:name="page9"/>
    <w:bookmarkEnd w:id="8"/>
    <w:p>
      <w:pPr>
        <w:ind w:left="660"/>
        <w:spacing w:after="0"/>
        <w:rPr>
          <w:sz w:val="20"/>
          <w:szCs w:val="20"/>
          <w:color w:val="auto"/>
        </w:rPr>
      </w:pPr>
      <w:r>
        <w:rPr>
          <w:rFonts w:ascii="Arial" w:cs="Arial" w:eastAsia="Arial" w:hAnsi="Arial"/>
          <w:sz w:val="18"/>
          <w:szCs w:val="18"/>
          <w:color w:val="auto"/>
        </w:rPr>
        <w:t>A number of hourly employees outside of the United States are members of various unions.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certain information with respect to the executive officers of the Company as of March 1, 2017:</w:t>
      </w:r>
    </w:p>
    <w:p>
      <w:pPr>
        <w:spacing w:after="0" w:line="167" w:lineRule="exact"/>
        <w:rPr>
          <w:sz w:val="20"/>
          <w:szCs w:val="20"/>
          <w:color w:val="auto"/>
        </w:rPr>
      </w:pPr>
    </w:p>
    <w:p>
      <w:pPr>
        <w:ind w:right="120" w:firstLine="648"/>
        <w:spacing w:after="0" w:line="242" w:lineRule="auto"/>
        <w:rPr>
          <w:sz w:val="20"/>
          <w:szCs w:val="20"/>
          <w:color w:val="auto"/>
        </w:rPr>
      </w:pPr>
      <w:r>
        <w:rPr>
          <w:rFonts w:ascii="Arial" w:cs="Arial" w:eastAsia="Arial" w:hAnsi="Arial"/>
          <w:sz w:val="18"/>
          <w:szCs w:val="18"/>
          <w:i w:val="1"/>
          <w:iCs w:val="1"/>
          <w:color w:val="auto"/>
        </w:rPr>
        <w:t xml:space="preserve">Joseph G. Morone, 63, President and Chief Executive Officer, </w:t>
      </w:r>
      <w:r>
        <w:rPr>
          <w:rFonts w:ascii="Arial" w:cs="Arial" w:eastAsia="Arial" w:hAnsi="Arial"/>
          <w:sz w:val="18"/>
          <w:szCs w:val="18"/>
          <w:color w:val="auto"/>
        </w:rPr>
        <w:t>joined the Company in 2005. He has served the Company as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and Chief Executive Officer since January 1, 2006, and President since August 1, 2005. He has been a director of the Company since 1996. From 1997 to July 2005, he served as President of Bentley University in Waltham, Massachusetts. Prior to joining Bentley, he served as the Dean of the Lally School of Management and Technology at Rensselaer Polytechnic Institute, where he also held the Andersen Consulting Professorship of Management. He currently serves as the Presiding Director of Transworld Entertainment Corporation.</w:t>
      </w:r>
    </w:p>
    <w:p>
      <w:pPr>
        <w:spacing w:after="0" w:line="145" w:lineRule="exact"/>
        <w:rPr>
          <w:sz w:val="20"/>
          <w:szCs w:val="20"/>
          <w:color w:val="auto"/>
        </w:rPr>
      </w:pPr>
    </w:p>
    <w:p>
      <w:pPr>
        <w:ind w:right="320" w:firstLine="648"/>
        <w:spacing w:after="0" w:line="242" w:lineRule="auto"/>
        <w:rPr>
          <w:sz w:val="20"/>
          <w:szCs w:val="20"/>
          <w:color w:val="auto"/>
        </w:rPr>
      </w:pPr>
      <w:r>
        <w:rPr>
          <w:rFonts w:ascii="Arial" w:cs="Arial" w:eastAsia="Arial" w:hAnsi="Arial"/>
          <w:sz w:val="18"/>
          <w:szCs w:val="18"/>
          <w:i w:val="1"/>
          <w:iCs w:val="1"/>
          <w:color w:val="auto"/>
        </w:rPr>
        <w:t xml:space="preserve">John B. Cozzolino, 50, Chief Financial Officer and Treasurer, </w:t>
      </w:r>
      <w:r>
        <w:rPr>
          <w:rFonts w:ascii="Arial" w:cs="Arial" w:eastAsia="Arial" w:hAnsi="Arial"/>
          <w:sz w:val="18"/>
          <w:szCs w:val="18"/>
          <w:color w:val="auto"/>
        </w:rPr>
        <w:t>joined the Company in 1994. He has served the Company as Chief</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Officer and Treasurer since February 2011. From September 2010 to February 2011, he served as Vice President – Corporate Treasurer and Strategic Planning/Acting Chief Financial Officer, from February 2009 to September 2010, he served as Vice President – Corporate Treasurer and Strategic Planning, and from 2007 to February 2009 he served as Vice President – Strategic Planning. From 2000 until 2007 he served as Director – Strategic Planning, and from 1994 to 2000 he served as Manager – Corporate Accounting.</w:t>
      </w:r>
    </w:p>
    <w:p>
      <w:pPr>
        <w:spacing w:after="0" w:line="145" w:lineRule="exact"/>
        <w:rPr>
          <w:sz w:val="20"/>
          <w:szCs w:val="20"/>
          <w:color w:val="auto"/>
        </w:rPr>
      </w:pPr>
    </w:p>
    <w:p>
      <w:pPr>
        <w:ind w:right="40" w:firstLine="648"/>
        <w:spacing w:after="0" w:line="241" w:lineRule="auto"/>
        <w:rPr>
          <w:sz w:val="20"/>
          <w:szCs w:val="20"/>
          <w:color w:val="auto"/>
        </w:rPr>
      </w:pPr>
      <w:r>
        <w:rPr>
          <w:rFonts w:ascii="Arial" w:cs="Arial" w:eastAsia="Arial" w:hAnsi="Arial"/>
          <w:sz w:val="18"/>
          <w:szCs w:val="18"/>
          <w:i w:val="1"/>
          <w:iCs w:val="1"/>
          <w:color w:val="auto"/>
        </w:rPr>
        <w:t xml:space="preserve">Daniel A. Halftermeyer, 55, President </w:t>
      </w:r>
      <w:r>
        <w:rPr>
          <w:rFonts w:ascii="Arial" w:cs="Arial" w:eastAsia="Arial" w:hAnsi="Arial"/>
          <w:sz w:val="18"/>
          <w:szCs w:val="18"/>
          <w:color w:val="auto"/>
        </w:rPr>
        <w:t>–</w:t>
      </w:r>
      <w:r>
        <w:rPr>
          <w:rFonts w:ascii="Arial" w:cs="Arial" w:eastAsia="Arial" w:hAnsi="Arial"/>
          <w:sz w:val="18"/>
          <w:szCs w:val="18"/>
          <w:i w:val="1"/>
          <w:iCs w:val="1"/>
          <w:color w:val="auto"/>
        </w:rPr>
        <w:t xml:space="preserve"> Machine Clothing, </w:t>
      </w:r>
      <w:r>
        <w:rPr>
          <w:rFonts w:ascii="Arial" w:cs="Arial" w:eastAsia="Arial" w:hAnsi="Arial"/>
          <w:sz w:val="18"/>
          <w:szCs w:val="18"/>
          <w:color w:val="auto"/>
        </w:rPr>
        <w:t>joined the Company in 1987. He has served the Company as President –</w:t>
      </w:r>
      <w:r>
        <w:rPr>
          <w:rFonts w:ascii="Arial" w:cs="Arial" w:eastAsia="Arial" w:hAnsi="Arial"/>
          <w:sz w:val="18"/>
          <w:szCs w:val="18"/>
          <w:i w:val="1"/>
          <w:iCs w:val="1"/>
          <w:color w:val="auto"/>
        </w:rPr>
        <w:t xml:space="preserve"> </w:t>
      </w:r>
      <w:r>
        <w:rPr>
          <w:rFonts w:ascii="Arial" w:cs="Arial" w:eastAsia="Arial" w:hAnsi="Arial"/>
          <w:sz w:val="18"/>
          <w:szCs w:val="18"/>
          <w:color w:val="auto"/>
        </w:rPr>
        <w:t>Machine Clothing since February 2012. He previously served the Company as President – Paper Machine Clothing and Engineered Fabrics from August 2011 to February 2012, as President – Paper Machine Clothing from January 2010 until August 2011, Group Vice President – Paper Machine Clothing Europe from 2005 to August 2008, Vice President and General Manager – North American Dryer Fabrics from 1997 to March 2005, and Technical Director – Dryer Fabrics from 1993 to 1997. He held various technical and management positions in St. Stephen, South Carolina, and Sélestat, France, from 1987 to 1993.</w:t>
      </w:r>
    </w:p>
    <w:p>
      <w:pPr>
        <w:spacing w:after="0" w:line="157"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18"/>
          <w:szCs w:val="18"/>
          <w:i w:val="1"/>
          <w:iCs w:val="1"/>
          <w:color w:val="auto"/>
        </w:rPr>
        <w:t xml:space="preserve">Diane M. Loudon, 59, President – Albany Engineered Composites, </w:t>
      </w:r>
      <w:r>
        <w:rPr>
          <w:rFonts w:ascii="Arial" w:cs="Arial" w:eastAsia="Arial" w:hAnsi="Arial"/>
          <w:sz w:val="18"/>
          <w:szCs w:val="18"/>
          <w:color w:val="auto"/>
        </w:rPr>
        <w:t>joined Albany Engineered Composites in November 2011. She has</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President – Albany Engineered Composites since January 2016. From November 2011 to January 2016 she served the Company as Senior Vice President for Operations. Prior to joining AEC, she served in a variety of executive roles in operations and program management in the medical devices industry, most recently at Accellent.</w:t>
      </w:r>
    </w:p>
    <w:p>
      <w:pPr>
        <w:spacing w:after="0" w:line="141" w:lineRule="exact"/>
        <w:rPr>
          <w:sz w:val="20"/>
          <w:szCs w:val="20"/>
          <w:color w:val="auto"/>
        </w:rPr>
      </w:pPr>
    </w:p>
    <w:p>
      <w:pPr>
        <w:ind w:right="80" w:firstLine="648"/>
        <w:spacing w:after="0" w:line="242" w:lineRule="auto"/>
        <w:rPr>
          <w:sz w:val="20"/>
          <w:szCs w:val="20"/>
          <w:color w:val="auto"/>
        </w:rPr>
      </w:pPr>
      <w:r>
        <w:rPr>
          <w:rFonts w:ascii="Arial" w:cs="Arial" w:eastAsia="Arial" w:hAnsi="Arial"/>
          <w:sz w:val="18"/>
          <w:szCs w:val="18"/>
          <w:i w:val="1"/>
          <w:iCs w:val="1"/>
          <w:color w:val="auto"/>
        </w:rPr>
        <w:t xml:space="preserve">Robert A. Hansen, 59, Senior Vice President and Chief Technology Officer, </w:t>
      </w:r>
      <w:r>
        <w:rPr>
          <w:rFonts w:ascii="Arial" w:cs="Arial" w:eastAsia="Arial" w:hAnsi="Arial"/>
          <w:sz w:val="18"/>
          <w:szCs w:val="18"/>
          <w:color w:val="auto"/>
        </w:rPr>
        <w:t>joined the Company in 1981. He has served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as Senior Vice President and Chief Technology Officer since January 2010. He previously served as Vice President – Corporate Research and Development from April 2006 to January 2010, and Director of Technical and Marketing – Europe Press Fabrics from 2004 to April 2006. From 2000 to 2004, he served as Technical Director – Press Fabrics, Göppingen, Germany. Before 2000, he served the Company in a number of technical management and research and development positions in Europe and the U.S.</w:t>
      </w:r>
    </w:p>
    <w:p>
      <w:pPr>
        <w:spacing w:after="0" w:line="145" w:lineRule="exact"/>
        <w:rPr>
          <w:sz w:val="20"/>
          <w:szCs w:val="20"/>
          <w:color w:val="auto"/>
        </w:rPr>
      </w:pPr>
    </w:p>
    <w:p>
      <w:pPr>
        <w:ind w:right="60" w:firstLine="648"/>
        <w:spacing w:after="0" w:line="245" w:lineRule="auto"/>
        <w:rPr>
          <w:sz w:val="20"/>
          <w:szCs w:val="20"/>
          <w:color w:val="auto"/>
        </w:rPr>
      </w:pPr>
      <w:r>
        <w:rPr>
          <w:rFonts w:ascii="Arial" w:cs="Arial" w:eastAsia="Arial" w:hAnsi="Arial"/>
          <w:sz w:val="18"/>
          <w:szCs w:val="18"/>
          <w:i w:val="1"/>
          <w:iCs w:val="1"/>
          <w:color w:val="auto"/>
        </w:rPr>
        <w:t xml:space="preserve">David M. Pawlick, 55, Vice President </w:t>
      </w:r>
      <w:r>
        <w:rPr>
          <w:rFonts w:ascii="Arial" w:cs="Arial" w:eastAsia="Arial" w:hAnsi="Arial"/>
          <w:sz w:val="18"/>
          <w:szCs w:val="18"/>
          <w:color w:val="auto"/>
        </w:rPr>
        <w:t>–</w:t>
      </w:r>
      <w:r>
        <w:rPr>
          <w:rFonts w:ascii="Arial" w:cs="Arial" w:eastAsia="Arial" w:hAnsi="Arial"/>
          <w:sz w:val="18"/>
          <w:szCs w:val="18"/>
          <w:i w:val="1"/>
          <w:iCs w:val="1"/>
          <w:color w:val="auto"/>
        </w:rPr>
        <w:t xml:space="preserve"> Controller, </w:t>
      </w:r>
      <w:r>
        <w:rPr>
          <w:rFonts w:ascii="Arial" w:cs="Arial" w:eastAsia="Arial" w:hAnsi="Arial"/>
          <w:sz w:val="18"/>
          <w:szCs w:val="18"/>
          <w:color w:val="auto"/>
        </w:rPr>
        <w:t>joined the Company in 2000. He has served the Company as Vice President –</w:t>
      </w:r>
      <w:r>
        <w:rPr>
          <w:rFonts w:ascii="Arial" w:cs="Arial" w:eastAsia="Arial" w:hAnsi="Arial"/>
          <w:sz w:val="18"/>
          <w:szCs w:val="18"/>
          <w:i w:val="1"/>
          <w:iCs w:val="1"/>
          <w:color w:val="auto"/>
        </w:rPr>
        <w:t xml:space="preserve"> </w:t>
      </w:r>
      <w:r>
        <w:rPr>
          <w:rFonts w:ascii="Arial" w:cs="Arial" w:eastAsia="Arial" w:hAnsi="Arial"/>
          <w:sz w:val="18"/>
          <w:szCs w:val="18"/>
          <w:color w:val="auto"/>
        </w:rPr>
        <w:t>Controller since March 2008, and as Director of Corporate Accounting from 2000 to 2008. From 1994 to 2000 he served as Director of Finance and Controller for Ahlstrom Machinery, Inc. in Glens Falls, New York. Prior to 1994, he was employed as an Audit Manager for Coopers &amp; Lybrand.</w:t>
      </w:r>
    </w:p>
    <w:p>
      <w:pPr>
        <w:spacing w:after="0" w:line="154" w:lineRule="exact"/>
        <w:rPr>
          <w:sz w:val="20"/>
          <w:szCs w:val="20"/>
          <w:color w:val="auto"/>
        </w:rPr>
      </w:pPr>
    </w:p>
    <w:p>
      <w:pPr>
        <w:ind w:right="40" w:firstLine="648"/>
        <w:spacing w:after="0" w:line="267" w:lineRule="auto"/>
        <w:rPr>
          <w:sz w:val="20"/>
          <w:szCs w:val="20"/>
          <w:color w:val="auto"/>
        </w:rPr>
      </w:pPr>
      <w:r>
        <w:rPr>
          <w:rFonts w:ascii="Arial" w:cs="Arial" w:eastAsia="Arial" w:hAnsi="Arial"/>
          <w:sz w:val="18"/>
          <w:szCs w:val="18"/>
          <w:i w:val="1"/>
          <w:iCs w:val="1"/>
          <w:color w:val="auto"/>
        </w:rPr>
        <w:t xml:space="preserve">Charles J. Silva Jr., 57, Vice President </w:t>
      </w:r>
      <w:r>
        <w:rPr>
          <w:rFonts w:ascii="Arial" w:cs="Arial" w:eastAsia="Arial" w:hAnsi="Arial"/>
          <w:sz w:val="18"/>
          <w:szCs w:val="18"/>
          <w:color w:val="auto"/>
        </w:rPr>
        <w:t>–</w:t>
      </w:r>
      <w:r>
        <w:rPr>
          <w:rFonts w:ascii="Arial" w:cs="Arial" w:eastAsia="Arial" w:hAnsi="Arial"/>
          <w:sz w:val="18"/>
          <w:szCs w:val="18"/>
          <w:i w:val="1"/>
          <w:iCs w:val="1"/>
          <w:color w:val="auto"/>
        </w:rPr>
        <w:t xml:space="preserve"> General Counsel and Secretary, </w:t>
      </w:r>
      <w:r>
        <w:rPr>
          <w:rFonts w:ascii="Arial" w:cs="Arial" w:eastAsia="Arial" w:hAnsi="Arial"/>
          <w:sz w:val="18"/>
          <w:szCs w:val="18"/>
          <w:color w:val="auto"/>
        </w:rPr>
        <w:t>joined the Company in 1994. He has served the Company as</w:t>
      </w:r>
      <w:r>
        <w:rPr>
          <w:rFonts w:ascii="Arial" w:cs="Arial" w:eastAsia="Arial" w:hAnsi="Arial"/>
          <w:sz w:val="18"/>
          <w:szCs w:val="18"/>
          <w:i w:val="1"/>
          <w:iCs w:val="1"/>
          <w:color w:val="auto"/>
        </w:rPr>
        <w:t xml:space="preserve"> </w:t>
      </w:r>
      <w:r>
        <w:rPr>
          <w:rFonts w:ascii="Arial" w:cs="Arial" w:eastAsia="Arial" w:hAnsi="Arial"/>
          <w:sz w:val="18"/>
          <w:szCs w:val="18"/>
          <w:color w:val="auto"/>
        </w:rPr>
        <w:t>Vice President – General Counsel and Secretary since 2002. He served as</w:t>
      </w:r>
    </w:p>
    <w:p>
      <w:pPr>
        <w:spacing w:after="0" w:line="1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9" w:name="page10"/>
    <w:bookmarkEnd w:id="9"/>
    <w:p>
      <w:pPr>
        <w:ind w:right="60"/>
        <w:spacing w:after="0" w:line="245" w:lineRule="auto"/>
        <w:rPr>
          <w:sz w:val="20"/>
          <w:szCs w:val="20"/>
          <w:color w:val="auto"/>
        </w:rPr>
      </w:pPr>
      <w:r>
        <w:rPr>
          <w:rFonts w:ascii="Arial" w:cs="Arial" w:eastAsia="Arial" w:hAnsi="Arial"/>
          <w:sz w:val="18"/>
          <w:szCs w:val="18"/>
          <w:color w:val="auto"/>
        </w:rPr>
        <w:t>Assistant General Counsel from 1994 until 2002. Prior to 1994, he was an associate with Cleary, Gottlieb, Steen and Hamilton, an international law firm with headquarters in New York City.</w:t>
      </w:r>
    </w:p>
    <w:p>
      <w:pPr>
        <w:spacing w:after="0" w:line="139" w:lineRule="exact"/>
        <w:rPr>
          <w:sz w:val="20"/>
          <w:szCs w:val="20"/>
          <w:color w:val="auto"/>
        </w:rPr>
      </w:pPr>
    </w:p>
    <w:p>
      <w:pPr>
        <w:ind w:right="80" w:firstLine="648"/>
        <w:spacing w:after="0" w:line="242" w:lineRule="auto"/>
        <w:rPr>
          <w:sz w:val="20"/>
          <w:szCs w:val="20"/>
          <w:color w:val="auto"/>
        </w:rPr>
      </w:pPr>
      <w:r>
        <w:rPr>
          <w:rFonts w:ascii="Arial" w:cs="Arial" w:eastAsia="Arial" w:hAnsi="Arial"/>
          <w:sz w:val="18"/>
          <w:szCs w:val="18"/>
          <w:i w:val="1"/>
          <w:iCs w:val="1"/>
          <w:color w:val="auto"/>
        </w:rPr>
        <w:t xml:space="preserve">Dawne H. Wimbrow, 59, Vice President </w:t>
      </w:r>
      <w:r>
        <w:rPr>
          <w:rFonts w:ascii="Arial" w:cs="Arial" w:eastAsia="Arial" w:hAnsi="Arial"/>
          <w:sz w:val="18"/>
          <w:szCs w:val="18"/>
          <w:color w:val="auto"/>
        </w:rPr>
        <w:t>–</w:t>
      </w:r>
      <w:r>
        <w:rPr>
          <w:rFonts w:ascii="Arial" w:cs="Arial" w:eastAsia="Arial" w:hAnsi="Arial"/>
          <w:sz w:val="18"/>
          <w:szCs w:val="18"/>
          <w:i w:val="1"/>
          <w:iCs w:val="1"/>
          <w:color w:val="auto"/>
        </w:rPr>
        <w:t xml:space="preserve"> Global Information Services and Chief Information Officer, </w:t>
      </w:r>
      <w:r>
        <w:rPr>
          <w:rFonts w:ascii="Arial" w:cs="Arial" w:eastAsia="Arial" w:hAnsi="Arial"/>
          <w:sz w:val="18"/>
          <w:szCs w:val="18"/>
          <w:color w:val="auto"/>
        </w:rPr>
        <w:t>joined the Company in 1993. She</w:t>
      </w:r>
      <w:r>
        <w:rPr>
          <w:rFonts w:ascii="Arial" w:cs="Arial" w:eastAsia="Arial" w:hAnsi="Arial"/>
          <w:sz w:val="18"/>
          <w:szCs w:val="18"/>
          <w:i w:val="1"/>
          <w:iCs w:val="1"/>
          <w:color w:val="auto"/>
        </w:rPr>
        <w:t xml:space="preserve"> </w:t>
      </w:r>
      <w:r>
        <w:rPr>
          <w:rFonts w:ascii="Arial" w:cs="Arial" w:eastAsia="Arial" w:hAnsi="Arial"/>
          <w:sz w:val="18"/>
          <w:szCs w:val="18"/>
          <w:color w:val="auto"/>
        </w:rPr>
        <w:t>has served the Company as Vice President – Global Information Services and Chief Information Officer since September 2005. She previously served the Company in various management positions in the Global Information Systems organization. From 1980 to 1993, she worked as a consultant supporting the design, development, and implementation of computer systems for various textile, real estate, insurance, and law firms.</w:t>
      </w:r>
    </w:p>
    <w:p>
      <w:pPr>
        <w:spacing w:after="0" w:line="158" w:lineRule="exact"/>
        <w:rPr>
          <w:sz w:val="20"/>
          <w:szCs w:val="20"/>
          <w:color w:val="auto"/>
        </w:rPr>
      </w:pPr>
    </w:p>
    <w:p>
      <w:pPr>
        <w:jc w:val="both"/>
        <w:ind w:right="200" w:firstLine="648"/>
        <w:spacing w:after="0" w:line="251" w:lineRule="auto"/>
        <w:rPr>
          <w:sz w:val="20"/>
          <w:szCs w:val="20"/>
          <w:color w:val="auto"/>
        </w:rPr>
      </w:pPr>
      <w:r>
        <w:rPr>
          <w:rFonts w:ascii="Arial" w:cs="Arial" w:eastAsia="Arial" w:hAnsi="Arial"/>
          <w:sz w:val="18"/>
          <w:szCs w:val="18"/>
          <w:i w:val="1"/>
          <w:iCs w:val="1"/>
          <w:color w:val="auto"/>
        </w:rPr>
        <w:t xml:space="preserve">Joseph M. Gaug, 53, Associate General Counsel and Assistant Secretary, </w:t>
      </w:r>
      <w:r>
        <w:rPr>
          <w:rFonts w:ascii="Arial" w:cs="Arial" w:eastAsia="Arial" w:hAnsi="Arial"/>
          <w:sz w:val="18"/>
          <w:szCs w:val="18"/>
          <w:color w:val="auto"/>
        </w:rPr>
        <w:t>joined the Company in 2004. He has served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as Associate General Counsel since 2004 and as Assistant Secretary since 2006. Prior to 2004, he was a principal with McNamee, Lochner, Titus &amp; Williams, P.C., a law firm located in Albany, New York.</w:t>
      </w:r>
    </w:p>
    <w:p>
      <w:pPr>
        <w:spacing w:after="0" w:line="152"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We are incorporated under the laws of the State of Delaware and are the successor to a New York corporation originally incorporated in 1895, which was merged into the Company in August 1987 solely for the purpose of changing the domicile of the corporation. References to the Company that relate to any time prior to the August 1987 merger should be understood to refer to the predecessor New York corporation.</w:t>
      </w:r>
    </w:p>
    <w:p>
      <w:pPr>
        <w:spacing w:after="0" w:line="162"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Our Corporate Governance Guidelines, Business Ethics Policy, and Code of Ethics for the Chief Executive Officer, Chief Financial Officer, and Controller, and the charters of the Audit, Compensation, and Governance Committees of the Board of Directors are available at the Corporate Governance section of our website (www.albint.com).</w:t>
      </w:r>
    </w:p>
    <w:p>
      <w:pPr>
        <w:spacing w:after="0" w:line="176"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Our current reports on Form 8-K, quarterly reports on Form 10-Q, and annual reports on Form 10-K are electronically filed with the Securities and Exchange Commission (SEC), and all such reports and amendments to such reports filed subsequent to November 15, 2002, have been and will be made available, free of charge, through our website (www.albint.com) as soon as reasonably practicable after such filing. The public may read and copy any materials filed by the Company with the SEC at the SEC’s Public Reading Room at 100 F Street, N.E., Room 1580, Washington, D.C. The public may obtain information on the operation of the Public Reading Room by calling the SEC at 1-800-SEC0330. The SEC maintains a website (www.sec.gov) that contains reports, proxy, information statements, and other information regarding issuers that file electronically with the SEC.</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ind w:right="60" w:firstLine="648"/>
        <w:spacing w:after="0" w:line="245" w:lineRule="auto"/>
        <w:rPr>
          <w:sz w:val="20"/>
          <w:szCs w:val="20"/>
          <w:color w:val="auto"/>
        </w:rPr>
      </w:pPr>
      <w:r>
        <w:rPr>
          <w:rFonts w:ascii="Arial" w:cs="Arial" w:eastAsia="Arial" w:hAnsi="Arial"/>
          <w:sz w:val="18"/>
          <w:szCs w:val="18"/>
          <w:i w:val="1"/>
          <w:iCs w:val="1"/>
          <w:color w:val="auto"/>
        </w:rPr>
        <w:t>The Company’s business, operations, and financial condition are subject to various risks. Some of these risks are described below and in the documents incorporated by reference, and investors should take these risks into account in evaluating any investment decision involving the Company. This section does not describe all risks applicable to the Company, its industry or business, and it is intended only as a summary of certain material factors.</w:t>
      </w:r>
    </w:p>
    <w:p>
      <w:pPr>
        <w:spacing w:after="0" w:line="150"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b w:val="1"/>
          <w:bCs w:val="1"/>
          <w:i w:val="1"/>
          <w:iCs w:val="1"/>
          <w:color w:val="auto"/>
        </w:rPr>
        <w:t>A number of industry factors have had, and in future periods could have, an adverse impact on sales, profitability and cash flow in the Company’s Machine Clothing and AEC segments</w:t>
      </w:r>
    </w:p>
    <w:p>
      <w:pPr>
        <w:spacing w:after="0" w:line="135" w:lineRule="exact"/>
        <w:rPr>
          <w:sz w:val="20"/>
          <w:szCs w:val="20"/>
          <w:color w:val="auto"/>
        </w:rPr>
      </w:pPr>
    </w:p>
    <w:p>
      <w:pPr>
        <w:ind w:right="80" w:firstLine="648"/>
        <w:spacing w:after="0" w:line="238" w:lineRule="auto"/>
        <w:rPr>
          <w:sz w:val="20"/>
          <w:szCs w:val="20"/>
          <w:color w:val="auto"/>
        </w:rPr>
      </w:pPr>
      <w:r>
        <w:rPr>
          <w:rFonts w:ascii="Arial" w:cs="Arial" w:eastAsia="Arial" w:hAnsi="Arial"/>
          <w:sz w:val="18"/>
          <w:szCs w:val="18"/>
          <w:color w:val="auto"/>
        </w:rPr>
        <w:t>Significant consolidation and rationalization in the paper industry in recent years has reduced global consumption of paper machine clothing in certain markets. Developments in digital media have adversely affected demand for newsprint and for printing and writing grades of paper, which has had, and is likely to continue to have, an adverse effect on demand for paper machine clothing in those markets. At the same time, technological advances in papermaking, including in paper machine clothing, while contributing to the papermaking efficiency of customers, have in some cases lengthened the useful life of our products and reduced the number of pieces</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0" w:name="page11"/>
    <w:bookmarkEnd w:id="10"/>
    <w:p>
      <w:pPr>
        <w:ind w:right="280"/>
        <w:spacing w:after="0" w:line="245" w:lineRule="auto"/>
        <w:rPr>
          <w:sz w:val="20"/>
          <w:szCs w:val="20"/>
          <w:color w:val="auto"/>
        </w:rPr>
      </w:pPr>
      <w:r>
        <w:rPr>
          <w:rFonts w:ascii="Arial" w:cs="Arial" w:eastAsia="Arial" w:hAnsi="Arial"/>
          <w:sz w:val="18"/>
          <w:szCs w:val="18"/>
          <w:color w:val="auto"/>
        </w:rPr>
        <w:t>required to produce the same volume of paper. These factors have had, and in future are likely to have, an adverse effect on paper machine clothing sales.</w:t>
      </w:r>
    </w:p>
    <w:p>
      <w:pPr>
        <w:spacing w:after="0" w:line="157" w:lineRule="exact"/>
        <w:rPr>
          <w:sz w:val="20"/>
          <w:szCs w:val="20"/>
          <w:color w:val="auto"/>
        </w:rPr>
      </w:pPr>
    </w:p>
    <w:p>
      <w:pPr>
        <w:ind w:right="440" w:firstLine="648"/>
        <w:spacing w:after="0" w:line="239" w:lineRule="auto"/>
        <w:rPr>
          <w:sz w:val="20"/>
          <w:szCs w:val="20"/>
          <w:color w:val="auto"/>
        </w:rPr>
      </w:pPr>
      <w:r>
        <w:rPr>
          <w:rFonts w:ascii="Arial" w:cs="Arial" w:eastAsia="Arial" w:hAnsi="Arial"/>
          <w:sz w:val="18"/>
          <w:szCs w:val="18"/>
          <w:color w:val="auto"/>
        </w:rPr>
        <w:t>The market for paper machine clothing in recent years has been characterized by increased pressure to provide more favorable commercial terms, which has negatively affected our operating results. We expect such pressure to remain intense in all paper machine clothing markets, especially during periods of customer consolidation, plant closures, or when major contracts are being renegotiated. The emergence of new market entrants in China is likely to exacerbate this risk.</w:t>
      </w:r>
    </w:p>
    <w:p>
      <w:pPr>
        <w:spacing w:after="0" w:line="175" w:lineRule="exact"/>
        <w:rPr>
          <w:sz w:val="20"/>
          <w:szCs w:val="20"/>
          <w:color w:val="auto"/>
        </w:rPr>
      </w:pPr>
    </w:p>
    <w:p>
      <w:pPr>
        <w:jc w:val="both"/>
        <w:ind w:right="280" w:firstLine="648"/>
        <w:spacing w:after="0" w:line="239" w:lineRule="auto"/>
        <w:rPr>
          <w:sz w:val="20"/>
          <w:szCs w:val="20"/>
          <w:color w:val="auto"/>
        </w:rPr>
      </w:pPr>
      <w:r>
        <w:rPr>
          <w:rFonts w:ascii="Arial" w:cs="Arial" w:eastAsia="Arial" w:hAnsi="Arial"/>
          <w:sz w:val="18"/>
          <w:szCs w:val="18"/>
          <w:color w:val="auto"/>
        </w:rPr>
        <w:t>Similar pressures exist in the markets in which AEC competes. Many of AEC’s customers, as well as the companies supplied by our customers in turn, are under pressure to achieve acceptable returns on their substantial investments in recent years in new technology, new programs and new product platforms. This has contributed to a relentless focus on reducing costs, resulting in intense pressure for cost and price improvements throughout the supply chain. Such pressures are likely to continue.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AEC is subject to significant execution risk related to the ramp up of the LEAP and other programs in the short and medium term</w:t>
      </w:r>
    </w:p>
    <w:p>
      <w:pPr>
        <w:spacing w:after="0" w:line="193" w:lineRule="exact"/>
        <w:rPr>
          <w:sz w:val="20"/>
          <w:szCs w:val="20"/>
          <w:color w:val="auto"/>
        </w:rPr>
      </w:pPr>
    </w:p>
    <w:p>
      <w:pPr>
        <w:ind w:right="60" w:firstLine="648"/>
        <w:spacing w:after="0" w:line="236" w:lineRule="auto"/>
        <w:rPr>
          <w:sz w:val="20"/>
          <w:szCs w:val="20"/>
          <w:color w:val="auto"/>
        </w:rPr>
      </w:pPr>
      <w:r>
        <w:rPr>
          <w:rFonts w:ascii="Arial" w:cs="Arial" w:eastAsia="Arial" w:hAnsi="Arial"/>
          <w:sz w:val="18"/>
          <w:szCs w:val="18"/>
          <w:color w:val="auto"/>
        </w:rPr>
        <w:t>The expected size and steep growth rate of the market for LEAP engines continues to put significant pressure on AEC to execute in the short- and medium-term. In the short term, AEC must continue to fulfill critical program schedule and production-readiness milestones at its LEAP facilities in Rochester, New Hampshire and Commercy, France, as well as at the third LEAP facility in Queretaro, Mexico, which is scheduled to come on line in 2017. In addition, a number of programs acquired in the purchase of Harris Corporation’s composite aerostructures business – including airframe components for the F-35 Joint Strike Fighter, forward fuselage frames for the Boeing 787, and sponsons, tail-rotor pylons and horizontal stabilizers for the CH-53K helicopter – will be ramping significantly during the next few years while LEAP output increases toward full production. AEC will be required to execute all of these ramp -ups while continuing to maintain and improve performance on legacy programs. AEC’s ability to realize its full growth potential will depend on how effectively it accomplishes these goals. Failure to accomplish these goals could have a material adverse impact on the amount and timing of anticipated AEC revenues, income, and cash flows, which could in turn have a material adverse impact on our consolidated financial results.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long-term growth prospects of AEC are subject to a number of risks</w:t>
      </w:r>
    </w:p>
    <w:p>
      <w:pPr>
        <w:spacing w:after="0" w:line="193"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color w:val="auto"/>
        </w:rPr>
        <w:t>The prospect of future growth and long-term success of AEC depends in large part on its ability to maintain and grow a healthy pipeline of potential new products and applications for its technologies, to transform a sufficient number of those potential opportunities into commercial supply agreements, and to then execute its obligations under such agreements. In addition, existing and future supply agreements, especially for commercial and military aircraft programs, are subject to the same curtailment or cancellation risks as the programs they support.</w:t>
      </w:r>
    </w:p>
    <w:p>
      <w:pPr>
        <w:spacing w:after="0" w:line="161" w:lineRule="exact"/>
        <w:rPr>
          <w:sz w:val="20"/>
          <w:szCs w:val="20"/>
          <w:color w:val="auto"/>
        </w:rPr>
      </w:pPr>
    </w:p>
    <w:p>
      <w:pPr>
        <w:ind w:right="280" w:firstLine="648"/>
        <w:spacing w:after="0" w:line="238" w:lineRule="auto"/>
        <w:rPr>
          <w:sz w:val="20"/>
          <w:szCs w:val="20"/>
          <w:color w:val="auto"/>
        </w:rPr>
      </w:pPr>
      <w:r>
        <w:rPr>
          <w:rFonts w:ascii="Arial" w:cs="Arial" w:eastAsia="Arial" w:hAnsi="Arial"/>
          <w:sz w:val="18"/>
          <w:szCs w:val="18"/>
          <w:color w:val="auto"/>
        </w:rPr>
        <w:t>AEC is currently working on a broad portfolio of potential new product applications, in aerospace and other industries. These development projects may or may not result in commercial supply opportunities. In the event that AEC succeeds in developing products and securing contracts to manufacture and supply them, it will face the same industrialization and manufacturing ramp-up risks that it currently faces in the LEAP program, and may or may not be successful in meeting its obligations under these contracts. Failure to manage these development, commercialization and execution risks could have a material adverse impact on AEC’s growth.</w:t>
      </w:r>
    </w:p>
    <w:p>
      <w:pPr>
        <w:spacing w:after="0" w:line="176" w:lineRule="exact"/>
        <w:rPr>
          <w:sz w:val="20"/>
          <w:szCs w:val="20"/>
          <w:color w:val="auto"/>
        </w:rPr>
      </w:pPr>
    </w:p>
    <w:p>
      <w:pPr>
        <w:ind w:right="120" w:firstLine="648"/>
        <w:spacing w:after="0" w:line="238" w:lineRule="auto"/>
        <w:rPr>
          <w:sz w:val="20"/>
          <w:szCs w:val="20"/>
          <w:color w:val="auto"/>
        </w:rPr>
      </w:pPr>
      <w:r>
        <w:rPr>
          <w:rFonts w:ascii="Arial" w:cs="Arial" w:eastAsia="Arial" w:hAnsi="Arial"/>
          <w:sz w:val="18"/>
          <w:szCs w:val="18"/>
          <w:color w:val="auto"/>
        </w:rPr>
        <w:t>In addition to dealing with these development and manufacturing execution risks, future AEC growth will likely require increasingly larger amounts of cash to fund the investments in equipment, capital, and development efforts needed to achieve this growth. While AEC is starting to generate increasing amounts of cash, it is likely to be some time before AEC generates sufficient cash to fund this growth. Until that time, absent the incurrence of additional indebtedness to fund this growth, AEC will remain dependent on the Machine Clothing segment’s ability</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1" w:name="page12"/>
    <w:bookmarkEnd w:id="11"/>
    <w:p>
      <w:pPr>
        <w:ind w:right="140"/>
        <w:spacing w:after="0" w:line="245" w:lineRule="auto"/>
        <w:rPr>
          <w:sz w:val="20"/>
          <w:szCs w:val="20"/>
          <w:color w:val="auto"/>
        </w:rPr>
      </w:pPr>
      <w:r>
        <w:rPr>
          <w:rFonts w:ascii="Arial" w:cs="Arial" w:eastAsia="Arial" w:hAnsi="Arial"/>
          <w:sz w:val="18"/>
          <w:szCs w:val="18"/>
          <w:color w:val="auto"/>
        </w:rPr>
        <w:t>to generate cash, and a significant decline in Machine Clothing sales, operating income or cash flows could therefore have a material adverse impact on AEC’s growth.</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supply contracts in our Albany Engineered Composites segment pose certain risks</w:t>
      </w:r>
    </w:p>
    <w:p>
      <w:pPr>
        <w:spacing w:after="0" w:line="207"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AEC has a number of long-term or life-of-program contracts, including a number with fixed pricing, and is likely to enter into similar contracts in the future. While long-term or life-of-program contracts provide an opportunity to realize steady and reliable revenues for extended periods, they pose a number of risks, such as program cancellations, reductions or delays in orders by AEC’s customers under these contracts, the termination of such contracts or orders, or the occurrence of similar events over which AEC has no or limited control. The occurrence of one or more of these events could have a material adverse effect on AEC revenues and earnings in any period. Such events could also result in the write-off of deferred charges that have been accumulated in anticipation of future revenues.</w:t>
      </w:r>
    </w:p>
    <w:p>
      <w:pPr>
        <w:spacing w:after="0" w:line="192" w:lineRule="exact"/>
        <w:rPr>
          <w:sz w:val="20"/>
          <w:szCs w:val="20"/>
          <w:color w:val="auto"/>
        </w:rPr>
      </w:pPr>
    </w:p>
    <w:p>
      <w:pPr>
        <w:ind w:right="60" w:firstLine="648"/>
        <w:spacing w:after="0" w:line="236" w:lineRule="auto"/>
        <w:rPr>
          <w:sz w:val="20"/>
          <w:szCs w:val="20"/>
          <w:color w:val="auto"/>
        </w:rPr>
      </w:pPr>
      <w:r>
        <w:rPr>
          <w:rFonts w:ascii="Arial" w:cs="Arial" w:eastAsia="Arial" w:hAnsi="Arial"/>
          <w:sz w:val="18"/>
          <w:szCs w:val="18"/>
          <w:color w:val="auto"/>
        </w:rPr>
        <w:t>While long-term fixed-price contracts also provide AEC with the opportunity to enjoy increased profits as the result of cost reductions and efficiencies, their profitability is dependent on estimates and assumptions regarding contract performance costs over the life of the contract, which in some cases can last for many years. Such estimates and assumptions are subject to many variables, and may prove over time to have been inaccurate when made, or may become inaccurate over time. Additionally, many of the parts AEC agrees to develop and produce have highly complex designs, and technical, quality, or other specifications. Manufacturing or development challenges, disagreements over technical, quality or other contract requirements, and other variables may arise during development or production that result in higher costs, or an inability to achieve required technical specifications. If actual production and/or development costs should prove higher, or revenues prove lower, than AEC’s estimates, our expected profits may be reduced, or if such costs should exceed contract prices, we may be required to recognize losses for future periods, and potentially for the remaining life of the program. One or more of these events could have a material adverse effect on AEC’s revenues or operating results in any period. Such events could also result in the write-off of deferred charges that have been or could be accumulated in anticipation of future revenues.</w:t>
      </w:r>
    </w:p>
    <w:p>
      <w:pPr>
        <w:spacing w:after="0" w:line="192" w:lineRule="exact"/>
        <w:rPr>
          <w:sz w:val="20"/>
          <w:szCs w:val="20"/>
          <w:color w:val="auto"/>
        </w:rPr>
      </w:pPr>
    </w:p>
    <w:p>
      <w:pPr>
        <w:ind w:right="60" w:firstLine="648"/>
        <w:spacing w:after="0" w:line="236" w:lineRule="auto"/>
        <w:rPr>
          <w:sz w:val="20"/>
          <w:szCs w:val="20"/>
          <w:color w:val="auto"/>
        </w:rPr>
      </w:pPr>
      <w:r>
        <w:rPr>
          <w:rFonts w:ascii="Arial" w:cs="Arial" w:eastAsia="Arial" w:hAnsi="Arial"/>
          <w:sz w:val="18"/>
          <w:szCs w:val="18"/>
          <w:color w:val="auto"/>
        </w:rPr>
        <w:t>In 2015, the Company recorded a charge of $14.0 million associated with a revision in the profitability of a contract in the AEC segment. AEC has a long-term contract for the manufacture of composite components for the Rolls-Royce BR725 engine (BR 725), which powers the Gulfstream G-650 business jet. These components are manufactured in AEC’s Boerne, Texas facility. The contract for this program was signed in 2007 and contains a very aggressive approach to pricing compared to AEC’s other contracts. The 2015 charge we recorded included $10.9 million for the write-off of deferred contract costs and $3.1 million of a reserve for additional losses expected through 2016. This program generated a loss of $2.6 million in 2016, approximately half of which was absorbed by the remaining loss reserve. While the program is expected to generate additional losses in the short-term, management expects that the program will be profitable over the remaining life of the program. AEC is working with the customer to establish future pricing of the parts and effect changes in the program that are expected to eventually eliminate these losses and result in a profitable program. Additional program losses, which could have a material effect on operating results in future periods, could occur if AEC’s efforts to improve the program are unsuccessful.</w:t>
      </w:r>
    </w:p>
    <w:p>
      <w:pPr>
        <w:spacing w:after="0" w:line="369" w:lineRule="exact"/>
        <w:rPr>
          <w:sz w:val="20"/>
          <w:szCs w:val="20"/>
          <w:color w:val="auto"/>
        </w:rPr>
      </w:pPr>
    </w:p>
    <w:p>
      <w:pPr>
        <w:ind w:right="140" w:firstLine="648"/>
        <w:spacing w:after="0" w:line="237" w:lineRule="auto"/>
        <w:rPr>
          <w:sz w:val="20"/>
          <w:szCs w:val="20"/>
          <w:color w:val="auto"/>
        </w:rPr>
      </w:pPr>
      <w:r>
        <w:rPr>
          <w:rFonts w:ascii="Arial" w:cs="Arial" w:eastAsia="Arial" w:hAnsi="Arial"/>
          <w:sz w:val="18"/>
          <w:szCs w:val="18"/>
          <w:color w:val="auto"/>
        </w:rPr>
        <w:t>Sales of components for a number of programs that are currently considered to be important to the future sales growth of AEC are pursuant to short-term purchase orders for a finite period or number of parts, or short-term supply agreements with terms of one to four years. Such programs include airframe components for the F-35 Joint Strike Fighter, forward fuselage frames for the Boeing 787, and sponsons, tail-rotor pylons and horizontal stabilizers for the CH-53K helicopter. As a result, while AEC reasonably expects to continue as a supplier on these programs as long as it meets its obligations, there can be no assurance that this will be the case, or that, in programs where it is currently a sole supplier that this sole supplier status will continue even if it continues as a</w:t>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2" w:name="page13"/>
    <w:bookmarkEnd w:id="12"/>
    <w:p>
      <w:pPr>
        <w:ind w:right="240"/>
        <w:spacing w:after="0"/>
        <w:rPr>
          <w:sz w:val="20"/>
          <w:szCs w:val="20"/>
          <w:color w:val="auto"/>
        </w:rPr>
      </w:pPr>
      <w:r>
        <w:rPr>
          <w:rFonts w:ascii="Arial" w:cs="Arial" w:eastAsia="Arial" w:hAnsi="Arial"/>
          <w:sz w:val="18"/>
          <w:szCs w:val="18"/>
          <w:color w:val="auto"/>
        </w:rPr>
        <w:t>supplier. Even if AEC’s status as a supplier is extended or renewed, there can be no assurance that such extension or renewal will be on the same or similar commercial or other terms. Any failure by AEC to maintain its current supplier status under these programs, or any material change in their commercial or other terms, could have a material adverse effect on AEC’s future sales and operating income.</w:t>
      </w:r>
    </w:p>
    <w:p>
      <w:pPr>
        <w:spacing w:after="0" w:line="180" w:lineRule="exact"/>
        <w:rPr>
          <w:sz w:val="20"/>
          <w:szCs w:val="20"/>
          <w:color w:val="auto"/>
        </w:rPr>
      </w:pPr>
    </w:p>
    <w:p>
      <w:pPr>
        <w:ind w:right="600"/>
        <w:spacing w:after="0" w:line="271" w:lineRule="auto"/>
        <w:rPr>
          <w:sz w:val="20"/>
          <w:szCs w:val="20"/>
          <w:color w:val="auto"/>
        </w:rPr>
      </w:pPr>
      <w:r>
        <w:rPr>
          <w:rFonts w:ascii="Arial" w:cs="Arial" w:eastAsia="Arial" w:hAnsi="Arial"/>
          <w:sz w:val="18"/>
          <w:szCs w:val="18"/>
          <w:b w:val="1"/>
          <w:bCs w:val="1"/>
          <w:i w:val="1"/>
          <w:iCs w:val="1"/>
          <w:color w:val="auto"/>
        </w:rPr>
        <w:t>AEC is subject to significant short- and medium-term risks related to the integration of the composite aerostructures business acquired from Harris Corporation</w:t>
      </w:r>
    </w:p>
    <w:p>
      <w:pPr>
        <w:spacing w:after="0" w:line="162" w:lineRule="exact"/>
        <w:rPr>
          <w:sz w:val="20"/>
          <w:szCs w:val="20"/>
          <w:color w:val="auto"/>
        </w:rPr>
      </w:pPr>
    </w:p>
    <w:p>
      <w:pPr>
        <w:ind w:right="240" w:firstLine="648"/>
        <w:spacing w:after="0" w:line="238" w:lineRule="auto"/>
        <w:rPr>
          <w:sz w:val="20"/>
          <w:szCs w:val="20"/>
          <w:color w:val="auto"/>
        </w:rPr>
      </w:pPr>
      <w:r>
        <w:rPr>
          <w:rFonts w:ascii="Arial" w:cs="Arial" w:eastAsia="Arial" w:hAnsi="Arial"/>
          <w:sz w:val="18"/>
          <w:szCs w:val="18"/>
          <w:color w:val="auto"/>
        </w:rPr>
        <w:t>AEC’s recent acquisition of the composite aerostructures business of Harris Corporation presents certain risks including those associated with the assimilation and integration of operations, business systems and business methods, and the diversion of management attention from other business concerns. Failure by AEC to successfully manage these integration risks could have a material adverse impact on the amount and timing of anticipated AEC sales and profitability, which could in turn have a material adverse impact on our consolidated financial results.</w:t>
      </w:r>
    </w:p>
    <w:p>
      <w:pPr>
        <w:spacing w:after="0" w:line="167"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b w:val="1"/>
          <w:bCs w:val="1"/>
          <w:i w:val="1"/>
          <w:iCs w:val="1"/>
          <w:color w:val="auto"/>
        </w:rPr>
        <w:t>Deterioration of current global economic conditions or reductions in government appropriations for defense spending could have an adverse impact on the Company’s business and results of operations</w:t>
      </w:r>
    </w:p>
    <w:p>
      <w:pPr>
        <w:spacing w:after="0" w:line="135"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The Company identifies in this section a number of risks, the effects of which may be exacerbated by an unfavorable economic climate. For example, unfavorable global economic and paper industry conditions may lead to greater consolidation and rationalization within the paper industry, further reducing global consumption of paper machine clothing. Reduced consumption of paper machine clothing could in turn increase the risk of greater price competition within the paper machine clothing industry, and greater efforts by competitors to gain market share at the expense of the Company. Sales of the Company’s other Machine Clothing products may also be adversely affected by unfavorable economic conditions.</w:t>
      </w:r>
    </w:p>
    <w:p>
      <w:pPr>
        <w:spacing w:after="0" w:line="178" w:lineRule="exact"/>
        <w:rPr>
          <w:sz w:val="20"/>
          <w:szCs w:val="20"/>
          <w:color w:val="auto"/>
        </w:rPr>
      </w:pPr>
    </w:p>
    <w:p>
      <w:pPr>
        <w:ind w:right="40" w:firstLine="648"/>
        <w:spacing w:after="0" w:line="236" w:lineRule="auto"/>
        <w:rPr>
          <w:sz w:val="20"/>
          <w:szCs w:val="20"/>
          <w:color w:val="auto"/>
        </w:rPr>
      </w:pPr>
      <w:r>
        <w:rPr>
          <w:rFonts w:ascii="Arial" w:cs="Arial" w:eastAsia="Arial" w:hAnsi="Arial"/>
          <w:sz w:val="18"/>
          <w:szCs w:val="18"/>
          <w:color w:val="auto"/>
        </w:rPr>
        <w:t>Similarly, in the Company’s AEC segment, a decline in global or regional economic conditions could result in lower orders for aircraft or aircraft engines, or the cancellation of existing orders, which would in turn result in reduced demand for the AEC components utilized on such aircraft or engines. Demand for AEC’s light-weight composite aircraft components is driven by demand for the lighter, more fuel-efficient aircraft engine and other applications into which they are incorporated, such as the CFM LEAP engine. Fuel costs are a significant part of airlines’ overall operating costs, and in many cases may constitute a carrier’s single largest operating expense. A sustained drop in oil prices, and related decline in the price of jet fuel, could prompt airlines to defer orders or delivery dates for such newer, more fuel-efficient airframes and aircraft engines, as the urgency to reduce fuel consumption may be lessened. These actions could reduce or postpone AEC’s anticipated revenues, and reduce profitability.</w:t>
      </w:r>
    </w:p>
    <w:p>
      <w:pPr>
        <w:spacing w:after="0" w:line="168"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AEC generates a substantial amount of revenue from programs in which the ultimate customer is the U.S. Department of Defense. Government funding of such programs is subject to change due to a variety of reasons and the reduction or elimination of such programs could have a material adverse effect on operating results in any period.</w:t>
      </w:r>
    </w:p>
    <w:p>
      <w:pPr>
        <w:spacing w:after="0" w:line="162"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Weak or unstable economic conditions also increase the risk that one or more of our customers could be unable to pay outstanding accounts receivable, whether as the result of bankruptcy or an inability to obtain working capital financing from banks or other lenders. In such a case, we could be forced to write off such accounts, which could have a material adverse effect on our business, financial condition, or operating results. Furthermore, both the Machine Clothing and AEC business segments manufacture products that are custom-designed for a specific customer application. In the event of a customer liquidity issue, the Company could also be required to write off amounts that are included in inventories. In the case of AEC, such write-offs could also include investments in equipment, tooling, and non-recurring engineering, some of which could be significant depending on the program.</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The loss of one or more major customers could have a material adverse effect on sales and profitability</w:t>
      </w:r>
    </w:p>
    <w:p>
      <w:pPr>
        <w:spacing w:after="0" w:line="192"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One customer (Safran) accounted for approximately 45% of net sales in the AEC segment in 2016, substantially all of which was under an exclusive long-term supply agreement relating to parts for the LEAP engine. Although we are an exclusive supplier of such parts, our customer is not obligated to purchase any minimum quantity of parts, and cancellation of the LEAP program, or of existing orders for LEAP engines, would have a material adverse impact on segment sales and profitability. The LEAP long-term supply agreement also contains certain events of default that, if triggered, could result in termination of the agreement by the customer, which would also have a material adverse impact on segment sales and profitability.</w:t>
      </w:r>
    </w:p>
    <w:p>
      <w:pPr>
        <w:spacing w:after="0" w:line="178" w:lineRule="exact"/>
        <w:rPr>
          <w:sz w:val="20"/>
          <w:szCs w:val="20"/>
          <w:color w:val="auto"/>
        </w:rPr>
      </w:pPr>
    </w:p>
    <w:p>
      <w:pPr>
        <w:ind w:right="80" w:firstLine="648"/>
        <w:spacing w:after="0" w:line="237" w:lineRule="auto"/>
        <w:rPr>
          <w:sz w:val="20"/>
          <w:szCs w:val="20"/>
          <w:color w:val="auto"/>
        </w:rPr>
      </w:pPr>
      <w:r>
        <w:rPr>
          <w:rFonts w:ascii="Arial" w:cs="Arial" w:eastAsia="Arial" w:hAnsi="Arial"/>
          <w:sz w:val="18"/>
          <w:szCs w:val="18"/>
          <w:color w:val="auto"/>
        </w:rPr>
        <w:t>AEC’s short- and medium-term non-LEAP future sales growth is currently limited to and dependent upon a small number of customers and program. Unlike the 3D-woven composite components supplied by ASC, parts supplied for such non-LEAP programs are capable of being made by a number of other suppliers. Such programs include airframe components for the F-35 Joint Strike Fighter, forward fuselage frames for the Boeing 787, and sponsons, tail-rotor pylons and horizontal stabilizers for the CH-53K helicopter. Any failure by AEC to maintain its current supplier status under these programs, or any material change in their commercial or other terms, could have a material adverse effect on AEC’s future sales and operating income.</w:t>
      </w:r>
    </w:p>
    <w:p>
      <w:pPr>
        <w:spacing w:after="0" w:line="165" w:lineRule="exact"/>
        <w:rPr>
          <w:sz w:val="20"/>
          <w:szCs w:val="20"/>
          <w:color w:val="auto"/>
        </w:rPr>
      </w:pPr>
    </w:p>
    <w:p>
      <w:pPr>
        <w:ind w:right="80" w:firstLine="648"/>
        <w:spacing w:after="0" w:line="237" w:lineRule="auto"/>
        <w:rPr>
          <w:sz w:val="20"/>
          <w:szCs w:val="20"/>
          <w:color w:val="auto"/>
        </w:rPr>
      </w:pPr>
      <w:r>
        <w:rPr>
          <w:rFonts w:ascii="Arial" w:cs="Arial" w:eastAsia="Arial" w:hAnsi="Arial"/>
          <w:sz w:val="18"/>
          <w:szCs w:val="18"/>
          <w:color w:val="auto"/>
        </w:rPr>
        <w:t>Our top ten customers in the Machine Clothing segment accounted for 21% of our net sales in 2016. The loss of one or more of these customers, or a significant decrease in the amount of Machine Clothing they purchase from us, could have a material adverse impact on segment sales and profitability. We could also be subject to similar impacts if one or more such customers were to suffer financial difficulties and be unable to pay us for products they have purchased. While we normally enter into long-term supply agreements with significant Machine Clothing customers, the agreements generally do not obligate the customer to purchase any products from us, and may be terminated by the customer at any time with appropriate notice.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may experience supply constraints due to a limited number of suppliers of certain raw materials and equipment</w:t>
      </w:r>
    </w:p>
    <w:p>
      <w:pPr>
        <w:spacing w:after="0" w:line="207"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There are a limited number of suppliers of polymer fiber and monofilaments, key raw materials used in the manufacture of Machine Clothing, and of carbon fiber and carbon resin, key raw materials used by AEC. In addition, there are a limited number of suppliers of some of the equipment used in each of the Machine Clothing and AEC segments. While we have always been able to meet our raw material and equipment needs, the limited number of suppliers of these items creates the potential for disruptions in supply. AEC currently relies on single suppliers to meet the carbon fiber and carbon resin requirements for the LEAP program. Lack of supply, delivery delays, or quality problems relating to supplied raw materials or for our key manufacturing equipment could harm our production capacity, and could require the Company to attempt to qualify one or more additional suppliers, which could be a lengthy, expensive and uncertain process. Such disruptions could make it difficult to supply our customers with products on time, which could have a negative impact on our business, financial condition, and results of operations.</w:t>
      </w:r>
    </w:p>
    <w:p>
      <w:pPr>
        <w:spacing w:after="0" w:line="145"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b w:val="1"/>
          <w:bCs w:val="1"/>
          <w:i w:val="1"/>
          <w:iCs w:val="1"/>
          <w:color w:val="auto"/>
        </w:rPr>
        <w:t>Some of the Company’s competitors in the Machine Clothing segment have the capability to make and sell paper machines and papermaking equipment as well as other engineered fabrics</w:t>
      </w:r>
    </w:p>
    <w:p>
      <w:pPr>
        <w:spacing w:after="0" w:line="135" w:lineRule="exact"/>
        <w:rPr>
          <w:sz w:val="20"/>
          <w:szCs w:val="20"/>
          <w:color w:val="auto"/>
        </w:rPr>
      </w:pPr>
    </w:p>
    <w:p>
      <w:pPr>
        <w:ind w:right="220" w:firstLine="648"/>
        <w:spacing w:after="0" w:line="239" w:lineRule="auto"/>
        <w:rPr>
          <w:sz w:val="20"/>
          <w:szCs w:val="20"/>
          <w:color w:val="auto"/>
        </w:rPr>
      </w:pPr>
      <w:r>
        <w:rPr>
          <w:rFonts w:ascii="Arial" w:cs="Arial" w:eastAsia="Arial" w:hAnsi="Arial"/>
          <w:sz w:val="18"/>
          <w:szCs w:val="18"/>
          <w:color w:val="auto"/>
        </w:rPr>
        <w:t>Although customers historically have tended to view the purchase of paper machine clothing and the purchase of paper machines as separate purchasing decisions, the ability to bundle fabrics with new machines and after-market services could provide a competitive advantage. This underscores the importance of our ability to maintain the technological competitiveness and value of our products, and a failure to do so could have a material adverse effect on our business, financial condition, and results of operations.</w:t>
      </w:r>
    </w:p>
    <w:p>
      <w:pPr>
        <w:spacing w:after="0" w:line="175" w:lineRule="exact"/>
        <w:rPr>
          <w:sz w:val="20"/>
          <w:szCs w:val="20"/>
          <w:color w:val="auto"/>
        </w:rPr>
      </w:pPr>
    </w:p>
    <w:p>
      <w:pPr>
        <w:ind w:right="240" w:firstLine="648"/>
        <w:spacing w:after="0" w:line="246" w:lineRule="auto"/>
        <w:rPr>
          <w:sz w:val="20"/>
          <w:szCs w:val="20"/>
          <w:color w:val="auto"/>
        </w:rPr>
      </w:pPr>
      <w:r>
        <w:rPr>
          <w:rFonts w:ascii="Arial" w:cs="Arial" w:eastAsia="Arial" w:hAnsi="Arial"/>
          <w:sz w:val="18"/>
          <w:szCs w:val="18"/>
          <w:color w:val="auto"/>
        </w:rPr>
        <w:t>Moreover, we cannot predict how the nature of competition in this segment may continue to evolve as a result of future consolidation among our competitors, or consolidation involving our competitors and other suppliers to our customers.</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 w:name="page15"/>
    <w:bookmarkEnd w:id="14"/>
    <w:p>
      <w:pPr>
        <w:ind w:right="380"/>
        <w:spacing w:after="0" w:line="270" w:lineRule="auto"/>
        <w:rPr>
          <w:sz w:val="20"/>
          <w:szCs w:val="20"/>
          <w:color w:val="auto"/>
        </w:rPr>
      </w:pPr>
      <w:r>
        <w:rPr>
          <w:rFonts w:ascii="Arial" w:cs="Arial" w:eastAsia="Arial" w:hAnsi="Arial"/>
          <w:sz w:val="18"/>
          <w:szCs w:val="18"/>
          <w:b w:val="1"/>
          <w:bCs w:val="1"/>
          <w:i w:val="1"/>
          <w:iCs w:val="1"/>
          <w:color w:val="auto"/>
        </w:rPr>
        <w:t>Conditions in the paper industry have required, and could further require, the Company to reorganize its operations, which could result in significant expense and could pose risks to the Company’s operations</w:t>
      </w:r>
    </w:p>
    <w:p>
      <w:pPr>
        <w:spacing w:after="0" w:line="136" w:lineRule="exact"/>
        <w:rPr>
          <w:sz w:val="20"/>
          <w:szCs w:val="20"/>
          <w:color w:val="auto"/>
        </w:rPr>
      </w:pPr>
    </w:p>
    <w:p>
      <w:pPr>
        <w:ind w:right="80" w:firstLine="648"/>
        <w:spacing w:after="0" w:line="236" w:lineRule="auto"/>
        <w:rPr>
          <w:sz w:val="20"/>
          <w:szCs w:val="20"/>
          <w:color w:val="auto"/>
        </w:rPr>
      </w:pPr>
      <w:r>
        <w:rPr>
          <w:rFonts w:ascii="Arial" w:cs="Arial" w:eastAsia="Arial" w:hAnsi="Arial"/>
          <w:sz w:val="18"/>
          <w:szCs w:val="18"/>
          <w:color w:val="auto"/>
        </w:rPr>
        <w:t>During the last several years, we have engaged in significant restructuring that included the closing of a number of manufacturing operations. These restructuring activities were intended to match manufacturing capacity to shifting global demand, and also to improve the efficiency of manufacturing and administrative processes. Future shifting of customer demand, the need to reduce costs, or other factors could cause us to determine in the future that additional restructuring steps are required. Restructuring involves risks such as employee work stoppages, slowdowns, or strikes, which can threaten uninterrupted production, maintenance of high product quality, meeting of customers’ delivery deadlines, and maintenance of administrative processes. Increases in output in remaining manufacturing operations can likewise impose stress on these remaining facilities as they undertake the manufacture of greater volume and, in some cases, a greater variety of products. Competitors can be quick to attempt to exploit these situations. Although we plan each step of the process carefully, and work to reassure customers who could be affected that their requirements will continue to be met, we could lose customers and associated revenues if we fail to execute properly.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disasters at one or more of our facilities could make it difficult for us to meet our supply obligations to our customers</w:t>
      </w:r>
    </w:p>
    <w:p>
      <w:pPr>
        <w:spacing w:after="0" w:line="193" w:lineRule="exact"/>
        <w:rPr>
          <w:sz w:val="20"/>
          <w:szCs w:val="20"/>
          <w:color w:val="auto"/>
        </w:rPr>
      </w:pPr>
    </w:p>
    <w:p>
      <w:pPr>
        <w:ind w:right="80" w:firstLine="648"/>
        <w:spacing w:after="0" w:line="238" w:lineRule="auto"/>
        <w:rPr>
          <w:sz w:val="20"/>
          <w:szCs w:val="20"/>
          <w:color w:val="auto"/>
        </w:rPr>
      </w:pPr>
      <w:r>
        <w:rPr>
          <w:rFonts w:ascii="Arial" w:cs="Arial" w:eastAsia="Arial" w:hAnsi="Arial"/>
          <w:sz w:val="18"/>
          <w:szCs w:val="18"/>
          <w:color w:val="auto"/>
        </w:rPr>
        <w:t>Significant consolidation of manufacturing operations in our Machine Clothing segment over the past decade has reduced the number of facilities available to produce our products, and increased utilization significantly at remaining facilities. Not all product lines are produced at, or capable of being produced at, all facilities. We have Machine Clothing facilities located near Mexico City, which has been identified as an area vulnerable to flood, storm surge and earthquake risks, and in the Pearl River Delta area of China, which has been identified as vulnerable to flood, storm and storm surge risks.</w:t>
      </w:r>
    </w:p>
    <w:p>
      <w:pPr>
        <w:spacing w:after="0" w:line="162" w:lineRule="exact"/>
        <w:rPr>
          <w:sz w:val="20"/>
          <w:szCs w:val="20"/>
          <w:color w:val="auto"/>
        </w:rPr>
      </w:pPr>
    </w:p>
    <w:p>
      <w:pPr>
        <w:ind w:right="80" w:firstLine="648"/>
        <w:spacing w:after="0" w:line="238" w:lineRule="auto"/>
        <w:rPr>
          <w:sz w:val="20"/>
          <w:szCs w:val="20"/>
          <w:color w:val="auto"/>
        </w:rPr>
      </w:pPr>
      <w:r>
        <w:rPr>
          <w:rFonts w:ascii="Arial" w:cs="Arial" w:eastAsia="Arial" w:hAnsi="Arial"/>
          <w:sz w:val="18"/>
          <w:szCs w:val="18"/>
          <w:color w:val="auto"/>
        </w:rPr>
        <w:t>AEC’s production of LEAP engine components is currently located in two facilities. An interruption at either of these locations would have a significant adverse effect on AEC’s ability to timely satisfy orders for LEAP components. Production of a number of AEC’s other legacy and growth programs – including components for the F-35 Joint Strike Fighter, fuselage components for the Boeing 787, components for the CH-53K helicopter, vacuum waste tanks for Boeing 7-Series aircraft, and missile bodies for Lockheed Martin’s JASSM air-to-surface missiles – is located in a single facility in Salt Lake City.</w:t>
      </w:r>
    </w:p>
    <w:p>
      <w:pPr>
        <w:spacing w:after="0" w:line="176"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A significant interruption in the operation of any one or more of our plants, whether as the result of a natural disaster or other causes, could significantly impair our ability to timely meet our supply obligations to customers being supplied from an affected facility. While the occurrence of a natural disaster or other business interruption event in an area where we have a facility may not result in any direct damage to the facility itself, it may cause disruptions in local transportation and public utilities on which such locations are reliant, and may also hinder the ability of affected employees to report for work. Although we carry property and business interruption insurance to help mitigate the risk of property loss or business interruption that could result from the occurrence of such events, such coverage may not be adequate to compensate us for all loss or damage that we may incur.</w:t>
      </w:r>
    </w:p>
    <w:p>
      <w:pPr>
        <w:spacing w:after="0" w:line="141"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b w:val="1"/>
          <w:bCs w:val="1"/>
          <w:i w:val="1"/>
          <w:iCs w:val="1"/>
          <w:color w:val="auto"/>
        </w:rPr>
        <w:t>The Standish family has a significant influence on our Company and could prevent transactions that might be in the best interests of our other stockholders</w:t>
      </w:r>
    </w:p>
    <w:p>
      <w:pPr>
        <w:spacing w:after="0" w:line="135" w:lineRule="exact"/>
        <w:rPr>
          <w:sz w:val="20"/>
          <w:szCs w:val="20"/>
          <w:color w:val="auto"/>
        </w:rPr>
      </w:pPr>
    </w:p>
    <w:p>
      <w:pPr>
        <w:ind w:right="60" w:firstLine="648"/>
        <w:spacing w:after="0" w:line="237" w:lineRule="auto"/>
        <w:rPr>
          <w:sz w:val="20"/>
          <w:szCs w:val="20"/>
          <w:color w:val="auto"/>
        </w:rPr>
      </w:pPr>
      <w:r>
        <w:rPr>
          <w:rFonts w:ascii="Arial" w:cs="Arial" w:eastAsia="Arial" w:hAnsi="Arial"/>
          <w:sz w:val="18"/>
          <w:szCs w:val="18"/>
          <w:color w:val="auto"/>
        </w:rPr>
        <w:t>As of December 31, 2016, Standish Family Holdings, LLC and related persons (including Christine L. Standish and John C. Standish, both directors of the Company) held in the aggregate shares entitling them to cast approximately 53% of the combined votes entitled to be cast by all stockholders of the Company. The Standish family has significant influence over the management and affairs of the Company and matters requiring stockholder approval, including the election of directors and approval of significant corporate transactions. The Standish family currently has, in the aggregate, sufficient voting power to elect all of our directors and determine the outcome of any shareholder action requiring a majority vote. This could have the effect of delaying or</w:t>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 w:name="page16"/>
    <w:bookmarkEnd w:id="15"/>
    <w:p>
      <w:pPr>
        <w:ind w:right="400"/>
        <w:spacing w:after="0" w:line="245" w:lineRule="auto"/>
        <w:rPr>
          <w:sz w:val="20"/>
          <w:szCs w:val="20"/>
          <w:color w:val="auto"/>
        </w:rPr>
      </w:pPr>
      <w:r>
        <w:rPr>
          <w:rFonts w:ascii="Arial" w:cs="Arial" w:eastAsia="Arial" w:hAnsi="Arial"/>
          <w:sz w:val="18"/>
          <w:szCs w:val="18"/>
          <w:color w:val="auto"/>
        </w:rPr>
        <w:t>preventing a change in control or a merger, consolidation, or other business combination at a premium price, even if such transaction were favored by our other stockholders.</w:t>
      </w:r>
    </w:p>
    <w:p>
      <w:pPr>
        <w:spacing w:after="0" w:line="135" w:lineRule="exact"/>
        <w:rPr>
          <w:sz w:val="20"/>
          <w:szCs w:val="20"/>
          <w:color w:val="auto"/>
        </w:rPr>
      </w:pPr>
    </w:p>
    <w:p>
      <w:pPr>
        <w:jc w:val="both"/>
        <w:ind w:right="740"/>
        <w:spacing w:after="0" w:line="253" w:lineRule="auto"/>
        <w:rPr>
          <w:sz w:val="20"/>
          <w:szCs w:val="20"/>
          <w:color w:val="auto"/>
        </w:rPr>
      </w:pPr>
      <w:r>
        <w:rPr>
          <w:rFonts w:ascii="Arial" w:cs="Arial" w:eastAsia="Arial" w:hAnsi="Arial"/>
          <w:sz w:val="18"/>
          <w:szCs w:val="18"/>
          <w:b w:val="1"/>
          <w:bCs w:val="1"/>
          <w:i w:val="1"/>
          <w:iCs w:val="1"/>
          <w:color w:val="auto"/>
        </w:rPr>
        <w:t>We are a “controlled company” within the meaning of the Corporate Governance Rules of the New York Stock Exchange (the “NYSE”) and qualify for, and rely on, certain exemptions from corporate governance requirements applicable to other listed companies</w:t>
      </w:r>
    </w:p>
    <w:p>
      <w:pPr>
        <w:spacing w:after="0" w:line="164"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As a result of the greater-than-50% voting power of the Standish family described above, we are a “controlled company” within the meaning of the rules of the NYSE. Therefore, we are not required to comply with certain corporate governance rules that would otherwise apply to us as a listed company on the NYSE, including the requirement that the Compensation and Governance Committees be composed entirely of “independent” directors (as defined by the NYSE rules). In addition, although we believe that all of our current directors, other than Dr. Morone, Christine Standish and John Standish may be deemed independent under the NYSE rules, as a controlled company our Board of Directors is not required to include a majority of “independent” directors. Should the interests of the Standish family differ from those of other stockholders, it is possible that the other stockholders might not be afforded such protections as might exist if our Board of Directors, or these Committees, were required to have a majority, or be composed exclusively, of directors who were independent of the Standish family or our management.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as a result of changes in prices of commodities and labor costs may adversely impact our financial results of operations</w:t>
      </w:r>
    </w:p>
    <w:p>
      <w:pPr>
        <w:spacing w:after="0" w:line="193" w:lineRule="exact"/>
        <w:rPr>
          <w:sz w:val="20"/>
          <w:szCs w:val="20"/>
          <w:color w:val="auto"/>
        </w:rPr>
      </w:pPr>
    </w:p>
    <w:p>
      <w:pPr>
        <w:ind w:right="120" w:firstLine="648"/>
        <w:spacing w:after="0" w:line="239" w:lineRule="auto"/>
        <w:rPr>
          <w:sz w:val="20"/>
          <w:szCs w:val="20"/>
          <w:color w:val="auto"/>
        </w:rPr>
      </w:pPr>
      <w:r>
        <w:rPr>
          <w:rFonts w:ascii="Arial" w:cs="Arial" w:eastAsia="Arial" w:hAnsi="Arial"/>
          <w:sz w:val="18"/>
          <w:szCs w:val="18"/>
          <w:color w:val="auto"/>
        </w:rPr>
        <w:t>The Company is a significant user of raw materials that are based on petroleum or petroleum derivatives. The Company also relies on the labor market in many regions of the world to meet our operational requirements. Increases in the prices of petroleum or petroleum derivatives, or in our labor costs, particularly in regions that are experiencing higher levels of inflation, could increase our costs, and we may not be able to fully offset the effects through price increases, productivity improvements, and cost-reduction programs.</w:t>
      </w:r>
    </w:p>
    <w:p>
      <w:pPr>
        <w:spacing w:after="0" w:line="153" w:lineRule="exact"/>
        <w:rPr>
          <w:sz w:val="20"/>
          <w:szCs w:val="20"/>
          <w:color w:val="auto"/>
        </w:rPr>
      </w:pPr>
    </w:p>
    <w:p>
      <w:pPr>
        <w:ind w:right="880"/>
        <w:spacing w:after="0" w:line="271" w:lineRule="auto"/>
        <w:rPr>
          <w:sz w:val="20"/>
          <w:szCs w:val="20"/>
          <w:color w:val="auto"/>
        </w:rPr>
      </w:pPr>
      <w:r>
        <w:rPr>
          <w:rFonts w:ascii="Arial" w:cs="Arial" w:eastAsia="Arial" w:hAnsi="Arial"/>
          <w:sz w:val="18"/>
          <w:szCs w:val="18"/>
          <w:b w:val="1"/>
          <w:bCs w:val="1"/>
          <w:i w:val="1"/>
          <w:iCs w:val="1"/>
          <w:color w:val="auto"/>
        </w:rPr>
        <w:t>Fluctuations in currency exchange rates could adversely affect the Company’s business, financial condition, and results of operations</w:t>
      </w:r>
    </w:p>
    <w:p>
      <w:pPr>
        <w:spacing w:after="0" w:line="135"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We operate our business in many regions of the world, and currency rate movements can have a significant effect on operating results. The effect of currency rate changes on gross profit in the Machine Clothing segment can be difficult to anticipate because we use a global sourcing and manufacturing model. Under this model, while some non-U.S. sales and associated costs are in the same currency, other non-U.S. sales are denominated in currencies other than the currency in which most costs of such sales are incurred. At the same time, the geographic sources of materials purchased (and the currencies in which these purchases are denominated) can vary depending on market forces, and the Company may also shift production of its products between manufacturing locations, which can result in a change in the currency in which certain costs to produce such products are incurred.</w:t>
      </w:r>
    </w:p>
    <w:p>
      <w:pPr>
        <w:spacing w:after="0" w:line="163" w:lineRule="exact"/>
        <w:rPr>
          <w:sz w:val="20"/>
          <w:szCs w:val="20"/>
          <w:color w:val="auto"/>
        </w:rPr>
      </w:pPr>
    </w:p>
    <w:p>
      <w:pPr>
        <w:ind w:right="60" w:firstLine="648"/>
        <w:spacing w:after="0" w:line="237" w:lineRule="auto"/>
        <w:rPr>
          <w:sz w:val="20"/>
          <w:szCs w:val="20"/>
          <w:color w:val="auto"/>
        </w:rPr>
      </w:pPr>
      <w:r>
        <w:rPr>
          <w:rFonts w:ascii="Arial" w:cs="Arial" w:eastAsia="Arial" w:hAnsi="Arial"/>
          <w:sz w:val="18"/>
          <w:szCs w:val="18"/>
          <w:color w:val="auto"/>
        </w:rPr>
        <w:t>Changes in exchange rates can result in revaluation gains and losses that are recorded in Selling, Technical, General and Research expenses or Other expense/(income), net. Revaluation gains and losses occur when our business units have cash, intercompany or third-party trade receivable or payable balances in a currency other than their local reporting (or functional) currency. Operating results can also be affected by the translation of sales and costs, for each non-U.S. subsidiary, from the local functional currency to the U.S. dollar. The translation effect on the income statement is dependent on our net income or expense position in each non-U.S. currency in which we do business. A net income position exists when sales realized in a particular currency exceed expenses paid in that currency; a net expense position exists if the opposite is true.</w:t>
      </w:r>
    </w:p>
    <w:p>
      <w:pPr>
        <w:spacing w:after="0" w:line="176" w:lineRule="exact"/>
        <w:rPr>
          <w:sz w:val="20"/>
          <w:szCs w:val="20"/>
          <w:color w:val="auto"/>
        </w:rPr>
      </w:pPr>
    </w:p>
    <w:p>
      <w:pPr>
        <w:ind w:right="420" w:firstLine="648"/>
        <w:spacing w:after="0" w:line="246" w:lineRule="auto"/>
        <w:rPr>
          <w:sz w:val="20"/>
          <w:szCs w:val="20"/>
          <w:color w:val="auto"/>
        </w:rPr>
      </w:pPr>
      <w:r>
        <w:rPr>
          <w:rFonts w:ascii="Arial" w:cs="Arial" w:eastAsia="Arial" w:hAnsi="Arial"/>
          <w:sz w:val="18"/>
          <w:szCs w:val="18"/>
          <w:color w:val="auto"/>
        </w:rPr>
        <w:t>As a result of these exposures to foreign currency transactions and balances, changes in currency rates could adversely affect the Company’s business, financial condition or results of operations.</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6" w:name="page17"/>
    <w:bookmarkEnd w:id="16"/>
    <w:p>
      <w:pPr>
        <w:ind w:right="200"/>
        <w:spacing w:after="0" w:line="270" w:lineRule="auto"/>
        <w:rPr>
          <w:sz w:val="20"/>
          <w:szCs w:val="20"/>
          <w:color w:val="auto"/>
        </w:rPr>
      </w:pPr>
      <w:r>
        <w:rPr>
          <w:rFonts w:ascii="Arial" w:cs="Arial" w:eastAsia="Arial" w:hAnsi="Arial"/>
          <w:sz w:val="18"/>
          <w:szCs w:val="18"/>
          <w:b w:val="1"/>
          <w:bCs w:val="1"/>
          <w:i w:val="1"/>
          <w:iCs w:val="1"/>
          <w:color w:val="auto"/>
        </w:rPr>
        <w:t>The Company may fail to adequately protect its proprietary technology, which would allow competitors or others to take advantage of its research and development efforts</w:t>
      </w:r>
    </w:p>
    <w:p>
      <w:pPr>
        <w:spacing w:after="0" w:line="136"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Proprietary trade secrets are a source of competitive advantage in each of our segments. If our trade secrets were to become available to competitors, it could have a negative impact on our competitive strength. We employ measures to maintain the confidential nature of these secrets, including maintaining employment and confidentiality agreements; maintaining clear policies intended to protect such trade secrets; educating our employees about such policies; clearly identifying proprietary information subject to such agreements and policies; and vigorously enforcing such agreements and policies. Despite such measures, our employees, consultants, and third parties to whom such information may be disclosed in the ordinary course of our business may breach their obligations not to reveal such information, and any legal remedies available to us may be insufficient to compensate our damages.</w:t>
      </w:r>
    </w:p>
    <w:p>
      <w:pPr>
        <w:spacing w:after="0" w:line="154"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b w:val="1"/>
          <w:bCs w:val="1"/>
          <w:i w:val="1"/>
          <w:iCs w:val="1"/>
          <w:color w:val="auto"/>
        </w:rPr>
        <w:t>We have a substantial amount of indebtedness. At December 31, 2016, the Company had outstanding short-term debt of $52 million and long-term debt of $433 million.</w:t>
      </w:r>
    </w:p>
    <w:p>
      <w:pPr>
        <w:spacing w:after="0" w:line="135" w:lineRule="exact"/>
        <w:rPr>
          <w:sz w:val="20"/>
          <w:szCs w:val="20"/>
          <w:color w:val="auto"/>
        </w:rPr>
      </w:pPr>
    </w:p>
    <w:p>
      <w:pPr>
        <w:ind w:right="60" w:firstLine="648"/>
        <w:spacing w:after="0" w:line="236" w:lineRule="auto"/>
        <w:rPr>
          <w:sz w:val="20"/>
          <w:szCs w:val="20"/>
          <w:color w:val="auto"/>
        </w:rPr>
      </w:pPr>
      <w:r>
        <w:rPr>
          <w:rFonts w:ascii="Arial" w:cs="Arial" w:eastAsia="Arial" w:hAnsi="Arial"/>
          <w:sz w:val="18"/>
          <w:szCs w:val="18"/>
          <w:color w:val="auto"/>
        </w:rPr>
        <w:t>At December 31, 2016, our leverage ratio (as defined in our primary borrowing agreements) was 2.30 to 1, and we had borrowed $418 million under our $550 million revolving credit facility. While we feel that we generate sufficient cash from operations and have sufficient borrowing capacity to make required capital expenditures to maintain and grow our business, any decrease in our cash generation could result in higher leverage. Higher leverage could hinder our ability to make acquisitions, capital expenditures, or other investments in our businesses, pay dividends, or withstand business and economic downturns. Our primary borrowing agreements contain a number of covenants and financial ratios that the Company is required to satisfy. The most restrictive of these covenants pertain to prescribed leverage and interest coverage ratios and asset dispositions. Any breach of any such covenants or restrictions would result in a default under such agreements that would permit the lenders to declare all borrowings under such agreements to be immediately due and payable and, through cross-default provisions, could entitle other lenders to accelerate their loans. In such an event, the Company would need to modify or restructure all or a portion of such indebtedness. Depending on prevailing economic conditions at the time, the Company might find it difficult to modify or restructure the debt on attractive terms, or at all.</w:t>
      </w:r>
    </w:p>
    <w:p>
      <w:pPr>
        <w:spacing w:after="0" w:line="165" w:lineRule="exact"/>
        <w:rPr>
          <w:sz w:val="20"/>
          <w:szCs w:val="20"/>
          <w:color w:val="auto"/>
        </w:rPr>
      </w:pPr>
    </w:p>
    <w:p>
      <w:pPr>
        <w:jc w:val="both"/>
        <w:ind w:right="200" w:firstLine="648"/>
        <w:spacing w:after="0"/>
        <w:rPr>
          <w:sz w:val="20"/>
          <w:szCs w:val="20"/>
          <w:color w:val="auto"/>
        </w:rPr>
      </w:pPr>
      <w:r>
        <w:rPr>
          <w:rFonts w:ascii="Arial" w:cs="Arial" w:eastAsia="Arial" w:hAnsi="Arial"/>
          <w:sz w:val="18"/>
          <w:szCs w:val="18"/>
          <w:color w:val="auto"/>
        </w:rPr>
        <w:t>As of December 31, 2016, we had approximately $132 million of additional borrowing capacity under our $550 million revolving credit facility. Incurrence of additional indebtedness could increase the above-described risks associated with higher leverage. In addition, any such indebtedness could contain terms that are more restrictive than our current facilities.</w:t>
      </w:r>
    </w:p>
    <w:p>
      <w:pPr>
        <w:spacing w:after="0" w:line="154" w:lineRule="exact"/>
        <w:rPr>
          <w:sz w:val="20"/>
          <w:szCs w:val="20"/>
          <w:color w:val="auto"/>
        </w:rPr>
      </w:pPr>
    </w:p>
    <w:p>
      <w:pPr>
        <w:ind w:right="500"/>
        <w:spacing w:after="0" w:line="247" w:lineRule="auto"/>
        <w:rPr>
          <w:sz w:val="20"/>
          <w:szCs w:val="20"/>
          <w:color w:val="auto"/>
        </w:rPr>
      </w:pPr>
      <w:r>
        <w:rPr>
          <w:rFonts w:ascii="Arial" w:cs="Arial" w:eastAsia="Arial" w:hAnsi="Arial"/>
          <w:sz w:val="18"/>
          <w:szCs w:val="18"/>
          <w:b w:val="1"/>
          <w:bCs w:val="1"/>
          <w:i w:val="1"/>
          <w:iCs w:val="1"/>
          <w:color w:val="auto"/>
        </w:rPr>
        <w:t>The Company is increasingly dependent on information technology and our business, systems, assets and infrastructure face certain risks, including cybersecurity and data leakage risks. The failure to prevent attacks on our operational systems or infrastructure could result in disruptions to our businesses, or the loss or disclosure of confidential and proprietary intellectual property or other assets.</w:t>
      </w:r>
    </w:p>
    <w:p>
      <w:pPr>
        <w:spacing w:after="0" w:line="156" w:lineRule="exact"/>
        <w:rPr>
          <w:sz w:val="20"/>
          <w:szCs w:val="20"/>
          <w:color w:val="auto"/>
        </w:rPr>
      </w:pPr>
    </w:p>
    <w:p>
      <w:pPr>
        <w:ind w:right="140" w:firstLine="648"/>
        <w:spacing w:after="0" w:line="239" w:lineRule="auto"/>
        <w:rPr>
          <w:sz w:val="20"/>
          <w:szCs w:val="20"/>
          <w:color w:val="auto"/>
        </w:rPr>
      </w:pPr>
      <w:r>
        <w:rPr>
          <w:rFonts w:ascii="Arial" w:cs="Arial" w:eastAsia="Arial" w:hAnsi="Arial"/>
          <w:sz w:val="18"/>
          <w:szCs w:val="18"/>
          <w:color w:val="auto"/>
        </w:rPr>
        <w:t>As our dependence on information technology and communication systems has increased, so have the risks associated with cyber-attacks from third parties attempting to gain access to our systems, data, or assets using varied means, from electronic “hacking” to traditional social engineering aimed at our employees. The Company has been, and will likely continue to be, the target of such attacks, none of which have, individually or in the aggregate, been material to the Company.</w:t>
      </w:r>
    </w:p>
    <w:p>
      <w:pPr>
        <w:spacing w:after="0" w:line="161" w:lineRule="exact"/>
        <w:rPr>
          <w:sz w:val="20"/>
          <w:szCs w:val="20"/>
          <w:color w:val="auto"/>
        </w:rPr>
      </w:pPr>
    </w:p>
    <w:p>
      <w:pPr>
        <w:ind w:right="160" w:firstLine="648"/>
        <w:spacing w:after="0" w:line="238" w:lineRule="auto"/>
        <w:rPr>
          <w:sz w:val="20"/>
          <w:szCs w:val="20"/>
          <w:color w:val="auto"/>
        </w:rPr>
      </w:pPr>
      <w:r>
        <w:rPr>
          <w:rFonts w:ascii="Arial" w:cs="Arial" w:eastAsia="Arial" w:hAnsi="Arial"/>
          <w:sz w:val="18"/>
          <w:szCs w:val="18"/>
          <w:color w:val="auto"/>
        </w:rPr>
        <w:t>Any significant breakdown, invasion, destruction or interruption of our business systems by employees, others with authorized access to our systems, or unauthorized persons could negatively impact operations. There is also a risk that we could experience a business interruption, theft of information or other assets, or reputational damage. While we have made, and will continue to make, significant investments in business systems, information technology infrastructure, internal controls systems and employee training to attempt to reduce these</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 w:name="page18"/>
    <w:bookmarkEnd w:id="17"/>
    <w:p>
      <w:pPr>
        <w:ind w:right="180"/>
        <w:spacing w:after="0" w:line="245" w:lineRule="auto"/>
        <w:rPr>
          <w:sz w:val="20"/>
          <w:szCs w:val="20"/>
          <w:color w:val="auto"/>
        </w:rPr>
      </w:pPr>
      <w:r>
        <w:rPr>
          <w:rFonts w:ascii="Arial" w:cs="Arial" w:eastAsia="Arial" w:hAnsi="Arial"/>
          <w:sz w:val="18"/>
          <w:szCs w:val="18"/>
          <w:color w:val="auto"/>
        </w:rPr>
        <w:t>risks, there can be no assurance that our efforts will prevent breakdowns, losses or breaches that could have a material adverse effect on our business, financial position and results of operations.</w:t>
      </w:r>
    </w:p>
    <w:p>
      <w:pPr>
        <w:spacing w:after="0" w:line="135" w:lineRule="exact"/>
        <w:rPr>
          <w:sz w:val="20"/>
          <w:szCs w:val="20"/>
          <w:color w:val="auto"/>
        </w:rPr>
      </w:pPr>
    </w:p>
    <w:p>
      <w:pPr>
        <w:ind w:right="680" w:firstLine="648"/>
        <w:spacing w:after="0" w:line="271" w:lineRule="auto"/>
        <w:rPr>
          <w:sz w:val="20"/>
          <w:szCs w:val="20"/>
          <w:color w:val="auto"/>
        </w:rPr>
      </w:pPr>
      <w:r>
        <w:rPr>
          <w:rFonts w:ascii="Arial" w:cs="Arial" w:eastAsia="Arial" w:hAnsi="Arial"/>
          <w:sz w:val="18"/>
          <w:szCs w:val="18"/>
          <w:b w:val="1"/>
          <w:bCs w:val="1"/>
          <w:i w:val="1"/>
          <w:iCs w:val="1"/>
          <w:color w:val="auto"/>
        </w:rPr>
        <w:t>The Company is subject to legal proceedings and legal compliance risks, and has been named as defendant in a large number of suits relating to the actual or alleged exposure to asbestos-containing products</w:t>
      </w:r>
    </w:p>
    <w:p>
      <w:pPr>
        <w:spacing w:after="0" w:line="149" w:lineRule="exact"/>
        <w:rPr>
          <w:sz w:val="20"/>
          <w:szCs w:val="20"/>
          <w:color w:val="auto"/>
        </w:rPr>
      </w:pPr>
    </w:p>
    <w:p>
      <w:pPr>
        <w:ind w:right="40" w:firstLine="648"/>
        <w:spacing w:after="0" w:line="239" w:lineRule="auto"/>
        <w:rPr>
          <w:sz w:val="20"/>
          <w:szCs w:val="20"/>
          <w:color w:val="auto"/>
        </w:rPr>
      </w:pPr>
      <w:r>
        <w:rPr>
          <w:rFonts w:ascii="Arial" w:cs="Arial" w:eastAsia="Arial" w:hAnsi="Arial"/>
          <w:sz w:val="18"/>
          <w:szCs w:val="18"/>
          <w:color w:val="auto"/>
        </w:rPr>
        <w:t>We are subject to a variety of legal proceedings. Pending proceedings that the Company determines are material are disclosed in Note 17, to the Consolidated Financial Statements in Item 8, which is incorporated herein by reference. Litigation is an inherently unpredictable process and unanticipated negative outcomes are always possible. An adverse outcome in any period could have an adverse impact on the Company’s operating results for that period.</w:t>
      </w:r>
    </w:p>
    <w:p>
      <w:pPr>
        <w:spacing w:after="0" w:line="161" w:lineRule="exact"/>
        <w:rPr>
          <w:sz w:val="20"/>
          <w:szCs w:val="20"/>
          <w:color w:val="auto"/>
        </w:rPr>
      </w:pPr>
    </w:p>
    <w:p>
      <w:pPr>
        <w:ind w:right="80" w:firstLine="648"/>
        <w:spacing w:after="0" w:line="239" w:lineRule="auto"/>
        <w:rPr>
          <w:sz w:val="20"/>
          <w:szCs w:val="20"/>
          <w:color w:val="auto"/>
        </w:rPr>
      </w:pPr>
      <w:r>
        <w:rPr>
          <w:rFonts w:ascii="Arial" w:cs="Arial" w:eastAsia="Arial" w:hAnsi="Arial"/>
          <w:sz w:val="18"/>
          <w:szCs w:val="18"/>
          <w:color w:val="auto"/>
        </w:rPr>
        <w:t>We are also subject to a variety of legal compliance risks. While we believe that we have adopted appropriate risk management and compliance programs, the global and diverse nature of our operations means that legal compliance risks will continue to exist and related legal proceedings and other contingencies, the outcome of which cannot be predicted with certainty, are likely to arise from time to time. Failure to resolve successfully any legal proceedings related to compliance matters could have an adverse impact on our results in any period.</w:t>
      </w:r>
    </w:p>
    <w:p>
      <w:pPr>
        <w:spacing w:after="0" w:line="139"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b w:val="1"/>
          <w:bCs w:val="1"/>
          <w:i w:val="1"/>
          <w:iCs w:val="1"/>
          <w:color w:val="auto"/>
        </w:rPr>
        <w:t>Changes in actuarial assumptions and differences between actual experience and assumptions could adversely affect our pension and postretirement benefit costs and liabilities</w:t>
      </w:r>
    </w:p>
    <w:p>
      <w:pPr>
        <w:spacing w:after="0" w:line="149" w:lineRule="exact"/>
        <w:rPr>
          <w:sz w:val="20"/>
          <w:szCs w:val="20"/>
          <w:color w:val="auto"/>
        </w:rPr>
      </w:pPr>
    </w:p>
    <w:p>
      <w:pPr>
        <w:jc w:val="both"/>
        <w:ind w:right="260" w:firstLine="648"/>
        <w:spacing w:after="0" w:line="248" w:lineRule="auto"/>
        <w:rPr>
          <w:sz w:val="20"/>
          <w:szCs w:val="20"/>
          <w:color w:val="auto"/>
        </w:rPr>
      </w:pPr>
      <w:r>
        <w:rPr>
          <w:rFonts w:ascii="Arial" w:cs="Arial" w:eastAsia="Arial" w:hAnsi="Arial"/>
          <w:sz w:val="17"/>
          <w:szCs w:val="17"/>
          <w:color w:val="auto"/>
        </w:rPr>
        <w:t>Although we have reduced pension liabilities by a significant amount during the past few years, as of December 31, 2016, remaining net liabilities under our defined benefit pension plans exceeded plan assets by $30.2 million ($13.0 million for the U.S. plan, $ 17.2 million for non-U.S. plans). Additionally, the liability for unfunded postretirement welfare benefits, principally in the United States, totaled $57.5 million.</w:t>
      </w:r>
    </w:p>
    <w:p>
      <w:pPr>
        <w:spacing w:after="0" w:line="2"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Annual expense associated with these plans, as well as annual cash contributions, are subject to a number of variables, including discount rates, return on plan assets, mortality, and differences between actuarial assumptions and actual experience. Those liabilities include $76.9 million of deferred costs which are included in Accumulated other comprehensive income. The deferred costs will be amortized into expense in future periods, or a significant charge could be recorded if we were to take an actions to settle pension or postretirement obligations. In 2014, we settled certain pension obligations as part of a de-risking strategy in the United States which led to charges totaling $8.2 million.</w:t>
      </w:r>
    </w:p>
    <w:p>
      <w:pPr>
        <w:spacing w:after="0" w:line="162" w:lineRule="exact"/>
        <w:rPr>
          <w:sz w:val="20"/>
          <w:szCs w:val="20"/>
          <w:color w:val="auto"/>
        </w:rPr>
      </w:pPr>
    </w:p>
    <w:p>
      <w:pPr>
        <w:ind w:right="440" w:firstLine="648"/>
        <w:spacing w:after="0"/>
        <w:rPr>
          <w:sz w:val="20"/>
          <w:szCs w:val="20"/>
          <w:color w:val="auto"/>
        </w:rPr>
      </w:pPr>
      <w:r>
        <w:rPr>
          <w:rFonts w:ascii="Arial" w:cs="Arial" w:eastAsia="Arial" w:hAnsi="Arial"/>
          <w:sz w:val="18"/>
          <w:szCs w:val="18"/>
          <w:color w:val="auto"/>
        </w:rPr>
        <w:t>Although the Company has taken actions to hedge certain pension plan assets to the pension liabilities, weakness in investment returns on plan assets, changes in discount rates or actuarial assumptions, and actual future experience could result in higher benefit plan expense and the need to increase pension plan contributions in future years.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is exposed to the risk of increased expense in health-care related costs</w:t>
      </w:r>
    </w:p>
    <w:p>
      <w:pPr>
        <w:spacing w:after="0" w:line="207" w:lineRule="exact"/>
        <w:rPr>
          <w:sz w:val="20"/>
          <w:szCs w:val="20"/>
          <w:color w:val="auto"/>
        </w:rPr>
      </w:pPr>
    </w:p>
    <w:p>
      <w:pPr>
        <w:ind w:right="200" w:firstLine="648"/>
        <w:spacing w:after="0" w:line="236" w:lineRule="auto"/>
        <w:rPr>
          <w:sz w:val="20"/>
          <w:szCs w:val="20"/>
          <w:color w:val="auto"/>
        </w:rPr>
      </w:pPr>
      <w:r>
        <w:rPr>
          <w:rFonts w:ascii="Arial" w:cs="Arial" w:eastAsia="Arial" w:hAnsi="Arial"/>
          <w:sz w:val="18"/>
          <w:szCs w:val="18"/>
          <w:color w:val="auto"/>
        </w:rPr>
        <w:t>We are largely self-insured for some employee and business risks, including health care and workers’ compensation programs in the United States. Losses under all of these programs are accrued based upon estimates of the ultimate liability for claims reported and an estimate of claims incurred but not reported, with assistance from third-party actuaries and service providers. However, these liabilities are difficult to assess and estimate due to unknown factors, including the severity of an illness or injury and the number of incidents not reported. The accruals are based upon known facts and historical trends, and management believes such accruals to be adequate. The Company also maintains stop-loss insurance policies to protect against catastrophic claims above certain limits. If actual results significantly differ from estimates, our financial condition, results of operations, and cash flows could be materially impacted by losses under these programs, as well as higher stop-loss premiums in future periods.</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8" w:name="page19"/>
    <w:bookmarkEnd w:id="18"/>
    <w:p>
      <w:pPr>
        <w:ind w:right="80"/>
        <w:spacing w:after="0" w:line="270" w:lineRule="auto"/>
        <w:rPr>
          <w:sz w:val="20"/>
          <w:szCs w:val="20"/>
          <w:color w:val="auto"/>
        </w:rPr>
      </w:pPr>
      <w:r>
        <w:rPr>
          <w:rFonts w:ascii="Arial" w:cs="Arial" w:eastAsia="Arial" w:hAnsi="Arial"/>
          <w:sz w:val="18"/>
          <w:szCs w:val="18"/>
          <w:b w:val="1"/>
          <w:bCs w:val="1"/>
          <w:i w:val="1"/>
          <w:iCs w:val="1"/>
          <w:color w:val="auto"/>
        </w:rPr>
        <w:t>Changes in or interpretations of tax rules, structures, country profitability mix, and regulations may adversely affect our effective tax rate</w:t>
      </w:r>
    </w:p>
    <w:p>
      <w:pPr>
        <w:spacing w:after="0" w:line="136" w:lineRule="exact"/>
        <w:rPr>
          <w:sz w:val="20"/>
          <w:szCs w:val="20"/>
          <w:color w:val="auto"/>
        </w:rPr>
      </w:pPr>
    </w:p>
    <w:p>
      <w:pPr>
        <w:ind w:right="260" w:firstLine="648"/>
        <w:spacing w:after="0" w:line="238" w:lineRule="auto"/>
        <w:rPr>
          <w:sz w:val="20"/>
          <w:szCs w:val="20"/>
          <w:color w:val="auto"/>
        </w:rPr>
      </w:pPr>
      <w:r>
        <w:rPr>
          <w:rFonts w:ascii="Arial" w:cs="Arial" w:eastAsia="Arial" w:hAnsi="Arial"/>
          <w:sz w:val="18"/>
          <w:szCs w:val="18"/>
          <w:color w:val="auto"/>
        </w:rPr>
        <w:t>We are a United States-based multinational company subject to tax in the United States and foreign tax jurisdictions. Unanticipated changes in tax rates, or tax policies in the countries in which we operate, could affect our future results of operations. Our future effective tax rate could be unfavorably affected by changes in or interpretation of tax rules and regulations in the jurisdictions in which we do business, by structural changes in the Company’s businesses, by unanticipated decreases in the amount of revenue or earnings in countries with low statutory tax rates, or by changes in the valuation of our deferred tax assets and liabilities.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has substantial deferred tax assets that could become impaired and result in a charge to earnings</w:t>
      </w:r>
    </w:p>
    <w:p>
      <w:pPr>
        <w:spacing w:after="0" w:line="193" w:lineRule="exact"/>
        <w:rPr>
          <w:sz w:val="20"/>
          <w:szCs w:val="20"/>
          <w:color w:val="auto"/>
        </w:rPr>
      </w:pPr>
    </w:p>
    <w:p>
      <w:pPr>
        <w:ind w:right="280" w:firstLine="648"/>
        <w:spacing w:after="0" w:line="238" w:lineRule="auto"/>
        <w:rPr>
          <w:sz w:val="20"/>
          <w:szCs w:val="20"/>
          <w:color w:val="auto"/>
        </w:rPr>
      </w:pPr>
      <w:r>
        <w:rPr>
          <w:rFonts w:ascii="Arial" w:cs="Arial" w:eastAsia="Arial" w:hAnsi="Arial"/>
          <w:sz w:val="18"/>
          <w:szCs w:val="18"/>
          <w:color w:val="auto"/>
        </w:rPr>
        <w:t>The Company has substantial deferred tax assets in several tax jurisdictions, including the U.S. Realization of deferred tax assets is dependent upon many factors, including generation of future taxable income in specific countries. (See Note 7 to the Consolidated Financial Statements in Item 8, which is incorporated herein by reference, for a discussion of this matter.) Lower than expected operating results, organizational changes, or changes in tax laws could result in those deferred tax assets becoming impaired, thus resulting in a charge to earnings.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adversely affected by adverse outcomes of pending or future tax audits</w:t>
      </w:r>
    </w:p>
    <w:p>
      <w:pPr>
        <w:spacing w:after="0" w:line="207" w:lineRule="exact"/>
        <w:rPr>
          <w:sz w:val="20"/>
          <w:szCs w:val="20"/>
          <w:color w:val="auto"/>
        </w:rPr>
      </w:pPr>
    </w:p>
    <w:p>
      <w:pPr>
        <w:ind w:right="240" w:firstLine="648"/>
        <w:spacing w:after="0"/>
        <w:rPr>
          <w:sz w:val="20"/>
          <w:szCs w:val="20"/>
          <w:color w:val="auto"/>
        </w:rPr>
      </w:pPr>
      <w:r>
        <w:rPr>
          <w:rFonts w:ascii="Arial" w:cs="Arial" w:eastAsia="Arial" w:hAnsi="Arial"/>
          <w:sz w:val="18"/>
          <w:szCs w:val="18"/>
          <w:color w:val="auto"/>
        </w:rPr>
        <w:t>The Company is currently under audit in certain jurisdictions and could be audited in other jurisdictions in the future. While the Company believes its tax filings to be correct, a final adverse outcome with respect to pending or future audits could have a material adverse impact on the Company’s results in any period in which it occurs.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insurance coverage may be inadequate to cover other significant risk exposures</w:t>
      </w:r>
    </w:p>
    <w:p>
      <w:pPr>
        <w:spacing w:after="0" w:line="193"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In addition to asbestos-related claims, the Company may be exposed to other liabilities related to the products and services we provide. AEC is engaged in designing, developing, and manufacturing components for commercial jet aircraft and defense and technology systems and products. We expect this portion of the business to grow in future periods. Although we maintain insurance for the risks associated with this business, there can be no assurance that the amount of our insurance coverage will be adequate to cover all claims or liabilities. In addition, there can be no assurance that insurance coverage will continue to be available to us in the future at a cost that is acceptable. Any material liability not covered by insurance could have a material adverse effect on our business, financial condition, and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has significant manufacturing operations outside of the U.S., which could involve many uncertainties</w:t>
      </w:r>
    </w:p>
    <w:p>
      <w:pPr>
        <w:spacing w:after="0" w:line="193" w:lineRule="exact"/>
        <w:rPr>
          <w:sz w:val="20"/>
          <w:szCs w:val="20"/>
          <w:color w:val="auto"/>
        </w:rPr>
      </w:pPr>
    </w:p>
    <w:p>
      <w:pPr>
        <w:ind w:right="40" w:firstLine="648"/>
        <w:spacing w:after="0" w:line="236" w:lineRule="auto"/>
        <w:rPr>
          <w:sz w:val="20"/>
          <w:szCs w:val="20"/>
          <w:color w:val="auto"/>
        </w:rPr>
      </w:pPr>
      <w:r>
        <w:rPr>
          <w:rFonts w:ascii="Arial" w:cs="Arial" w:eastAsia="Arial" w:hAnsi="Arial"/>
          <w:sz w:val="18"/>
          <w:szCs w:val="18"/>
          <w:color w:val="auto"/>
        </w:rPr>
        <w:t>We currently have manufacturing facilities outside the U.S. In 2016, 49% of consolidated net sales were generated by our non-U.S. subsidiaries. Operations outside of the U.S. are subject to a number of risks and uncertainties, including: governments may impose limitations on our ability to repatriate funds; governments may impose withholding or other taxes on remittances and other payments from our non-U.S. operations, or the amount of any such taxes may increase; an outbreak or escalation of any insurrection or armed conflict may occur; governments may seek to nationalize our assets; or governments may impose or increase investment barriers or other restrictions affecting our business. In addition, emerging markets pose other uncertainties, including the protection of our intellectual property, pressure on the pricing of our products, and risks of political instability. The occurrence of any of these conditions could disrupt our business or prevent us from conducting business in particular countries or regions of the world.</w:t>
      </w:r>
    </w:p>
    <w:p>
      <w:pPr>
        <w:spacing w:after="0" w:line="168" w:lineRule="exact"/>
        <w:rPr>
          <w:sz w:val="20"/>
          <w:szCs w:val="20"/>
          <w:color w:val="auto"/>
        </w:rPr>
      </w:pPr>
    </w:p>
    <w:p>
      <w:pPr>
        <w:ind w:right="700" w:firstLine="648"/>
        <w:spacing w:after="0" w:line="246" w:lineRule="auto"/>
        <w:rPr>
          <w:sz w:val="20"/>
          <w:szCs w:val="20"/>
          <w:color w:val="auto"/>
        </w:rPr>
      </w:pPr>
      <w:r>
        <w:rPr>
          <w:rFonts w:ascii="Arial" w:cs="Arial" w:eastAsia="Arial" w:hAnsi="Arial"/>
          <w:sz w:val="18"/>
          <w:szCs w:val="18"/>
          <w:color w:val="auto"/>
        </w:rPr>
        <w:t>We have significant manufacturing operations in Mexico, Canada and China. Changes in U.S. trade policy with these countries (including the North American Free Trade Agreement, or NAFTA), or other changes in</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 w:name="page20"/>
    <w:bookmarkEnd w:id="19"/>
    <w:p>
      <w:pPr>
        <w:ind w:right="340"/>
        <w:spacing w:after="0" w:line="245" w:lineRule="auto"/>
        <w:rPr>
          <w:sz w:val="20"/>
          <w:szCs w:val="20"/>
          <w:color w:val="auto"/>
        </w:rPr>
      </w:pPr>
      <w:r>
        <w:rPr>
          <w:rFonts w:ascii="Arial" w:cs="Arial" w:eastAsia="Arial" w:hAnsi="Arial"/>
          <w:sz w:val="18"/>
          <w:szCs w:val="18"/>
          <w:color w:val="auto"/>
        </w:rPr>
        <w:t>U.S. laws and policies governing foreign trade, as well as any responsive or retaliatory changes in regulations or policies by such countries, could have an adverse impact on our business.</w:t>
      </w:r>
    </w:p>
    <w:p>
      <w:pPr>
        <w:spacing w:after="0" w:line="157" w:lineRule="exact"/>
        <w:rPr>
          <w:sz w:val="20"/>
          <w:szCs w:val="20"/>
          <w:color w:val="auto"/>
        </w:rPr>
      </w:pPr>
    </w:p>
    <w:p>
      <w:pPr>
        <w:ind w:right="60" w:firstLine="648"/>
        <w:spacing w:after="0"/>
        <w:rPr>
          <w:sz w:val="20"/>
          <w:szCs w:val="20"/>
          <w:color w:val="auto"/>
        </w:rPr>
      </w:pPr>
      <w:r>
        <w:rPr>
          <w:rFonts w:ascii="Arial" w:cs="Arial" w:eastAsia="Arial" w:hAnsi="Arial"/>
          <w:sz w:val="18"/>
          <w:szCs w:val="18"/>
          <w:color w:val="auto"/>
        </w:rPr>
        <w:t>Our global presence subjects us to certain risks, including controls on foreign exchange and the repatriation of funds. While we have been able to repatriate current earnings in excess of working capital requirements from certain countries in which we operate without substantial governmental restrictions, there can be no assurance that we will be able to cost effectively repatriate foreign earnings in the future.</w:t>
      </w:r>
    </w:p>
    <w:p>
      <w:pPr>
        <w:spacing w:after="0" w:line="154"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b w:val="1"/>
          <w:bCs w:val="1"/>
          <w:i w:val="1"/>
          <w:iCs w:val="1"/>
          <w:color w:val="auto"/>
        </w:rPr>
        <w:t>The Company is subject to laws and regulations worldwide, changes to which could increase our costs and have a material adverse effect on our financial condition or results of operations</w:t>
      </w:r>
    </w:p>
    <w:p>
      <w:pPr>
        <w:spacing w:after="0" w:line="135" w:lineRule="exact"/>
        <w:rPr>
          <w:sz w:val="20"/>
          <w:szCs w:val="20"/>
          <w:color w:val="auto"/>
        </w:rPr>
      </w:pPr>
    </w:p>
    <w:p>
      <w:pPr>
        <w:ind w:right="260" w:firstLine="648"/>
        <w:spacing w:after="0"/>
        <w:rPr>
          <w:sz w:val="20"/>
          <w:szCs w:val="20"/>
          <w:color w:val="auto"/>
        </w:rPr>
      </w:pPr>
      <w:r>
        <w:rPr>
          <w:rFonts w:ascii="Arial" w:cs="Arial" w:eastAsia="Arial" w:hAnsi="Arial"/>
          <w:sz w:val="18"/>
          <w:szCs w:val="18"/>
          <w:color w:val="auto"/>
        </w:rPr>
        <w:t>The Company is subject to laws and regulations relating to employment practices and benefits, taxes, import and export matters, corruption, foreign-exchange controls, competition, workplace health and safety, intellectual property, health-care, the environment and other areas. These laws and regulations have a significant impact on our domestic and international operations.</w:t>
      </w:r>
    </w:p>
    <w:p>
      <w:pPr>
        <w:spacing w:after="0" w:line="162" w:lineRule="exact"/>
        <w:rPr>
          <w:sz w:val="20"/>
          <w:szCs w:val="20"/>
          <w:color w:val="auto"/>
        </w:rPr>
      </w:pPr>
    </w:p>
    <w:p>
      <w:pPr>
        <w:jc w:val="both"/>
        <w:ind w:right="100" w:firstLine="648"/>
        <w:spacing w:after="0"/>
        <w:rPr>
          <w:sz w:val="20"/>
          <w:szCs w:val="20"/>
          <w:color w:val="auto"/>
        </w:rPr>
      </w:pPr>
      <w:r>
        <w:rPr>
          <w:rFonts w:ascii="Arial" w:cs="Arial" w:eastAsia="Arial" w:hAnsi="Arial"/>
          <w:sz w:val="18"/>
          <w:szCs w:val="18"/>
          <w:color w:val="auto"/>
        </w:rPr>
        <w:t>We incur significant expenses to comply with laws and regulations. Changes or additions to laws and regulations could increase these expenses, which could have an adverse impact on our financial condition and results of operations. Such changes could also have an adverse impact on our customers and suppliers, which in turn could adversely impact the Company.</w:t>
      </w:r>
    </w:p>
    <w:p>
      <w:pPr>
        <w:spacing w:after="0" w:line="176"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While we have implemented policies and training programs designed to ensure compliance, there can be no assurance that our employees or agents will not violate such laws, regulations or policies, which could have a material adverse impact on our financial condition or results of operations.</w:t>
      </w:r>
    </w:p>
    <w:p>
      <w:pPr>
        <w:spacing w:after="0" w:line="140" w:lineRule="exact"/>
        <w:rPr>
          <w:sz w:val="20"/>
          <w:szCs w:val="20"/>
          <w:color w:val="auto"/>
        </w:rPr>
      </w:pPr>
    </w:p>
    <w:p>
      <w:pPr>
        <w:ind w:right="700"/>
        <w:spacing w:after="0" w:line="271" w:lineRule="auto"/>
        <w:rPr>
          <w:sz w:val="20"/>
          <w:szCs w:val="20"/>
          <w:color w:val="auto"/>
        </w:rPr>
      </w:pPr>
      <w:r>
        <w:rPr>
          <w:rFonts w:ascii="Arial" w:cs="Arial" w:eastAsia="Arial" w:hAnsi="Arial"/>
          <w:sz w:val="18"/>
          <w:szCs w:val="18"/>
          <w:b w:val="1"/>
          <w:bCs w:val="1"/>
          <w:i w:val="1"/>
          <w:iCs w:val="1"/>
          <w:color w:val="auto"/>
        </w:rPr>
        <w:t>We have identified material weaknesses in our internal control over financial reporting, that, if not properly remediated, could adversely affect our business and results of operations</w:t>
      </w:r>
    </w:p>
    <w:p>
      <w:pPr>
        <w:spacing w:after="0" w:line="135"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the company’s annual or interim consolidated financial statements will not be prevented or detected on a timely basis. As described in “Item 9A. -Controls and Procedures,” we have concluded that our internal control over financial reporting was ineffective as of December 31, 2016 due to material weaknesses we identified in the fourth quarter of 2016 and described in Item 9A. As the result of these weaknesses, a third-party provider of services to the Company’s subsidiary in Japan was able unilaterally to effect disbursements to himself from such subsidiary’s bank accounts, while misrepresenting the nature of such disbursements in the Company’s books and records. This third-party was also responsible for preparing financial statements and reports for the Japan subsidiary. These disbursements occurred during the period from January 1, 2014 through December 31, 2016, with most of the disbursements occurring during the fourth quarter of 2016 as the relationship with the agent was in the process of being terminated. In addition, the Company did not have effective management review controls over the assessment of a potential reserve for a loss contract due to a failure to understand and document the design requirements and operation of an effective management review control.</w:t>
      </w:r>
    </w:p>
    <w:p>
      <w:pPr>
        <w:spacing w:after="0" w:line="179" w:lineRule="exact"/>
        <w:rPr>
          <w:sz w:val="20"/>
          <w:szCs w:val="20"/>
          <w:color w:val="auto"/>
        </w:rPr>
      </w:pPr>
    </w:p>
    <w:p>
      <w:pPr>
        <w:ind w:right="240" w:firstLine="648"/>
        <w:spacing w:after="0" w:line="246" w:lineRule="auto"/>
        <w:rPr>
          <w:sz w:val="20"/>
          <w:szCs w:val="20"/>
          <w:color w:val="auto"/>
        </w:rPr>
      </w:pPr>
      <w:r>
        <w:rPr>
          <w:rFonts w:ascii="Arial" w:cs="Arial" w:eastAsia="Arial" w:hAnsi="Arial"/>
          <w:sz w:val="18"/>
          <w:szCs w:val="18"/>
          <w:color w:val="auto"/>
        </w:rPr>
        <w:t>These material weaknesses did not result in any material misstatements of our consolidated financial statements and disclosures for any annual or interim period.</w:t>
      </w:r>
    </w:p>
    <w:p>
      <w:pPr>
        <w:spacing w:after="0" w:line="156" w:lineRule="exact"/>
        <w:rPr>
          <w:sz w:val="20"/>
          <w:szCs w:val="20"/>
          <w:color w:val="auto"/>
        </w:rPr>
      </w:pPr>
    </w:p>
    <w:p>
      <w:pPr>
        <w:ind w:right="120" w:firstLine="648"/>
        <w:spacing w:after="0" w:line="239" w:lineRule="auto"/>
        <w:rPr>
          <w:sz w:val="20"/>
          <w:szCs w:val="20"/>
          <w:color w:val="auto"/>
        </w:rPr>
      </w:pPr>
      <w:r>
        <w:rPr>
          <w:rFonts w:ascii="Arial" w:cs="Arial" w:eastAsia="Arial" w:hAnsi="Arial"/>
          <w:sz w:val="18"/>
          <w:szCs w:val="18"/>
          <w:color w:val="auto"/>
        </w:rPr>
        <w:t>As further described in Item 9A, we have initiated comprehensive remediation efforts to ensure that the deficiencies that contributed to these material weaknesses are remediated such that these controls will operate effectively. The material weaknesses will not be considered remediated until the remediated controls operate for a sufficient period of time and management has concluded, through testing, that these controls are operating effectively.</w:t>
      </w:r>
    </w:p>
    <w:p>
      <w:pPr>
        <w:spacing w:after="0" w:line="161"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While we believe that such efforts will effectively remediate the reported material weaknesses, the failure of such efforts to remediate the weakness, or the failure of such changes to remain effective in the future, could have a material adverse impact on our ability to ensure that our financial statements are free of material misstatement, which could have a material adverse impact on the Company.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4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07"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Our principal manufacturing facilities are located in Brazil, Canada, China, France, Italy, Mexico, South Korea, Sweden, the United Kingdom, and the United States. The aggregate square footage of our operating facilities in the United States and Canada is approximately 2.6 million square feet, of which 1.5 million square feet are owned and 1.1 million square feet are leased. Our facilities located outside the United States and Canada comprise approximately 2.6 million square feet, of which 2.4 million square feet are owned and 0.2 million square feet are leased. We consider these facilities to be in good condition and suitable for our purpose. The capacity associated with these facilities is adequate to meet production levels required and anticipated through 2017.</w:t>
      </w:r>
    </w:p>
    <w:p>
      <w:pPr>
        <w:spacing w:after="0" w:line="14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193" w:lineRule="exact"/>
        <w:rPr>
          <w:sz w:val="20"/>
          <w:szCs w:val="20"/>
          <w:color w:val="auto"/>
        </w:rPr>
      </w:pPr>
    </w:p>
    <w:p>
      <w:pPr>
        <w:ind w:left="660" w:right="20" w:firstLine="648"/>
        <w:spacing w:after="0" w:line="246" w:lineRule="auto"/>
        <w:rPr>
          <w:sz w:val="20"/>
          <w:szCs w:val="20"/>
          <w:color w:val="auto"/>
        </w:rPr>
      </w:pPr>
      <w:r>
        <w:rPr>
          <w:rFonts w:ascii="Arial" w:cs="Arial" w:eastAsia="Arial" w:hAnsi="Arial"/>
          <w:sz w:val="18"/>
          <w:szCs w:val="18"/>
          <w:color w:val="auto"/>
        </w:rPr>
        <w:t>The information set forth above under Note 17 to the Consolidated Financial Statements in Item 8, which is incorporated herein by reference.</w:t>
      </w:r>
    </w:p>
    <w:p>
      <w:pPr>
        <w:spacing w:after="0" w:line="17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420"/>
          </w:cols>
          <w:pgMar w:left="240" w:top="140" w:right="239" w:bottom="1440" w:gutter="0" w:footer="0" w:header="0"/>
        </w:sectPr>
      </w:pPr>
    </w:p>
    <w:p>
      <w:pPr>
        <w:spacing w:after="0" w:line="212" w:lineRule="exact"/>
        <w:rPr>
          <w:sz w:val="20"/>
          <w:szCs w:val="20"/>
          <w:color w:val="auto"/>
        </w:rPr>
      </w:pPr>
    </w:p>
    <w:p>
      <w:pPr>
        <w:ind w:left="1122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type w:val="continuous"/>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PART II</w:t>
      </w:r>
    </w:p>
    <w:p>
      <w:pPr>
        <w:spacing w:after="0" w:line="170" w:lineRule="exact"/>
        <w:rPr>
          <w:sz w:val="20"/>
          <w:szCs w:val="20"/>
          <w:color w:val="auto"/>
        </w:rPr>
      </w:pPr>
    </w:p>
    <w:p>
      <w:pPr>
        <w:ind w:left="820" w:right="40" w:hanging="809"/>
        <w:spacing w:after="0" w:line="271" w:lineRule="auto"/>
        <w:tabs>
          <w:tab w:leader="none" w:pos="800" w:val="left"/>
        </w:tabs>
        <w:rPr>
          <w:sz w:val="20"/>
          <w:szCs w:val="20"/>
          <w:color w:val="auto"/>
        </w:rPr>
      </w:pPr>
      <w:r>
        <w:rPr>
          <w:rFonts w:ascii="Arial" w:cs="Arial" w:eastAsia="Arial" w:hAnsi="Arial"/>
          <w:sz w:val="18"/>
          <w:szCs w:val="18"/>
          <w:b w:val="1"/>
          <w:bCs w:val="1"/>
          <w:color w:val="auto"/>
        </w:rPr>
        <w:t>Item 5.</w:t>
        <w:tab/>
        <w:t>MARKET FOR THE REGISTRANT’S COMMON EQUITY, RELATED STOCKHOLDER MATTERS, AND ISSUER PURCHASES OF EQUITY SECURITIES</w:t>
      </w:r>
    </w:p>
    <w:p>
      <w:pPr>
        <w:spacing w:after="0" w:line="122" w:lineRule="exact"/>
        <w:rPr>
          <w:sz w:val="20"/>
          <w:szCs w:val="20"/>
          <w:color w:val="auto"/>
        </w:rPr>
      </w:pPr>
    </w:p>
    <w:p>
      <w:pPr>
        <w:ind w:right="180" w:firstLine="648"/>
        <w:spacing w:after="0" w:line="237" w:lineRule="auto"/>
        <w:rPr>
          <w:sz w:val="20"/>
          <w:szCs w:val="20"/>
          <w:color w:val="auto"/>
        </w:rPr>
      </w:pPr>
      <w:r>
        <w:rPr>
          <w:rFonts w:ascii="Arial" w:cs="Arial" w:eastAsia="Arial" w:hAnsi="Arial"/>
          <w:sz w:val="18"/>
          <w:szCs w:val="18"/>
          <w:color w:val="auto"/>
        </w:rPr>
        <w:t>We have two classes of Common Stock, Class A Common Stock and Class B Common Stock, each with a par value of $0.001 and equal liquidation rights. Our Class A Common Stock is principally traded on the New York Stock Exchange under the symbol AIN. As of December 31, 2016, we estimate that there were 7,500 beneficial owners of our Class A Common Stock, including employees owning shares through our 401(k) defined contribution plan. Our Class B Common Stock does not trade publicly. As of December 31, 2016, there were 6 holders of Class B Common Stock. Dividends are paid equally on shares of each class. Our cash dividends, and the high and low prices per share of our Class A Common Stock, were as follows for the periods presented: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7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Quarter Ended</w:t>
            </w:r>
          </w:p>
        </w:tc>
        <w:tc>
          <w:tcPr>
            <w:tcW w:w="25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March 31</w:t>
            </w:r>
          </w:p>
        </w:tc>
        <w:tc>
          <w:tcPr>
            <w:tcW w:w="16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June 30</w:t>
            </w:r>
          </w:p>
        </w:tc>
        <w:tc>
          <w:tcPr>
            <w:tcW w:w="1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September 30</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December 31</w:t>
            </w:r>
          </w:p>
        </w:tc>
      </w:tr>
      <w:tr>
        <w:trPr>
          <w:trHeight w:val="195"/>
        </w:trPr>
        <w:tc>
          <w:tcPr>
            <w:tcW w:w="3720" w:type="dxa"/>
            <w:vAlign w:val="bottom"/>
          </w:tcPr>
          <w:p>
            <w:pPr>
              <w:ind w:left="100"/>
              <w:spacing w:after="0" w:line="195" w:lineRule="exact"/>
              <w:rPr>
                <w:sz w:val="20"/>
                <w:szCs w:val="20"/>
                <w:color w:val="auto"/>
              </w:rPr>
            </w:pPr>
            <w:r>
              <w:rPr>
                <w:rFonts w:ascii="Arial" w:cs="Arial" w:eastAsia="Arial" w:hAnsi="Arial"/>
                <w:sz w:val="18"/>
                <w:szCs w:val="18"/>
                <w:b w:val="1"/>
                <w:bCs w:val="1"/>
                <w:color w:val="auto"/>
              </w:rPr>
              <w:t>2016</w:t>
            </w:r>
          </w:p>
        </w:tc>
        <w:tc>
          <w:tcPr>
            <w:tcW w:w="25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03"/>
        </w:trPr>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Cash dividends per share</w:t>
            </w:r>
          </w:p>
        </w:tc>
        <w:tc>
          <w:tcPr>
            <w:tcW w:w="2500" w:type="dxa"/>
            <w:vAlign w:val="bottom"/>
          </w:tcPr>
          <w:p>
            <w:pPr>
              <w:jc w:val="right"/>
              <w:ind w:right="510"/>
              <w:spacing w:after="0" w:line="202" w:lineRule="exact"/>
              <w:rPr>
                <w:sz w:val="20"/>
                <w:szCs w:val="20"/>
                <w:color w:val="auto"/>
              </w:rPr>
            </w:pPr>
            <w:r>
              <w:rPr>
                <w:rFonts w:ascii="Arial" w:cs="Arial" w:eastAsia="Arial" w:hAnsi="Arial"/>
                <w:sz w:val="18"/>
                <w:szCs w:val="18"/>
                <w:color w:val="auto"/>
              </w:rPr>
              <w:t>$0.17</w:t>
            </w:r>
          </w:p>
        </w:tc>
        <w:tc>
          <w:tcPr>
            <w:tcW w:w="168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$0.17</w:t>
            </w:r>
          </w:p>
        </w:tc>
        <w:tc>
          <w:tcPr>
            <w:tcW w:w="198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$0.17</w:t>
            </w:r>
          </w:p>
        </w:tc>
        <w:tc>
          <w:tcPr>
            <w:tcW w:w="15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$0.17</w:t>
            </w:r>
          </w:p>
        </w:tc>
      </w:tr>
      <w:tr>
        <w:trPr>
          <w:trHeight w:val="203"/>
        </w:trPr>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Class A Common Stock prices:</w:t>
            </w:r>
          </w:p>
        </w:tc>
        <w:tc>
          <w:tcPr>
            <w:tcW w:w="25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3720" w:type="dxa"/>
            <w:vAlign w:val="bottom"/>
          </w:tcPr>
          <w:p>
            <w:pPr>
              <w:ind w:left="300"/>
              <w:spacing w:after="0" w:line="202" w:lineRule="exact"/>
              <w:rPr>
                <w:sz w:val="20"/>
                <w:szCs w:val="20"/>
                <w:color w:val="auto"/>
              </w:rPr>
            </w:pPr>
            <w:r>
              <w:rPr>
                <w:rFonts w:ascii="Arial" w:cs="Arial" w:eastAsia="Arial" w:hAnsi="Arial"/>
                <w:sz w:val="18"/>
                <w:szCs w:val="18"/>
                <w:color w:val="auto"/>
              </w:rPr>
              <w:t>High</w:t>
            </w:r>
          </w:p>
        </w:tc>
        <w:tc>
          <w:tcPr>
            <w:tcW w:w="2500" w:type="dxa"/>
            <w:vAlign w:val="bottom"/>
          </w:tcPr>
          <w:p>
            <w:pPr>
              <w:jc w:val="right"/>
              <w:ind w:right="510"/>
              <w:spacing w:after="0" w:line="202" w:lineRule="exact"/>
              <w:rPr>
                <w:sz w:val="20"/>
                <w:szCs w:val="20"/>
                <w:color w:val="auto"/>
              </w:rPr>
            </w:pPr>
            <w:r>
              <w:rPr>
                <w:rFonts w:ascii="Arial" w:cs="Arial" w:eastAsia="Arial" w:hAnsi="Arial"/>
                <w:sz w:val="18"/>
                <w:szCs w:val="18"/>
                <w:color w:val="auto"/>
              </w:rPr>
              <w:t>$38.21</w:t>
            </w:r>
          </w:p>
        </w:tc>
        <w:tc>
          <w:tcPr>
            <w:tcW w:w="168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$41.31</w:t>
            </w:r>
          </w:p>
        </w:tc>
        <w:tc>
          <w:tcPr>
            <w:tcW w:w="198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$43.78</w:t>
            </w:r>
          </w:p>
        </w:tc>
        <w:tc>
          <w:tcPr>
            <w:tcW w:w="15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$49.25</w:t>
            </w:r>
          </w:p>
        </w:tc>
      </w:tr>
      <w:tr>
        <w:trPr>
          <w:trHeight w:val="217"/>
        </w:trPr>
        <w:tc>
          <w:tcPr>
            <w:tcW w:w="3720" w:type="dxa"/>
            <w:vAlign w:val="bottom"/>
          </w:tcPr>
          <w:p>
            <w:pPr>
              <w:ind w:left="300"/>
              <w:spacing w:after="0"/>
              <w:rPr>
                <w:sz w:val="20"/>
                <w:szCs w:val="20"/>
                <w:color w:val="auto"/>
              </w:rPr>
            </w:pPr>
            <w:r>
              <w:rPr>
                <w:rFonts w:ascii="Arial" w:cs="Arial" w:eastAsia="Arial" w:hAnsi="Arial"/>
                <w:sz w:val="18"/>
                <w:szCs w:val="18"/>
                <w:color w:val="auto"/>
              </w:rPr>
              <w:t>Low</w:t>
            </w:r>
          </w:p>
        </w:tc>
        <w:tc>
          <w:tcPr>
            <w:tcW w:w="2500" w:type="dxa"/>
            <w:vAlign w:val="bottom"/>
          </w:tcPr>
          <w:p>
            <w:pPr>
              <w:jc w:val="right"/>
              <w:ind w:right="510"/>
              <w:spacing w:after="0"/>
              <w:rPr>
                <w:sz w:val="20"/>
                <w:szCs w:val="20"/>
                <w:color w:val="auto"/>
              </w:rPr>
            </w:pPr>
            <w:r>
              <w:rPr>
                <w:rFonts w:ascii="Arial" w:cs="Arial" w:eastAsia="Arial" w:hAnsi="Arial"/>
                <w:sz w:val="18"/>
                <w:szCs w:val="18"/>
                <w:color w:val="auto"/>
              </w:rPr>
              <w:t>$31.43</w:t>
            </w:r>
          </w:p>
        </w:tc>
        <w:tc>
          <w:tcPr>
            <w:tcW w:w="1680" w:type="dxa"/>
            <w:vAlign w:val="bottom"/>
          </w:tcPr>
          <w:p>
            <w:pPr>
              <w:jc w:val="right"/>
              <w:ind w:right="370"/>
              <w:spacing w:after="0"/>
              <w:rPr>
                <w:sz w:val="20"/>
                <w:szCs w:val="20"/>
                <w:color w:val="auto"/>
              </w:rPr>
            </w:pPr>
            <w:r>
              <w:rPr>
                <w:rFonts w:ascii="Arial" w:cs="Arial" w:eastAsia="Arial" w:hAnsi="Arial"/>
                <w:sz w:val="18"/>
                <w:szCs w:val="18"/>
                <w:color w:val="auto"/>
              </w:rPr>
              <w:t>$37.27</w:t>
            </w:r>
          </w:p>
        </w:tc>
        <w:tc>
          <w:tcPr>
            <w:tcW w:w="1980" w:type="dxa"/>
            <w:vAlign w:val="bottom"/>
          </w:tcPr>
          <w:p>
            <w:pPr>
              <w:jc w:val="right"/>
              <w:ind w:right="290"/>
              <w:spacing w:after="0"/>
              <w:rPr>
                <w:sz w:val="20"/>
                <w:szCs w:val="20"/>
                <w:color w:val="auto"/>
              </w:rPr>
            </w:pPr>
            <w:r>
              <w:rPr>
                <w:rFonts w:ascii="Arial" w:cs="Arial" w:eastAsia="Arial" w:hAnsi="Arial"/>
                <w:sz w:val="18"/>
                <w:szCs w:val="18"/>
                <w:color w:val="auto"/>
              </w:rPr>
              <w:t>$38.92</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$38.65</w:t>
            </w:r>
          </w:p>
        </w:tc>
      </w:tr>
      <w:tr>
        <w:trPr>
          <w:trHeight w:val="189"/>
        </w:trPr>
        <w:tc>
          <w:tcPr>
            <w:tcW w:w="37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r>
      <w:tr>
        <w:trPr>
          <w:trHeight w:val="195"/>
        </w:trPr>
        <w:tc>
          <w:tcPr>
            <w:tcW w:w="3720" w:type="dxa"/>
            <w:vAlign w:val="bottom"/>
          </w:tcPr>
          <w:p>
            <w:pPr>
              <w:ind w:left="100"/>
              <w:spacing w:after="0" w:line="195" w:lineRule="exact"/>
              <w:rPr>
                <w:sz w:val="20"/>
                <w:szCs w:val="20"/>
                <w:color w:val="auto"/>
              </w:rPr>
            </w:pPr>
            <w:r>
              <w:rPr>
                <w:rFonts w:ascii="Arial" w:cs="Arial" w:eastAsia="Arial" w:hAnsi="Arial"/>
                <w:sz w:val="18"/>
                <w:szCs w:val="18"/>
                <w:b w:val="1"/>
                <w:bCs w:val="1"/>
                <w:color w:val="auto"/>
              </w:rPr>
              <w:t>2015</w:t>
            </w:r>
          </w:p>
        </w:tc>
        <w:tc>
          <w:tcPr>
            <w:tcW w:w="25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03"/>
        </w:trPr>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Cash dividends per share</w:t>
            </w:r>
          </w:p>
        </w:tc>
        <w:tc>
          <w:tcPr>
            <w:tcW w:w="2500" w:type="dxa"/>
            <w:vAlign w:val="bottom"/>
          </w:tcPr>
          <w:p>
            <w:pPr>
              <w:jc w:val="right"/>
              <w:ind w:right="510"/>
              <w:spacing w:after="0" w:line="202" w:lineRule="exact"/>
              <w:rPr>
                <w:sz w:val="20"/>
                <w:szCs w:val="20"/>
                <w:color w:val="auto"/>
              </w:rPr>
            </w:pPr>
            <w:r>
              <w:rPr>
                <w:rFonts w:ascii="Arial" w:cs="Arial" w:eastAsia="Arial" w:hAnsi="Arial"/>
                <w:sz w:val="18"/>
                <w:szCs w:val="18"/>
                <w:color w:val="auto"/>
              </w:rPr>
              <w:t>$0.16</w:t>
            </w:r>
          </w:p>
        </w:tc>
        <w:tc>
          <w:tcPr>
            <w:tcW w:w="168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$0.17</w:t>
            </w:r>
          </w:p>
        </w:tc>
        <w:tc>
          <w:tcPr>
            <w:tcW w:w="198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$0.17</w:t>
            </w:r>
          </w:p>
        </w:tc>
        <w:tc>
          <w:tcPr>
            <w:tcW w:w="15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$0.17</w:t>
            </w:r>
          </w:p>
        </w:tc>
      </w:tr>
      <w:tr>
        <w:trPr>
          <w:trHeight w:val="203"/>
        </w:trPr>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Class A Common Stock prices:</w:t>
            </w:r>
          </w:p>
        </w:tc>
        <w:tc>
          <w:tcPr>
            <w:tcW w:w="25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3720" w:type="dxa"/>
            <w:vAlign w:val="bottom"/>
          </w:tcPr>
          <w:p>
            <w:pPr>
              <w:ind w:left="300"/>
              <w:spacing w:after="0" w:line="202" w:lineRule="exact"/>
              <w:rPr>
                <w:sz w:val="20"/>
                <w:szCs w:val="20"/>
                <w:color w:val="auto"/>
              </w:rPr>
            </w:pPr>
            <w:r>
              <w:rPr>
                <w:rFonts w:ascii="Arial" w:cs="Arial" w:eastAsia="Arial" w:hAnsi="Arial"/>
                <w:sz w:val="18"/>
                <w:szCs w:val="18"/>
                <w:color w:val="auto"/>
              </w:rPr>
              <w:t>High</w:t>
            </w:r>
          </w:p>
        </w:tc>
        <w:tc>
          <w:tcPr>
            <w:tcW w:w="2500" w:type="dxa"/>
            <w:vAlign w:val="bottom"/>
          </w:tcPr>
          <w:p>
            <w:pPr>
              <w:jc w:val="right"/>
              <w:ind w:right="510"/>
              <w:spacing w:after="0" w:line="202" w:lineRule="exact"/>
              <w:rPr>
                <w:sz w:val="20"/>
                <w:szCs w:val="20"/>
                <w:color w:val="auto"/>
              </w:rPr>
            </w:pPr>
            <w:r>
              <w:rPr>
                <w:rFonts w:ascii="Arial" w:cs="Arial" w:eastAsia="Arial" w:hAnsi="Arial"/>
                <w:sz w:val="18"/>
                <w:szCs w:val="18"/>
                <w:color w:val="auto"/>
              </w:rPr>
              <w:t>$40.31</w:t>
            </w:r>
          </w:p>
        </w:tc>
        <w:tc>
          <w:tcPr>
            <w:tcW w:w="168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$41.15</w:t>
            </w:r>
          </w:p>
        </w:tc>
        <w:tc>
          <w:tcPr>
            <w:tcW w:w="198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$40.21</w:t>
            </w:r>
          </w:p>
        </w:tc>
        <w:tc>
          <w:tcPr>
            <w:tcW w:w="15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$39.25</w:t>
            </w:r>
          </w:p>
        </w:tc>
      </w:tr>
      <w:tr>
        <w:trPr>
          <w:trHeight w:val="217"/>
        </w:trPr>
        <w:tc>
          <w:tcPr>
            <w:tcW w:w="3720" w:type="dxa"/>
            <w:vAlign w:val="bottom"/>
          </w:tcPr>
          <w:p>
            <w:pPr>
              <w:ind w:left="300"/>
              <w:spacing w:after="0"/>
              <w:rPr>
                <w:sz w:val="20"/>
                <w:szCs w:val="20"/>
                <w:color w:val="auto"/>
              </w:rPr>
            </w:pPr>
            <w:r>
              <w:rPr>
                <w:rFonts w:ascii="Arial" w:cs="Arial" w:eastAsia="Arial" w:hAnsi="Arial"/>
                <w:sz w:val="18"/>
                <w:szCs w:val="18"/>
                <w:color w:val="auto"/>
              </w:rPr>
              <w:t>Low</w:t>
            </w:r>
          </w:p>
        </w:tc>
        <w:tc>
          <w:tcPr>
            <w:tcW w:w="2500" w:type="dxa"/>
            <w:vAlign w:val="bottom"/>
          </w:tcPr>
          <w:p>
            <w:pPr>
              <w:jc w:val="right"/>
              <w:ind w:right="510"/>
              <w:spacing w:after="0"/>
              <w:rPr>
                <w:sz w:val="20"/>
                <w:szCs w:val="20"/>
                <w:color w:val="auto"/>
              </w:rPr>
            </w:pPr>
            <w:r>
              <w:rPr>
                <w:rFonts w:ascii="Arial" w:cs="Arial" w:eastAsia="Arial" w:hAnsi="Arial"/>
                <w:sz w:val="18"/>
                <w:szCs w:val="18"/>
                <w:color w:val="auto"/>
              </w:rPr>
              <w:t>$34.13</w:t>
            </w:r>
          </w:p>
        </w:tc>
        <w:tc>
          <w:tcPr>
            <w:tcW w:w="1680" w:type="dxa"/>
            <w:vAlign w:val="bottom"/>
          </w:tcPr>
          <w:p>
            <w:pPr>
              <w:jc w:val="right"/>
              <w:ind w:right="370"/>
              <w:spacing w:after="0"/>
              <w:rPr>
                <w:sz w:val="20"/>
                <w:szCs w:val="20"/>
                <w:color w:val="auto"/>
              </w:rPr>
            </w:pPr>
            <w:r>
              <w:rPr>
                <w:rFonts w:ascii="Arial" w:cs="Arial" w:eastAsia="Arial" w:hAnsi="Arial"/>
                <w:sz w:val="18"/>
                <w:szCs w:val="18"/>
                <w:color w:val="auto"/>
              </w:rPr>
              <w:t>$39.15</w:t>
            </w:r>
          </w:p>
        </w:tc>
        <w:tc>
          <w:tcPr>
            <w:tcW w:w="1980" w:type="dxa"/>
            <w:vAlign w:val="bottom"/>
          </w:tcPr>
          <w:p>
            <w:pPr>
              <w:jc w:val="right"/>
              <w:ind w:right="290"/>
              <w:spacing w:after="0"/>
              <w:rPr>
                <w:sz w:val="20"/>
                <w:szCs w:val="20"/>
                <w:color w:val="auto"/>
              </w:rPr>
            </w:pPr>
            <w:r>
              <w:rPr>
                <w:rFonts w:ascii="Arial" w:cs="Arial" w:eastAsia="Arial" w:hAnsi="Arial"/>
                <w:sz w:val="18"/>
                <w:szCs w:val="18"/>
                <w:color w:val="auto"/>
              </w:rPr>
              <w:t>$28.28</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$28.19</w:t>
            </w:r>
          </w:p>
        </w:tc>
      </w:tr>
    </w:tbl>
    <w:p>
      <w:pPr>
        <w:spacing w:after="0" w:line="364" w:lineRule="exact"/>
        <w:rPr>
          <w:sz w:val="20"/>
          <w:szCs w:val="20"/>
          <w:color w:val="auto"/>
        </w:rPr>
      </w:pPr>
    </w:p>
    <w:p>
      <w:pPr>
        <w:ind w:right="80" w:firstLine="729"/>
        <w:spacing w:after="0" w:line="236" w:lineRule="auto"/>
        <w:rPr>
          <w:sz w:val="20"/>
          <w:szCs w:val="20"/>
          <w:color w:val="auto"/>
        </w:rPr>
      </w:pPr>
      <w:r>
        <w:rPr>
          <w:rFonts w:ascii="Arial" w:cs="Arial" w:eastAsia="Arial" w:hAnsi="Arial"/>
          <w:sz w:val="18"/>
          <w:szCs w:val="18"/>
          <w:color w:val="auto"/>
        </w:rPr>
        <w:t>The graph below matches the cumulative 5-Year total return of holders of Albany International Corp.'s common stock with the cumulative total returns of the S&amp;P 500 index, the Russell 2000 index, the Dow Jones US Paper index and a customized peer group of twenty seven companies that includes: Actuant Corp, Astronics Corp, Barnes Group Inc., Circor International Inc., Clarcor Inc., Curtiss-wright Corp, Ducommun Inc., Enpro Industries Inc., Esco Technologies Inc., Esterline Technologies Corp, Heico Corp, Hexcel Corp, Idex Corp, Kadant Inc., Keyw Holding Corp, National Presto Industries Inc., Neenah Paper Inc., Nordson Corp, Omnova Solutions Inc., P H Glatfelter Co, Raven Industries Inc., Rogers Corp, Schweitzer-Mauduit International Inc., Tredegar Corp, Trimas Corp, Watts Water Technologies Inc. and Xerium Technologies Inc. The graph assumes that the value of the investment in our common stock, in each index, and in the peer group (including reinvestment of dividends) was $100 on December 31, 2011 and tracks it through December 31, 2016.</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1212215</wp:posOffset>
            </wp:positionH>
            <wp:positionV relativeFrom="page">
              <wp:posOffset>88900</wp:posOffset>
            </wp:positionV>
            <wp:extent cx="5145405" cy="40474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5145405" cy="4047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*$100 invested on December 31, 2011 in stock or index, including reinvestment of dividends.</w:t>
      </w:r>
    </w:p>
    <w:p>
      <w:pPr>
        <w:ind w:left="1200"/>
        <w:spacing w:after="0"/>
        <w:rPr>
          <w:sz w:val="20"/>
          <w:szCs w:val="20"/>
          <w:color w:val="auto"/>
        </w:rPr>
      </w:pPr>
      <w:r>
        <w:rPr>
          <w:rFonts w:ascii="Arial" w:cs="Arial" w:eastAsia="Arial" w:hAnsi="Arial"/>
          <w:sz w:val="18"/>
          <w:szCs w:val="18"/>
          <w:color w:val="auto"/>
        </w:rPr>
        <w:t>Fiscal year ending December 31.</w:t>
      </w:r>
    </w:p>
    <w:p>
      <w:pPr>
        <w:spacing w:after="0" w:line="194"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Copyright© 2017 Standard &amp; Poor's, a division of S&amp;P Global. All rights reserved.</w:t>
      </w:r>
    </w:p>
    <w:p>
      <w:pPr>
        <w:ind w:left="1200"/>
        <w:spacing w:after="0" w:line="234" w:lineRule="auto"/>
        <w:rPr>
          <w:sz w:val="20"/>
          <w:szCs w:val="20"/>
          <w:color w:val="auto"/>
        </w:rPr>
      </w:pPr>
      <w:r>
        <w:rPr>
          <w:rFonts w:ascii="Arial" w:cs="Arial" w:eastAsia="Arial" w:hAnsi="Arial"/>
          <w:sz w:val="18"/>
          <w:szCs w:val="18"/>
          <w:color w:val="auto"/>
        </w:rPr>
        <w:t>Copyright© 2017 S&amp;P Dow Jones Indices LLC, a division of S&amp;P Global. All rights reserved.</w:t>
      </w:r>
    </w:p>
    <w:p>
      <w:pPr>
        <w:spacing w:after="0" w:line="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Copyright© 2017 Russell Investment Group. All rights reserved.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b w:val="1"/>
                <w:bCs w:val="1"/>
                <w:color w:val="auto"/>
              </w:rPr>
              <w:t>December 31,</w:t>
            </w:r>
          </w:p>
        </w:tc>
        <w:tc>
          <w:tcPr>
            <w:tcW w:w="22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11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2012</w:t>
            </w:r>
          </w:p>
        </w:tc>
        <w:tc>
          <w:tcPr>
            <w:tcW w:w="11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2013</w:t>
            </w:r>
          </w:p>
        </w:tc>
        <w:tc>
          <w:tcPr>
            <w:tcW w:w="11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2014</w:t>
            </w:r>
          </w:p>
        </w:tc>
        <w:tc>
          <w:tcPr>
            <w:tcW w:w="11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2015</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376"/>
        </w:trPr>
        <w:tc>
          <w:tcPr>
            <w:tcW w:w="3720" w:type="dxa"/>
            <w:vAlign w:val="bottom"/>
          </w:tcPr>
          <w:p>
            <w:pPr>
              <w:ind w:left="100"/>
              <w:spacing w:after="0"/>
              <w:rPr>
                <w:sz w:val="20"/>
                <w:szCs w:val="20"/>
                <w:color w:val="auto"/>
              </w:rPr>
            </w:pPr>
            <w:r>
              <w:rPr>
                <w:rFonts w:ascii="Arial" w:cs="Arial" w:eastAsia="Arial" w:hAnsi="Arial"/>
                <w:sz w:val="18"/>
                <w:szCs w:val="18"/>
                <w:b w:val="1"/>
                <w:bCs w:val="1"/>
                <w:color w:val="auto"/>
              </w:rPr>
              <w:t>Albany International Corp.</w:t>
            </w:r>
          </w:p>
        </w:tc>
        <w:tc>
          <w:tcPr>
            <w:tcW w:w="2220" w:type="dxa"/>
            <w:vAlign w:val="bottom"/>
          </w:tcPr>
          <w:p>
            <w:pPr>
              <w:jc w:val="right"/>
              <w:ind w:right="210"/>
              <w:spacing w:after="0"/>
              <w:rPr>
                <w:sz w:val="20"/>
                <w:szCs w:val="20"/>
                <w:color w:val="auto"/>
              </w:rPr>
            </w:pPr>
            <w:r>
              <w:rPr>
                <w:rFonts w:ascii="Arial" w:cs="Arial" w:eastAsia="Arial" w:hAnsi="Arial"/>
                <w:sz w:val="18"/>
                <w:szCs w:val="18"/>
                <w:b w:val="1"/>
                <w:bCs w:val="1"/>
                <w:color w:val="auto"/>
              </w:rPr>
              <w:t>100.00</w:t>
            </w:r>
          </w:p>
        </w:tc>
        <w:tc>
          <w:tcPr>
            <w:tcW w:w="1140" w:type="dxa"/>
            <w:vAlign w:val="bottom"/>
          </w:tcPr>
          <w:p>
            <w:pPr>
              <w:jc w:val="right"/>
              <w:ind w:right="210"/>
              <w:spacing w:after="0"/>
              <w:rPr>
                <w:sz w:val="20"/>
                <w:szCs w:val="20"/>
                <w:color w:val="auto"/>
              </w:rPr>
            </w:pPr>
            <w:r>
              <w:rPr>
                <w:rFonts w:ascii="Arial" w:cs="Arial" w:eastAsia="Arial" w:hAnsi="Arial"/>
                <w:sz w:val="18"/>
                <w:szCs w:val="18"/>
                <w:b w:val="1"/>
                <w:bCs w:val="1"/>
                <w:color w:val="auto"/>
              </w:rPr>
              <w:t>100.67</w:t>
            </w:r>
          </w:p>
        </w:tc>
        <w:tc>
          <w:tcPr>
            <w:tcW w:w="1140" w:type="dxa"/>
            <w:vAlign w:val="bottom"/>
          </w:tcPr>
          <w:p>
            <w:pPr>
              <w:jc w:val="right"/>
              <w:ind w:right="210"/>
              <w:spacing w:after="0"/>
              <w:rPr>
                <w:sz w:val="20"/>
                <w:szCs w:val="20"/>
                <w:color w:val="auto"/>
              </w:rPr>
            </w:pPr>
            <w:r>
              <w:rPr>
                <w:rFonts w:ascii="Arial" w:cs="Arial" w:eastAsia="Arial" w:hAnsi="Arial"/>
                <w:sz w:val="18"/>
                <w:szCs w:val="18"/>
                <w:b w:val="1"/>
                <w:bCs w:val="1"/>
                <w:color w:val="auto"/>
              </w:rPr>
              <w:t>162.44</w:t>
            </w:r>
          </w:p>
        </w:tc>
        <w:tc>
          <w:tcPr>
            <w:tcW w:w="1120" w:type="dxa"/>
            <w:vAlign w:val="bottom"/>
          </w:tcPr>
          <w:p>
            <w:pPr>
              <w:jc w:val="right"/>
              <w:ind w:right="190"/>
              <w:spacing w:after="0"/>
              <w:rPr>
                <w:sz w:val="20"/>
                <w:szCs w:val="20"/>
                <w:color w:val="auto"/>
              </w:rPr>
            </w:pPr>
            <w:r>
              <w:rPr>
                <w:rFonts w:ascii="Arial" w:cs="Arial" w:eastAsia="Arial" w:hAnsi="Arial"/>
                <w:sz w:val="18"/>
                <w:szCs w:val="18"/>
                <w:b w:val="1"/>
                <w:bCs w:val="1"/>
                <w:color w:val="auto"/>
              </w:rPr>
              <w:t>174.73</w:t>
            </w:r>
          </w:p>
        </w:tc>
        <w:tc>
          <w:tcPr>
            <w:tcW w:w="1140" w:type="dxa"/>
            <w:vAlign w:val="bottom"/>
          </w:tcPr>
          <w:p>
            <w:pPr>
              <w:jc w:val="right"/>
              <w:ind w:right="210"/>
              <w:spacing w:after="0"/>
              <w:rPr>
                <w:sz w:val="20"/>
                <w:szCs w:val="20"/>
                <w:color w:val="auto"/>
              </w:rPr>
            </w:pPr>
            <w:r>
              <w:rPr>
                <w:rFonts w:ascii="Arial" w:cs="Arial" w:eastAsia="Arial" w:hAnsi="Arial"/>
                <w:sz w:val="18"/>
                <w:szCs w:val="18"/>
                <w:b w:val="1"/>
                <w:bCs w:val="1"/>
                <w:color w:val="auto"/>
              </w:rPr>
              <w:t>171.28</w:t>
            </w: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220.60</w:t>
            </w:r>
          </w:p>
        </w:tc>
      </w:tr>
      <w:tr>
        <w:trPr>
          <w:trHeight w:val="203"/>
        </w:trPr>
        <w:tc>
          <w:tcPr>
            <w:tcW w:w="3720" w:type="dxa"/>
            <w:vAlign w:val="bottom"/>
          </w:tcPr>
          <w:p>
            <w:pPr>
              <w:ind w:left="100"/>
              <w:spacing w:after="0" w:line="202" w:lineRule="exact"/>
              <w:rPr>
                <w:sz w:val="20"/>
                <w:szCs w:val="20"/>
                <w:color w:val="auto"/>
              </w:rPr>
            </w:pPr>
            <w:r>
              <w:rPr>
                <w:rFonts w:ascii="Arial" w:cs="Arial" w:eastAsia="Arial" w:hAnsi="Arial"/>
                <w:sz w:val="18"/>
                <w:szCs w:val="18"/>
                <w:b w:val="1"/>
                <w:bCs w:val="1"/>
                <w:color w:val="auto"/>
              </w:rPr>
              <w:t>S&amp;P 500</w:t>
            </w:r>
          </w:p>
        </w:tc>
        <w:tc>
          <w:tcPr>
            <w:tcW w:w="222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100.00</w:t>
            </w:r>
          </w:p>
        </w:tc>
        <w:tc>
          <w:tcPr>
            <w:tcW w:w="114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116.00</w:t>
            </w:r>
          </w:p>
        </w:tc>
        <w:tc>
          <w:tcPr>
            <w:tcW w:w="114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153.58</w:t>
            </w:r>
          </w:p>
        </w:tc>
        <w:tc>
          <w:tcPr>
            <w:tcW w:w="112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174.60</w:t>
            </w:r>
          </w:p>
        </w:tc>
        <w:tc>
          <w:tcPr>
            <w:tcW w:w="114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177.01</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198.18</w:t>
            </w:r>
          </w:p>
        </w:tc>
      </w:tr>
      <w:tr>
        <w:trPr>
          <w:trHeight w:val="203"/>
        </w:trPr>
        <w:tc>
          <w:tcPr>
            <w:tcW w:w="3720" w:type="dxa"/>
            <w:vAlign w:val="bottom"/>
          </w:tcPr>
          <w:p>
            <w:pPr>
              <w:ind w:left="100"/>
              <w:spacing w:after="0" w:line="202" w:lineRule="exact"/>
              <w:rPr>
                <w:sz w:val="20"/>
                <w:szCs w:val="20"/>
                <w:color w:val="auto"/>
              </w:rPr>
            </w:pPr>
            <w:r>
              <w:rPr>
                <w:rFonts w:ascii="Arial" w:cs="Arial" w:eastAsia="Arial" w:hAnsi="Arial"/>
                <w:sz w:val="18"/>
                <w:szCs w:val="18"/>
                <w:b w:val="1"/>
                <w:bCs w:val="1"/>
                <w:color w:val="auto"/>
              </w:rPr>
              <w:t>Russell 2000</w:t>
            </w:r>
          </w:p>
        </w:tc>
        <w:tc>
          <w:tcPr>
            <w:tcW w:w="222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100.00</w:t>
            </w:r>
          </w:p>
        </w:tc>
        <w:tc>
          <w:tcPr>
            <w:tcW w:w="114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116.35</w:t>
            </w:r>
          </w:p>
        </w:tc>
        <w:tc>
          <w:tcPr>
            <w:tcW w:w="114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161.52</w:t>
            </w:r>
          </w:p>
        </w:tc>
        <w:tc>
          <w:tcPr>
            <w:tcW w:w="112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169.43</w:t>
            </w:r>
          </w:p>
        </w:tc>
        <w:tc>
          <w:tcPr>
            <w:tcW w:w="114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161.95</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196.45</w:t>
            </w:r>
          </w:p>
        </w:tc>
      </w:tr>
      <w:tr>
        <w:trPr>
          <w:trHeight w:val="203"/>
        </w:trPr>
        <w:tc>
          <w:tcPr>
            <w:tcW w:w="3720" w:type="dxa"/>
            <w:vAlign w:val="bottom"/>
          </w:tcPr>
          <w:p>
            <w:pPr>
              <w:ind w:left="100"/>
              <w:spacing w:after="0" w:line="202" w:lineRule="exact"/>
              <w:rPr>
                <w:sz w:val="20"/>
                <w:szCs w:val="20"/>
                <w:color w:val="auto"/>
              </w:rPr>
            </w:pPr>
            <w:r>
              <w:rPr>
                <w:rFonts w:ascii="Arial" w:cs="Arial" w:eastAsia="Arial" w:hAnsi="Arial"/>
                <w:sz w:val="18"/>
                <w:szCs w:val="18"/>
                <w:b w:val="1"/>
                <w:bCs w:val="1"/>
                <w:color w:val="auto"/>
              </w:rPr>
              <w:t>Dow Jones US Paper</w:t>
            </w:r>
          </w:p>
        </w:tc>
        <w:tc>
          <w:tcPr>
            <w:tcW w:w="222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100.00</w:t>
            </w:r>
          </w:p>
        </w:tc>
        <w:tc>
          <w:tcPr>
            <w:tcW w:w="114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129.67</w:t>
            </w:r>
          </w:p>
        </w:tc>
        <w:tc>
          <w:tcPr>
            <w:tcW w:w="114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161.55</w:t>
            </w:r>
          </w:p>
        </w:tc>
        <w:tc>
          <w:tcPr>
            <w:tcW w:w="112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177.47</w:t>
            </w:r>
          </w:p>
        </w:tc>
        <w:tc>
          <w:tcPr>
            <w:tcW w:w="114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133.05</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140.86</w:t>
            </w:r>
          </w:p>
        </w:tc>
      </w:tr>
      <w:tr>
        <w:trPr>
          <w:trHeight w:val="239"/>
        </w:trPr>
        <w:tc>
          <w:tcPr>
            <w:tcW w:w="3720" w:type="dxa"/>
            <w:vAlign w:val="bottom"/>
          </w:tcPr>
          <w:p>
            <w:pPr>
              <w:ind w:left="100"/>
              <w:spacing w:after="0"/>
              <w:rPr>
                <w:sz w:val="20"/>
                <w:szCs w:val="20"/>
                <w:color w:val="auto"/>
              </w:rPr>
            </w:pPr>
            <w:r>
              <w:rPr>
                <w:rFonts w:ascii="Arial" w:cs="Arial" w:eastAsia="Arial" w:hAnsi="Arial"/>
                <w:sz w:val="18"/>
                <w:szCs w:val="18"/>
                <w:b w:val="1"/>
                <w:bCs w:val="1"/>
                <w:color w:val="auto"/>
              </w:rPr>
              <w:t>Peer Group</w:t>
            </w:r>
          </w:p>
        </w:tc>
        <w:tc>
          <w:tcPr>
            <w:tcW w:w="2220" w:type="dxa"/>
            <w:vAlign w:val="bottom"/>
          </w:tcPr>
          <w:p>
            <w:pPr>
              <w:jc w:val="right"/>
              <w:ind w:right="210"/>
              <w:spacing w:after="0"/>
              <w:rPr>
                <w:sz w:val="20"/>
                <w:szCs w:val="20"/>
                <w:color w:val="auto"/>
              </w:rPr>
            </w:pPr>
            <w:r>
              <w:rPr>
                <w:rFonts w:ascii="Arial" w:cs="Arial" w:eastAsia="Arial" w:hAnsi="Arial"/>
                <w:sz w:val="18"/>
                <w:szCs w:val="18"/>
                <w:b w:val="1"/>
                <w:bCs w:val="1"/>
                <w:color w:val="auto"/>
              </w:rPr>
              <w:t>100.00</w:t>
            </w:r>
          </w:p>
        </w:tc>
        <w:tc>
          <w:tcPr>
            <w:tcW w:w="1140" w:type="dxa"/>
            <w:vAlign w:val="bottom"/>
          </w:tcPr>
          <w:p>
            <w:pPr>
              <w:jc w:val="right"/>
              <w:ind w:right="210"/>
              <w:spacing w:after="0"/>
              <w:rPr>
                <w:sz w:val="20"/>
                <w:szCs w:val="20"/>
                <w:color w:val="auto"/>
              </w:rPr>
            </w:pPr>
            <w:r>
              <w:rPr>
                <w:rFonts w:ascii="Arial" w:cs="Arial" w:eastAsia="Arial" w:hAnsi="Arial"/>
                <w:sz w:val="18"/>
                <w:szCs w:val="18"/>
                <w:b w:val="1"/>
                <w:bCs w:val="1"/>
                <w:color w:val="auto"/>
              </w:rPr>
              <w:t>116.70</w:t>
            </w:r>
          </w:p>
        </w:tc>
        <w:tc>
          <w:tcPr>
            <w:tcW w:w="1140" w:type="dxa"/>
            <w:vAlign w:val="bottom"/>
          </w:tcPr>
          <w:p>
            <w:pPr>
              <w:jc w:val="right"/>
              <w:ind w:right="210"/>
              <w:spacing w:after="0"/>
              <w:rPr>
                <w:sz w:val="20"/>
                <w:szCs w:val="20"/>
                <w:color w:val="auto"/>
              </w:rPr>
            </w:pPr>
            <w:r>
              <w:rPr>
                <w:rFonts w:ascii="Arial" w:cs="Arial" w:eastAsia="Arial" w:hAnsi="Arial"/>
                <w:sz w:val="18"/>
                <w:szCs w:val="18"/>
                <w:b w:val="1"/>
                <w:bCs w:val="1"/>
                <w:color w:val="auto"/>
              </w:rPr>
              <w:t>173.57</w:t>
            </w:r>
          </w:p>
        </w:tc>
        <w:tc>
          <w:tcPr>
            <w:tcW w:w="1120" w:type="dxa"/>
            <w:vAlign w:val="bottom"/>
          </w:tcPr>
          <w:p>
            <w:pPr>
              <w:jc w:val="right"/>
              <w:ind w:right="190"/>
              <w:spacing w:after="0"/>
              <w:rPr>
                <w:sz w:val="20"/>
                <w:szCs w:val="20"/>
                <w:color w:val="auto"/>
              </w:rPr>
            </w:pPr>
            <w:r>
              <w:rPr>
                <w:rFonts w:ascii="Arial" w:cs="Arial" w:eastAsia="Arial" w:hAnsi="Arial"/>
                <w:sz w:val="18"/>
                <w:szCs w:val="18"/>
                <w:b w:val="1"/>
                <w:bCs w:val="1"/>
                <w:color w:val="auto"/>
              </w:rPr>
              <w:t>171.78</w:t>
            </w:r>
          </w:p>
        </w:tc>
        <w:tc>
          <w:tcPr>
            <w:tcW w:w="1140" w:type="dxa"/>
            <w:vAlign w:val="bottom"/>
          </w:tcPr>
          <w:p>
            <w:pPr>
              <w:jc w:val="right"/>
              <w:ind w:right="210"/>
              <w:spacing w:after="0"/>
              <w:rPr>
                <w:sz w:val="20"/>
                <w:szCs w:val="20"/>
                <w:color w:val="auto"/>
              </w:rPr>
            </w:pPr>
            <w:r>
              <w:rPr>
                <w:rFonts w:ascii="Arial" w:cs="Arial" w:eastAsia="Arial" w:hAnsi="Arial"/>
                <w:sz w:val="18"/>
                <w:szCs w:val="18"/>
                <w:b w:val="1"/>
                <w:bCs w:val="1"/>
                <w:color w:val="auto"/>
              </w:rPr>
              <w:t>150.81</w:t>
            </w: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205.43</w:t>
            </w:r>
          </w:p>
        </w:tc>
      </w:tr>
    </w:tbl>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The stock price performance included in this graph is not necessarily indicative of future stock price performance.</w:t>
      </w:r>
    </w:p>
    <w:p>
      <w:pPr>
        <w:spacing w:after="0" w:line="189" w:lineRule="exact"/>
        <w:rPr>
          <w:sz w:val="20"/>
          <w:szCs w:val="20"/>
          <w:color w:val="auto"/>
        </w:rPr>
      </w:pPr>
    </w:p>
    <w:p>
      <w:pPr>
        <w:ind w:right="120" w:firstLine="648"/>
        <w:spacing w:after="0" w:line="246" w:lineRule="auto"/>
        <w:rPr>
          <w:sz w:val="20"/>
          <w:szCs w:val="20"/>
          <w:color w:val="auto"/>
        </w:rPr>
      </w:pPr>
      <w:r>
        <w:rPr>
          <w:rFonts w:ascii="Arial" w:cs="Arial" w:eastAsia="Arial" w:hAnsi="Arial"/>
          <w:sz w:val="18"/>
          <w:szCs w:val="18"/>
          <w:color w:val="auto"/>
        </w:rPr>
        <w:t>Restrictions on dividends and other distributions are described in Note 14 of the Consolidated Financial Statements in Item 8, which is incorporated herein by reference.</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Disclosures of securities authorized for issuance under equity compensation plans are included under Item 12 of this Form 10-K.</w:t>
      </w:r>
    </w:p>
    <w:p>
      <w:pPr>
        <w:spacing w:after="0" w:line="185"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In August 2006, we announced that the Board of Directors had authorized management to purchase up to 2 million additional shares of our Class A Common Stock. The Board’s action authorized management to purchase shares from time to time, in the open market or otherwise, whenever it believes such purchase to be</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2" w:name="page23"/>
    <w:bookmarkEnd w:id="22"/>
    <w:p>
      <w:pPr>
        <w:ind w:right="620"/>
        <w:spacing w:after="0" w:line="245" w:lineRule="auto"/>
        <w:rPr>
          <w:sz w:val="20"/>
          <w:szCs w:val="20"/>
          <w:color w:val="auto"/>
        </w:rPr>
      </w:pPr>
      <w:r>
        <w:rPr>
          <w:rFonts w:ascii="Arial" w:cs="Arial" w:eastAsia="Arial" w:hAnsi="Arial"/>
          <w:sz w:val="18"/>
          <w:szCs w:val="18"/>
          <w:color w:val="auto"/>
        </w:rPr>
        <w:t>advantageous to our shareholders, and it is otherwise legally permitted to do so. Management has made no share purchases under this authorization.</w:t>
      </w:r>
    </w:p>
    <w:p>
      <w:pPr>
        <w:spacing w:after="0" w:line="200" w:lineRule="exact"/>
        <w:rPr>
          <w:sz w:val="20"/>
          <w:szCs w:val="20"/>
          <w:color w:val="auto"/>
        </w:rPr>
      </w:pPr>
    </w:p>
    <w:p>
      <w:pPr>
        <w:spacing w:after="0" w:line="32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SELECTED FINANCIAL DATA</w:t>
      </w:r>
    </w:p>
    <w:p>
      <w:pPr>
        <w:spacing w:after="0" w:line="193" w:lineRule="exact"/>
        <w:rPr>
          <w:sz w:val="20"/>
          <w:szCs w:val="20"/>
          <w:color w:val="auto"/>
        </w:rPr>
      </w:pPr>
    </w:p>
    <w:p>
      <w:pPr>
        <w:ind w:right="260" w:firstLine="648"/>
        <w:spacing w:after="0"/>
        <w:rPr>
          <w:sz w:val="20"/>
          <w:szCs w:val="20"/>
          <w:color w:val="auto"/>
        </w:rPr>
      </w:pPr>
      <w:r>
        <w:rPr>
          <w:rFonts w:ascii="Arial" w:cs="Arial" w:eastAsia="Arial" w:hAnsi="Arial"/>
          <w:sz w:val="18"/>
          <w:szCs w:val="18"/>
          <w:color w:val="auto"/>
        </w:rPr>
        <w:t>The following selected historical financial data have been derived from our Consolidated Financial Statements in Item 8, which is incorporated herein by reference. The data should be read in conjunction with those financial statements and Management’s Discussion and Analysis of Financial Condition and Results of Operations in Item 7, which is incorporated herein by reference.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per share amounts)</w:t>
            </w: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195"/>
        </w:trPr>
        <w:tc>
          <w:tcPr>
            <w:tcW w:w="4980" w:type="dxa"/>
            <w:vAlign w:val="bottom"/>
          </w:tcPr>
          <w:p>
            <w:pPr>
              <w:spacing w:after="0" w:line="195" w:lineRule="exact"/>
              <w:rPr>
                <w:sz w:val="20"/>
                <w:szCs w:val="20"/>
                <w:color w:val="auto"/>
              </w:rPr>
            </w:pPr>
            <w:r>
              <w:rPr>
                <w:rFonts w:ascii="Arial" w:cs="Arial" w:eastAsia="Arial" w:hAnsi="Arial"/>
                <w:sz w:val="18"/>
                <w:szCs w:val="18"/>
                <w:b w:val="1"/>
                <w:bCs w:val="1"/>
                <w:color w:val="auto"/>
              </w:rPr>
              <w:t>Summary of Operations</w:t>
            </w:r>
          </w:p>
        </w:tc>
        <w:tc>
          <w:tcPr>
            <w:tcW w:w="4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779,839</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980" w:type="dxa"/>
            <w:vAlign w:val="bottom"/>
          </w:tcPr>
          <w:p>
            <w:pPr>
              <w:spacing w:after="0" w:line="181" w:lineRule="exact"/>
              <w:rPr>
                <w:sz w:val="20"/>
                <w:szCs w:val="20"/>
                <w:color w:val="auto"/>
              </w:rPr>
            </w:pPr>
            <w:r>
              <w:rPr>
                <w:rFonts w:ascii="Arial" w:cs="Arial" w:eastAsia="Arial" w:hAnsi="Arial"/>
                <w:sz w:val="18"/>
                <w:szCs w:val="18"/>
                <w:color w:val="auto"/>
              </w:rPr>
              <w:t>Net sales (1) (7)</w:t>
            </w:r>
          </w:p>
        </w:tc>
        <w:tc>
          <w:tcPr>
            <w:tcW w:w="46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28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line="181" w:lineRule="exact"/>
              <w:rPr>
                <w:sz w:val="20"/>
                <w:szCs w:val="20"/>
                <w:color w:val="auto"/>
              </w:rPr>
            </w:pPr>
            <w:r>
              <w:rPr>
                <w:rFonts w:ascii="Arial" w:cs="Arial" w:eastAsia="Arial" w:hAnsi="Arial"/>
                <w:sz w:val="18"/>
                <w:szCs w:val="18"/>
                <w:color w:val="auto"/>
              </w:rPr>
              <w:t>709,868</w:t>
            </w:r>
          </w:p>
        </w:tc>
        <w:tc>
          <w:tcPr>
            <w:tcW w:w="28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line="181" w:lineRule="exact"/>
              <w:rPr>
                <w:sz w:val="20"/>
                <w:szCs w:val="20"/>
                <w:color w:val="auto"/>
              </w:rPr>
            </w:pPr>
            <w:r>
              <w:rPr>
                <w:rFonts w:ascii="Arial" w:cs="Arial" w:eastAsia="Arial" w:hAnsi="Arial"/>
                <w:sz w:val="18"/>
                <w:szCs w:val="18"/>
                <w:color w:val="auto"/>
              </w:rPr>
              <w:t>745,345</w:t>
            </w:r>
          </w:p>
        </w:tc>
        <w:tc>
          <w:tcPr>
            <w:tcW w:w="26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50"/>
              <w:spacing w:after="0" w:line="181" w:lineRule="exact"/>
              <w:rPr>
                <w:sz w:val="20"/>
                <w:szCs w:val="20"/>
                <w:color w:val="auto"/>
              </w:rPr>
            </w:pPr>
            <w:r>
              <w:rPr>
                <w:rFonts w:ascii="Arial" w:cs="Arial" w:eastAsia="Arial" w:hAnsi="Arial"/>
                <w:sz w:val="18"/>
                <w:szCs w:val="18"/>
                <w:color w:val="auto"/>
              </w:rPr>
              <w:t>757,414</w:t>
            </w:r>
          </w:p>
        </w:tc>
        <w:tc>
          <w:tcPr>
            <w:tcW w:w="24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line="181" w:lineRule="exact"/>
              <w:rPr>
                <w:sz w:val="20"/>
                <w:szCs w:val="20"/>
                <w:color w:val="auto"/>
              </w:rPr>
            </w:pPr>
            <w:r>
              <w:rPr>
                <w:rFonts w:ascii="Arial" w:cs="Arial" w:eastAsia="Arial" w:hAnsi="Arial"/>
                <w:sz w:val="18"/>
                <w:szCs w:val="18"/>
                <w:color w:val="auto"/>
              </w:rPr>
              <w:t>760,941</w:t>
            </w:r>
          </w:p>
        </w:tc>
        <w:tc>
          <w:tcPr>
            <w:tcW w:w="0" w:type="dxa"/>
            <w:vAlign w:val="bottom"/>
          </w:tcPr>
          <w:p>
            <w:pPr>
              <w:spacing w:after="0"/>
              <w:rPr>
                <w:sz w:val="1"/>
                <w:szCs w:val="1"/>
                <w:color w:val="auto"/>
              </w:rPr>
            </w:pP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Cost of goods sold (7)</w:t>
            </w:r>
          </w:p>
        </w:tc>
        <w:tc>
          <w:tcPr>
            <w:tcW w:w="460" w:type="dxa"/>
            <w:vAlign w:val="bottom"/>
          </w:tcPr>
          <w:p>
            <w:pPr>
              <w:spacing w:after="0"/>
              <w:rPr>
                <w:sz w:val="17"/>
                <w:szCs w:val="17"/>
                <w:color w:val="auto"/>
              </w:rPr>
            </w:pP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479,271</w:t>
            </w:r>
          </w:p>
        </w:tc>
        <w:tc>
          <w:tcPr>
            <w:tcW w:w="280" w:type="dxa"/>
            <w:vAlign w:val="bottom"/>
          </w:tcPr>
          <w:p>
            <w:pPr>
              <w:spacing w:after="0"/>
              <w:rPr>
                <w:sz w:val="17"/>
                <w:szCs w:val="17"/>
                <w:color w:val="auto"/>
              </w:rPr>
            </w:pP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431,182</w:t>
            </w:r>
          </w:p>
        </w:tc>
        <w:tc>
          <w:tcPr>
            <w:tcW w:w="280" w:type="dxa"/>
            <w:vAlign w:val="bottom"/>
          </w:tcPr>
          <w:p>
            <w:pPr>
              <w:spacing w:after="0"/>
              <w:rPr>
                <w:sz w:val="17"/>
                <w:szCs w:val="17"/>
                <w:color w:val="auto"/>
              </w:rPr>
            </w:pP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453,710</w:t>
            </w:r>
          </w:p>
        </w:tc>
        <w:tc>
          <w:tcPr>
            <w:tcW w:w="260" w:type="dxa"/>
            <w:vAlign w:val="bottom"/>
          </w:tcPr>
          <w:p>
            <w:pPr>
              <w:spacing w:after="0"/>
              <w:rPr>
                <w:sz w:val="17"/>
                <w:szCs w:val="17"/>
                <w:color w:val="auto"/>
              </w:rPr>
            </w:pPr>
          </w:p>
        </w:tc>
        <w:tc>
          <w:tcPr>
            <w:tcW w:w="10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466,860</w:t>
            </w:r>
          </w:p>
        </w:tc>
        <w:tc>
          <w:tcPr>
            <w:tcW w:w="240" w:type="dxa"/>
            <w:vAlign w:val="bottom"/>
          </w:tcPr>
          <w:p>
            <w:pPr>
              <w:spacing w:after="0"/>
              <w:rPr>
                <w:sz w:val="17"/>
                <w:szCs w:val="17"/>
                <w:color w:val="auto"/>
              </w:rPr>
            </w:pP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455,545</w:t>
            </w:r>
          </w:p>
        </w:tc>
        <w:tc>
          <w:tcPr>
            <w:tcW w:w="0" w:type="dxa"/>
            <w:vAlign w:val="bottom"/>
          </w:tcPr>
          <w:p>
            <w:pPr>
              <w:spacing w:after="0"/>
              <w:rPr>
                <w:sz w:val="1"/>
                <w:szCs w:val="1"/>
                <w:color w:val="auto"/>
              </w:rPr>
            </w:pPr>
          </w:p>
        </w:tc>
      </w:tr>
      <w:tr>
        <w:trPr>
          <w:trHeight w:val="225"/>
        </w:trPr>
        <w:tc>
          <w:tcPr>
            <w:tcW w:w="4980" w:type="dxa"/>
            <w:vAlign w:val="bottom"/>
          </w:tcPr>
          <w:p>
            <w:pPr>
              <w:spacing w:after="0"/>
              <w:rPr>
                <w:sz w:val="20"/>
                <w:szCs w:val="20"/>
                <w:color w:val="auto"/>
              </w:rPr>
            </w:pPr>
            <w:r>
              <w:rPr>
                <w:rFonts w:ascii="Arial" w:cs="Arial" w:eastAsia="Arial" w:hAnsi="Arial"/>
                <w:sz w:val="18"/>
                <w:szCs w:val="18"/>
                <w:color w:val="auto"/>
              </w:rPr>
              <w:t>Restructuring and other (5)</w:t>
            </w:r>
          </w:p>
        </w:tc>
        <w:tc>
          <w:tcPr>
            <w:tcW w:w="46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8,376</w:t>
            </w:r>
          </w:p>
        </w:tc>
        <w:tc>
          <w:tcPr>
            <w:tcW w:w="2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23,846</w:t>
            </w:r>
          </w:p>
        </w:tc>
        <w:tc>
          <w:tcPr>
            <w:tcW w:w="28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5,759</w:t>
            </w:r>
          </w:p>
        </w:tc>
        <w:tc>
          <w:tcPr>
            <w:tcW w:w="26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25,108</w:t>
            </w:r>
          </w:p>
        </w:tc>
        <w:tc>
          <w:tcPr>
            <w:tcW w:w="24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7,061</w:t>
            </w:r>
          </w:p>
        </w:tc>
        <w:tc>
          <w:tcPr>
            <w:tcW w:w="0" w:type="dxa"/>
            <w:vAlign w:val="bottom"/>
          </w:tcPr>
          <w:p>
            <w:pPr>
              <w:spacing w:after="0"/>
              <w:rPr>
                <w:sz w:val="1"/>
                <w:szCs w:val="1"/>
                <w:color w:val="auto"/>
              </w:rPr>
            </w:pP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Pension settlement expense (4)</w:t>
            </w:r>
          </w:p>
        </w:tc>
        <w:tc>
          <w:tcPr>
            <w:tcW w:w="460" w:type="dxa"/>
            <w:vAlign w:val="bottom"/>
          </w:tcPr>
          <w:p>
            <w:pPr>
              <w:spacing w:after="0"/>
              <w:rPr>
                <w:sz w:val="17"/>
                <w:szCs w:val="17"/>
                <w:color w:val="auto"/>
              </w:rPr>
            </w:pPr>
          </w:p>
        </w:tc>
        <w:tc>
          <w:tcPr>
            <w:tcW w:w="100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91,776</w:t>
            </w:r>
          </w:p>
        </w:tc>
        <w:tc>
          <w:tcPr>
            <w:tcW w:w="280" w:type="dxa"/>
            <w:vAlign w:val="bottom"/>
          </w:tcPr>
          <w:p>
            <w:pPr>
              <w:spacing w:after="0"/>
              <w:rPr>
                <w:sz w:val="17"/>
                <w:szCs w:val="17"/>
                <w:color w:val="auto"/>
              </w:rPr>
            </w:pP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8,190</w:t>
            </w:r>
          </w:p>
        </w:tc>
        <w:tc>
          <w:tcPr>
            <w:tcW w:w="260" w:type="dxa"/>
            <w:vAlign w:val="bottom"/>
          </w:tcPr>
          <w:p>
            <w:pPr>
              <w:spacing w:after="0"/>
              <w:rPr>
                <w:sz w:val="17"/>
                <w:szCs w:val="17"/>
                <w:color w:val="auto"/>
              </w:rPr>
            </w:pPr>
          </w:p>
        </w:tc>
        <w:tc>
          <w:tcPr>
            <w:tcW w:w="10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119,735</w:t>
            </w:r>
          </w:p>
        </w:tc>
        <w:tc>
          <w:tcPr>
            <w:tcW w:w="0" w:type="dxa"/>
            <w:vAlign w:val="bottom"/>
          </w:tcPr>
          <w:p>
            <w:pPr>
              <w:spacing w:after="0"/>
              <w:rPr>
                <w:sz w:val="1"/>
                <w:szCs w:val="1"/>
                <w:color w:val="auto"/>
              </w:rPr>
            </w:pPr>
          </w:p>
        </w:tc>
      </w:tr>
      <w:tr>
        <w:trPr>
          <w:trHeight w:val="181"/>
        </w:trPr>
        <w:tc>
          <w:tcPr>
            <w:tcW w:w="4980" w:type="dxa"/>
            <w:vAlign w:val="bottom"/>
          </w:tcPr>
          <w:p>
            <w:pPr>
              <w:spacing w:after="0" w:line="181" w:lineRule="exact"/>
              <w:rPr>
                <w:sz w:val="20"/>
                <w:szCs w:val="20"/>
                <w:color w:val="auto"/>
              </w:rPr>
            </w:pPr>
            <w:r>
              <w:rPr>
                <w:rFonts w:ascii="Arial" w:cs="Arial" w:eastAsia="Arial" w:hAnsi="Arial"/>
                <w:sz w:val="18"/>
                <w:szCs w:val="18"/>
                <w:color w:val="auto"/>
              </w:rPr>
              <w:t>Operating income/(loss) (7)</w:t>
            </w:r>
          </w:p>
        </w:tc>
        <w:tc>
          <w:tcPr>
            <w:tcW w:w="4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30"/>
              <w:spacing w:after="0" w:line="181" w:lineRule="exact"/>
              <w:rPr>
                <w:sz w:val="20"/>
                <w:szCs w:val="20"/>
                <w:color w:val="auto"/>
              </w:rPr>
            </w:pPr>
            <w:r>
              <w:rPr>
                <w:rFonts w:ascii="Arial" w:cs="Arial" w:eastAsia="Arial" w:hAnsi="Arial"/>
                <w:sz w:val="18"/>
                <w:szCs w:val="18"/>
                <w:color w:val="auto"/>
              </w:rPr>
              <w:t>63,895</w:t>
            </w:r>
          </w:p>
        </w:tc>
        <w:tc>
          <w:tcPr>
            <w:tcW w:w="280" w:type="dxa"/>
            <w:vAlign w:val="bottom"/>
          </w:tcPr>
          <w:p>
            <w:pPr>
              <w:spacing w:after="0"/>
              <w:rPr>
                <w:sz w:val="15"/>
                <w:szCs w:val="15"/>
                <w:color w:val="auto"/>
              </w:rPr>
            </w:pPr>
          </w:p>
        </w:tc>
        <w:tc>
          <w:tcPr>
            <w:tcW w:w="960" w:type="dxa"/>
            <w:vAlign w:val="bottom"/>
          </w:tcPr>
          <w:p>
            <w:pPr>
              <w:jc w:val="right"/>
              <w:ind w:right="10"/>
              <w:spacing w:after="0" w:line="181" w:lineRule="exact"/>
              <w:rPr>
                <w:sz w:val="20"/>
                <w:szCs w:val="20"/>
                <w:color w:val="auto"/>
              </w:rPr>
            </w:pPr>
            <w:r>
              <w:rPr>
                <w:rFonts w:ascii="Arial" w:cs="Arial" w:eastAsia="Arial" w:hAnsi="Arial"/>
                <w:sz w:val="18"/>
                <w:szCs w:val="18"/>
                <w:color w:val="auto"/>
              </w:rPr>
              <w:t>71,360</w:t>
            </w:r>
          </w:p>
        </w:tc>
        <w:tc>
          <w:tcPr>
            <w:tcW w:w="260" w:type="dxa"/>
            <w:vAlign w:val="bottom"/>
          </w:tcPr>
          <w:p>
            <w:pPr>
              <w:spacing w:after="0"/>
              <w:rPr>
                <w:sz w:val="15"/>
                <w:szCs w:val="15"/>
                <w:color w:val="auto"/>
              </w:rPr>
            </w:pPr>
          </w:p>
        </w:tc>
        <w:tc>
          <w:tcPr>
            <w:tcW w:w="1000" w:type="dxa"/>
            <w:vAlign w:val="bottom"/>
          </w:tcPr>
          <w:p>
            <w:pPr>
              <w:jc w:val="right"/>
              <w:ind w:right="50"/>
              <w:spacing w:after="0" w:line="181" w:lineRule="exact"/>
              <w:rPr>
                <w:sz w:val="20"/>
                <w:szCs w:val="20"/>
                <w:color w:val="auto"/>
              </w:rPr>
            </w:pPr>
            <w:r>
              <w:rPr>
                <w:rFonts w:ascii="Arial" w:cs="Arial" w:eastAsia="Arial" w:hAnsi="Arial"/>
                <w:sz w:val="18"/>
                <w:szCs w:val="18"/>
                <w:color w:val="auto"/>
              </w:rPr>
              <w:t>52,091</w:t>
            </w:r>
          </w:p>
        </w:tc>
        <w:tc>
          <w:tcPr>
            <w:tcW w:w="240" w:type="dxa"/>
            <w:vAlign w:val="bottom"/>
          </w:tcPr>
          <w:p>
            <w:pPr>
              <w:spacing w:after="0"/>
              <w:rPr>
                <w:sz w:val="15"/>
                <w:szCs w:val="15"/>
                <w:color w:val="auto"/>
              </w:rPr>
            </w:pPr>
          </w:p>
        </w:tc>
        <w:tc>
          <w:tcPr>
            <w:tcW w:w="960" w:type="dxa"/>
            <w:vAlign w:val="bottom"/>
          </w:tcPr>
          <w:p>
            <w:pPr>
              <w:jc w:val="right"/>
              <w:spacing w:after="0" w:line="181" w:lineRule="exact"/>
              <w:rPr>
                <w:sz w:val="20"/>
                <w:szCs w:val="20"/>
                <w:color w:val="auto"/>
              </w:rPr>
            </w:pPr>
            <w:r>
              <w:rPr>
                <w:rFonts w:ascii="Arial" w:cs="Arial" w:eastAsia="Arial" w:hAnsi="Arial"/>
                <w:sz w:val="18"/>
                <w:szCs w:val="18"/>
                <w:color w:val="auto"/>
              </w:rPr>
              <w:t>(44,136)</w:t>
            </w:r>
          </w:p>
        </w:tc>
        <w:tc>
          <w:tcPr>
            <w:tcW w:w="0" w:type="dxa"/>
            <w:vAlign w:val="bottom"/>
          </w:tcPr>
          <w:p>
            <w:pPr>
              <w:spacing w:after="0"/>
              <w:rPr>
                <w:sz w:val="1"/>
                <w:szCs w:val="1"/>
                <w:color w:val="auto"/>
              </w:rPr>
            </w:pP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Interest expense, net</w:t>
            </w:r>
          </w:p>
        </w:tc>
        <w:tc>
          <w:tcPr>
            <w:tcW w:w="460" w:type="dxa"/>
            <w:vAlign w:val="bottom"/>
          </w:tcPr>
          <w:p>
            <w:pPr>
              <w:spacing w:after="0"/>
              <w:rPr>
                <w:sz w:val="17"/>
                <w:szCs w:val="17"/>
                <w:color w:val="auto"/>
              </w:rPr>
            </w:pP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13,464</w:t>
            </w:r>
          </w:p>
        </w:tc>
        <w:tc>
          <w:tcPr>
            <w:tcW w:w="280" w:type="dxa"/>
            <w:vAlign w:val="bottom"/>
          </w:tcPr>
          <w:p>
            <w:pPr>
              <w:spacing w:after="0"/>
              <w:rPr>
                <w:sz w:val="17"/>
                <w:szCs w:val="17"/>
                <w:color w:val="auto"/>
              </w:rPr>
            </w:pP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9,984</w:t>
            </w:r>
          </w:p>
        </w:tc>
        <w:tc>
          <w:tcPr>
            <w:tcW w:w="280" w:type="dxa"/>
            <w:vAlign w:val="bottom"/>
          </w:tcPr>
          <w:p>
            <w:pPr>
              <w:spacing w:after="0"/>
              <w:rPr>
                <w:sz w:val="17"/>
                <w:szCs w:val="17"/>
                <w:color w:val="auto"/>
              </w:rPr>
            </w:pP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10,713</w:t>
            </w:r>
          </w:p>
        </w:tc>
        <w:tc>
          <w:tcPr>
            <w:tcW w:w="260" w:type="dxa"/>
            <w:vAlign w:val="bottom"/>
          </w:tcPr>
          <w:p>
            <w:pPr>
              <w:spacing w:after="0"/>
              <w:rPr>
                <w:sz w:val="17"/>
                <w:szCs w:val="17"/>
                <w:color w:val="auto"/>
              </w:rPr>
            </w:pPr>
          </w:p>
        </w:tc>
        <w:tc>
          <w:tcPr>
            <w:tcW w:w="10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13,759</w:t>
            </w:r>
          </w:p>
        </w:tc>
        <w:tc>
          <w:tcPr>
            <w:tcW w:w="240" w:type="dxa"/>
            <w:vAlign w:val="bottom"/>
          </w:tcPr>
          <w:p>
            <w:pPr>
              <w:spacing w:after="0"/>
              <w:rPr>
                <w:sz w:val="17"/>
                <w:szCs w:val="17"/>
                <w:color w:val="auto"/>
              </w:rPr>
            </w:pP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16,601</w:t>
            </w:r>
          </w:p>
        </w:tc>
        <w:tc>
          <w:tcPr>
            <w:tcW w:w="0" w:type="dxa"/>
            <w:vAlign w:val="bottom"/>
          </w:tcPr>
          <w:p>
            <w:pPr>
              <w:spacing w:after="0"/>
              <w:rPr>
                <w:sz w:val="1"/>
                <w:szCs w:val="1"/>
                <w:color w:val="auto"/>
              </w:rPr>
            </w:pP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Income/(loss) from continuing operations</w:t>
            </w:r>
          </w:p>
        </w:tc>
        <w:tc>
          <w:tcPr>
            <w:tcW w:w="460" w:type="dxa"/>
            <w:vAlign w:val="bottom"/>
          </w:tcPr>
          <w:p>
            <w:pPr>
              <w:spacing w:after="0"/>
              <w:rPr>
                <w:sz w:val="17"/>
                <w:szCs w:val="17"/>
                <w:color w:val="auto"/>
              </w:rPr>
            </w:pP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52,812</w:t>
            </w:r>
          </w:p>
        </w:tc>
        <w:tc>
          <w:tcPr>
            <w:tcW w:w="280" w:type="dxa"/>
            <w:vAlign w:val="bottom"/>
          </w:tcPr>
          <w:p>
            <w:pPr>
              <w:spacing w:after="0"/>
              <w:rPr>
                <w:sz w:val="17"/>
                <w:szCs w:val="17"/>
                <w:color w:val="auto"/>
              </w:rPr>
            </w:pP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57,265</w:t>
            </w:r>
          </w:p>
        </w:tc>
        <w:tc>
          <w:tcPr>
            <w:tcW w:w="280" w:type="dxa"/>
            <w:vAlign w:val="bottom"/>
          </w:tcPr>
          <w:p>
            <w:pPr>
              <w:spacing w:after="0"/>
              <w:rPr>
                <w:sz w:val="17"/>
                <w:szCs w:val="17"/>
                <w:color w:val="auto"/>
              </w:rPr>
            </w:pP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41,749</w:t>
            </w:r>
          </w:p>
        </w:tc>
        <w:tc>
          <w:tcPr>
            <w:tcW w:w="260" w:type="dxa"/>
            <w:vAlign w:val="bottom"/>
          </w:tcPr>
          <w:p>
            <w:pPr>
              <w:spacing w:after="0"/>
              <w:rPr>
                <w:sz w:val="17"/>
                <w:szCs w:val="17"/>
                <w:color w:val="auto"/>
              </w:rPr>
            </w:pPr>
          </w:p>
        </w:tc>
        <w:tc>
          <w:tcPr>
            <w:tcW w:w="10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17,704</w:t>
            </w:r>
          </w:p>
        </w:tc>
        <w:tc>
          <w:tcPr>
            <w:tcW w:w="2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(40,843)</w:t>
            </w:r>
          </w:p>
        </w:tc>
        <w:tc>
          <w:tcPr>
            <w:tcW w:w="0" w:type="dxa"/>
            <w:vAlign w:val="bottom"/>
          </w:tcPr>
          <w:p>
            <w:pPr>
              <w:spacing w:after="0"/>
              <w:rPr>
                <w:sz w:val="1"/>
                <w:szCs w:val="1"/>
                <w:color w:val="auto"/>
              </w:rPr>
            </w:pP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Income/(loss) from discontinued operations (7)</w:t>
            </w:r>
          </w:p>
        </w:tc>
        <w:tc>
          <w:tcPr>
            <w:tcW w:w="460" w:type="dxa"/>
            <w:vAlign w:val="bottom"/>
          </w:tcPr>
          <w:p>
            <w:pPr>
              <w:spacing w:after="0"/>
              <w:rPr>
                <w:sz w:val="17"/>
                <w:szCs w:val="17"/>
                <w:color w:val="auto"/>
              </w:rPr>
            </w:pP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7"/>
                <w:szCs w:val="17"/>
                <w:color w:val="auto"/>
              </w:rPr>
            </w:pP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(46)</w:t>
            </w:r>
          </w:p>
        </w:tc>
        <w:tc>
          <w:tcPr>
            <w:tcW w:w="240" w:type="dxa"/>
            <w:vAlign w:val="bottom"/>
          </w:tcPr>
          <w:p>
            <w:pPr>
              <w:spacing w:after="0"/>
              <w:rPr>
                <w:sz w:val="17"/>
                <w:szCs w:val="17"/>
                <w:color w:val="auto"/>
              </w:rPr>
            </w:pP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71,820</w:t>
            </w:r>
          </w:p>
        </w:tc>
        <w:tc>
          <w:tcPr>
            <w:tcW w:w="0" w:type="dxa"/>
            <w:vAlign w:val="bottom"/>
          </w:tcPr>
          <w:p>
            <w:pPr>
              <w:spacing w:after="0"/>
              <w:rPr>
                <w:sz w:val="1"/>
                <w:szCs w:val="1"/>
                <w:color w:val="auto"/>
              </w:rPr>
            </w:pPr>
          </w:p>
        </w:tc>
      </w:tr>
      <w:tr>
        <w:trPr>
          <w:trHeight w:val="225"/>
        </w:trPr>
        <w:tc>
          <w:tcPr>
            <w:tcW w:w="4980" w:type="dxa"/>
            <w:vAlign w:val="bottom"/>
          </w:tcPr>
          <w:p>
            <w:pPr>
              <w:spacing w:after="0"/>
              <w:rPr>
                <w:sz w:val="20"/>
                <w:szCs w:val="20"/>
                <w:color w:val="auto"/>
              </w:rPr>
            </w:pPr>
            <w:r>
              <w:rPr>
                <w:rFonts w:ascii="Arial" w:cs="Arial" w:eastAsia="Arial" w:hAnsi="Arial"/>
                <w:sz w:val="18"/>
                <w:szCs w:val="18"/>
                <w:color w:val="auto"/>
              </w:rPr>
              <w:t>Net income attributable to the Company</w:t>
            </w:r>
          </w:p>
        </w:tc>
        <w:tc>
          <w:tcPr>
            <w:tcW w:w="46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52,733</w:t>
            </w:r>
          </w:p>
        </w:tc>
        <w:tc>
          <w:tcPr>
            <w:tcW w:w="2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57,279</w:t>
            </w:r>
          </w:p>
        </w:tc>
        <w:tc>
          <w:tcPr>
            <w:tcW w:w="28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41,569</w:t>
            </w:r>
          </w:p>
        </w:tc>
        <w:tc>
          <w:tcPr>
            <w:tcW w:w="26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17,517</w:t>
            </w:r>
          </w:p>
        </w:tc>
        <w:tc>
          <w:tcPr>
            <w:tcW w:w="24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30,977</w:t>
            </w:r>
          </w:p>
        </w:tc>
        <w:tc>
          <w:tcPr>
            <w:tcW w:w="0" w:type="dxa"/>
            <w:vAlign w:val="bottom"/>
          </w:tcPr>
          <w:p>
            <w:pPr>
              <w:spacing w:after="0"/>
              <w:rPr>
                <w:sz w:val="1"/>
                <w:szCs w:val="1"/>
                <w:color w:val="auto"/>
              </w:rPr>
            </w:pP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Earnings per share attributable to Company Shareholders-</w:t>
            </w:r>
          </w:p>
        </w:tc>
        <w:tc>
          <w:tcPr>
            <w:tcW w:w="460" w:type="dxa"/>
            <w:vAlign w:val="bottom"/>
          </w:tcPr>
          <w:p>
            <w:pPr>
              <w:spacing w:after="0"/>
              <w:rPr>
                <w:sz w:val="17"/>
                <w:szCs w:val="17"/>
                <w:color w:val="auto"/>
              </w:rPr>
            </w:pPr>
          </w:p>
        </w:tc>
        <w:tc>
          <w:tcPr>
            <w:tcW w:w="100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1.64</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Basic</w:t>
            </w:r>
          </w:p>
        </w:tc>
        <w:tc>
          <w:tcPr>
            <w:tcW w:w="46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1.79</w:t>
            </w:r>
          </w:p>
        </w:tc>
        <w:tc>
          <w:tcPr>
            <w:tcW w:w="280" w:type="dxa"/>
            <w:vAlign w:val="bottom"/>
          </w:tcPr>
          <w:p>
            <w:pPr>
              <w:spacing w:after="0"/>
              <w:rPr>
                <w:sz w:val="17"/>
                <w:szCs w:val="17"/>
                <w:color w:val="auto"/>
              </w:rPr>
            </w:pP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1.31</w:t>
            </w:r>
          </w:p>
        </w:tc>
        <w:tc>
          <w:tcPr>
            <w:tcW w:w="260" w:type="dxa"/>
            <w:vAlign w:val="bottom"/>
          </w:tcPr>
          <w:p>
            <w:pPr>
              <w:spacing w:after="0"/>
              <w:rPr>
                <w:sz w:val="17"/>
                <w:szCs w:val="17"/>
                <w:color w:val="auto"/>
              </w:rPr>
            </w:pPr>
          </w:p>
        </w:tc>
        <w:tc>
          <w:tcPr>
            <w:tcW w:w="10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0.55</w:t>
            </w:r>
          </w:p>
        </w:tc>
        <w:tc>
          <w:tcPr>
            <w:tcW w:w="2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Earnings per share attributable to Company Shareholders-</w:t>
            </w:r>
          </w:p>
        </w:tc>
        <w:tc>
          <w:tcPr>
            <w:tcW w:w="460" w:type="dxa"/>
            <w:vAlign w:val="bottom"/>
          </w:tcPr>
          <w:p>
            <w:pPr>
              <w:spacing w:after="0"/>
              <w:rPr>
                <w:sz w:val="17"/>
                <w:szCs w:val="17"/>
                <w:color w:val="auto"/>
              </w:rPr>
            </w:pPr>
          </w:p>
        </w:tc>
        <w:tc>
          <w:tcPr>
            <w:tcW w:w="100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1.64</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980" w:type="dxa"/>
            <w:vAlign w:val="bottom"/>
          </w:tcPr>
          <w:p>
            <w:pPr>
              <w:spacing w:after="0" w:line="181" w:lineRule="exact"/>
              <w:rPr>
                <w:sz w:val="20"/>
                <w:szCs w:val="20"/>
                <w:color w:val="auto"/>
              </w:rPr>
            </w:pPr>
            <w:r>
              <w:rPr>
                <w:rFonts w:ascii="Arial" w:cs="Arial" w:eastAsia="Arial" w:hAnsi="Arial"/>
                <w:sz w:val="18"/>
                <w:szCs w:val="18"/>
                <w:color w:val="auto"/>
              </w:rPr>
              <w:t>Diluted</w:t>
            </w:r>
          </w:p>
        </w:tc>
        <w:tc>
          <w:tcPr>
            <w:tcW w:w="4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30"/>
              <w:spacing w:after="0" w:line="181" w:lineRule="exact"/>
              <w:rPr>
                <w:sz w:val="20"/>
                <w:szCs w:val="20"/>
                <w:color w:val="auto"/>
              </w:rPr>
            </w:pPr>
            <w:r>
              <w:rPr>
                <w:rFonts w:ascii="Arial" w:cs="Arial" w:eastAsia="Arial" w:hAnsi="Arial"/>
                <w:sz w:val="18"/>
                <w:szCs w:val="18"/>
                <w:color w:val="auto"/>
              </w:rPr>
              <w:t>1.79</w:t>
            </w:r>
          </w:p>
        </w:tc>
        <w:tc>
          <w:tcPr>
            <w:tcW w:w="280" w:type="dxa"/>
            <w:vAlign w:val="bottom"/>
          </w:tcPr>
          <w:p>
            <w:pPr>
              <w:spacing w:after="0"/>
              <w:rPr>
                <w:sz w:val="15"/>
                <w:szCs w:val="15"/>
                <w:color w:val="auto"/>
              </w:rPr>
            </w:pPr>
          </w:p>
        </w:tc>
        <w:tc>
          <w:tcPr>
            <w:tcW w:w="960" w:type="dxa"/>
            <w:vAlign w:val="bottom"/>
          </w:tcPr>
          <w:p>
            <w:pPr>
              <w:jc w:val="right"/>
              <w:ind w:right="10"/>
              <w:spacing w:after="0" w:line="181" w:lineRule="exact"/>
              <w:rPr>
                <w:sz w:val="20"/>
                <w:szCs w:val="20"/>
                <w:color w:val="auto"/>
              </w:rPr>
            </w:pPr>
            <w:r>
              <w:rPr>
                <w:rFonts w:ascii="Arial" w:cs="Arial" w:eastAsia="Arial" w:hAnsi="Arial"/>
                <w:sz w:val="18"/>
                <w:szCs w:val="18"/>
                <w:color w:val="auto"/>
              </w:rPr>
              <w:t>1.30</w:t>
            </w:r>
          </w:p>
        </w:tc>
        <w:tc>
          <w:tcPr>
            <w:tcW w:w="260" w:type="dxa"/>
            <w:vAlign w:val="bottom"/>
          </w:tcPr>
          <w:p>
            <w:pPr>
              <w:spacing w:after="0"/>
              <w:rPr>
                <w:sz w:val="15"/>
                <w:szCs w:val="15"/>
                <w:color w:val="auto"/>
              </w:rPr>
            </w:pPr>
          </w:p>
        </w:tc>
        <w:tc>
          <w:tcPr>
            <w:tcW w:w="1000" w:type="dxa"/>
            <w:vAlign w:val="bottom"/>
          </w:tcPr>
          <w:p>
            <w:pPr>
              <w:jc w:val="right"/>
              <w:ind w:right="50"/>
              <w:spacing w:after="0" w:line="181" w:lineRule="exact"/>
              <w:rPr>
                <w:sz w:val="20"/>
                <w:szCs w:val="20"/>
                <w:color w:val="auto"/>
              </w:rPr>
            </w:pPr>
            <w:r>
              <w:rPr>
                <w:rFonts w:ascii="Arial" w:cs="Arial" w:eastAsia="Arial" w:hAnsi="Arial"/>
                <w:sz w:val="18"/>
                <w:szCs w:val="18"/>
                <w:color w:val="auto"/>
              </w:rPr>
              <w:t>0.55</w:t>
            </w:r>
          </w:p>
        </w:tc>
        <w:tc>
          <w:tcPr>
            <w:tcW w:w="240" w:type="dxa"/>
            <w:vAlign w:val="bottom"/>
          </w:tcPr>
          <w:p>
            <w:pPr>
              <w:spacing w:after="0"/>
              <w:rPr>
                <w:sz w:val="15"/>
                <w:szCs w:val="15"/>
                <w:color w:val="auto"/>
              </w:rPr>
            </w:pPr>
          </w:p>
        </w:tc>
        <w:tc>
          <w:tcPr>
            <w:tcW w:w="960" w:type="dxa"/>
            <w:vAlign w:val="bottom"/>
          </w:tcPr>
          <w:p>
            <w:pPr>
              <w:jc w:val="right"/>
              <w:spacing w:after="0" w:line="181" w:lineRule="exact"/>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Dividends declared per share</w:t>
            </w:r>
          </w:p>
        </w:tc>
        <w:tc>
          <w:tcPr>
            <w:tcW w:w="460" w:type="dxa"/>
            <w:vAlign w:val="bottom"/>
          </w:tcPr>
          <w:p>
            <w:pPr>
              <w:spacing w:after="0"/>
              <w:rPr>
                <w:sz w:val="17"/>
                <w:szCs w:val="17"/>
                <w:color w:val="auto"/>
              </w:rPr>
            </w:pP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0.68</w:t>
            </w:r>
          </w:p>
        </w:tc>
        <w:tc>
          <w:tcPr>
            <w:tcW w:w="280" w:type="dxa"/>
            <w:vAlign w:val="bottom"/>
          </w:tcPr>
          <w:p>
            <w:pPr>
              <w:spacing w:after="0"/>
              <w:rPr>
                <w:sz w:val="17"/>
                <w:szCs w:val="17"/>
                <w:color w:val="auto"/>
              </w:rPr>
            </w:pP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0.67</w:t>
            </w:r>
          </w:p>
        </w:tc>
        <w:tc>
          <w:tcPr>
            <w:tcW w:w="280" w:type="dxa"/>
            <w:vAlign w:val="bottom"/>
          </w:tcPr>
          <w:p>
            <w:pPr>
              <w:spacing w:after="0"/>
              <w:rPr>
                <w:sz w:val="17"/>
                <w:szCs w:val="17"/>
                <w:color w:val="auto"/>
              </w:rPr>
            </w:pP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0.63</w:t>
            </w:r>
          </w:p>
        </w:tc>
        <w:tc>
          <w:tcPr>
            <w:tcW w:w="260" w:type="dxa"/>
            <w:vAlign w:val="bottom"/>
          </w:tcPr>
          <w:p>
            <w:pPr>
              <w:spacing w:after="0"/>
              <w:rPr>
                <w:sz w:val="17"/>
                <w:szCs w:val="17"/>
                <w:color w:val="auto"/>
              </w:rPr>
            </w:pPr>
          </w:p>
        </w:tc>
        <w:tc>
          <w:tcPr>
            <w:tcW w:w="10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0.59</w:t>
            </w:r>
          </w:p>
        </w:tc>
        <w:tc>
          <w:tcPr>
            <w:tcW w:w="240" w:type="dxa"/>
            <w:vAlign w:val="bottom"/>
          </w:tcPr>
          <w:p>
            <w:pPr>
              <w:spacing w:after="0"/>
              <w:rPr>
                <w:sz w:val="17"/>
                <w:szCs w:val="17"/>
                <w:color w:val="auto"/>
              </w:rPr>
            </w:pP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Weighted average number of shares outstanding - basic</w:t>
            </w:r>
          </w:p>
        </w:tc>
        <w:tc>
          <w:tcPr>
            <w:tcW w:w="460" w:type="dxa"/>
            <w:vAlign w:val="bottom"/>
          </w:tcPr>
          <w:p>
            <w:pPr>
              <w:spacing w:after="0"/>
              <w:rPr>
                <w:sz w:val="17"/>
                <w:szCs w:val="17"/>
                <w:color w:val="auto"/>
              </w:rPr>
            </w:pP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32,086</w:t>
            </w:r>
          </w:p>
        </w:tc>
        <w:tc>
          <w:tcPr>
            <w:tcW w:w="280" w:type="dxa"/>
            <w:vAlign w:val="bottom"/>
          </w:tcPr>
          <w:p>
            <w:pPr>
              <w:spacing w:after="0"/>
              <w:rPr>
                <w:sz w:val="17"/>
                <w:szCs w:val="17"/>
                <w:color w:val="auto"/>
              </w:rPr>
            </w:pP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31,978</w:t>
            </w:r>
          </w:p>
        </w:tc>
        <w:tc>
          <w:tcPr>
            <w:tcW w:w="280" w:type="dxa"/>
            <w:vAlign w:val="bottom"/>
          </w:tcPr>
          <w:p>
            <w:pPr>
              <w:spacing w:after="0"/>
              <w:rPr>
                <w:sz w:val="17"/>
                <w:szCs w:val="17"/>
                <w:color w:val="auto"/>
              </w:rPr>
            </w:pP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31,832</w:t>
            </w:r>
          </w:p>
        </w:tc>
        <w:tc>
          <w:tcPr>
            <w:tcW w:w="260" w:type="dxa"/>
            <w:vAlign w:val="bottom"/>
          </w:tcPr>
          <w:p>
            <w:pPr>
              <w:spacing w:after="0"/>
              <w:rPr>
                <w:sz w:val="17"/>
                <w:szCs w:val="17"/>
                <w:color w:val="auto"/>
              </w:rPr>
            </w:pPr>
          </w:p>
        </w:tc>
        <w:tc>
          <w:tcPr>
            <w:tcW w:w="10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31,649</w:t>
            </w:r>
          </w:p>
        </w:tc>
        <w:tc>
          <w:tcPr>
            <w:tcW w:w="240" w:type="dxa"/>
            <w:vAlign w:val="bottom"/>
          </w:tcPr>
          <w:p>
            <w:pPr>
              <w:spacing w:after="0"/>
              <w:rPr>
                <w:sz w:val="17"/>
                <w:szCs w:val="17"/>
                <w:color w:val="auto"/>
              </w:rPr>
            </w:pP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31,356</w:t>
            </w:r>
          </w:p>
        </w:tc>
        <w:tc>
          <w:tcPr>
            <w:tcW w:w="0" w:type="dxa"/>
            <w:vAlign w:val="bottom"/>
          </w:tcPr>
          <w:p>
            <w:pPr>
              <w:spacing w:after="0"/>
              <w:rPr>
                <w:sz w:val="1"/>
                <w:szCs w:val="1"/>
                <w:color w:val="auto"/>
              </w:rPr>
            </w:pP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Capital expenditures, including software</w:t>
            </w:r>
          </w:p>
        </w:tc>
        <w:tc>
          <w:tcPr>
            <w:tcW w:w="460" w:type="dxa"/>
            <w:vAlign w:val="bottom"/>
          </w:tcPr>
          <w:p>
            <w:pPr>
              <w:spacing w:after="0"/>
              <w:rPr>
                <w:sz w:val="17"/>
                <w:szCs w:val="17"/>
                <w:color w:val="auto"/>
              </w:rPr>
            </w:pP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78,516</w:t>
            </w:r>
          </w:p>
        </w:tc>
        <w:tc>
          <w:tcPr>
            <w:tcW w:w="280" w:type="dxa"/>
            <w:vAlign w:val="bottom"/>
          </w:tcPr>
          <w:p>
            <w:pPr>
              <w:spacing w:after="0"/>
              <w:rPr>
                <w:sz w:val="17"/>
                <w:szCs w:val="17"/>
                <w:color w:val="auto"/>
              </w:rPr>
            </w:pP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50,595</w:t>
            </w:r>
          </w:p>
        </w:tc>
        <w:tc>
          <w:tcPr>
            <w:tcW w:w="280" w:type="dxa"/>
            <w:vAlign w:val="bottom"/>
          </w:tcPr>
          <w:p>
            <w:pPr>
              <w:spacing w:after="0"/>
              <w:rPr>
                <w:sz w:val="17"/>
                <w:szCs w:val="17"/>
                <w:color w:val="auto"/>
              </w:rPr>
            </w:pP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58,873</w:t>
            </w:r>
          </w:p>
        </w:tc>
        <w:tc>
          <w:tcPr>
            <w:tcW w:w="260" w:type="dxa"/>
            <w:vAlign w:val="bottom"/>
          </w:tcPr>
          <w:p>
            <w:pPr>
              <w:spacing w:after="0"/>
              <w:rPr>
                <w:sz w:val="17"/>
                <w:szCs w:val="17"/>
                <w:color w:val="auto"/>
              </w:rPr>
            </w:pPr>
          </w:p>
        </w:tc>
        <w:tc>
          <w:tcPr>
            <w:tcW w:w="10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64,457</w:t>
            </w:r>
          </w:p>
        </w:tc>
        <w:tc>
          <w:tcPr>
            <w:tcW w:w="240" w:type="dxa"/>
            <w:vAlign w:val="bottom"/>
          </w:tcPr>
          <w:p>
            <w:pPr>
              <w:spacing w:after="0"/>
              <w:rPr>
                <w:sz w:val="17"/>
                <w:szCs w:val="17"/>
                <w:color w:val="auto"/>
              </w:rPr>
            </w:pP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37,207</w:t>
            </w:r>
          </w:p>
        </w:tc>
        <w:tc>
          <w:tcPr>
            <w:tcW w:w="0" w:type="dxa"/>
            <w:vAlign w:val="bottom"/>
          </w:tcPr>
          <w:p>
            <w:pPr>
              <w:spacing w:after="0"/>
              <w:rPr>
                <w:sz w:val="1"/>
                <w:szCs w:val="1"/>
                <w:color w:val="auto"/>
              </w:rPr>
            </w:pPr>
          </w:p>
        </w:tc>
      </w:tr>
      <w:tr>
        <w:trPr>
          <w:trHeight w:val="225"/>
        </w:trPr>
        <w:tc>
          <w:tcPr>
            <w:tcW w:w="4980" w:type="dxa"/>
            <w:vAlign w:val="bottom"/>
          </w:tcPr>
          <w:p>
            <w:pPr>
              <w:spacing w:after="0"/>
              <w:rPr>
                <w:sz w:val="20"/>
                <w:szCs w:val="20"/>
                <w:color w:val="auto"/>
              </w:rPr>
            </w:pPr>
            <w:r>
              <w:rPr>
                <w:rFonts w:ascii="Arial" w:cs="Arial" w:eastAsia="Arial" w:hAnsi="Arial"/>
                <w:sz w:val="18"/>
                <w:szCs w:val="18"/>
                <w:b w:val="1"/>
                <w:bCs w:val="1"/>
                <w:color w:val="auto"/>
              </w:rPr>
              <w:t>Financial position</w:t>
            </w:r>
          </w:p>
        </w:tc>
        <w:tc>
          <w:tcPr>
            <w:tcW w:w="4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181,742</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4980" w:type="dxa"/>
            <w:vAlign w:val="bottom"/>
          </w:tcPr>
          <w:p>
            <w:pPr>
              <w:spacing w:after="0" w:line="181" w:lineRule="exact"/>
              <w:rPr>
                <w:sz w:val="20"/>
                <w:szCs w:val="20"/>
                <w:color w:val="auto"/>
              </w:rPr>
            </w:pPr>
            <w:r>
              <w:rPr>
                <w:rFonts w:ascii="Arial" w:cs="Arial" w:eastAsia="Arial" w:hAnsi="Arial"/>
                <w:sz w:val="18"/>
                <w:szCs w:val="18"/>
                <w:color w:val="auto"/>
              </w:rPr>
              <w:t>Cash</w:t>
            </w:r>
          </w:p>
        </w:tc>
        <w:tc>
          <w:tcPr>
            <w:tcW w:w="46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28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line="181" w:lineRule="exact"/>
              <w:rPr>
                <w:sz w:val="20"/>
                <w:szCs w:val="20"/>
                <w:color w:val="auto"/>
              </w:rPr>
            </w:pPr>
            <w:r>
              <w:rPr>
                <w:rFonts w:ascii="Arial" w:cs="Arial" w:eastAsia="Arial" w:hAnsi="Arial"/>
                <w:sz w:val="18"/>
                <w:szCs w:val="18"/>
                <w:color w:val="auto"/>
              </w:rPr>
              <w:t>185,113</w:t>
            </w:r>
          </w:p>
        </w:tc>
        <w:tc>
          <w:tcPr>
            <w:tcW w:w="28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line="181" w:lineRule="exact"/>
              <w:rPr>
                <w:sz w:val="20"/>
                <w:szCs w:val="20"/>
                <w:color w:val="auto"/>
              </w:rPr>
            </w:pPr>
            <w:r>
              <w:rPr>
                <w:rFonts w:ascii="Arial" w:cs="Arial" w:eastAsia="Arial" w:hAnsi="Arial"/>
                <w:sz w:val="18"/>
                <w:szCs w:val="18"/>
                <w:color w:val="auto"/>
              </w:rPr>
              <w:t>179,802</w:t>
            </w:r>
          </w:p>
        </w:tc>
        <w:tc>
          <w:tcPr>
            <w:tcW w:w="26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50"/>
              <w:spacing w:after="0" w:line="181" w:lineRule="exact"/>
              <w:rPr>
                <w:sz w:val="20"/>
                <w:szCs w:val="20"/>
                <w:color w:val="auto"/>
              </w:rPr>
            </w:pPr>
            <w:r>
              <w:rPr>
                <w:rFonts w:ascii="Arial" w:cs="Arial" w:eastAsia="Arial" w:hAnsi="Arial"/>
                <w:sz w:val="18"/>
                <w:szCs w:val="18"/>
                <w:color w:val="auto"/>
              </w:rPr>
              <w:t>222,666</w:t>
            </w:r>
          </w:p>
        </w:tc>
        <w:tc>
          <w:tcPr>
            <w:tcW w:w="24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line="181" w:lineRule="exact"/>
              <w:rPr>
                <w:sz w:val="20"/>
                <w:szCs w:val="20"/>
                <w:color w:val="auto"/>
              </w:rPr>
            </w:pPr>
            <w:r>
              <w:rPr>
                <w:rFonts w:ascii="Arial" w:cs="Arial" w:eastAsia="Arial" w:hAnsi="Arial"/>
                <w:sz w:val="18"/>
                <w:szCs w:val="18"/>
                <w:color w:val="auto"/>
              </w:rPr>
              <w:t>190,718</w:t>
            </w:r>
          </w:p>
        </w:tc>
        <w:tc>
          <w:tcPr>
            <w:tcW w:w="0" w:type="dxa"/>
            <w:vAlign w:val="bottom"/>
          </w:tcPr>
          <w:p>
            <w:pPr>
              <w:spacing w:after="0"/>
              <w:rPr>
                <w:sz w:val="1"/>
                <w:szCs w:val="1"/>
                <w:color w:val="auto"/>
              </w:rPr>
            </w:pP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Asset held for sale (2)</w:t>
            </w:r>
          </w:p>
        </w:tc>
        <w:tc>
          <w:tcPr>
            <w:tcW w:w="460" w:type="dxa"/>
            <w:vAlign w:val="bottom"/>
          </w:tcPr>
          <w:p>
            <w:pPr>
              <w:spacing w:after="0"/>
              <w:rPr>
                <w:sz w:val="17"/>
                <w:szCs w:val="17"/>
                <w:color w:val="auto"/>
              </w:rPr>
            </w:pP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7"/>
                <w:szCs w:val="17"/>
                <w:color w:val="auto"/>
              </w:rPr>
            </w:pP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4,988</w:t>
            </w:r>
          </w:p>
        </w:tc>
        <w:tc>
          <w:tcPr>
            <w:tcW w:w="280" w:type="dxa"/>
            <w:vAlign w:val="bottom"/>
          </w:tcPr>
          <w:p>
            <w:pPr>
              <w:spacing w:after="0"/>
              <w:rPr>
                <w:sz w:val="17"/>
                <w:szCs w:val="17"/>
                <w:color w:val="auto"/>
              </w:rPr>
            </w:pP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Property, plant and equipment, net  (2)</w:t>
            </w:r>
          </w:p>
        </w:tc>
        <w:tc>
          <w:tcPr>
            <w:tcW w:w="460" w:type="dxa"/>
            <w:vAlign w:val="bottom"/>
          </w:tcPr>
          <w:p>
            <w:pPr>
              <w:spacing w:after="0"/>
              <w:rPr>
                <w:sz w:val="17"/>
                <w:szCs w:val="17"/>
                <w:color w:val="auto"/>
              </w:rPr>
            </w:pP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422,564</w:t>
            </w:r>
          </w:p>
        </w:tc>
        <w:tc>
          <w:tcPr>
            <w:tcW w:w="280" w:type="dxa"/>
            <w:vAlign w:val="bottom"/>
          </w:tcPr>
          <w:p>
            <w:pPr>
              <w:spacing w:after="0"/>
              <w:rPr>
                <w:sz w:val="17"/>
                <w:szCs w:val="17"/>
                <w:color w:val="auto"/>
              </w:rPr>
            </w:pP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357,470</w:t>
            </w:r>
          </w:p>
        </w:tc>
        <w:tc>
          <w:tcPr>
            <w:tcW w:w="280" w:type="dxa"/>
            <w:vAlign w:val="bottom"/>
          </w:tcPr>
          <w:p>
            <w:pPr>
              <w:spacing w:after="0"/>
              <w:rPr>
                <w:sz w:val="17"/>
                <w:szCs w:val="17"/>
                <w:color w:val="auto"/>
              </w:rPr>
            </w:pP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395,113</w:t>
            </w:r>
          </w:p>
        </w:tc>
        <w:tc>
          <w:tcPr>
            <w:tcW w:w="260" w:type="dxa"/>
            <w:vAlign w:val="bottom"/>
          </w:tcPr>
          <w:p>
            <w:pPr>
              <w:spacing w:after="0"/>
              <w:rPr>
                <w:sz w:val="17"/>
                <w:szCs w:val="17"/>
                <w:color w:val="auto"/>
              </w:rPr>
            </w:pPr>
          </w:p>
        </w:tc>
        <w:tc>
          <w:tcPr>
            <w:tcW w:w="10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418,830</w:t>
            </w:r>
          </w:p>
        </w:tc>
        <w:tc>
          <w:tcPr>
            <w:tcW w:w="240" w:type="dxa"/>
            <w:vAlign w:val="bottom"/>
          </w:tcPr>
          <w:p>
            <w:pPr>
              <w:spacing w:after="0"/>
              <w:rPr>
                <w:sz w:val="17"/>
                <w:szCs w:val="17"/>
                <w:color w:val="auto"/>
              </w:rPr>
            </w:pP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420,154</w:t>
            </w:r>
          </w:p>
        </w:tc>
        <w:tc>
          <w:tcPr>
            <w:tcW w:w="0" w:type="dxa"/>
            <w:vAlign w:val="bottom"/>
          </w:tcPr>
          <w:p>
            <w:pPr>
              <w:spacing w:after="0"/>
              <w:rPr>
                <w:sz w:val="1"/>
                <w:szCs w:val="1"/>
                <w:color w:val="auto"/>
              </w:rPr>
            </w:pP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Total assets (7)</w:t>
            </w:r>
          </w:p>
        </w:tc>
        <w:tc>
          <w:tcPr>
            <w:tcW w:w="460" w:type="dxa"/>
            <w:vAlign w:val="bottom"/>
          </w:tcPr>
          <w:p>
            <w:pPr>
              <w:spacing w:after="0"/>
              <w:rPr>
                <w:sz w:val="17"/>
                <w:szCs w:val="17"/>
                <w:color w:val="auto"/>
              </w:rPr>
            </w:pP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1,263,433</w:t>
            </w:r>
          </w:p>
        </w:tc>
        <w:tc>
          <w:tcPr>
            <w:tcW w:w="280" w:type="dxa"/>
            <w:vAlign w:val="bottom"/>
          </w:tcPr>
          <w:p>
            <w:pPr>
              <w:spacing w:after="0"/>
              <w:rPr>
                <w:sz w:val="17"/>
                <w:szCs w:val="17"/>
                <w:color w:val="auto"/>
              </w:rPr>
            </w:pP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1,009,562</w:t>
            </w:r>
          </w:p>
        </w:tc>
        <w:tc>
          <w:tcPr>
            <w:tcW w:w="280" w:type="dxa"/>
            <w:vAlign w:val="bottom"/>
          </w:tcPr>
          <w:p>
            <w:pPr>
              <w:spacing w:after="0"/>
              <w:rPr>
                <w:sz w:val="17"/>
                <w:szCs w:val="17"/>
                <w:color w:val="auto"/>
              </w:rPr>
            </w:pP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1,029,304</w:t>
            </w:r>
          </w:p>
        </w:tc>
        <w:tc>
          <w:tcPr>
            <w:tcW w:w="260" w:type="dxa"/>
            <w:vAlign w:val="bottom"/>
          </w:tcPr>
          <w:p>
            <w:pPr>
              <w:spacing w:after="0"/>
              <w:rPr>
                <w:sz w:val="17"/>
                <w:szCs w:val="17"/>
                <w:color w:val="auto"/>
              </w:rPr>
            </w:pPr>
          </w:p>
        </w:tc>
        <w:tc>
          <w:tcPr>
            <w:tcW w:w="10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1,126,157</w:t>
            </w:r>
          </w:p>
        </w:tc>
        <w:tc>
          <w:tcPr>
            <w:tcW w:w="240" w:type="dxa"/>
            <w:vAlign w:val="bottom"/>
          </w:tcPr>
          <w:p>
            <w:pPr>
              <w:spacing w:after="0"/>
              <w:rPr>
                <w:sz w:val="17"/>
                <w:szCs w:val="17"/>
                <w:color w:val="auto"/>
              </w:rPr>
            </w:pP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1,117,691</w:t>
            </w:r>
          </w:p>
        </w:tc>
        <w:tc>
          <w:tcPr>
            <w:tcW w:w="0" w:type="dxa"/>
            <w:vAlign w:val="bottom"/>
          </w:tcPr>
          <w:p>
            <w:pPr>
              <w:spacing w:after="0"/>
              <w:rPr>
                <w:sz w:val="1"/>
                <w:szCs w:val="1"/>
                <w:color w:val="auto"/>
              </w:rPr>
            </w:pP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Current liabilities (3)</w:t>
            </w:r>
          </w:p>
        </w:tc>
        <w:tc>
          <w:tcPr>
            <w:tcW w:w="460" w:type="dxa"/>
            <w:vAlign w:val="bottom"/>
          </w:tcPr>
          <w:p>
            <w:pPr>
              <w:spacing w:after="0"/>
              <w:rPr>
                <w:sz w:val="17"/>
                <w:szCs w:val="17"/>
                <w:color w:val="auto"/>
              </w:rPr>
            </w:pP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200,009</w:t>
            </w:r>
          </w:p>
        </w:tc>
        <w:tc>
          <w:tcPr>
            <w:tcW w:w="280" w:type="dxa"/>
            <w:vAlign w:val="bottom"/>
          </w:tcPr>
          <w:p>
            <w:pPr>
              <w:spacing w:after="0"/>
              <w:rPr>
                <w:sz w:val="17"/>
                <w:szCs w:val="17"/>
                <w:color w:val="auto"/>
              </w:rPr>
            </w:pP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126,231</w:t>
            </w:r>
          </w:p>
        </w:tc>
        <w:tc>
          <w:tcPr>
            <w:tcW w:w="280" w:type="dxa"/>
            <w:vAlign w:val="bottom"/>
          </w:tcPr>
          <w:p>
            <w:pPr>
              <w:spacing w:after="0"/>
              <w:rPr>
                <w:sz w:val="17"/>
                <w:szCs w:val="17"/>
                <w:color w:val="auto"/>
              </w:rPr>
            </w:pP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183,398</w:t>
            </w:r>
          </w:p>
        </w:tc>
        <w:tc>
          <w:tcPr>
            <w:tcW w:w="260" w:type="dxa"/>
            <w:vAlign w:val="bottom"/>
          </w:tcPr>
          <w:p>
            <w:pPr>
              <w:spacing w:after="0"/>
              <w:rPr>
                <w:sz w:val="17"/>
                <w:szCs w:val="17"/>
                <w:color w:val="auto"/>
              </w:rPr>
            </w:pPr>
          </w:p>
        </w:tc>
        <w:tc>
          <w:tcPr>
            <w:tcW w:w="10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157,546</w:t>
            </w:r>
          </w:p>
        </w:tc>
        <w:tc>
          <w:tcPr>
            <w:tcW w:w="240" w:type="dxa"/>
            <w:vAlign w:val="bottom"/>
          </w:tcPr>
          <w:p>
            <w:pPr>
              <w:spacing w:after="0"/>
              <w:rPr>
                <w:sz w:val="17"/>
                <w:szCs w:val="17"/>
                <w:color w:val="auto"/>
              </w:rPr>
            </w:pP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234,120</w:t>
            </w:r>
          </w:p>
        </w:tc>
        <w:tc>
          <w:tcPr>
            <w:tcW w:w="0" w:type="dxa"/>
            <w:vAlign w:val="bottom"/>
          </w:tcPr>
          <w:p>
            <w:pPr>
              <w:spacing w:after="0"/>
              <w:rPr>
                <w:sz w:val="1"/>
                <w:szCs w:val="1"/>
                <w:color w:val="auto"/>
              </w:rPr>
            </w:pP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Long-term debt</w:t>
            </w:r>
          </w:p>
        </w:tc>
        <w:tc>
          <w:tcPr>
            <w:tcW w:w="460" w:type="dxa"/>
            <w:vAlign w:val="bottom"/>
          </w:tcPr>
          <w:p>
            <w:pPr>
              <w:spacing w:after="0"/>
              <w:rPr>
                <w:sz w:val="17"/>
                <w:szCs w:val="17"/>
                <w:color w:val="auto"/>
              </w:rPr>
            </w:pP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432,918</w:t>
            </w:r>
          </w:p>
        </w:tc>
        <w:tc>
          <w:tcPr>
            <w:tcW w:w="280" w:type="dxa"/>
            <w:vAlign w:val="bottom"/>
          </w:tcPr>
          <w:p>
            <w:pPr>
              <w:spacing w:after="0"/>
              <w:rPr>
                <w:sz w:val="17"/>
                <w:szCs w:val="17"/>
                <w:color w:val="auto"/>
              </w:rPr>
            </w:pP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265,080</w:t>
            </w:r>
          </w:p>
        </w:tc>
        <w:tc>
          <w:tcPr>
            <w:tcW w:w="280" w:type="dxa"/>
            <w:vAlign w:val="bottom"/>
          </w:tcPr>
          <w:p>
            <w:pPr>
              <w:spacing w:after="0"/>
              <w:rPr>
                <w:sz w:val="17"/>
                <w:szCs w:val="17"/>
                <w:color w:val="auto"/>
              </w:rPr>
            </w:pP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222,096</w:t>
            </w:r>
          </w:p>
        </w:tc>
        <w:tc>
          <w:tcPr>
            <w:tcW w:w="260" w:type="dxa"/>
            <w:vAlign w:val="bottom"/>
          </w:tcPr>
          <w:p>
            <w:pPr>
              <w:spacing w:after="0"/>
              <w:rPr>
                <w:sz w:val="17"/>
                <w:szCs w:val="17"/>
                <w:color w:val="auto"/>
              </w:rPr>
            </w:pPr>
          </w:p>
        </w:tc>
        <w:tc>
          <w:tcPr>
            <w:tcW w:w="10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300,111</w:t>
            </w:r>
          </w:p>
        </w:tc>
        <w:tc>
          <w:tcPr>
            <w:tcW w:w="240" w:type="dxa"/>
            <w:vAlign w:val="bottom"/>
          </w:tcPr>
          <w:p>
            <w:pPr>
              <w:spacing w:after="0"/>
              <w:rPr>
                <w:sz w:val="17"/>
                <w:szCs w:val="17"/>
                <w:color w:val="auto"/>
              </w:rPr>
            </w:pP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235,877</w:t>
            </w:r>
          </w:p>
        </w:tc>
        <w:tc>
          <w:tcPr>
            <w:tcW w:w="0" w:type="dxa"/>
            <w:vAlign w:val="bottom"/>
          </w:tcPr>
          <w:p>
            <w:pPr>
              <w:spacing w:after="0"/>
              <w:rPr>
                <w:sz w:val="1"/>
                <w:szCs w:val="1"/>
                <w:color w:val="auto"/>
              </w:rPr>
            </w:pP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Total noncurrent liabilities (3)</w:t>
            </w:r>
          </w:p>
        </w:tc>
        <w:tc>
          <w:tcPr>
            <w:tcW w:w="460" w:type="dxa"/>
            <w:vAlign w:val="bottom"/>
          </w:tcPr>
          <w:p>
            <w:pPr>
              <w:spacing w:after="0"/>
              <w:rPr>
                <w:sz w:val="17"/>
                <w:szCs w:val="17"/>
                <w:color w:val="auto"/>
              </w:rPr>
            </w:pP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552,134</w:t>
            </w:r>
          </w:p>
        </w:tc>
        <w:tc>
          <w:tcPr>
            <w:tcW w:w="280" w:type="dxa"/>
            <w:vAlign w:val="bottom"/>
          </w:tcPr>
          <w:p>
            <w:pPr>
              <w:spacing w:after="0"/>
              <w:rPr>
                <w:sz w:val="17"/>
                <w:szCs w:val="17"/>
                <w:color w:val="auto"/>
              </w:rPr>
            </w:pP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380,778</w:t>
            </w:r>
          </w:p>
        </w:tc>
        <w:tc>
          <w:tcPr>
            <w:tcW w:w="280" w:type="dxa"/>
            <w:vAlign w:val="bottom"/>
          </w:tcPr>
          <w:p>
            <w:pPr>
              <w:spacing w:after="0"/>
              <w:rPr>
                <w:sz w:val="17"/>
                <w:szCs w:val="17"/>
                <w:color w:val="auto"/>
              </w:rPr>
            </w:pP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332,338</w:t>
            </w:r>
          </w:p>
        </w:tc>
        <w:tc>
          <w:tcPr>
            <w:tcW w:w="260" w:type="dxa"/>
            <w:vAlign w:val="bottom"/>
          </w:tcPr>
          <w:p>
            <w:pPr>
              <w:spacing w:after="0"/>
              <w:rPr>
                <w:sz w:val="17"/>
                <w:szCs w:val="17"/>
                <w:color w:val="auto"/>
              </w:rPr>
            </w:pPr>
          </w:p>
        </w:tc>
        <w:tc>
          <w:tcPr>
            <w:tcW w:w="10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420,832</w:t>
            </w:r>
          </w:p>
        </w:tc>
        <w:tc>
          <w:tcPr>
            <w:tcW w:w="240" w:type="dxa"/>
            <w:vAlign w:val="bottom"/>
          </w:tcPr>
          <w:p>
            <w:pPr>
              <w:spacing w:after="0"/>
              <w:rPr>
                <w:sz w:val="17"/>
                <w:szCs w:val="17"/>
                <w:color w:val="auto"/>
              </w:rPr>
            </w:pP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390,060</w:t>
            </w:r>
          </w:p>
        </w:tc>
        <w:tc>
          <w:tcPr>
            <w:tcW w:w="0" w:type="dxa"/>
            <w:vAlign w:val="bottom"/>
          </w:tcPr>
          <w:p>
            <w:pPr>
              <w:spacing w:after="0"/>
              <w:rPr>
                <w:sz w:val="1"/>
                <w:szCs w:val="1"/>
                <w:color w:val="auto"/>
              </w:rPr>
            </w:pP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Total liabilities (7)</w:t>
            </w:r>
          </w:p>
        </w:tc>
        <w:tc>
          <w:tcPr>
            <w:tcW w:w="460" w:type="dxa"/>
            <w:vAlign w:val="bottom"/>
          </w:tcPr>
          <w:p>
            <w:pPr>
              <w:spacing w:after="0"/>
              <w:rPr>
                <w:sz w:val="17"/>
                <w:szCs w:val="17"/>
                <w:color w:val="auto"/>
              </w:rPr>
            </w:pP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752,143</w:t>
            </w:r>
          </w:p>
        </w:tc>
        <w:tc>
          <w:tcPr>
            <w:tcW w:w="280" w:type="dxa"/>
            <w:vAlign w:val="bottom"/>
          </w:tcPr>
          <w:p>
            <w:pPr>
              <w:spacing w:after="0"/>
              <w:rPr>
                <w:sz w:val="17"/>
                <w:szCs w:val="17"/>
                <w:color w:val="auto"/>
              </w:rPr>
            </w:pP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507,009</w:t>
            </w:r>
          </w:p>
        </w:tc>
        <w:tc>
          <w:tcPr>
            <w:tcW w:w="280" w:type="dxa"/>
            <w:vAlign w:val="bottom"/>
          </w:tcPr>
          <w:p>
            <w:pPr>
              <w:spacing w:after="0"/>
              <w:rPr>
                <w:sz w:val="17"/>
                <w:szCs w:val="17"/>
                <w:color w:val="auto"/>
              </w:rPr>
            </w:pP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515,736</w:t>
            </w:r>
          </w:p>
        </w:tc>
        <w:tc>
          <w:tcPr>
            <w:tcW w:w="260" w:type="dxa"/>
            <w:vAlign w:val="bottom"/>
          </w:tcPr>
          <w:p>
            <w:pPr>
              <w:spacing w:after="0"/>
              <w:rPr>
                <w:sz w:val="17"/>
                <w:szCs w:val="17"/>
                <w:color w:val="auto"/>
              </w:rPr>
            </w:pPr>
          </w:p>
        </w:tc>
        <w:tc>
          <w:tcPr>
            <w:tcW w:w="10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578,378</w:t>
            </w:r>
          </w:p>
        </w:tc>
        <w:tc>
          <w:tcPr>
            <w:tcW w:w="240" w:type="dxa"/>
            <w:vAlign w:val="bottom"/>
          </w:tcPr>
          <w:p>
            <w:pPr>
              <w:spacing w:after="0"/>
              <w:rPr>
                <w:sz w:val="17"/>
                <w:szCs w:val="17"/>
                <w:color w:val="auto"/>
              </w:rPr>
            </w:pP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624,180</w:t>
            </w:r>
          </w:p>
        </w:tc>
        <w:tc>
          <w:tcPr>
            <w:tcW w:w="0" w:type="dxa"/>
            <w:vAlign w:val="bottom"/>
          </w:tcPr>
          <w:p>
            <w:pPr>
              <w:spacing w:after="0"/>
              <w:rPr>
                <w:sz w:val="1"/>
                <w:szCs w:val="1"/>
                <w:color w:val="auto"/>
              </w:rPr>
            </w:pPr>
          </w:p>
        </w:tc>
      </w:tr>
      <w:tr>
        <w:trPr>
          <w:trHeight w:val="239"/>
        </w:trPr>
        <w:tc>
          <w:tcPr>
            <w:tcW w:w="4980" w:type="dxa"/>
            <w:vAlign w:val="bottom"/>
          </w:tcPr>
          <w:p>
            <w:pPr>
              <w:spacing w:after="0"/>
              <w:rPr>
                <w:sz w:val="20"/>
                <w:szCs w:val="20"/>
                <w:color w:val="auto"/>
              </w:rPr>
            </w:pPr>
            <w:r>
              <w:rPr>
                <w:rFonts w:ascii="Arial" w:cs="Arial" w:eastAsia="Arial" w:hAnsi="Arial"/>
                <w:sz w:val="18"/>
                <w:szCs w:val="18"/>
                <w:color w:val="auto"/>
              </w:rPr>
              <w:t>Total equity (6)</w:t>
            </w:r>
          </w:p>
        </w:tc>
        <w:tc>
          <w:tcPr>
            <w:tcW w:w="46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511,290</w:t>
            </w:r>
          </w:p>
        </w:tc>
        <w:tc>
          <w:tcPr>
            <w:tcW w:w="28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502,553</w:t>
            </w:r>
          </w:p>
        </w:tc>
        <w:tc>
          <w:tcPr>
            <w:tcW w:w="2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513,568</w:t>
            </w:r>
          </w:p>
        </w:tc>
        <w:tc>
          <w:tcPr>
            <w:tcW w:w="26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547,779</w:t>
            </w:r>
          </w:p>
        </w:tc>
        <w:tc>
          <w:tcPr>
            <w:tcW w:w="24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493,511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220" w:hanging="652"/>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2016, we acquired the outstanding shares of Harris Corporation’s composite aerostructures business for cash of $187 million, plus the assumption of certain liabilities. The table above includes operational results from April 8, 2016 to December 31, 2016.</w:t>
      </w:r>
    </w:p>
    <w:p>
      <w:pPr>
        <w:spacing w:after="0" w:line="1" w:lineRule="exact"/>
        <w:rPr>
          <w:rFonts w:ascii="Arial" w:cs="Arial" w:eastAsia="Arial" w:hAnsi="Arial"/>
          <w:sz w:val="18"/>
          <w:szCs w:val="18"/>
          <w:color w:val="auto"/>
        </w:rPr>
      </w:pPr>
    </w:p>
    <w:p>
      <w:pPr>
        <w:ind w:left="660" w:right="10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2015, the Company discontinued operations at its press fabric manufacturing facility in Germany, and recorded a charge of $3.3 million related to the write down of the land and building to their estimated fair market value. This asset was reclassified from Property, plant, and equipment to Asset held for sale.</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23" w:name="page24"/>
    <w:bookmarkEnd w:id="23"/>
    <w:p>
      <w:pPr>
        <w:ind w:left="660" w:right="140" w:hanging="652"/>
        <w:spacing w:after="0" w:line="23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2015, the Company adopted the provisions of ASU 2015-17 using the prospective transition method. As further described in Note 7 of Notes to Financial Statements, the amount of assets and liabilities is affected by the adoption of this standard.</w:t>
      </w:r>
    </w:p>
    <w:p>
      <w:pPr>
        <w:jc w:val="both"/>
        <w:ind w:left="660" w:right="160" w:hanging="652"/>
        <w:spacing w:after="0" w:line="23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2014, we took action to settle certain pension plan liabilities in the United States which led to charges totaling $8.2 million. In 2012, we took action to settle certain pension plan liabilities in the United States, Canada, and Sweden which led to charges totaling $119.7 million.</w:t>
      </w:r>
    </w:p>
    <w:p>
      <w:pPr>
        <w:spacing w:after="0" w:line="2" w:lineRule="exact"/>
        <w:rPr>
          <w:rFonts w:ascii="Arial" w:cs="Arial" w:eastAsia="Arial" w:hAnsi="Arial"/>
          <w:sz w:val="18"/>
          <w:szCs w:val="18"/>
          <w:color w:val="auto"/>
        </w:rPr>
      </w:pPr>
    </w:p>
    <w:p>
      <w:pPr>
        <w:ind w:left="660" w:right="760" w:hanging="652"/>
        <w:spacing w:after="0" w:line="23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During the period 2012 through 2016, we recorded restructuring charges related to organizational changes and cost reduction initiatives.</w:t>
      </w:r>
    </w:p>
    <w:p>
      <w:pPr>
        <w:spacing w:after="0" w:line="1" w:lineRule="exact"/>
        <w:rPr>
          <w:rFonts w:ascii="Arial" w:cs="Arial" w:eastAsia="Arial" w:hAnsi="Arial"/>
          <w:sz w:val="18"/>
          <w:szCs w:val="18"/>
          <w:color w:val="auto"/>
        </w:rPr>
      </w:pPr>
    </w:p>
    <w:p>
      <w:pPr>
        <w:ind w:left="660" w:right="480" w:hanging="652"/>
        <w:spacing w:after="0" w:line="23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2013, Safran S.A. obtained a 10% noncontrolling equity interest in Albany Safran Composites, LLC (ASC) resulting in an $18.9 million increase in Shareholders’ equity.</w:t>
      </w:r>
    </w:p>
    <w:p>
      <w:pPr>
        <w:spacing w:after="0" w:line="1" w:lineRule="exact"/>
        <w:rPr>
          <w:rFonts w:ascii="Arial" w:cs="Arial" w:eastAsia="Arial" w:hAnsi="Arial"/>
          <w:sz w:val="18"/>
          <w:szCs w:val="18"/>
          <w:color w:val="auto"/>
        </w:rPr>
      </w:pPr>
    </w:p>
    <w:p>
      <w:pPr>
        <w:ind w:left="660" w:right="22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2012, we sold our Albany Door Systems and PrimaLoft Products businesses resulting in a pre-tax gain of $92.3 million. Previously reported data for net sales, cost of goods sold, operating income, assets and liabilities for years prior to 2012 have been adjusted to reflect only the activity from continuing operations.</w:t>
      </w: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24" w:name="page25"/>
    <w:bookmarkEnd w:id="24"/>
    <w:p>
      <w:pPr>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79" w:lineRule="exact"/>
        <w:rPr>
          <w:sz w:val="20"/>
          <w:szCs w:val="20"/>
          <w:color w:val="auto"/>
        </w:rPr>
      </w:pPr>
    </w:p>
    <w:p>
      <w:pPr>
        <w:ind w:right="420" w:firstLine="648"/>
        <w:spacing w:after="0"/>
        <w:rPr>
          <w:sz w:val="20"/>
          <w:szCs w:val="20"/>
          <w:color w:val="auto"/>
        </w:rPr>
      </w:pPr>
      <w:r>
        <w:rPr>
          <w:rFonts w:ascii="Arial" w:cs="Arial" w:eastAsia="Arial" w:hAnsi="Arial"/>
          <w:sz w:val="18"/>
          <w:szCs w:val="18"/>
          <w:color w:val="auto"/>
        </w:rPr>
        <w:t>Management’s Discussion and Analysis (“MD&amp;A”) is intended to help the reader understand the results of operations and financial condition of the Company. MD&amp;A is provided as a supplement to, and should be read in conjunction with, our Consolidated Financial Statements and the accompanying Notes.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Overview and Trends</w:t>
      </w:r>
    </w:p>
    <w:p>
      <w:pPr>
        <w:spacing w:after="0" w:line="207"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Our reportable segments, Machine Clothing (MC) and Albany Engineered Composites (AEC) draw on the same advanced textiles and materials processing capabilities, and compete on the basis of proprietary, product-based advantage that is grounded in those core capabilities.</w:t>
      </w:r>
    </w:p>
    <w:p>
      <w:pPr>
        <w:spacing w:after="0" w:line="156"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The Machine Clothing segment is the Company’s long-established core business and primary generator of cash. While it has suffered from well-documented declines in publication grades in the Company’s traditional markets, the paper and paperboard industry is still expected to grow slightly on a global basis, driven by demand for packaging and tissue grades, as well as the expansion of paper consumption and production in Asia and South America. We feel we are now well-positioned in these markets, with high-quality, low-cost production in growth markets, substantially lower fixed costs in mature markets, and continued strength in new product development, technical product support, and manufacturing technology. Because of pricing pressures and industry overcapacity, the machine clothing and paper industries will continue to face top line pressure. Nonetheless, the business retains the potential for maintaining flat earnings in the future. It has been a significant generator of cash, and we seek to maintain the cash-generating potential of this business by maintaining the low costs that we achieved through restructuring, and competing vigorously by using our differentiated and technically superior products to reduce our customers’ total cost of operation and improve their paper quality.</w:t>
      </w:r>
    </w:p>
    <w:p>
      <w:pPr>
        <w:spacing w:after="0" w:line="166"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The AEC segment provides significant growth potential for our Company both near and long term. Our strategy is to grow by focusing our proprietary 3D-woven technology, as well as our conventional non-3D technology, on high-value aerospace and defense applications, while at the same time performing successfully on our portfolio of growth programs. AEC (including Albany Safran Composites, LLC (“ASC”), in which our customer SAFRAN Group owns a 10 percent noncontrolling interest) supplies a number of customers in the aerospace industry. AEC’s largest aerospace customer is the SAFRAN Group and sales to SAFRAN accounted for approximately 11% of the Company’s consolidated net sales in 2016. Through ASC, AEC develops and sells 3D-woven composite aerospace components to SAFRAN, with the most significant program at present being the production of fan blades and other components for the LEAP engine. AEC (through ASC) also supplies 3D-woven composite fan cases for the GE9X engine. AEC’s current portfolio of non-3D programs includes components for the F-35 Joint Strike Fighter, fuselage components for the Boeing 787, components for the CH -53K helicopter, vacuum waste tanks for Boeing 7-Series aircraft, and missile bodies for Lockheed Martin’s JASSM air-to-surface missiles. AEC is actively engaged in research to develop new applications in the aircraft engine, airframes, and automotive markets.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93" w:lineRule="exact"/>
        <w:rPr>
          <w:sz w:val="20"/>
          <w:szCs w:val="20"/>
          <w:color w:val="auto"/>
        </w:rPr>
      </w:pPr>
    </w:p>
    <w:p>
      <w:pPr>
        <w:ind w:right="300" w:firstLine="648"/>
        <w:spacing w:after="0" w:line="239" w:lineRule="auto"/>
        <w:rPr>
          <w:sz w:val="20"/>
          <w:szCs w:val="20"/>
          <w:color w:val="auto"/>
        </w:rPr>
      </w:pPr>
      <w:r>
        <w:rPr>
          <w:rFonts w:ascii="Arial" w:cs="Arial" w:eastAsia="Arial" w:hAnsi="Arial"/>
          <w:sz w:val="18"/>
          <w:szCs w:val="18"/>
          <w:color w:val="auto"/>
        </w:rPr>
        <w:t>On April 8, 2016, the Company acquired the outstanding shares of Harris Corporation’s composite aerostructures business for $187 million in cash, plus the assumption of certain liabilities. The acquired entity is part of the AEC segment. Management believes that the acquisition broadens and deepens AEC’s products, experience and manufacturing capabilities, and significantly increases opportunities for future growth.</w:t>
      </w: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5" w:name="page26"/>
    <w:bookmarkEnd w:id="25"/>
    <w:p>
      <w:pPr>
        <w:ind w:left="660"/>
        <w:spacing w:after="0"/>
        <w:rPr>
          <w:sz w:val="20"/>
          <w:szCs w:val="20"/>
          <w:color w:val="auto"/>
        </w:rPr>
      </w:pPr>
      <w:r>
        <w:rPr>
          <w:rFonts w:ascii="Arial" w:cs="Arial" w:eastAsia="Arial" w:hAnsi="Arial"/>
          <w:sz w:val="18"/>
          <w:szCs w:val="18"/>
          <w:color w:val="auto"/>
        </w:rPr>
        <w:t>The following table presents operational results of the acquired entity that are included in the Consolidated Statements of Income: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640" w:type="dxa"/>
            <w:vAlign w:val="bottom"/>
            <w:tcBorders>
              <w:top w:val="single" w:sz="8" w:color="auto"/>
            </w:tcBorders>
          </w:tcPr>
          <w:p>
            <w:pPr>
              <w:spacing w:after="0"/>
              <w:rPr>
                <w:sz w:val="16"/>
                <w:szCs w:val="16"/>
                <w:color w:val="auto"/>
              </w:rPr>
            </w:pPr>
          </w:p>
        </w:tc>
        <w:tc>
          <w:tcPr>
            <w:tcW w:w="5780" w:type="dxa"/>
            <w:vAlign w:val="bottom"/>
            <w:tcBorders>
              <w:top w:val="single" w:sz="8" w:color="auto"/>
            </w:tcBorders>
          </w:tcPr>
          <w:p>
            <w:pPr>
              <w:ind w:left="4300"/>
              <w:spacing w:after="0" w:line="194" w:lineRule="exact"/>
              <w:rPr>
                <w:sz w:val="20"/>
                <w:szCs w:val="20"/>
                <w:color w:val="auto"/>
              </w:rPr>
            </w:pPr>
            <w:r>
              <w:rPr>
                <w:rFonts w:ascii="Arial" w:cs="Arial" w:eastAsia="Arial" w:hAnsi="Arial"/>
                <w:sz w:val="18"/>
                <w:szCs w:val="18"/>
                <w:b w:val="1"/>
                <w:bCs w:val="1"/>
                <w:color w:val="auto"/>
              </w:rPr>
              <w:t>April 8 to</w:t>
            </w:r>
          </w:p>
        </w:tc>
      </w:tr>
      <w:tr>
        <w:trPr>
          <w:trHeight w:val="203"/>
        </w:trPr>
        <w:tc>
          <w:tcPr>
            <w:tcW w:w="5640" w:type="dxa"/>
            <w:vAlign w:val="bottom"/>
          </w:tcPr>
          <w:p>
            <w:pPr>
              <w:spacing w:after="0"/>
              <w:rPr>
                <w:sz w:val="17"/>
                <w:szCs w:val="17"/>
                <w:color w:val="auto"/>
              </w:rPr>
            </w:pPr>
          </w:p>
        </w:tc>
        <w:tc>
          <w:tcPr>
            <w:tcW w:w="5780" w:type="dxa"/>
            <w:vAlign w:val="bottom"/>
          </w:tcPr>
          <w:p>
            <w:pPr>
              <w:ind w:left="4300"/>
              <w:spacing w:after="0" w:line="202" w:lineRule="exact"/>
              <w:rPr>
                <w:sz w:val="20"/>
                <w:szCs w:val="20"/>
                <w:color w:val="auto"/>
              </w:rPr>
            </w:pPr>
            <w:r>
              <w:rPr>
                <w:rFonts w:ascii="Arial" w:cs="Arial" w:eastAsia="Arial" w:hAnsi="Arial"/>
                <w:sz w:val="18"/>
                <w:szCs w:val="18"/>
                <w:b w:val="1"/>
                <w:bCs w:val="1"/>
                <w:color w:val="auto"/>
              </w:rPr>
              <w:t>December 31,</w:t>
            </w:r>
          </w:p>
        </w:tc>
      </w:tr>
      <w:tr>
        <w:trPr>
          <w:trHeight w:val="225"/>
        </w:trPr>
        <w:tc>
          <w:tcPr>
            <w:tcW w:w="5640" w:type="dxa"/>
            <w:vAlign w:val="bottom"/>
          </w:tcPr>
          <w:p>
            <w:pPr>
              <w:ind w:left="80"/>
              <w:spacing w:after="0"/>
              <w:rPr>
                <w:sz w:val="20"/>
                <w:szCs w:val="20"/>
                <w:color w:val="auto"/>
              </w:rPr>
            </w:pPr>
            <w:r>
              <w:rPr>
                <w:rFonts w:ascii="Arial" w:cs="Arial" w:eastAsia="Arial" w:hAnsi="Arial"/>
                <w:sz w:val="18"/>
                <w:szCs w:val="18"/>
                <w:b w:val="1"/>
                <w:bCs w:val="1"/>
                <w:color w:val="auto"/>
              </w:rPr>
              <w:t>(in thousands)</w:t>
            </w:r>
          </w:p>
        </w:tc>
        <w:tc>
          <w:tcPr>
            <w:tcW w:w="5780" w:type="dxa"/>
            <w:vAlign w:val="bottom"/>
          </w:tcPr>
          <w:p>
            <w:pPr>
              <w:ind w:left="4300"/>
              <w:spacing w:after="0"/>
              <w:rPr>
                <w:sz w:val="20"/>
                <w:szCs w:val="20"/>
                <w:color w:val="auto"/>
              </w:rPr>
            </w:pPr>
            <w:r>
              <w:rPr>
                <w:rFonts w:ascii="Arial" w:cs="Arial" w:eastAsia="Arial" w:hAnsi="Arial"/>
                <w:sz w:val="18"/>
                <w:szCs w:val="18"/>
                <w:b w:val="1"/>
                <w:bCs w:val="1"/>
                <w:color w:val="auto"/>
              </w:rPr>
              <w:t>2016</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6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Net sales</w:t>
            </w:r>
          </w:p>
        </w:tc>
        <w:tc>
          <w:tcPr>
            <w:tcW w:w="1000" w:type="dxa"/>
            <w:vAlign w:val="bottom"/>
            <w:tcBorders>
              <w:top w:val="single" w:sz="8" w:color="auto"/>
            </w:tcBorders>
          </w:tcPr>
          <w:p>
            <w:pPr>
              <w:spacing w:after="0"/>
              <w:rPr>
                <w:sz w:val="16"/>
                <w:szCs w:val="16"/>
                <w:color w:val="auto"/>
              </w:rPr>
            </w:pPr>
          </w:p>
        </w:tc>
        <w:tc>
          <w:tcPr>
            <w:tcW w:w="3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$67,011</w:t>
            </w:r>
          </w:p>
        </w:tc>
      </w:tr>
      <w:tr>
        <w:trPr>
          <w:trHeight w:val="203"/>
        </w:trPr>
        <w:tc>
          <w:tcPr>
            <w:tcW w:w="6260" w:type="dxa"/>
            <w:vAlign w:val="bottom"/>
          </w:tcPr>
          <w:p>
            <w:pPr>
              <w:ind w:left="100"/>
              <w:spacing w:after="0" w:line="202" w:lineRule="exact"/>
              <w:rPr>
                <w:sz w:val="20"/>
                <w:szCs w:val="20"/>
                <w:color w:val="auto"/>
              </w:rPr>
            </w:pPr>
            <w:r>
              <w:rPr>
                <w:rFonts w:ascii="Arial" w:cs="Arial" w:eastAsia="Arial" w:hAnsi="Arial"/>
                <w:sz w:val="18"/>
                <w:szCs w:val="18"/>
                <w:color w:val="auto"/>
              </w:rPr>
              <w:t>Gross profit</w:t>
            </w:r>
          </w:p>
        </w:tc>
        <w:tc>
          <w:tcPr>
            <w:tcW w:w="100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9,375</w:t>
            </w:r>
          </w:p>
        </w:tc>
      </w:tr>
      <w:tr>
        <w:trPr>
          <w:trHeight w:val="203"/>
        </w:trPr>
        <w:tc>
          <w:tcPr>
            <w:tcW w:w="6260" w:type="dxa"/>
            <w:vAlign w:val="bottom"/>
          </w:tcPr>
          <w:p>
            <w:pPr>
              <w:ind w:left="100"/>
              <w:spacing w:after="0" w:line="202" w:lineRule="exact"/>
              <w:rPr>
                <w:sz w:val="20"/>
                <w:szCs w:val="20"/>
                <w:color w:val="auto"/>
              </w:rPr>
            </w:pPr>
            <w:r>
              <w:rPr>
                <w:rFonts w:ascii="Arial" w:cs="Arial" w:eastAsia="Arial" w:hAnsi="Arial"/>
                <w:sz w:val="18"/>
                <w:szCs w:val="18"/>
                <w:color w:val="auto"/>
              </w:rPr>
              <w:t>Selling, technical, general and research expenses</w:t>
            </w:r>
          </w:p>
        </w:tc>
        <w:tc>
          <w:tcPr>
            <w:tcW w:w="100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10,310</w:t>
            </w:r>
          </w:p>
        </w:tc>
      </w:tr>
      <w:tr>
        <w:trPr>
          <w:trHeight w:val="203"/>
        </w:trPr>
        <w:tc>
          <w:tcPr>
            <w:tcW w:w="6260" w:type="dxa"/>
            <w:vAlign w:val="bottom"/>
          </w:tcPr>
          <w:p>
            <w:pPr>
              <w:ind w:left="100"/>
              <w:spacing w:after="0" w:line="202" w:lineRule="exact"/>
              <w:rPr>
                <w:sz w:val="20"/>
                <w:szCs w:val="20"/>
                <w:color w:val="auto"/>
              </w:rPr>
            </w:pPr>
            <w:r>
              <w:rPr>
                <w:rFonts w:ascii="Arial" w:cs="Arial" w:eastAsia="Arial" w:hAnsi="Arial"/>
                <w:sz w:val="18"/>
                <w:szCs w:val="18"/>
                <w:color w:val="auto"/>
              </w:rPr>
              <w:t>Restructuring expense</w:t>
            </w:r>
          </w:p>
        </w:tc>
        <w:tc>
          <w:tcPr>
            <w:tcW w:w="100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311</w:t>
            </w:r>
          </w:p>
        </w:tc>
      </w:tr>
      <w:tr>
        <w:trPr>
          <w:trHeight w:val="203"/>
        </w:trPr>
        <w:tc>
          <w:tcPr>
            <w:tcW w:w="6260" w:type="dxa"/>
            <w:vAlign w:val="bottom"/>
          </w:tcPr>
          <w:p>
            <w:pPr>
              <w:ind w:left="100"/>
              <w:spacing w:after="0" w:line="202" w:lineRule="exact"/>
              <w:rPr>
                <w:sz w:val="20"/>
                <w:szCs w:val="20"/>
                <w:color w:val="auto"/>
              </w:rPr>
            </w:pPr>
            <w:r>
              <w:rPr>
                <w:rFonts w:ascii="Arial" w:cs="Arial" w:eastAsia="Arial" w:hAnsi="Arial"/>
                <w:sz w:val="18"/>
                <w:szCs w:val="18"/>
                <w:color w:val="auto"/>
              </w:rPr>
              <w:t>Operating income/(loss)</w:t>
            </w:r>
          </w:p>
        </w:tc>
        <w:tc>
          <w:tcPr>
            <w:tcW w:w="100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(1,246)</w:t>
            </w:r>
          </w:p>
        </w:tc>
      </w:tr>
      <w:tr>
        <w:trPr>
          <w:trHeight w:val="203"/>
        </w:trPr>
        <w:tc>
          <w:tcPr>
            <w:tcW w:w="6260" w:type="dxa"/>
            <w:vAlign w:val="bottom"/>
          </w:tcPr>
          <w:p>
            <w:pPr>
              <w:ind w:left="100"/>
              <w:spacing w:after="0" w:line="202" w:lineRule="exact"/>
              <w:rPr>
                <w:sz w:val="20"/>
                <w:szCs w:val="20"/>
                <w:color w:val="auto"/>
              </w:rPr>
            </w:pPr>
            <w:r>
              <w:rPr>
                <w:rFonts w:ascii="Arial" w:cs="Arial" w:eastAsia="Arial" w:hAnsi="Arial"/>
                <w:sz w:val="18"/>
                <w:szCs w:val="18"/>
                <w:color w:val="auto"/>
              </w:rPr>
              <w:t>Interest expense, net</w:t>
            </w:r>
          </w:p>
        </w:tc>
        <w:tc>
          <w:tcPr>
            <w:tcW w:w="100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1,075</w:t>
            </w:r>
          </w:p>
        </w:tc>
      </w:tr>
      <w:tr>
        <w:trPr>
          <w:trHeight w:val="203"/>
        </w:trPr>
        <w:tc>
          <w:tcPr>
            <w:tcW w:w="6260" w:type="dxa"/>
            <w:vAlign w:val="bottom"/>
            <w:tcBorders>
              <w:bottom w:val="single" w:sz="8" w:color="auto"/>
            </w:tcBorders>
          </w:tcPr>
          <w:p>
            <w:pPr>
              <w:ind w:left="100"/>
              <w:spacing w:after="0" w:line="203" w:lineRule="exact"/>
              <w:rPr>
                <w:sz w:val="20"/>
                <w:szCs w:val="20"/>
                <w:color w:val="auto"/>
              </w:rPr>
            </w:pPr>
            <w:r>
              <w:rPr>
                <w:rFonts w:ascii="Arial" w:cs="Arial" w:eastAsia="Arial" w:hAnsi="Arial"/>
                <w:sz w:val="18"/>
                <w:szCs w:val="18"/>
                <w:color w:val="auto"/>
              </w:rPr>
              <w:t>Income/(loss) before income taxes</w:t>
            </w:r>
          </w:p>
        </w:tc>
        <w:tc>
          <w:tcPr>
            <w:tcW w:w="100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(2,342)</w:t>
            </w:r>
          </w:p>
        </w:tc>
      </w:tr>
      <w:tr>
        <w:trPr>
          <w:trHeight w:val="601"/>
        </w:trPr>
        <w:tc>
          <w:tcPr>
            <w:tcW w:w="6260" w:type="dxa"/>
            <w:vAlign w:val="bottom"/>
          </w:tcPr>
          <w:p>
            <w:pPr>
              <w:spacing w:after="0"/>
              <w:rPr>
                <w:sz w:val="20"/>
                <w:szCs w:val="20"/>
                <w:color w:val="auto"/>
              </w:rPr>
            </w:pPr>
            <w:r>
              <w:rPr>
                <w:rFonts w:ascii="Arial" w:cs="Arial" w:eastAsia="Arial" w:hAnsi="Arial"/>
                <w:sz w:val="18"/>
                <w:szCs w:val="18"/>
                <w:b w:val="1"/>
                <w:bCs w:val="1"/>
                <w:color w:val="auto"/>
              </w:rPr>
              <w:t>Net sales</w:t>
            </w:r>
          </w:p>
        </w:tc>
        <w:tc>
          <w:tcPr>
            <w:tcW w:w="10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78"/>
        </w:trPr>
        <w:tc>
          <w:tcPr>
            <w:tcW w:w="6260" w:type="dxa"/>
            <w:vAlign w:val="bottom"/>
          </w:tcPr>
          <w:p>
            <w:pPr>
              <w:ind w:left="660"/>
              <w:spacing w:after="0"/>
              <w:rPr>
                <w:sz w:val="20"/>
                <w:szCs w:val="20"/>
                <w:color w:val="auto"/>
              </w:rPr>
            </w:pPr>
            <w:r>
              <w:rPr>
                <w:rFonts w:ascii="Arial" w:cs="Arial" w:eastAsia="Arial" w:hAnsi="Arial"/>
                <w:sz w:val="18"/>
                <w:szCs w:val="18"/>
                <w:color w:val="auto"/>
              </w:rPr>
              <w:t>The following table summarizes our net sales by business segment:</w:t>
            </w:r>
          </w:p>
        </w:tc>
        <w:tc>
          <w:tcPr>
            <w:tcW w:w="10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65"/>
        </w:trPr>
        <w:tc>
          <w:tcPr>
            <w:tcW w:w="6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(in thousands, except percentages)</w:t>
            </w:r>
          </w:p>
        </w:tc>
        <w:tc>
          <w:tcPr>
            <w:tcW w:w="980" w:type="dxa"/>
            <w:vAlign w:val="bottom"/>
            <w:tcBorders>
              <w:bottom w:val="single" w:sz="8" w:color="auto"/>
            </w:tcBorders>
          </w:tcPr>
          <w:p>
            <w:pPr>
              <w:spacing w:after="0"/>
              <w:rPr>
                <w:sz w:val="24"/>
                <w:szCs w:val="24"/>
                <w:color w:val="auto"/>
              </w:rPr>
            </w:pPr>
          </w:p>
        </w:tc>
      </w:tr>
      <w:tr>
        <w:trPr>
          <w:trHeight w:val="399"/>
        </w:trPr>
        <w:tc>
          <w:tcPr>
            <w:tcW w:w="62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Years ended December 31,</w:t>
            </w: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3180" w:type="dxa"/>
            <w:vAlign w:val="bottom"/>
            <w:tcBorders>
              <w:bottom w:val="single" w:sz="8" w:color="auto"/>
            </w:tcBorders>
          </w:tcPr>
          <w:p>
            <w:pPr>
              <w:jc w:val="right"/>
              <w:ind w:right="1390"/>
              <w:spacing w:after="0"/>
              <w:rPr>
                <w:sz w:val="20"/>
                <w:szCs w:val="20"/>
                <w:color w:val="auto"/>
              </w:rPr>
            </w:pPr>
            <w:r>
              <w:rPr>
                <w:rFonts w:ascii="Arial" w:cs="Arial" w:eastAsia="Arial" w:hAnsi="Arial"/>
                <w:sz w:val="18"/>
                <w:szCs w:val="18"/>
                <w:b w:val="1"/>
                <w:bCs w:val="1"/>
                <w:color w:val="auto"/>
              </w:rPr>
              <w:t>2015</w:t>
            </w: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r>
      <w:tr>
        <w:trPr>
          <w:trHeight w:val="173"/>
        </w:trPr>
        <w:tc>
          <w:tcPr>
            <w:tcW w:w="6260" w:type="dxa"/>
            <w:vAlign w:val="bottom"/>
          </w:tcPr>
          <w:p>
            <w:pPr>
              <w:ind w:left="100"/>
              <w:spacing w:after="0" w:line="173" w:lineRule="exact"/>
              <w:rPr>
                <w:sz w:val="20"/>
                <w:szCs w:val="20"/>
                <w:color w:val="auto"/>
              </w:rPr>
            </w:pPr>
            <w:r>
              <w:rPr>
                <w:rFonts w:ascii="Arial" w:cs="Arial" w:eastAsia="Arial" w:hAnsi="Arial"/>
                <w:sz w:val="18"/>
                <w:szCs w:val="18"/>
                <w:color w:val="auto"/>
              </w:rPr>
              <w:t>Machine Clothing</w:t>
            </w:r>
          </w:p>
        </w:tc>
        <w:tc>
          <w:tcPr>
            <w:tcW w:w="1000" w:type="dxa"/>
            <w:vAlign w:val="bottom"/>
          </w:tcPr>
          <w:p>
            <w:pPr>
              <w:jc w:val="right"/>
              <w:spacing w:after="0" w:line="173" w:lineRule="exact"/>
              <w:rPr>
                <w:sz w:val="20"/>
                <w:szCs w:val="20"/>
                <w:color w:val="auto"/>
              </w:rPr>
            </w:pPr>
            <w:r>
              <w:rPr>
                <w:rFonts w:ascii="Arial" w:cs="Arial" w:eastAsia="Arial" w:hAnsi="Arial"/>
                <w:sz w:val="18"/>
                <w:szCs w:val="18"/>
                <w:b w:val="1"/>
                <w:bCs w:val="1"/>
                <w:color w:val="auto"/>
              </w:rPr>
              <w:t>$582,190</w:t>
            </w:r>
          </w:p>
        </w:tc>
        <w:tc>
          <w:tcPr>
            <w:tcW w:w="3180" w:type="dxa"/>
            <w:vAlign w:val="bottom"/>
          </w:tcPr>
          <w:p>
            <w:pPr>
              <w:jc w:val="right"/>
              <w:ind w:right="1070"/>
              <w:spacing w:after="0" w:line="173" w:lineRule="exact"/>
              <w:rPr>
                <w:sz w:val="20"/>
                <w:szCs w:val="20"/>
                <w:color w:val="auto"/>
              </w:rPr>
            </w:pPr>
            <w:r>
              <w:rPr>
                <w:rFonts w:ascii="Arial" w:cs="Arial" w:eastAsia="Arial" w:hAnsi="Arial"/>
                <w:sz w:val="18"/>
                <w:szCs w:val="18"/>
                <w:color w:val="auto"/>
              </w:rPr>
              <w:t>$608,581</w:t>
            </w:r>
          </w:p>
        </w:tc>
        <w:tc>
          <w:tcPr>
            <w:tcW w:w="980" w:type="dxa"/>
            <w:vAlign w:val="bottom"/>
          </w:tcPr>
          <w:p>
            <w:pPr>
              <w:jc w:val="right"/>
              <w:ind w:right="10"/>
              <w:spacing w:after="0" w:line="173" w:lineRule="exact"/>
              <w:rPr>
                <w:sz w:val="20"/>
                <w:szCs w:val="20"/>
                <w:color w:val="auto"/>
              </w:rPr>
            </w:pPr>
            <w:r>
              <w:rPr>
                <w:rFonts w:ascii="Arial" w:cs="Arial" w:eastAsia="Arial" w:hAnsi="Arial"/>
                <w:sz w:val="18"/>
                <w:szCs w:val="18"/>
                <w:color w:val="auto"/>
              </w:rPr>
              <w:t>$655,026</w:t>
            </w:r>
          </w:p>
        </w:tc>
      </w:tr>
      <w:tr>
        <w:trPr>
          <w:trHeight w:val="225"/>
        </w:trPr>
        <w:tc>
          <w:tcPr>
            <w:tcW w:w="62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Albany Engineered Composites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197,649</w:t>
            </w:r>
          </w:p>
        </w:tc>
        <w:tc>
          <w:tcPr>
            <w:tcW w:w="318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color w:val="auto"/>
              </w:rPr>
              <w:t>101,287</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90,319</w:t>
            </w:r>
          </w:p>
        </w:tc>
      </w:tr>
      <w:tr>
        <w:trPr>
          <w:trHeight w:val="196"/>
        </w:trPr>
        <w:tc>
          <w:tcPr>
            <w:tcW w:w="626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$779,839</w:t>
            </w:r>
          </w:p>
        </w:tc>
        <w:tc>
          <w:tcPr>
            <w:tcW w:w="3180" w:type="dxa"/>
            <w:vAlign w:val="bottom"/>
            <w:tcBorders>
              <w:bottom w:val="single" w:sz="8" w:color="auto"/>
            </w:tcBorders>
          </w:tcPr>
          <w:p>
            <w:pPr>
              <w:jc w:val="right"/>
              <w:ind w:right="1070"/>
              <w:spacing w:after="0" w:line="196" w:lineRule="exact"/>
              <w:rPr>
                <w:sz w:val="20"/>
                <w:szCs w:val="20"/>
                <w:color w:val="auto"/>
              </w:rPr>
            </w:pPr>
            <w:r>
              <w:rPr>
                <w:rFonts w:ascii="Arial" w:cs="Arial" w:eastAsia="Arial" w:hAnsi="Arial"/>
                <w:sz w:val="18"/>
                <w:szCs w:val="18"/>
                <w:color w:val="auto"/>
              </w:rPr>
              <w:t>$709,868</w:t>
            </w:r>
          </w:p>
        </w:tc>
        <w:tc>
          <w:tcPr>
            <w:tcW w:w="9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$745,345</w:t>
            </w:r>
          </w:p>
        </w:tc>
      </w:tr>
      <w:tr>
        <w:trPr>
          <w:trHeight w:val="196"/>
        </w:trPr>
        <w:tc>
          <w:tcPr>
            <w:tcW w:w="626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 change</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9.9%</w:t>
            </w:r>
          </w:p>
        </w:tc>
        <w:tc>
          <w:tcPr>
            <w:tcW w:w="3180" w:type="dxa"/>
            <w:vAlign w:val="bottom"/>
            <w:tcBorders>
              <w:bottom w:val="single" w:sz="8" w:color="auto"/>
            </w:tcBorders>
          </w:tcPr>
          <w:p>
            <w:pPr>
              <w:jc w:val="right"/>
              <w:ind w:right="1070"/>
              <w:spacing w:after="0" w:line="196" w:lineRule="exact"/>
              <w:rPr>
                <w:sz w:val="20"/>
                <w:szCs w:val="20"/>
                <w:color w:val="auto"/>
              </w:rPr>
            </w:pPr>
            <w:r>
              <w:rPr>
                <w:rFonts w:ascii="Arial" w:cs="Arial" w:eastAsia="Arial" w:hAnsi="Arial"/>
                <w:sz w:val="18"/>
                <w:szCs w:val="18"/>
                <w:color w:val="auto"/>
              </w:rPr>
              <w:t>-4.8%</w:t>
            </w:r>
          </w:p>
        </w:tc>
        <w:tc>
          <w:tcPr>
            <w:tcW w:w="9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r>
    </w:tbl>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vs. 2015</w:t>
      </w:r>
    </w:p>
    <w:p>
      <w:pPr>
        <w:spacing w:after="0" w:line="193" w:lineRule="exact"/>
        <w:rPr>
          <w:sz w:val="20"/>
          <w:szCs w:val="20"/>
          <w:color w:val="auto"/>
        </w:rPr>
      </w:pPr>
    </w:p>
    <w:p>
      <w:pPr>
        <w:ind w:left="900" w:right="140" w:hanging="244"/>
        <w:spacing w:after="0" w:line="218" w:lineRule="auto"/>
        <w:tabs>
          <w:tab w:leader="none" w:pos="900" w:val="left"/>
        </w:tabs>
        <w:numPr>
          <w:ilvl w:val="0"/>
          <w:numId w:val="5"/>
        </w:numPr>
        <w:rPr>
          <w:rFonts w:ascii="Arial" w:cs="Arial" w:eastAsia="Arial" w:hAnsi="Arial"/>
          <w:sz w:val="22"/>
          <w:szCs w:val="22"/>
          <w:color w:val="auto"/>
        </w:rPr>
      </w:pPr>
      <w:r>
        <w:rPr>
          <w:rFonts w:ascii="Arial" w:cs="Arial" w:eastAsia="Arial" w:hAnsi="Arial"/>
          <w:sz w:val="18"/>
          <w:szCs w:val="18"/>
          <w:color w:val="auto"/>
        </w:rPr>
        <w:t>Changes in currency translation rates had the effect of decreasing net sales by $3.0 million (0.4% of net sales), compared to 2015. That currency translation effect was principally due to sales in China, as the Chinese renminbi was approximately 5% weaker in 2016, compared to 2015.</w:t>
      </w:r>
    </w:p>
    <w:p>
      <w:pPr>
        <w:spacing w:after="0" w:line="1" w:lineRule="exact"/>
        <w:rPr>
          <w:rFonts w:ascii="Arial" w:cs="Arial" w:eastAsia="Arial" w:hAnsi="Arial"/>
          <w:sz w:val="22"/>
          <w:szCs w:val="22"/>
          <w:color w:val="auto"/>
        </w:rPr>
      </w:pPr>
    </w:p>
    <w:p>
      <w:pPr>
        <w:ind w:left="900" w:hanging="244"/>
        <w:spacing w:after="0" w:line="205" w:lineRule="auto"/>
        <w:tabs>
          <w:tab w:leader="none" w:pos="900" w:val="left"/>
        </w:tabs>
        <w:numPr>
          <w:ilvl w:val="0"/>
          <w:numId w:val="5"/>
        </w:numPr>
        <w:rPr>
          <w:rFonts w:ascii="Arial" w:cs="Arial" w:eastAsia="Arial" w:hAnsi="Arial"/>
          <w:sz w:val="22"/>
          <w:szCs w:val="22"/>
          <w:color w:val="auto"/>
        </w:rPr>
      </w:pPr>
      <w:r>
        <w:rPr>
          <w:rFonts w:ascii="Arial" w:cs="Arial" w:eastAsia="Arial" w:hAnsi="Arial"/>
          <w:sz w:val="18"/>
          <w:szCs w:val="18"/>
          <w:color w:val="auto"/>
        </w:rPr>
        <w:t>Excluding the effect of changes in currency translation rates:</w:t>
      </w:r>
    </w:p>
    <w:p>
      <w:pPr>
        <w:spacing w:after="0" w:line="27" w:lineRule="exact"/>
        <w:rPr>
          <w:rFonts w:ascii="Arial" w:cs="Arial" w:eastAsia="Arial" w:hAnsi="Arial"/>
          <w:sz w:val="22"/>
          <w:szCs w:val="22"/>
          <w:color w:val="auto"/>
        </w:rPr>
      </w:pPr>
    </w:p>
    <w:p>
      <w:pPr>
        <w:ind w:left="2600" w:hanging="323"/>
        <w:spacing w:after="0" w:line="183" w:lineRule="auto"/>
        <w:tabs>
          <w:tab w:leader="none" w:pos="2600" w:val="left"/>
        </w:tabs>
        <w:numPr>
          <w:ilvl w:val="1"/>
          <w:numId w:val="5"/>
        </w:numPr>
        <w:rPr>
          <w:rFonts w:ascii="Arial" w:cs="Arial" w:eastAsia="Arial" w:hAnsi="Arial"/>
          <w:sz w:val="23"/>
          <w:szCs w:val="23"/>
          <w:color w:val="auto"/>
          <w:vertAlign w:val="superscript"/>
        </w:rPr>
      </w:pPr>
      <w:r>
        <w:rPr>
          <w:rFonts w:ascii="Arial" w:cs="Arial" w:eastAsia="Arial" w:hAnsi="Arial"/>
          <w:sz w:val="15"/>
          <w:szCs w:val="15"/>
          <w:color w:val="auto"/>
        </w:rPr>
        <w:t>Consolidated Net sales increased 10.3%.</w:t>
      </w:r>
    </w:p>
    <w:p>
      <w:pPr>
        <w:ind w:left="2600" w:hanging="323"/>
        <w:spacing w:after="0" w:line="183" w:lineRule="auto"/>
        <w:tabs>
          <w:tab w:leader="none" w:pos="2600" w:val="left"/>
        </w:tabs>
        <w:numPr>
          <w:ilvl w:val="1"/>
          <w:numId w:val="5"/>
        </w:numPr>
        <w:rPr>
          <w:rFonts w:ascii="Arial" w:cs="Arial" w:eastAsia="Arial" w:hAnsi="Arial"/>
          <w:sz w:val="23"/>
          <w:szCs w:val="23"/>
          <w:color w:val="auto"/>
          <w:vertAlign w:val="superscript"/>
        </w:rPr>
      </w:pPr>
      <w:r>
        <w:rPr>
          <w:rFonts w:ascii="Arial" w:cs="Arial" w:eastAsia="Arial" w:hAnsi="Arial"/>
          <w:sz w:val="15"/>
          <w:szCs w:val="15"/>
          <w:color w:val="auto"/>
        </w:rPr>
        <w:t>Net sales in MC decreased $26.3 million, or 3.9%.</w:t>
      </w:r>
    </w:p>
    <w:p>
      <w:pPr>
        <w:ind w:left="2600" w:hanging="323"/>
        <w:spacing w:after="0" w:line="183" w:lineRule="auto"/>
        <w:tabs>
          <w:tab w:leader="none" w:pos="2600" w:val="left"/>
        </w:tabs>
        <w:numPr>
          <w:ilvl w:val="1"/>
          <w:numId w:val="5"/>
        </w:numPr>
        <w:rPr>
          <w:rFonts w:ascii="Arial" w:cs="Arial" w:eastAsia="Arial" w:hAnsi="Arial"/>
          <w:sz w:val="23"/>
          <w:szCs w:val="23"/>
          <w:color w:val="auto"/>
          <w:vertAlign w:val="superscript"/>
        </w:rPr>
      </w:pPr>
      <w:r>
        <w:rPr>
          <w:rFonts w:ascii="Arial" w:cs="Arial" w:eastAsia="Arial" w:hAnsi="Arial"/>
          <w:sz w:val="15"/>
          <w:szCs w:val="15"/>
          <w:color w:val="auto"/>
        </w:rPr>
        <w:t>Net sales in AEC increased $96.4 million, or 95.3%.</w:t>
      </w:r>
    </w:p>
    <w:p>
      <w:pPr>
        <w:ind w:left="900" w:right="200" w:hanging="244"/>
        <w:spacing w:after="0" w:line="211" w:lineRule="auto"/>
        <w:tabs>
          <w:tab w:leader="none" w:pos="900"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reduction in MC net sales was due to the continuation of declines in the market for publication grades, coupled with economic weakness in South America.</w:t>
      </w:r>
    </w:p>
    <w:p>
      <w:pPr>
        <w:ind w:left="900" w:right="20" w:hanging="244"/>
        <w:spacing w:after="0" w:line="218" w:lineRule="auto"/>
        <w:tabs>
          <w:tab w:leader="none" w:pos="900"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acquisition noted above increased AEC segment sales by $67.0 million. The remaining increase was due to growth in the LEAP program.</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vs. 2014</w:t>
      </w:r>
    </w:p>
    <w:p>
      <w:pPr>
        <w:spacing w:after="0" w:line="207" w:lineRule="exact"/>
        <w:rPr>
          <w:sz w:val="20"/>
          <w:szCs w:val="20"/>
          <w:color w:val="auto"/>
        </w:rPr>
      </w:pPr>
    </w:p>
    <w:p>
      <w:pPr>
        <w:jc w:val="both"/>
        <w:ind w:left="900" w:right="400" w:hanging="244"/>
        <w:spacing w:after="0" w:line="218" w:lineRule="auto"/>
        <w:tabs>
          <w:tab w:leader="none" w:pos="900" w:val="left"/>
        </w:tabs>
        <w:numPr>
          <w:ilvl w:val="0"/>
          <w:numId w:val="6"/>
        </w:numPr>
        <w:rPr>
          <w:rFonts w:ascii="Arial" w:cs="Arial" w:eastAsia="Arial" w:hAnsi="Arial"/>
          <w:sz w:val="22"/>
          <w:szCs w:val="22"/>
          <w:color w:val="auto"/>
        </w:rPr>
      </w:pPr>
      <w:r>
        <w:rPr>
          <w:rFonts w:ascii="Arial" w:cs="Arial" w:eastAsia="Arial" w:hAnsi="Arial"/>
          <w:sz w:val="18"/>
          <w:szCs w:val="18"/>
          <w:color w:val="auto"/>
        </w:rPr>
        <w:t>Changes in currency translation rates had the effect of decreasing net sales by $39.6 million, compared to 2014. Approximately 80% of that decrease was due to European-based sales, which were principally transacted in euros. On average, the euro was approximately 17% weaker in 2015, compared to 2014.</w:t>
      </w:r>
    </w:p>
    <w:p>
      <w:pPr>
        <w:spacing w:after="0" w:line="1" w:lineRule="exact"/>
        <w:rPr>
          <w:rFonts w:ascii="Arial" w:cs="Arial" w:eastAsia="Arial" w:hAnsi="Arial"/>
          <w:sz w:val="22"/>
          <w:szCs w:val="22"/>
          <w:color w:val="auto"/>
        </w:rPr>
      </w:pPr>
    </w:p>
    <w:p>
      <w:pPr>
        <w:ind w:left="900" w:hanging="244"/>
        <w:spacing w:after="0" w:line="205" w:lineRule="auto"/>
        <w:tabs>
          <w:tab w:leader="none" w:pos="900" w:val="left"/>
        </w:tabs>
        <w:numPr>
          <w:ilvl w:val="0"/>
          <w:numId w:val="6"/>
        </w:numPr>
        <w:rPr>
          <w:rFonts w:ascii="Arial" w:cs="Arial" w:eastAsia="Arial" w:hAnsi="Arial"/>
          <w:sz w:val="22"/>
          <w:szCs w:val="22"/>
          <w:color w:val="auto"/>
        </w:rPr>
      </w:pPr>
      <w:r>
        <w:rPr>
          <w:rFonts w:ascii="Arial" w:cs="Arial" w:eastAsia="Arial" w:hAnsi="Arial"/>
          <w:sz w:val="18"/>
          <w:szCs w:val="18"/>
          <w:color w:val="auto"/>
        </w:rPr>
        <w:t>Excluding the effect of changes in currency translation rates:</w:t>
      </w:r>
    </w:p>
    <w:p>
      <w:pPr>
        <w:spacing w:after="0" w:line="27" w:lineRule="exact"/>
        <w:rPr>
          <w:rFonts w:ascii="Arial" w:cs="Arial" w:eastAsia="Arial" w:hAnsi="Arial"/>
          <w:sz w:val="22"/>
          <w:szCs w:val="22"/>
          <w:color w:val="auto"/>
        </w:rPr>
      </w:pPr>
    </w:p>
    <w:p>
      <w:pPr>
        <w:ind w:left="2600" w:hanging="323"/>
        <w:spacing w:after="0" w:line="183" w:lineRule="auto"/>
        <w:tabs>
          <w:tab w:leader="none" w:pos="2600" w:val="left"/>
        </w:tabs>
        <w:numPr>
          <w:ilvl w:val="1"/>
          <w:numId w:val="6"/>
        </w:numPr>
        <w:rPr>
          <w:rFonts w:ascii="Arial" w:cs="Arial" w:eastAsia="Arial" w:hAnsi="Arial"/>
          <w:sz w:val="23"/>
          <w:szCs w:val="23"/>
          <w:color w:val="auto"/>
          <w:vertAlign w:val="superscript"/>
        </w:rPr>
      </w:pPr>
      <w:r>
        <w:rPr>
          <w:rFonts w:ascii="Arial" w:cs="Arial" w:eastAsia="Arial" w:hAnsi="Arial"/>
          <w:sz w:val="15"/>
          <w:szCs w:val="15"/>
          <w:color w:val="auto"/>
        </w:rPr>
        <w:t>Consolidated Net sales increased 0.6%.</w:t>
      </w:r>
    </w:p>
    <w:p>
      <w:pPr>
        <w:ind w:left="2600" w:hanging="323"/>
        <w:spacing w:after="0" w:line="183" w:lineRule="auto"/>
        <w:tabs>
          <w:tab w:leader="none" w:pos="2600" w:val="left"/>
        </w:tabs>
        <w:numPr>
          <w:ilvl w:val="1"/>
          <w:numId w:val="6"/>
        </w:numPr>
        <w:rPr>
          <w:rFonts w:ascii="Arial" w:cs="Arial" w:eastAsia="Arial" w:hAnsi="Arial"/>
          <w:sz w:val="23"/>
          <w:szCs w:val="23"/>
          <w:color w:val="auto"/>
          <w:vertAlign w:val="superscript"/>
        </w:rPr>
      </w:pPr>
      <w:r>
        <w:rPr>
          <w:rFonts w:ascii="Arial" w:cs="Arial" w:eastAsia="Arial" w:hAnsi="Arial"/>
          <w:sz w:val="15"/>
          <w:szCs w:val="15"/>
          <w:color w:val="auto"/>
        </w:rPr>
        <w:t>Net sales in MC decreased 1.3%.</w:t>
      </w:r>
    </w:p>
    <w:p>
      <w:pPr>
        <w:ind w:left="2600" w:hanging="323"/>
        <w:spacing w:after="0" w:line="183" w:lineRule="auto"/>
        <w:tabs>
          <w:tab w:leader="none" w:pos="2600" w:val="left"/>
        </w:tabs>
        <w:numPr>
          <w:ilvl w:val="1"/>
          <w:numId w:val="6"/>
        </w:numPr>
        <w:rPr>
          <w:rFonts w:ascii="Arial" w:cs="Arial" w:eastAsia="Arial" w:hAnsi="Arial"/>
          <w:sz w:val="23"/>
          <w:szCs w:val="23"/>
          <w:color w:val="auto"/>
          <w:vertAlign w:val="superscript"/>
        </w:rPr>
      </w:pPr>
      <w:r>
        <w:rPr>
          <w:rFonts w:ascii="Arial" w:cs="Arial" w:eastAsia="Arial" w:hAnsi="Arial"/>
          <w:sz w:val="15"/>
          <w:szCs w:val="15"/>
          <w:color w:val="auto"/>
        </w:rPr>
        <w:t>Net sales in AEC increased 13.9%.</w:t>
      </w:r>
    </w:p>
    <w:p>
      <w:pPr>
        <w:ind w:left="900" w:right="740" w:hanging="244"/>
        <w:spacing w:after="0" w:line="211" w:lineRule="auto"/>
        <w:tabs>
          <w:tab w:leader="none" w:pos="900" w:val="left"/>
        </w:tabs>
        <w:numPr>
          <w:ilvl w:val="0"/>
          <w:numId w:val="6"/>
        </w:numPr>
        <w:rPr>
          <w:rFonts w:ascii="Arial" w:cs="Arial" w:eastAsia="Arial" w:hAnsi="Arial"/>
          <w:sz w:val="22"/>
          <w:szCs w:val="22"/>
          <w:color w:val="auto"/>
        </w:rPr>
      </w:pPr>
      <w:r>
        <w:rPr>
          <w:rFonts w:ascii="Arial" w:cs="Arial" w:eastAsia="Arial" w:hAnsi="Arial"/>
          <w:sz w:val="18"/>
          <w:szCs w:val="18"/>
          <w:color w:val="auto"/>
        </w:rPr>
        <w:t>Excluding the effect of changes in currency translation rates, the year-over-year decline in MC segment sales was primarily attributable to lower sales in the North American publication grades.</w:t>
      </w:r>
    </w:p>
    <w:p>
      <w:pPr>
        <w:ind w:left="900" w:hanging="244"/>
        <w:spacing w:after="0" w:line="205" w:lineRule="auto"/>
        <w:tabs>
          <w:tab w:leader="none" w:pos="900" w:val="left"/>
        </w:tabs>
        <w:numPr>
          <w:ilvl w:val="0"/>
          <w:numId w:val="6"/>
        </w:numPr>
        <w:rPr>
          <w:rFonts w:ascii="Arial" w:cs="Arial" w:eastAsia="Arial" w:hAnsi="Arial"/>
          <w:sz w:val="22"/>
          <w:szCs w:val="22"/>
          <w:color w:val="auto"/>
        </w:rPr>
      </w:pPr>
      <w:r>
        <w:rPr>
          <w:rFonts w:ascii="Arial" w:cs="Arial" w:eastAsia="Arial" w:hAnsi="Arial"/>
          <w:sz w:val="18"/>
          <w:szCs w:val="18"/>
          <w:color w:val="auto"/>
        </w:rPr>
        <w:t>The AEC segment sales increase was due to higher sales related to the LEAP and GE9X programs.</w:t>
      </w:r>
    </w:p>
    <w:p>
      <w:pPr>
        <w:spacing w:after="0" w:line="2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Backlog</w:t>
      </w:r>
    </w:p>
    <w:p>
      <w:pPr>
        <w:spacing w:after="0" w:line="192" w:lineRule="exact"/>
        <w:rPr>
          <w:sz w:val="20"/>
          <w:szCs w:val="20"/>
          <w:color w:val="auto"/>
        </w:rPr>
      </w:pPr>
    </w:p>
    <w:p>
      <w:pPr>
        <w:ind w:right="80" w:firstLine="648"/>
        <w:spacing w:after="0" w:line="239" w:lineRule="auto"/>
        <w:rPr>
          <w:sz w:val="20"/>
          <w:szCs w:val="20"/>
          <w:color w:val="auto"/>
        </w:rPr>
      </w:pPr>
      <w:r>
        <w:rPr>
          <w:rFonts w:ascii="Arial" w:cs="Arial" w:eastAsia="Arial" w:hAnsi="Arial"/>
          <w:sz w:val="18"/>
          <w:szCs w:val="18"/>
          <w:color w:val="auto"/>
        </w:rPr>
        <w:t>Backlog in the Machine Clothing segment was $163.8 million at December 31, 2016, compared to $171.0 million at December 31, 2015. The decrease reflects a trend toward shorter order-to-delivery times. Backlog in the Albany Engineered Composites segment increased to $128.4 million at December 31, 2016, compared to $34.0 million at December 31, 2015, reflecting the impact of the acquisition. The backlog in each segment is generally expected to be invoiced during the next 12 months.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gross profit by business segment:</w:t>
      </w:r>
    </w:p>
    <w:p>
      <w:pPr>
        <w:spacing w:after="0" w:line="149" w:lineRule="exact"/>
        <w:rPr>
          <w:sz w:val="20"/>
          <w:szCs w:val="20"/>
          <w:color w:val="auto"/>
        </w:rPr>
      </w:pPr>
    </w:p>
    <w:p>
      <w:pPr>
        <w:ind w:left="7280"/>
        <w:spacing w:after="0"/>
        <w:rPr>
          <w:sz w:val="20"/>
          <w:szCs w:val="20"/>
          <w:color w:val="auto"/>
        </w:rPr>
      </w:pPr>
      <w:r>
        <w:rPr>
          <w:rFonts w:ascii="Arial" w:cs="Arial" w:eastAsia="Arial" w:hAnsi="Arial"/>
          <w:sz w:val="18"/>
          <w:szCs w:val="18"/>
          <w:b w:val="1"/>
          <w:bCs w:val="1"/>
          <w:color w:val="auto"/>
        </w:rPr>
        <w:t>(in thousands, except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5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Years ended December 31,</w:t>
            </w:r>
          </w:p>
        </w:tc>
        <w:tc>
          <w:tcPr>
            <w:tcW w:w="336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2016</w:t>
            </w:r>
          </w:p>
        </w:tc>
        <w:tc>
          <w:tcPr>
            <w:tcW w:w="204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2015</w:t>
            </w:r>
          </w:p>
        </w:tc>
        <w:tc>
          <w:tcPr>
            <w:tcW w:w="14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2014</w:t>
            </w:r>
          </w:p>
        </w:tc>
      </w:tr>
      <w:tr>
        <w:trPr>
          <w:trHeight w:val="173"/>
        </w:trPr>
        <w:tc>
          <w:tcPr>
            <w:tcW w:w="4540" w:type="dxa"/>
            <w:vAlign w:val="bottom"/>
          </w:tcPr>
          <w:p>
            <w:pPr>
              <w:ind w:left="100"/>
              <w:spacing w:after="0" w:line="173" w:lineRule="exact"/>
              <w:rPr>
                <w:sz w:val="20"/>
                <w:szCs w:val="20"/>
                <w:color w:val="auto"/>
              </w:rPr>
            </w:pPr>
            <w:r>
              <w:rPr>
                <w:rFonts w:ascii="Arial" w:cs="Arial" w:eastAsia="Arial" w:hAnsi="Arial"/>
                <w:sz w:val="18"/>
                <w:szCs w:val="18"/>
                <w:color w:val="auto"/>
              </w:rPr>
              <w:t>Machine Clothing</w:t>
            </w:r>
          </w:p>
        </w:tc>
        <w:tc>
          <w:tcPr>
            <w:tcW w:w="3360" w:type="dxa"/>
            <w:vAlign w:val="bottom"/>
          </w:tcPr>
          <w:p>
            <w:pPr>
              <w:jc w:val="right"/>
              <w:ind w:right="590"/>
              <w:spacing w:after="0" w:line="173" w:lineRule="exact"/>
              <w:rPr>
                <w:sz w:val="20"/>
                <w:szCs w:val="20"/>
                <w:color w:val="auto"/>
              </w:rPr>
            </w:pPr>
            <w:r>
              <w:rPr>
                <w:rFonts w:ascii="Arial" w:cs="Arial" w:eastAsia="Arial" w:hAnsi="Arial"/>
                <w:sz w:val="18"/>
                <w:szCs w:val="18"/>
                <w:b w:val="1"/>
                <w:bCs w:val="1"/>
                <w:color w:val="auto"/>
              </w:rPr>
              <w:t>$276,402</w:t>
            </w:r>
          </w:p>
        </w:tc>
        <w:tc>
          <w:tcPr>
            <w:tcW w:w="2040" w:type="dxa"/>
            <w:vAlign w:val="bottom"/>
          </w:tcPr>
          <w:p>
            <w:pPr>
              <w:jc w:val="right"/>
              <w:ind w:right="570"/>
              <w:spacing w:after="0" w:line="173" w:lineRule="exact"/>
              <w:rPr>
                <w:sz w:val="20"/>
                <w:szCs w:val="20"/>
                <w:color w:val="auto"/>
              </w:rPr>
            </w:pPr>
            <w:r>
              <w:rPr>
                <w:rFonts w:ascii="Arial" w:cs="Arial" w:eastAsia="Arial" w:hAnsi="Arial"/>
                <w:sz w:val="18"/>
                <w:szCs w:val="18"/>
                <w:color w:val="auto"/>
              </w:rPr>
              <w:t>$286,847</w:t>
            </w:r>
          </w:p>
        </w:tc>
        <w:tc>
          <w:tcPr>
            <w:tcW w:w="1480" w:type="dxa"/>
            <w:vAlign w:val="bottom"/>
          </w:tcPr>
          <w:p>
            <w:pPr>
              <w:jc w:val="right"/>
              <w:ind w:right="10"/>
              <w:spacing w:after="0" w:line="173" w:lineRule="exact"/>
              <w:rPr>
                <w:sz w:val="20"/>
                <w:szCs w:val="20"/>
                <w:color w:val="auto"/>
              </w:rPr>
            </w:pPr>
            <w:r>
              <w:rPr>
                <w:rFonts w:ascii="Arial" w:cs="Arial" w:eastAsia="Arial" w:hAnsi="Arial"/>
                <w:sz w:val="18"/>
                <w:szCs w:val="18"/>
                <w:color w:val="auto"/>
              </w:rPr>
              <w:t>$282,300</w:t>
            </w:r>
          </w:p>
        </w:tc>
      </w:tr>
      <w:tr>
        <w:trPr>
          <w:trHeight w:val="203"/>
        </w:trPr>
        <w:tc>
          <w:tcPr>
            <w:tcW w:w="4540" w:type="dxa"/>
            <w:vAlign w:val="bottom"/>
          </w:tcPr>
          <w:p>
            <w:pPr>
              <w:ind w:left="100"/>
              <w:spacing w:after="0" w:line="202" w:lineRule="exact"/>
              <w:rPr>
                <w:sz w:val="20"/>
                <w:szCs w:val="20"/>
                <w:color w:val="auto"/>
              </w:rPr>
            </w:pPr>
            <w:r>
              <w:rPr>
                <w:rFonts w:ascii="Arial" w:cs="Arial" w:eastAsia="Arial" w:hAnsi="Arial"/>
                <w:sz w:val="18"/>
                <w:szCs w:val="18"/>
                <w:color w:val="auto"/>
              </w:rPr>
              <w:t>Albany Engineered Composites</w:t>
            </w:r>
          </w:p>
        </w:tc>
        <w:tc>
          <w:tcPr>
            <w:tcW w:w="3360" w:type="dxa"/>
            <w:vAlign w:val="bottom"/>
          </w:tcPr>
          <w:p>
            <w:pPr>
              <w:jc w:val="right"/>
              <w:ind w:right="590"/>
              <w:spacing w:after="0" w:line="202" w:lineRule="exact"/>
              <w:rPr>
                <w:sz w:val="20"/>
                <w:szCs w:val="20"/>
                <w:color w:val="auto"/>
              </w:rPr>
            </w:pPr>
            <w:r>
              <w:rPr>
                <w:rFonts w:ascii="Arial" w:cs="Arial" w:eastAsia="Arial" w:hAnsi="Arial"/>
                <w:sz w:val="18"/>
                <w:szCs w:val="18"/>
                <w:b w:val="1"/>
                <w:bCs w:val="1"/>
                <w:color w:val="auto"/>
              </w:rPr>
              <w:t>25,121</w:t>
            </w:r>
          </w:p>
        </w:tc>
        <w:tc>
          <w:tcPr>
            <w:tcW w:w="2040" w:type="dxa"/>
            <w:vAlign w:val="bottom"/>
          </w:tcPr>
          <w:p>
            <w:pPr>
              <w:jc w:val="right"/>
              <w:ind w:right="510"/>
              <w:spacing w:after="0" w:line="202" w:lineRule="exact"/>
              <w:rPr>
                <w:sz w:val="20"/>
                <w:szCs w:val="20"/>
                <w:color w:val="auto"/>
              </w:rPr>
            </w:pPr>
            <w:r>
              <w:rPr>
                <w:rFonts w:ascii="Arial" w:cs="Arial" w:eastAsia="Arial" w:hAnsi="Arial"/>
                <w:sz w:val="18"/>
                <w:szCs w:val="18"/>
                <w:color w:val="auto"/>
              </w:rPr>
              <w:t>(6,596)</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10,750</w:t>
            </w:r>
          </w:p>
        </w:tc>
      </w:tr>
      <w:tr>
        <w:trPr>
          <w:trHeight w:val="225"/>
        </w:trPr>
        <w:tc>
          <w:tcPr>
            <w:tcW w:w="45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Corporate expenses</w:t>
            </w:r>
          </w:p>
        </w:tc>
        <w:tc>
          <w:tcPr>
            <w:tcW w:w="3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(955)</w:t>
            </w:r>
          </w:p>
        </w:tc>
        <w:tc>
          <w:tcPr>
            <w:tcW w:w="20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(1,565)</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(1,415)</w:t>
            </w:r>
          </w:p>
        </w:tc>
      </w:tr>
      <w:tr>
        <w:trPr>
          <w:trHeight w:val="196"/>
        </w:trPr>
        <w:tc>
          <w:tcPr>
            <w:tcW w:w="454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Total</w:t>
            </w:r>
          </w:p>
        </w:tc>
        <w:tc>
          <w:tcPr>
            <w:tcW w:w="3360" w:type="dxa"/>
            <w:vAlign w:val="bottom"/>
            <w:tcBorders>
              <w:bottom w:val="single" w:sz="8" w:color="auto"/>
            </w:tcBorders>
          </w:tcPr>
          <w:p>
            <w:pPr>
              <w:jc w:val="right"/>
              <w:ind w:right="590"/>
              <w:spacing w:after="0" w:line="196" w:lineRule="exact"/>
              <w:rPr>
                <w:sz w:val="20"/>
                <w:szCs w:val="20"/>
                <w:color w:val="auto"/>
              </w:rPr>
            </w:pPr>
            <w:r>
              <w:rPr>
                <w:rFonts w:ascii="Arial" w:cs="Arial" w:eastAsia="Arial" w:hAnsi="Arial"/>
                <w:sz w:val="18"/>
                <w:szCs w:val="18"/>
                <w:b w:val="1"/>
                <w:bCs w:val="1"/>
                <w:color w:val="auto"/>
              </w:rPr>
              <w:t>$300,568</w:t>
            </w:r>
          </w:p>
        </w:tc>
        <w:tc>
          <w:tcPr>
            <w:tcW w:w="2040" w:type="dxa"/>
            <w:vAlign w:val="bottom"/>
            <w:tcBorders>
              <w:bottom w:val="single" w:sz="8" w:color="auto"/>
            </w:tcBorders>
          </w:tcPr>
          <w:p>
            <w:pPr>
              <w:jc w:val="right"/>
              <w:ind w:right="570"/>
              <w:spacing w:after="0" w:line="196" w:lineRule="exact"/>
              <w:rPr>
                <w:sz w:val="20"/>
                <w:szCs w:val="20"/>
                <w:color w:val="auto"/>
              </w:rPr>
            </w:pPr>
            <w:r>
              <w:rPr>
                <w:rFonts w:ascii="Arial" w:cs="Arial" w:eastAsia="Arial" w:hAnsi="Arial"/>
                <w:sz w:val="18"/>
                <w:szCs w:val="18"/>
                <w:color w:val="auto"/>
              </w:rPr>
              <w:t>$278,686</w:t>
            </w:r>
          </w:p>
        </w:tc>
        <w:tc>
          <w:tcPr>
            <w:tcW w:w="14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$291,635</w:t>
            </w:r>
          </w:p>
        </w:tc>
      </w:tr>
      <w:tr>
        <w:trPr>
          <w:trHeight w:val="196"/>
        </w:trPr>
        <w:tc>
          <w:tcPr>
            <w:tcW w:w="454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 of Net Sales</w:t>
            </w:r>
          </w:p>
        </w:tc>
        <w:tc>
          <w:tcPr>
            <w:tcW w:w="3360" w:type="dxa"/>
            <w:vAlign w:val="bottom"/>
            <w:tcBorders>
              <w:bottom w:val="single" w:sz="8" w:color="auto"/>
            </w:tcBorders>
          </w:tcPr>
          <w:p>
            <w:pPr>
              <w:jc w:val="right"/>
              <w:ind w:right="590"/>
              <w:spacing w:after="0" w:line="196" w:lineRule="exact"/>
              <w:rPr>
                <w:sz w:val="20"/>
                <w:szCs w:val="20"/>
                <w:color w:val="auto"/>
              </w:rPr>
            </w:pPr>
            <w:r>
              <w:rPr>
                <w:rFonts w:ascii="Arial" w:cs="Arial" w:eastAsia="Arial" w:hAnsi="Arial"/>
                <w:sz w:val="18"/>
                <w:szCs w:val="18"/>
                <w:b w:val="1"/>
                <w:bCs w:val="1"/>
                <w:color w:val="auto"/>
              </w:rPr>
              <w:t>38.5%</w:t>
            </w:r>
          </w:p>
        </w:tc>
        <w:tc>
          <w:tcPr>
            <w:tcW w:w="2040" w:type="dxa"/>
            <w:vAlign w:val="bottom"/>
            <w:tcBorders>
              <w:bottom w:val="single" w:sz="8" w:color="auto"/>
            </w:tcBorders>
          </w:tcPr>
          <w:p>
            <w:pPr>
              <w:jc w:val="right"/>
              <w:ind w:right="570"/>
              <w:spacing w:after="0" w:line="196" w:lineRule="exact"/>
              <w:rPr>
                <w:sz w:val="20"/>
                <w:szCs w:val="20"/>
                <w:color w:val="auto"/>
              </w:rPr>
            </w:pPr>
            <w:r>
              <w:rPr>
                <w:rFonts w:ascii="Arial" w:cs="Arial" w:eastAsia="Arial" w:hAnsi="Arial"/>
                <w:sz w:val="18"/>
                <w:szCs w:val="18"/>
                <w:color w:val="auto"/>
              </w:rPr>
              <w:t>39.3%</w:t>
            </w:r>
          </w:p>
        </w:tc>
        <w:tc>
          <w:tcPr>
            <w:tcW w:w="14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39.1%</w:t>
            </w:r>
          </w:p>
        </w:tc>
      </w:tr>
    </w:tbl>
    <w:p>
      <w:pPr>
        <w:spacing w:after="0" w:line="3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increase in 2016 gross profit, as compared to 2015, was principally due to the net effect of the following individually significant</w:t>
      </w:r>
    </w:p>
    <w:p>
      <w:pPr>
        <w:spacing w:after="0"/>
        <w:rPr>
          <w:sz w:val="20"/>
          <w:szCs w:val="20"/>
          <w:color w:val="auto"/>
        </w:rPr>
      </w:pPr>
      <w:r>
        <w:rPr>
          <w:rFonts w:ascii="Arial" w:cs="Arial" w:eastAsia="Arial" w:hAnsi="Arial"/>
          <w:sz w:val="18"/>
          <w:szCs w:val="18"/>
          <w:color w:val="auto"/>
        </w:rPr>
        <w:t>items:</w:t>
      </w:r>
    </w:p>
    <w:p>
      <w:pPr>
        <w:spacing w:after="0" w:line="135" w:lineRule="exact"/>
        <w:rPr>
          <w:sz w:val="20"/>
          <w:szCs w:val="20"/>
          <w:color w:val="auto"/>
        </w:rPr>
      </w:pPr>
    </w:p>
    <w:p>
      <w:pPr>
        <w:ind w:left="980" w:hanging="324"/>
        <w:spacing w:after="0"/>
        <w:tabs>
          <w:tab w:leader="none" w:pos="980" w:val="left"/>
        </w:tabs>
        <w:numPr>
          <w:ilvl w:val="0"/>
          <w:numId w:val="7"/>
        </w:numPr>
        <w:rPr>
          <w:rFonts w:ascii="Arial" w:cs="Arial" w:eastAsia="Arial" w:hAnsi="Arial"/>
          <w:sz w:val="22"/>
          <w:szCs w:val="22"/>
          <w:color w:val="auto"/>
        </w:rPr>
      </w:pPr>
      <w:r>
        <w:rPr>
          <w:rFonts w:ascii="Arial" w:cs="Arial" w:eastAsia="Arial" w:hAnsi="Arial"/>
          <w:sz w:val="18"/>
          <w:szCs w:val="18"/>
          <w:color w:val="auto"/>
        </w:rPr>
        <w:t>The decline in MC gross profit was principally due to the decline in net sales, as noted above.</w:t>
      </w:r>
    </w:p>
    <w:p>
      <w:pPr>
        <w:spacing w:after="0" w:line="26" w:lineRule="exact"/>
        <w:rPr>
          <w:rFonts w:ascii="Arial" w:cs="Arial" w:eastAsia="Arial" w:hAnsi="Arial"/>
          <w:sz w:val="22"/>
          <w:szCs w:val="22"/>
          <w:color w:val="auto"/>
        </w:rPr>
      </w:pPr>
    </w:p>
    <w:p>
      <w:pPr>
        <w:ind w:left="980" w:hanging="324"/>
        <w:spacing w:after="0" w:line="205" w:lineRule="auto"/>
        <w:tabs>
          <w:tab w:leader="none" w:pos="980" w:val="left"/>
        </w:tabs>
        <w:numPr>
          <w:ilvl w:val="0"/>
          <w:numId w:val="7"/>
        </w:numPr>
        <w:rPr>
          <w:rFonts w:ascii="Arial" w:cs="Arial" w:eastAsia="Arial" w:hAnsi="Arial"/>
          <w:sz w:val="22"/>
          <w:szCs w:val="22"/>
          <w:color w:val="auto"/>
        </w:rPr>
      </w:pPr>
      <w:r>
        <w:rPr>
          <w:rFonts w:ascii="Arial" w:cs="Arial" w:eastAsia="Arial" w:hAnsi="Arial"/>
          <w:sz w:val="18"/>
          <w:szCs w:val="18"/>
          <w:color w:val="auto"/>
        </w:rPr>
        <w:t>Changes in currency translation rates did not have a significant effect on MC gross profit in 2016.</w:t>
      </w:r>
    </w:p>
    <w:p>
      <w:pPr>
        <w:spacing w:after="0" w:line="27" w:lineRule="exact"/>
        <w:rPr>
          <w:rFonts w:ascii="Arial" w:cs="Arial" w:eastAsia="Arial" w:hAnsi="Arial"/>
          <w:sz w:val="22"/>
          <w:szCs w:val="22"/>
          <w:color w:val="auto"/>
        </w:rPr>
      </w:pPr>
    </w:p>
    <w:p>
      <w:pPr>
        <w:ind w:left="980" w:hanging="324"/>
        <w:spacing w:after="0" w:line="205" w:lineRule="auto"/>
        <w:tabs>
          <w:tab w:leader="none" w:pos="980" w:val="left"/>
        </w:tabs>
        <w:numPr>
          <w:ilvl w:val="0"/>
          <w:numId w:val="7"/>
        </w:numPr>
        <w:rPr>
          <w:rFonts w:ascii="Arial" w:cs="Arial" w:eastAsia="Arial" w:hAnsi="Arial"/>
          <w:sz w:val="22"/>
          <w:szCs w:val="22"/>
          <w:color w:val="auto"/>
        </w:rPr>
      </w:pPr>
      <w:r>
        <w:rPr>
          <w:rFonts w:ascii="Arial" w:cs="Arial" w:eastAsia="Arial" w:hAnsi="Arial"/>
          <w:sz w:val="18"/>
          <w:szCs w:val="18"/>
          <w:color w:val="auto"/>
        </w:rPr>
        <w:t>The increase in AEC gross profit was principally due to:</w:t>
      </w:r>
    </w:p>
    <w:p>
      <w:pPr>
        <w:spacing w:after="0" w:line="202" w:lineRule="exact"/>
        <w:rPr>
          <w:rFonts w:ascii="Arial" w:cs="Arial" w:eastAsia="Arial" w:hAnsi="Arial"/>
          <w:sz w:val="22"/>
          <w:szCs w:val="22"/>
          <w:color w:val="auto"/>
        </w:rPr>
      </w:pPr>
    </w:p>
    <w:p>
      <w:pPr>
        <w:ind w:left="2600" w:right="780" w:hanging="323"/>
        <w:spacing w:after="0" w:line="187" w:lineRule="auto"/>
        <w:tabs>
          <w:tab w:leader="none" w:pos="2600" w:val="left"/>
        </w:tabs>
        <w:numPr>
          <w:ilvl w:val="1"/>
          <w:numId w:val="7"/>
        </w:numPr>
        <w:rPr>
          <w:rFonts w:ascii="Arial" w:cs="Arial" w:eastAsia="Arial" w:hAnsi="Arial"/>
          <w:sz w:val="28"/>
          <w:szCs w:val="28"/>
          <w:color w:val="auto"/>
          <w:vertAlign w:val="superscript"/>
        </w:rPr>
      </w:pPr>
      <w:r>
        <w:rPr>
          <w:rFonts w:ascii="Arial" w:cs="Arial" w:eastAsia="Arial" w:hAnsi="Arial"/>
          <w:sz w:val="17"/>
          <w:szCs w:val="17"/>
          <w:color w:val="auto"/>
        </w:rPr>
        <w:t>In 2015, we recorded a charge of $14.0 million for a revision in the contract profitability of a long-term manufacturing contract for the BR 725 program.</w:t>
      </w:r>
    </w:p>
    <w:p>
      <w:pPr>
        <w:spacing w:after="0" w:line="1" w:lineRule="exact"/>
        <w:rPr>
          <w:rFonts w:ascii="Arial" w:cs="Arial" w:eastAsia="Arial" w:hAnsi="Arial"/>
          <w:sz w:val="28"/>
          <w:szCs w:val="28"/>
          <w:color w:val="auto"/>
          <w:vertAlign w:val="superscript"/>
        </w:rPr>
      </w:pPr>
    </w:p>
    <w:p>
      <w:pPr>
        <w:ind w:left="2600" w:hanging="323"/>
        <w:spacing w:after="0" w:line="183" w:lineRule="auto"/>
        <w:tabs>
          <w:tab w:leader="none" w:pos="2600" w:val="left"/>
        </w:tabs>
        <w:numPr>
          <w:ilvl w:val="1"/>
          <w:numId w:val="7"/>
        </w:numPr>
        <w:rPr>
          <w:rFonts w:ascii="Arial" w:cs="Arial" w:eastAsia="Arial" w:hAnsi="Arial"/>
          <w:sz w:val="23"/>
          <w:szCs w:val="23"/>
          <w:color w:val="auto"/>
          <w:vertAlign w:val="superscript"/>
        </w:rPr>
      </w:pPr>
      <w:r>
        <w:rPr>
          <w:rFonts w:ascii="Arial" w:cs="Arial" w:eastAsia="Arial" w:hAnsi="Arial"/>
          <w:sz w:val="15"/>
          <w:szCs w:val="15"/>
          <w:color w:val="auto"/>
        </w:rPr>
        <w:t>The acquired business generated $9.4 million of gross profit in 2016.</w:t>
      </w:r>
    </w:p>
    <w:p>
      <w:pPr>
        <w:ind w:left="2600" w:right="360" w:hanging="323"/>
        <w:spacing w:after="0" w:line="186" w:lineRule="auto"/>
        <w:tabs>
          <w:tab w:leader="none" w:pos="2600" w:val="left"/>
        </w:tabs>
        <w:numPr>
          <w:ilvl w:val="1"/>
          <w:numId w:val="7"/>
        </w:numPr>
        <w:rPr>
          <w:rFonts w:ascii="Arial" w:cs="Arial" w:eastAsia="Arial" w:hAnsi="Arial"/>
          <w:sz w:val="29"/>
          <w:szCs w:val="29"/>
          <w:color w:val="auto"/>
          <w:vertAlign w:val="superscript"/>
        </w:rPr>
      </w:pPr>
      <w:r>
        <w:rPr>
          <w:rFonts w:ascii="Arial" w:cs="Arial" w:eastAsia="Arial" w:hAnsi="Arial"/>
          <w:sz w:val="18"/>
          <w:szCs w:val="18"/>
          <w:color w:val="auto"/>
        </w:rPr>
        <w:t>The remaining $8.3 million increase in AEC gross profit was principally due to increased sales in the LEAP program.</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decrease in 2015 gross profit, compared to 2014, was principally due to the net effect of the following individually significant items:</w:t>
      </w:r>
    </w:p>
    <w:p>
      <w:pPr>
        <w:spacing w:after="0" w:line="185" w:lineRule="exact"/>
        <w:rPr>
          <w:sz w:val="20"/>
          <w:szCs w:val="20"/>
          <w:color w:val="auto"/>
        </w:rPr>
      </w:pPr>
    </w:p>
    <w:p>
      <w:pPr>
        <w:ind w:left="980" w:right="120" w:hanging="324"/>
        <w:spacing w:after="0" w:line="242" w:lineRule="auto"/>
        <w:tabs>
          <w:tab w:leader="none" w:pos="980" w:val="left"/>
        </w:tabs>
        <w:numPr>
          <w:ilvl w:val="0"/>
          <w:numId w:val="8"/>
        </w:numPr>
        <w:rPr>
          <w:rFonts w:ascii="Arial" w:cs="Arial" w:eastAsia="Arial" w:hAnsi="Arial"/>
          <w:sz w:val="21"/>
          <w:szCs w:val="21"/>
          <w:color w:val="auto"/>
        </w:rPr>
      </w:pPr>
      <w:r>
        <w:rPr>
          <w:rFonts w:ascii="Arial" w:cs="Arial" w:eastAsia="Arial" w:hAnsi="Arial"/>
          <w:sz w:val="17"/>
          <w:szCs w:val="17"/>
          <w:color w:val="auto"/>
        </w:rPr>
        <w:t>Changes in currency translation rates from 2014 to 2015 had a slightly positive effect on Machine Clothing gross profit. In 2015, approximately 20% of Machine Clothing (MC) sales had U.S. dollar sales prices, but were manufactured by non-U.S. subsidiaries, principally in Latin America. The Brazilian real and Mexican peso weakened in 2015, which reduced Cost of sales related to that revenue. Approximately 45% of MC sales were manufactured and sold in currencies other than the dollar, real or peso, and since almost all currencies in which we operate weakened against the U.S. dollar in 2015, the gross profit in these other countries was reduced by changes in currency translation rates. The net impact of these two effects on gross profit was slightly positive in 2015.</w:t>
      </w:r>
    </w:p>
    <w:p>
      <w:pPr>
        <w:spacing w:after="0" w:line="121" w:lineRule="exact"/>
        <w:rPr>
          <w:rFonts w:ascii="Arial" w:cs="Arial" w:eastAsia="Arial" w:hAnsi="Arial"/>
          <w:sz w:val="21"/>
          <w:szCs w:val="21"/>
          <w:color w:val="auto"/>
        </w:rPr>
      </w:pPr>
    </w:p>
    <w:p>
      <w:pPr>
        <w:ind w:left="980" w:right="360" w:hanging="324"/>
        <w:spacing w:after="0" w:line="218" w:lineRule="auto"/>
        <w:tabs>
          <w:tab w:leader="none" w:pos="980" w:val="left"/>
        </w:tabs>
        <w:numPr>
          <w:ilvl w:val="0"/>
          <w:numId w:val="8"/>
        </w:numPr>
        <w:rPr>
          <w:rFonts w:ascii="Arial" w:cs="Arial" w:eastAsia="Arial" w:hAnsi="Arial"/>
          <w:sz w:val="22"/>
          <w:szCs w:val="22"/>
          <w:color w:val="auto"/>
        </w:rPr>
      </w:pPr>
      <w:r>
        <w:rPr>
          <w:rFonts w:ascii="Arial" w:cs="Arial" w:eastAsia="Arial" w:hAnsi="Arial"/>
          <w:sz w:val="18"/>
          <w:szCs w:val="18"/>
          <w:color w:val="auto"/>
        </w:rPr>
        <w:t>The remaining increase in MC gross profit reflects lower costs for raw materials and freight that resulted from reduced crude oil costs.</w:t>
      </w:r>
    </w:p>
    <w:p>
      <w:pPr>
        <w:spacing w:after="0" w:line="99" w:lineRule="exact"/>
        <w:rPr>
          <w:rFonts w:ascii="Arial" w:cs="Arial" w:eastAsia="Arial" w:hAnsi="Arial"/>
          <w:sz w:val="22"/>
          <w:szCs w:val="22"/>
          <w:color w:val="auto"/>
        </w:rPr>
      </w:pPr>
    </w:p>
    <w:p>
      <w:pPr>
        <w:ind w:left="980" w:hanging="324"/>
        <w:spacing w:after="0"/>
        <w:tabs>
          <w:tab w:leader="none" w:pos="980" w:val="left"/>
        </w:tabs>
        <w:numPr>
          <w:ilvl w:val="0"/>
          <w:numId w:val="8"/>
        </w:numPr>
        <w:rPr>
          <w:rFonts w:ascii="Arial" w:cs="Arial" w:eastAsia="Arial" w:hAnsi="Arial"/>
          <w:sz w:val="22"/>
          <w:szCs w:val="22"/>
          <w:color w:val="auto"/>
        </w:rPr>
      </w:pPr>
      <w:r>
        <w:rPr>
          <w:rFonts w:ascii="Arial" w:cs="Arial" w:eastAsia="Arial" w:hAnsi="Arial"/>
          <w:sz w:val="18"/>
          <w:szCs w:val="18"/>
          <w:color w:val="auto"/>
        </w:rPr>
        <w:t>The decrease in AEC gross profit was principally due to the $14.0 million charge noted above.</w:t>
      </w: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Selling, Technical, General, and Research (STG&amp;R)</w:t>
      </w:r>
    </w:p>
    <w:p>
      <w:pPr>
        <w:spacing w:after="0" w:line="192" w:lineRule="exact"/>
        <w:rPr>
          <w:sz w:val="20"/>
          <w:szCs w:val="20"/>
          <w:color w:val="auto"/>
        </w:rPr>
      </w:pPr>
    </w:p>
    <w:p>
      <w:pPr>
        <w:ind w:right="260" w:firstLine="648"/>
        <w:spacing w:after="0" w:line="246" w:lineRule="auto"/>
        <w:rPr>
          <w:sz w:val="20"/>
          <w:szCs w:val="20"/>
          <w:color w:val="auto"/>
        </w:rPr>
      </w:pPr>
      <w:r>
        <w:rPr>
          <w:rFonts w:ascii="Arial" w:cs="Arial" w:eastAsia="Arial" w:hAnsi="Arial"/>
          <w:sz w:val="18"/>
          <w:szCs w:val="18"/>
          <w:color w:val="auto"/>
        </w:rPr>
        <w:t>Selling, Technical, General and Research (STG&amp;R) expenses include selling, general, administrative, technical, product engineering and research expenses. The following table summarizes STG&amp;R by business segment:</w:t>
      </w:r>
    </w:p>
    <w:p>
      <w:pPr>
        <w:spacing w:after="0" w:line="148"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(in thousands, except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Years ended December 31,</w:t>
            </w:r>
          </w:p>
        </w:tc>
        <w:tc>
          <w:tcPr>
            <w:tcW w:w="33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2016</w:t>
            </w:r>
          </w:p>
        </w:tc>
        <w:tc>
          <w:tcPr>
            <w:tcW w:w="204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2015</w:t>
            </w:r>
          </w:p>
        </w:tc>
        <w:tc>
          <w:tcPr>
            <w:tcW w:w="15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r>
      <w:tr>
        <w:trPr>
          <w:trHeight w:val="173"/>
        </w:trPr>
        <w:tc>
          <w:tcPr>
            <w:tcW w:w="4520" w:type="dxa"/>
            <w:vAlign w:val="bottom"/>
          </w:tcPr>
          <w:p>
            <w:pPr>
              <w:ind w:left="40"/>
              <w:spacing w:after="0" w:line="173" w:lineRule="exact"/>
              <w:rPr>
                <w:sz w:val="20"/>
                <w:szCs w:val="20"/>
                <w:color w:val="auto"/>
              </w:rPr>
            </w:pPr>
            <w:r>
              <w:rPr>
                <w:rFonts w:ascii="Arial" w:cs="Arial" w:eastAsia="Arial" w:hAnsi="Arial"/>
                <w:sz w:val="18"/>
                <w:szCs w:val="18"/>
                <w:color w:val="auto"/>
              </w:rPr>
              <w:t>Machine Clothing</w:t>
            </w:r>
          </w:p>
        </w:tc>
        <w:tc>
          <w:tcPr>
            <w:tcW w:w="3360" w:type="dxa"/>
            <w:vAlign w:val="bottom"/>
          </w:tcPr>
          <w:p>
            <w:pPr>
              <w:jc w:val="right"/>
              <w:ind w:right="570"/>
              <w:spacing w:after="0" w:line="173" w:lineRule="exact"/>
              <w:rPr>
                <w:sz w:val="20"/>
                <w:szCs w:val="20"/>
                <w:color w:val="auto"/>
              </w:rPr>
            </w:pPr>
            <w:r>
              <w:rPr>
                <w:rFonts w:ascii="Arial" w:cs="Arial" w:eastAsia="Arial" w:hAnsi="Arial"/>
                <w:sz w:val="18"/>
                <w:szCs w:val="18"/>
                <w:b w:val="1"/>
                <w:bCs w:val="1"/>
                <w:color w:val="auto"/>
              </w:rPr>
              <w:t>$117,804</w:t>
            </w:r>
          </w:p>
        </w:tc>
        <w:tc>
          <w:tcPr>
            <w:tcW w:w="2040" w:type="dxa"/>
            <w:vAlign w:val="bottom"/>
          </w:tcPr>
          <w:p>
            <w:pPr>
              <w:jc w:val="right"/>
              <w:ind w:right="550"/>
              <w:spacing w:after="0" w:line="173" w:lineRule="exact"/>
              <w:rPr>
                <w:sz w:val="20"/>
                <w:szCs w:val="20"/>
                <w:color w:val="auto"/>
              </w:rPr>
            </w:pPr>
            <w:r>
              <w:rPr>
                <w:rFonts w:ascii="Arial" w:cs="Arial" w:eastAsia="Arial" w:hAnsi="Arial"/>
                <w:sz w:val="18"/>
                <w:szCs w:val="18"/>
                <w:color w:val="auto"/>
              </w:rPr>
              <w:t>$123,325</w:t>
            </w:r>
          </w:p>
        </w:tc>
        <w:tc>
          <w:tcPr>
            <w:tcW w:w="1500" w:type="dxa"/>
            <w:vAlign w:val="bottom"/>
          </w:tcPr>
          <w:p>
            <w:pPr>
              <w:jc w:val="right"/>
              <w:ind w:right="10"/>
              <w:spacing w:after="0" w:line="173" w:lineRule="exact"/>
              <w:rPr>
                <w:sz w:val="20"/>
                <w:szCs w:val="20"/>
                <w:color w:val="auto"/>
              </w:rPr>
            </w:pPr>
            <w:r>
              <w:rPr>
                <w:rFonts w:ascii="Arial" w:cs="Arial" w:eastAsia="Arial" w:hAnsi="Arial"/>
                <w:sz w:val="18"/>
                <w:szCs w:val="18"/>
                <w:color w:val="auto"/>
              </w:rPr>
              <w:t>$141,023</w:t>
            </w:r>
          </w:p>
        </w:tc>
      </w:tr>
      <w:tr>
        <w:trPr>
          <w:trHeight w:val="203"/>
        </w:trPr>
        <w:tc>
          <w:tcPr>
            <w:tcW w:w="4520" w:type="dxa"/>
            <w:vAlign w:val="bottom"/>
          </w:tcPr>
          <w:p>
            <w:pPr>
              <w:ind w:left="40"/>
              <w:spacing w:after="0" w:line="202" w:lineRule="exact"/>
              <w:rPr>
                <w:sz w:val="20"/>
                <w:szCs w:val="20"/>
                <w:color w:val="auto"/>
              </w:rPr>
            </w:pPr>
            <w:r>
              <w:rPr>
                <w:rFonts w:ascii="Arial" w:cs="Arial" w:eastAsia="Arial" w:hAnsi="Arial"/>
                <w:sz w:val="18"/>
                <w:szCs w:val="18"/>
                <w:color w:val="auto"/>
              </w:rPr>
              <w:t>Albany Engineered Composites</w:t>
            </w:r>
          </w:p>
        </w:tc>
        <w:tc>
          <w:tcPr>
            <w:tcW w:w="3360" w:type="dxa"/>
            <w:vAlign w:val="bottom"/>
          </w:tcPr>
          <w:p>
            <w:pPr>
              <w:jc w:val="right"/>
              <w:ind w:right="570"/>
              <w:spacing w:after="0" w:line="202" w:lineRule="exact"/>
              <w:rPr>
                <w:sz w:val="20"/>
                <w:szCs w:val="20"/>
                <w:color w:val="auto"/>
              </w:rPr>
            </w:pPr>
            <w:r>
              <w:rPr>
                <w:rFonts w:ascii="Arial" w:cs="Arial" w:eastAsia="Arial" w:hAnsi="Arial"/>
                <w:sz w:val="18"/>
                <w:szCs w:val="18"/>
                <w:b w:val="1"/>
                <w:bCs w:val="1"/>
                <w:color w:val="auto"/>
              </w:rPr>
              <w:t>38,170</w:t>
            </w:r>
          </w:p>
        </w:tc>
        <w:tc>
          <w:tcPr>
            <w:tcW w:w="2040" w:type="dxa"/>
            <w:vAlign w:val="bottom"/>
          </w:tcPr>
          <w:p>
            <w:pPr>
              <w:jc w:val="right"/>
              <w:ind w:right="550"/>
              <w:spacing w:after="0" w:line="202" w:lineRule="exact"/>
              <w:rPr>
                <w:sz w:val="20"/>
                <w:szCs w:val="20"/>
                <w:color w:val="auto"/>
              </w:rPr>
            </w:pPr>
            <w:r>
              <w:rPr>
                <w:rFonts w:ascii="Arial" w:cs="Arial" w:eastAsia="Arial" w:hAnsi="Arial"/>
                <w:sz w:val="18"/>
                <w:szCs w:val="18"/>
                <w:color w:val="auto"/>
              </w:rPr>
              <w:t>21,882</w:t>
            </w:r>
          </w:p>
        </w:tc>
        <w:tc>
          <w:tcPr>
            <w:tcW w:w="15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20,301</w:t>
            </w:r>
          </w:p>
        </w:tc>
      </w:tr>
      <w:tr>
        <w:trPr>
          <w:trHeight w:val="225"/>
        </w:trPr>
        <w:tc>
          <w:tcPr>
            <w:tcW w:w="4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Corporate expenses</w:t>
            </w:r>
          </w:p>
        </w:tc>
        <w:tc>
          <w:tcPr>
            <w:tcW w:w="33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44,442</w:t>
            </w:r>
          </w:p>
        </w:tc>
        <w:tc>
          <w:tcPr>
            <w:tcW w:w="20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45,738</w:t>
            </w: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45,002</w:t>
            </w:r>
          </w:p>
        </w:tc>
      </w:tr>
      <w:tr>
        <w:trPr>
          <w:trHeight w:val="196"/>
        </w:trPr>
        <w:tc>
          <w:tcPr>
            <w:tcW w:w="452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Total</w:t>
            </w:r>
          </w:p>
        </w:tc>
        <w:tc>
          <w:tcPr>
            <w:tcW w:w="3360" w:type="dxa"/>
            <w:vAlign w:val="bottom"/>
            <w:tcBorders>
              <w:bottom w:val="single" w:sz="8" w:color="auto"/>
            </w:tcBorders>
          </w:tcPr>
          <w:p>
            <w:pPr>
              <w:jc w:val="right"/>
              <w:ind w:right="570"/>
              <w:spacing w:after="0" w:line="196" w:lineRule="exact"/>
              <w:rPr>
                <w:sz w:val="20"/>
                <w:szCs w:val="20"/>
                <w:color w:val="auto"/>
              </w:rPr>
            </w:pPr>
            <w:r>
              <w:rPr>
                <w:rFonts w:ascii="Arial" w:cs="Arial" w:eastAsia="Arial" w:hAnsi="Arial"/>
                <w:sz w:val="18"/>
                <w:szCs w:val="18"/>
                <w:b w:val="1"/>
                <w:bCs w:val="1"/>
                <w:color w:val="auto"/>
              </w:rPr>
              <w:t>$200,416</w:t>
            </w:r>
          </w:p>
        </w:tc>
        <w:tc>
          <w:tcPr>
            <w:tcW w:w="2040" w:type="dxa"/>
            <w:vAlign w:val="bottom"/>
            <w:tcBorders>
              <w:bottom w:val="single" w:sz="8" w:color="auto"/>
            </w:tcBorders>
          </w:tcPr>
          <w:p>
            <w:pPr>
              <w:jc w:val="right"/>
              <w:ind w:right="550"/>
              <w:spacing w:after="0" w:line="196" w:lineRule="exact"/>
              <w:rPr>
                <w:sz w:val="20"/>
                <w:szCs w:val="20"/>
                <w:color w:val="auto"/>
              </w:rPr>
            </w:pPr>
            <w:r>
              <w:rPr>
                <w:rFonts w:ascii="Arial" w:cs="Arial" w:eastAsia="Arial" w:hAnsi="Arial"/>
                <w:sz w:val="18"/>
                <w:szCs w:val="18"/>
                <w:color w:val="auto"/>
              </w:rPr>
              <w:t>$190,945</w:t>
            </w:r>
          </w:p>
        </w:tc>
        <w:tc>
          <w:tcPr>
            <w:tcW w:w="15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$206,326</w:t>
            </w:r>
          </w:p>
        </w:tc>
      </w:tr>
      <w:tr>
        <w:trPr>
          <w:trHeight w:val="196"/>
        </w:trPr>
        <w:tc>
          <w:tcPr>
            <w:tcW w:w="452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 of Net Sales</w:t>
            </w:r>
          </w:p>
        </w:tc>
        <w:tc>
          <w:tcPr>
            <w:tcW w:w="3360" w:type="dxa"/>
            <w:vAlign w:val="bottom"/>
            <w:tcBorders>
              <w:bottom w:val="single" w:sz="8" w:color="auto"/>
            </w:tcBorders>
          </w:tcPr>
          <w:p>
            <w:pPr>
              <w:jc w:val="right"/>
              <w:ind w:right="570"/>
              <w:spacing w:after="0" w:line="196" w:lineRule="exact"/>
              <w:rPr>
                <w:sz w:val="20"/>
                <w:szCs w:val="20"/>
                <w:color w:val="auto"/>
              </w:rPr>
            </w:pPr>
            <w:r>
              <w:rPr>
                <w:rFonts w:ascii="Arial" w:cs="Arial" w:eastAsia="Arial" w:hAnsi="Arial"/>
                <w:sz w:val="18"/>
                <w:szCs w:val="18"/>
                <w:b w:val="1"/>
                <w:bCs w:val="1"/>
                <w:color w:val="auto"/>
              </w:rPr>
              <w:t>25.7%</w:t>
            </w:r>
          </w:p>
        </w:tc>
        <w:tc>
          <w:tcPr>
            <w:tcW w:w="2040" w:type="dxa"/>
            <w:vAlign w:val="bottom"/>
            <w:tcBorders>
              <w:bottom w:val="single" w:sz="8" w:color="auto"/>
            </w:tcBorders>
          </w:tcPr>
          <w:p>
            <w:pPr>
              <w:jc w:val="right"/>
              <w:ind w:right="550"/>
              <w:spacing w:after="0" w:line="196" w:lineRule="exact"/>
              <w:rPr>
                <w:sz w:val="20"/>
                <w:szCs w:val="20"/>
                <w:color w:val="auto"/>
              </w:rPr>
            </w:pPr>
            <w:r>
              <w:rPr>
                <w:rFonts w:ascii="Arial" w:cs="Arial" w:eastAsia="Arial" w:hAnsi="Arial"/>
                <w:sz w:val="18"/>
                <w:szCs w:val="18"/>
                <w:color w:val="auto"/>
              </w:rPr>
              <w:t>26.9%</w:t>
            </w:r>
          </w:p>
        </w:tc>
        <w:tc>
          <w:tcPr>
            <w:tcW w:w="15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27.7%</w:t>
            </w:r>
          </w:p>
        </w:tc>
      </w:tr>
    </w:tbl>
    <w:p>
      <w:pPr>
        <w:spacing w:after="0" w:line="3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increase in STG&amp;R expenses in 2016 in comparison of 2015, was principally due to the following individually significant items:</w:t>
      </w:r>
    </w:p>
    <w:p>
      <w:pPr>
        <w:spacing w:after="0" w:line="171" w:lineRule="exact"/>
        <w:rPr>
          <w:sz w:val="20"/>
          <w:szCs w:val="20"/>
          <w:color w:val="auto"/>
        </w:rPr>
      </w:pPr>
    </w:p>
    <w:p>
      <w:pPr>
        <w:ind w:left="980" w:right="20" w:hanging="324"/>
        <w:spacing w:after="0" w:line="218" w:lineRule="auto"/>
        <w:tabs>
          <w:tab w:leader="none" w:pos="980" w:val="left"/>
        </w:tabs>
        <w:numPr>
          <w:ilvl w:val="0"/>
          <w:numId w:val="9"/>
        </w:numPr>
        <w:rPr>
          <w:rFonts w:ascii="Arial" w:cs="Arial" w:eastAsia="Arial" w:hAnsi="Arial"/>
          <w:sz w:val="22"/>
          <w:szCs w:val="22"/>
          <w:color w:val="auto"/>
        </w:rPr>
      </w:pPr>
      <w:r>
        <w:rPr>
          <w:rFonts w:ascii="Arial" w:cs="Arial" w:eastAsia="Arial" w:hAnsi="Arial"/>
          <w:sz w:val="18"/>
          <w:szCs w:val="18"/>
          <w:color w:val="auto"/>
        </w:rPr>
        <w:t>Changes in currency translation rates reduced MC STG&amp;R expenses by $1.7 million, of which approximately $0.5 million resulted from expenses in Brazil, and $0.6 million from European-based costs, which were principally incurred in locations with the euro and the Swedish krona as the functional currency.</w:t>
      </w:r>
    </w:p>
    <w:p>
      <w:pPr>
        <w:spacing w:after="0" w:line="1" w:lineRule="exact"/>
        <w:rPr>
          <w:rFonts w:ascii="Arial" w:cs="Arial" w:eastAsia="Arial" w:hAnsi="Arial"/>
          <w:sz w:val="22"/>
          <w:szCs w:val="22"/>
          <w:color w:val="auto"/>
        </w:rPr>
      </w:pPr>
    </w:p>
    <w:p>
      <w:pPr>
        <w:ind w:left="980" w:hanging="324"/>
        <w:spacing w:after="0" w:line="205" w:lineRule="auto"/>
        <w:tabs>
          <w:tab w:leader="none" w:pos="980" w:val="left"/>
        </w:tabs>
        <w:numPr>
          <w:ilvl w:val="0"/>
          <w:numId w:val="9"/>
        </w:numPr>
        <w:rPr>
          <w:rFonts w:ascii="Arial" w:cs="Arial" w:eastAsia="Arial" w:hAnsi="Arial"/>
          <w:sz w:val="22"/>
          <w:szCs w:val="22"/>
          <w:color w:val="auto"/>
        </w:rPr>
      </w:pPr>
      <w:r>
        <w:rPr>
          <w:rFonts w:ascii="Arial" w:cs="Arial" w:eastAsia="Arial" w:hAnsi="Arial"/>
          <w:sz w:val="18"/>
          <w:szCs w:val="18"/>
          <w:color w:val="auto"/>
        </w:rPr>
        <w:t>MC revaluation of nonfunctional currency assets and liabilities resulted in gains of $0.4 million in 2016 and $5.1 million in 2015.</w:t>
      </w:r>
    </w:p>
    <w:p>
      <w:pPr>
        <w:spacing w:after="0" w:line="27" w:lineRule="exact"/>
        <w:rPr>
          <w:rFonts w:ascii="Arial" w:cs="Arial" w:eastAsia="Arial" w:hAnsi="Arial"/>
          <w:sz w:val="22"/>
          <w:szCs w:val="22"/>
          <w:color w:val="auto"/>
        </w:rPr>
      </w:pPr>
    </w:p>
    <w:p>
      <w:pPr>
        <w:ind w:left="980" w:hanging="324"/>
        <w:spacing w:after="0" w:line="205" w:lineRule="auto"/>
        <w:tabs>
          <w:tab w:leader="none" w:pos="980" w:val="left"/>
        </w:tabs>
        <w:numPr>
          <w:ilvl w:val="0"/>
          <w:numId w:val="9"/>
        </w:numPr>
        <w:rPr>
          <w:rFonts w:ascii="Arial" w:cs="Arial" w:eastAsia="Arial" w:hAnsi="Arial"/>
          <w:sz w:val="22"/>
          <w:szCs w:val="22"/>
          <w:color w:val="auto"/>
        </w:rPr>
      </w:pPr>
      <w:r>
        <w:rPr>
          <w:rFonts w:ascii="Arial" w:cs="Arial" w:eastAsia="Arial" w:hAnsi="Arial"/>
          <w:sz w:val="18"/>
          <w:szCs w:val="18"/>
          <w:color w:val="auto"/>
        </w:rPr>
        <w:t>Restructuring actions taken in 2015 and 2016 reduced MC STG&amp;R costs by approximately $7 million.</w:t>
      </w:r>
    </w:p>
    <w:p>
      <w:pPr>
        <w:spacing w:after="0" w:line="27" w:lineRule="exact"/>
        <w:rPr>
          <w:rFonts w:ascii="Arial" w:cs="Arial" w:eastAsia="Arial" w:hAnsi="Arial"/>
          <w:sz w:val="22"/>
          <w:szCs w:val="22"/>
          <w:color w:val="auto"/>
        </w:rPr>
      </w:pPr>
    </w:p>
    <w:p>
      <w:pPr>
        <w:ind w:left="980" w:hanging="324"/>
        <w:spacing w:after="0" w:line="205" w:lineRule="auto"/>
        <w:tabs>
          <w:tab w:leader="none" w:pos="980" w:val="left"/>
        </w:tabs>
        <w:numPr>
          <w:ilvl w:val="0"/>
          <w:numId w:val="9"/>
        </w:numPr>
        <w:rPr>
          <w:rFonts w:ascii="Arial" w:cs="Arial" w:eastAsia="Arial" w:hAnsi="Arial"/>
          <w:sz w:val="22"/>
          <w:szCs w:val="22"/>
          <w:color w:val="auto"/>
        </w:rPr>
      </w:pPr>
      <w:r>
        <w:rPr>
          <w:rFonts w:ascii="Arial" w:cs="Arial" w:eastAsia="Arial" w:hAnsi="Arial"/>
          <w:sz w:val="18"/>
          <w:szCs w:val="18"/>
          <w:color w:val="auto"/>
        </w:rPr>
        <w:t>AEC STG&amp;R expenses increased $16.3 million, principally due to the net effect of the following significant items:</w:t>
      </w:r>
    </w:p>
    <w:p>
      <w:pPr>
        <w:spacing w:after="0" w:line="85" w:lineRule="exact"/>
        <w:rPr>
          <w:rFonts w:ascii="Arial" w:cs="Arial" w:eastAsia="Arial" w:hAnsi="Arial"/>
          <w:sz w:val="22"/>
          <w:szCs w:val="22"/>
          <w:color w:val="auto"/>
        </w:rPr>
      </w:pPr>
    </w:p>
    <w:p>
      <w:pPr>
        <w:ind w:left="2600" w:hanging="323"/>
        <w:spacing w:after="0"/>
        <w:tabs>
          <w:tab w:leader="none" w:pos="2600" w:val="left"/>
        </w:tabs>
        <w:numPr>
          <w:ilvl w:val="1"/>
          <w:numId w:val="9"/>
        </w:numPr>
        <w:rPr>
          <w:rFonts w:ascii="Arial" w:cs="Arial" w:eastAsia="Arial" w:hAnsi="Arial"/>
          <w:sz w:val="29"/>
          <w:szCs w:val="29"/>
          <w:color w:val="auto"/>
          <w:vertAlign w:val="superscript"/>
        </w:rPr>
      </w:pPr>
      <w:r>
        <w:rPr>
          <w:rFonts w:ascii="Arial" w:cs="Arial" w:eastAsia="Arial" w:hAnsi="Arial"/>
          <w:sz w:val="18"/>
          <w:szCs w:val="18"/>
          <w:color w:val="auto"/>
        </w:rPr>
        <w:t>The acquired business had STG&amp;R expenses of $10.3 million.</w:t>
      </w:r>
    </w:p>
    <w:p>
      <w:pPr>
        <w:ind w:left="2600" w:hanging="323"/>
        <w:spacing w:after="0" w:line="183" w:lineRule="auto"/>
        <w:tabs>
          <w:tab w:leader="none" w:pos="2600" w:val="left"/>
        </w:tabs>
        <w:numPr>
          <w:ilvl w:val="1"/>
          <w:numId w:val="9"/>
        </w:numPr>
        <w:rPr>
          <w:rFonts w:ascii="Arial" w:cs="Arial" w:eastAsia="Arial" w:hAnsi="Arial"/>
          <w:sz w:val="23"/>
          <w:szCs w:val="23"/>
          <w:color w:val="auto"/>
          <w:vertAlign w:val="superscript"/>
        </w:rPr>
      </w:pPr>
      <w:r>
        <w:rPr>
          <w:rFonts w:ascii="Arial" w:cs="Arial" w:eastAsia="Arial" w:hAnsi="Arial"/>
          <w:sz w:val="15"/>
          <w:szCs w:val="15"/>
          <w:color w:val="auto"/>
        </w:rPr>
        <w:t>We recorded expenses of $5.4 million related to the acquisition transaction.</w:t>
      </w:r>
    </w:p>
    <w:p>
      <w:pPr>
        <w:ind w:left="2600" w:hanging="323"/>
        <w:spacing w:after="0" w:line="183" w:lineRule="auto"/>
        <w:tabs>
          <w:tab w:leader="none" w:pos="2600" w:val="left"/>
        </w:tabs>
        <w:numPr>
          <w:ilvl w:val="1"/>
          <w:numId w:val="9"/>
        </w:numPr>
        <w:rPr>
          <w:rFonts w:ascii="Arial" w:cs="Arial" w:eastAsia="Arial" w:hAnsi="Arial"/>
          <w:sz w:val="23"/>
          <w:szCs w:val="23"/>
          <w:color w:val="auto"/>
          <w:vertAlign w:val="superscript"/>
        </w:rPr>
      </w:pPr>
      <w:r>
        <w:rPr>
          <w:rFonts w:ascii="Arial" w:cs="Arial" w:eastAsia="Arial" w:hAnsi="Arial"/>
          <w:sz w:val="15"/>
          <w:szCs w:val="15"/>
          <w:color w:val="auto"/>
        </w:rPr>
        <w:t>We incurred expenses of approximately $1.0 million related to integration activities.</w:t>
      </w:r>
    </w:p>
    <w:p>
      <w:pPr>
        <w:ind w:left="980" w:hanging="324"/>
        <w:spacing w:after="0" w:line="205" w:lineRule="auto"/>
        <w:tabs>
          <w:tab w:leader="none" w:pos="980" w:val="left"/>
        </w:tabs>
        <w:numPr>
          <w:ilvl w:val="0"/>
          <w:numId w:val="9"/>
        </w:numPr>
        <w:rPr>
          <w:rFonts w:ascii="Arial" w:cs="Arial" w:eastAsia="Arial" w:hAnsi="Arial"/>
          <w:sz w:val="22"/>
          <w:szCs w:val="22"/>
          <w:color w:val="auto"/>
        </w:rPr>
      </w:pPr>
      <w:r>
        <w:rPr>
          <w:rFonts w:ascii="Arial" w:cs="Arial" w:eastAsia="Arial" w:hAnsi="Arial"/>
          <w:sz w:val="18"/>
          <w:szCs w:val="18"/>
          <w:color w:val="auto"/>
        </w:rPr>
        <w:t>Corporate STG&amp;R expenses decreased $1.3 million principally due to restructuring actions announced in 2015.</w:t>
      </w:r>
    </w:p>
    <w:p>
      <w:pPr>
        <w:spacing w:after="0" w:line="203" w:lineRule="exact"/>
        <w:rPr>
          <w:sz w:val="20"/>
          <w:szCs w:val="20"/>
          <w:color w:val="auto"/>
        </w:rPr>
      </w:pPr>
    </w:p>
    <w:p>
      <w:pPr>
        <w:ind w:right="760" w:firstLine="648"/>
        <w:spacing w:after="0" w:line="246" w:lineRule="auto"/>
        <w:rPr>
          <w:sz w:val="20"/>
          <w:szCs w:val="20"/>
          <w:color w:val="auto"/>
        </w:rPr>
      </w:pPr>
      <w:r>
        <w:rPr>
          <w:rFonts w:ascii="Arial" w:cs="Arial" w:eastAsia="Arial" w:hAnsi="Arial"/>
          <w:sz w:val="18"/>
          <w:szCs w:val="18"/>
          <w:color w:val="auto"/>
        </w:rPr>
        <w:t>The decrease in STG&amp;R expenses in 2015 compared to 2014, was principally due to the net effect of the following individually significant items:</w:t>
      </w:r>
    </w:p>
    <w:p>
      <w:pPr>
        <w:spacing w:after="0" w:line="156" w:lineRule="exact"/>
        <w:rPr>
          <w:sz w:val="20"/>
          <w:szCs w:val="20"/>
          <w:color w:val="auto"/>
        </w:rPr>
      </w:pPr>
    </w:p>
    <w:p>
      <w:pPr>
        <w:ind w:left="980" w:right="20" w:hanging="324"/>
        <w:spacing w:after="0" w:line="218" w:lineRule="auto"/>
        <w:tabs>
          <w:tab w:leader="none" w:pos="980" w:val="left"/>
        </w:tabs>
        <w:numPr>
          <w:ilvl w:val="0"/>
          <w:numId w:val="10"/>
        </w:numPr>
        <w:rPr>
          <w:rFonts w:ascii="Arial" w:cs="Arial" w:eastAsia="Arial" w:hAnsi="Arial"/>
          <w:sz w:val="22"/>
          <w:szCs w:val="22"/>
          <w:color w:val="auto"/>
        </w:rPr>
      </w:pPr>
      <w:r>
        <w:rPr>
          <w:rFonts w:ascii="Arial" w:cs="Arial" w:eastAsia="Arial" w:hAnsi="Arial"/>
          <w:sz w:val="18"/>
          <w:szCs w:val="18"/>
          <w:color w:val="auto"/>
        </w:rPr>
        <w:t>Changes in currency translation rates reduced MC STG&amp;R costs by $13.5 million. Approximately 60% of that decrease was related to European-based costs, which were principally incurred in locations with the euro and the Swedish krona as the functional currency.</w:t>
      </w:r>
    </w:p>
    <w:p>
      <w:pPr>
        <w:spacing w:after="0" w:line="1" w:lineRule="exact"/>
        <w:rPr>
          <w:rFonts w:ascii="Arial" w:cs="Arial" w:eastAsia="Arial" w:hAnsi="Arial"/>
          <w:sz w:val="22"/>
          <w:szCs w:val="22"/>
          <w:color w:val="auto"/>
        </w:rPr>
      </w:pPr>
    </w:p>
    <w:p>
      <w:pPr>
        <w:ind w:left="980" w:hanging="324"/>
        <w:spacing w:after="0" w:line="211" w:lineRule="auto"/>
        <w:tabs>
          <w:tab w:leader="none" w:pos="980" w:val="left"/>
        </w:tabs>
        <w:numPr>
          <w:ilvl w:val="0"/>
          <w:numId w:val="10"/>
        </w:numPr>
        <w:rPr>
          <w:rFonts w:ascii="Arial" w:cs="Arial" w:eastAsia="Arial" w:hAnsi="Arial"/>
          <w:sz w:val="22"/>
          <w:szCs w:val="22"/>
          <w:color w:val="auto"/>
        </w:rPr>
      </w:pPr>
      <w:r>
        <w:rPr>
          <w:rFonts w:ascii="Arial" w:cs="Arial" w:eastAsia="Arial" w:hAnsi="Arial"/>
          <w:sz w:val="18"/>
          <w:szCs w:val="18"/>
          <w:color w:val="auto"/>
        </w:rPr>
        <w:t>MC revaluation of nonfunctional currency assets and liabilities resulted in gains of $5.1 million during 2015 and gains of $3.9 million in 2014.</w:t>
      </w:r>
    </w:p>
    <w:p>
      <w:pPr>
        <w:ind w:left="980" w:hanging="324"/>
        <w:spacing w:after="0" w:line="205" w:lineRule="auto"/>
        <w:tabs>
          <w:tab w:leader="none" w:pos="980" w:val="left"/>
        </w:tabs>
        <w:numPr>
          <w:ilvl w:val="0"/>
          <w:numId w:val="10"/>
        </w:numPr>
        <w:rPr>
          <w:rFonts w:ascii="Arial" w:cs="Arial" w:eastAsia="Arial" w:hAnsi="Arial"/>
          <w:sz w:val="22"/>
          <w:szCs w:val="22"/>
          <w:color w:val="auto"/>
        </w:rPr>
      </w:pPr>
      <w:r>
        <w:rPr>
          <w:rFonts w:ascii="Arial" w:cs="Arial" w:eastAsia="Arial" w:hAnsi="Arial"/>
          <w:sz w:val="18"/>
          <w:szCs w:val="18"/>
          <w:color w:val="auto"/>
        </w:rPr>
        <w:t>Restructuring activities and reduced travel in MC each resulted in a $2.7 million decline in STG&amp;R.</w:t>
      </w:r>
    </w:p>
    <w:p>
      <w:pPr>
        <w:spacing w:after="0" w:line="2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Research and Development</w:t>
      </w:r>
    </w:p>
    <w:p>
      <w:pPr>
        <w:spacing w:after="0" w:line="192" w:lineRule="exact"/>
        <w:rPr>
          <w:sz w:val="20"/>
          <w:szCs w:val="20"/>
          <w:color w:val="auto"/>
        </w:rPr>
      </w:pPr>
    </w:p>
    <w:p>
      <w:pPr>
        <w:ind w:right="260" w:firstLine="648"/>
        <w:spacing w:after="0" w:line="246" w:lineRule="auto"/>
        <w:rPr>
          <w:sz w:val="20"/>
          <w:szCs w:val="20"/>
          <w:color w:val="auto"/>
        </w:rPr>
      </w:pPr>
      <w:r>
        <w:rPr>
          <w:rFonts w:ascii="Arial" w:cs="Arial" w:eastAsia="Arial" w:hAnsi="Arial"/>
          <w:sz w:val="18"/>
          <w:szCs w:val="18"/>
          <w:color w:val="auto"/>
        </w:rPr>
        <w:t>The following table is a subset of the STG&amp;R table above and summarizes expenses associated with internally funded research and development by business segment:</w:t>
      </w:r>
    </w:p>
    <w:p>
      <w:pPr>
        <w:spacing w:after="0" w:line="148" w:lineRule="exact"/>
        <w:rPr>
          <w:sz w:val="20"/>
          <w:szCs w:val="20"/>
          <w:color w:val="auto"/>
        </w:rPr>
      </w:pPr>
    </w:p>
    <w:p>
      <w:pPr>
        <w:ind w:left="9080"/>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3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Years ended December 31,</w:t>
            </w:r>
          </w:p>
        </w:tc>
        <w:tc>
          <w:tcPr>
            <w:tcW w:w="36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13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2014</w:t>
            </w:r>
          </w:p>
        </w:tc>
      </w:tr>
      <w:tr>
        <w:trPr>
          <w:trHeight w:val="173"/>
        </w:trPr>
        <w:tc>
          <w:tcPr>
            <w:tcW w:w="5300" w:type="dxa"/>
            <w:vAlign w:val="bottom"/>
          </w:tcPr>
          <w:p>
            <w:pPr>
              <w:ind w:left="100"/>
              <w:spacing w:after="0" w:line="173" w:lineRule="exact"/>
              <w:rPr>
                <w:sz w:val="20"/>
                <w:szCs w:val="20"/>
                <w:color w:val="auto"/>
              </w:rPr>
            </w:pPr>
            <w:r>
              <w:rPr>
                <w:rFonts w:ascii="Arial" w:cs="Arial" w:eastAsia="Arial" w:hAnsi="Arial"/>
                <w:sz w:val="18"/>
                <w:szCs w:val="18"/>
                <w:color w:val="auto"/>
              </w:rPr>
              <w:t>Machine Clothing</w:t>
            </w:r>
          </w:p>
        </w:tc>
        <w:tc>
          <w:tcPr>
            <w:tcW w:w="3680" w:type="dxa"/>
            <w:vAlign w:val="bottom"/>
          </w:tcPr>
          <w:p>
            <w:pPr>
              <w:jc w:val="right"/>
              <w:ind w:right="250"/>
              <w:spacing w:after="0" w:line="173" w:lineRule="exact"/>
              <w:rPr>
                <w:sz w:val="20"/>
                <w:szCs w:val="20"/>
                <w:color w:val="auto"/>
              </w:rPr>
            </w:pPr>
            <w:r>
              <w:rPr>
                <w:rFonts w:ascii="Arial" w:cs="Arial" w:eastAsia="Arial" w:hAnsi="Arial"/>
                <w:sz w:val="18"/>
                <w:szCs w:val="18"/>
                <w:b w:val="1"/>
                <w:bCs w:val="1"/>
                <w:color w:val="auto"/>
              </w:rPr>
              <w:t>$16,882</w:t>
            </w:r>
          </w:p>
        </w:tc>
        <w:tc>
          <w:tcPr>
            <w:tcW w:w="1340" w:type="dxa"/>
            <w:vAlign w:val="bottom"/>
          </w:tcPr>
          <w:p>
            <w:pPr>
              <w:jc w:val="right"/>
              <w:ind w:right="250"/>
              <w:spacing w:after="0" w:line="173" w:lineRule="exact"/>
              <w:rPr>
                <w:sz w:val="20"/>
                <w:szCs w:val="20"/>
                <w:color w:val="auto"/>
              </w:rPr>
            </w:pPr>
            <w:r>
              <w:rPr>
                <w:rFonts w:ascii="Arial" w:cs="Arial" w:eastAsia="Arial" w:hAnsi="Arial"/>
                <w:sz w:val="18"/>
                <w:szCs w:val="18"/>
                <w:color w:val="auto"/>
              </w:rPr>
              <w:t>$19,838</w:t>
            </w:r>
          </w:p>
        </w:tc>
        <w:tc>
          <w:tcPr>
            <w:tcW w:w="1100" w:type="dxa"/>
            <w:vAlign w:val="bottom"/>
          </w:tcPr>
          <w:p>
            <w:pPr>
              <w:jc w:val="right"/>
              <w:ind w:right="10"/>
              <w:spacing w:after="0" w:line="173" w:lineRule="exact"/>
              <w:rPr>
                <w:sz w:val="20"/>
                <w:szCs w:val="20"/>
                <w:color w:val="auto"/>
              </w:rPr>
            </w:pPr>
            <w:r>
              <w:rPr>
                <w:rFonts w:ascii="Arial" w:cs="Arial" w:eastAsia="Arial" w:hAnsi="Arial"/>
                <w:sz w:val="18"/>
                <w:szCs w:val="18"/>
                <w:color w:val="auto"/>
              </w:rPr>
              <w:t>$20,575</w:t>
            </w:r>
          </w:p>
        </w:tc>
      </w:tr>
      <w:tr>
        <w:trPr>
          <w:trHeight w:val="203"/>
        </w:trPr>
        <w:tc>
          <w:tcPr>
            <w:tcW w:w="5300" w:type="dxa"/>
            <w:vAlign w:val="bottom"/>
          </w:tcPr>
          <w:p>
            <w:pPr>
              <w:ind w:left="100"/>
              <w:spacing w:after="0" w:line="202" w:lineRule="exact"/>
              <w:rPr>
                <w:sz w:val="20"/>
                <w:szCs w:val="20"/>
                <w:color w:val="auto"/>
              </w:rPr>
            </w:pPr>
            <w:r>
              <w:rPr>
                <w:rFonts w:ascii="Arial" w:cs="Arial" w:eastAsia="Arial" w:hAnsi="Arial"/>
                <w:sz w:val="18"/>
                <w:szCs w:val="18"/>
                <w:color w:val="auto"/>
              </w:rPr>
              <w:t>Albany Engineered Composites</w:t>
            </w:r>
          </w:p>
        </w:tc>
        <w:tc>
          <w:tcPr>
            <w:tcW w:w="368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11,920</w:t>
            </w:r>
          </w:p>
        </w:tc>
        <w:tc>
          <w:tcPr>
            <w:tcW w:w="134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11,042</w:t>
            </w:r>
          </w:p>
        </w:tc>
        <w:tc>
          <w:tcPr>
            <w:tcW w:w="11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11,050</w:t>
            </w:r>
          </w:p>
        </w:tc>
      </w:tr>
      <w:tr>
        <w:trPr>
          <w:trHeight w:val="225"/>
        </w:trPr>
        <w:tc>
          <w:tcPr>
            <w:tcW w:w="53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Corporate expenses</w:t>
            </w:r>
          </w:p>
        </w:tc>
        <w:tc>
          <w:tcPr>
            <w:tcW w:w="36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868</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745</w:t>
            </w:r>
          </w:p>
        </w:tc>
      </w:tr>
      <w:tr>
        <w:trPr>
          <w:trHeight w:val="196"/>
        </w:trPr>
        <w:tc>
          <w:tcPr>
            <w:tcW w:w="530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Total</w:t>
            </w:r>
          </w:p>
        </w:tc>
        <w:tc>
          <w:tcPr>
            <w:tcW w:w="368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$28,802</w:t>
            </w:r>
          </w:p>
        </w:tc>
        <w:tc>
          <w:tcPr>
            <w:tcW w:w="134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rPr>
              <w:t>$31,748</w:t>
            </w:r>
          </w:p>
        </w:tc>
        <w:tc>
          <w:tcPr>
            <w:tcW w:w="11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$32,370</w:t>
            </w: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 Settlement Charge</w:t>
      </w:r>
    </w:p>
    <w:p>
      <w:pPr>
        <w:spacing w:after="0" w:line="193" w:lineRule="exact"/>
        <w:rPr>
          <w:sz w:val="20"/>
          <w:szCs w:val="20"/>
          <w:color w:val="auto"/>
        </w:rPr>
      </w:pPr>
    </w:p>
    <w:p>
      <w:pPr>
        <w:ind w:right="80" w:firstLine="648"/>
        <w:spacing w:after="0" w:line="239" w:lineRule="auto"/>
        <w:rPr>
          <w:sz w:val="20"/>
          <w:szCs w:val="20"/>
          <w:color w:val="auto"/>
        </w:rPr>
      </w:pPr>
      <w:r>
        <w:rPr>
          <w:rFonts w:ascii="Arial" w:cs="Arial" w:eastAsia="Arial" w:hAnsi="Arial"/>
          <w:sz w:val="18"/>
          <w:szCs w:val="18"/>
          <w:color w:val="auto"/>
        </w:rPr>
        <w:t>In 2014, certain participants of the U.S. pension plan were notified of a limited-time opportunity whereby they could elect to receive the value of their pension benefit in a lump-sum payment. All lump-sum payments were funded from pension plan assets and were paid during 2014. The initiative was part of the Company’s pension plan de-risking strategy, and resulted in a non-cash settlement charge of $8.2 million in 2014.</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w:t>
      </w:r>
    </w:p>
    <w:p>
      <w:pPr>
        <w:spacing w:after="0" w:line="193" w:lineRule="exact"/>
        <w:rPr>
          <w:sz w:val="20"/>
          <w:szCs w:val="20"/>
          <w:color w:val="auto"/>
        </w:rPr>
      </w:pPr>
    </w:p>
    <w:p>
      <w:pPr>
        <w:ind w:right="680" w:firstLine="648"/>
        <w:spacing w:after="0" w:line="246" w:lineRule="auto"/>
        <w:rPr>
          <w:sz w:val="20"/>
          <w:szCs w:val="20"/>
          <w:color w:val="auto"/>
        </w:rPr>
      </w:pPr>
      <w:r>
        <w:rPr>
          <w:rFonts w:ascii="Arial" w:cs="Arial" w:eastAsia="Arial" w:hAnsi="Arial"/>
          <w:sz w:val="18"/>
          <w:szCs w:val="18"/>
          <w:color w:val="auto"/>
        </w:rPr>
        <w:t>In addition to the items discussed above affecting gross profit, STG&amp;R, and pension settlement charges, operating income was affected by restructuring costs of $8.4 million in 2016, $23.8 million in 2015, and $5.8 million in 2014.</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restructuring expense by business segment:</w:t>
      </w:r>
    </w:p>
    <w:p>
      <w:pPr>
        <w:spacing w:after="0" w:line="163" w:lineRule="exact"/>
        <w:rPr>
          <w:sz w:val="20"/>
          <w:szCs w:val="20"/>
          <w:color w:val="auto"/>
        </w:rPr>
      </w:pPr>
    </w:p>
    <w:p>
      <w:pPr>
        <w:ind w:left="9060"/>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2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Years ended December 31,</w:t>
            </w:r>
          </w:p>
        </w:tc>
        <w:tc>
          <w:tcPr>
            <w:tcW w:w="36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4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2014</w:t>
            </w:r>
          </w:p>
        </w:tc>
      </w:tr>
      <w:tr>
        <w:trPr>
          <w:trHeight w:val="173"/>
        </w:trPr>
        <w:tc>
          <w:tcPr>
            <w:tcW w:w="5280" w:type="dxa"/>
            <w:vAlign w:val="bottom"/>
          </w:tcPr>
          <w:p>
            <w:pPr>
              <w:ind w:left="100"/>
              <w:spacing w:after="0" w:line="173" w:lineRule="exact"/>
              <w:rPr>
                <w:sz w:val="20"/>
                <w:szCs w:val="20"/>
                <w:color w:val="auto"/>
              </w:rPr>
            </w:pPr>
            <w:r>
              <w:rPr>
                <w:rFonts w:ascii="Arial" w:cs="Arial" w:eastAsia="Arial" w:hAnsi="Arial"/>
                <w:sz w:val="18"/>
                <w:szCs w:val="18"/>
                <w:color w:val="auto"/>
              </w:rPr>
              <w:t>Machine Clothing</w:t>
            </w:r>
          </w:p>
        </w:tc>
        <w:tc>
          <w:tcPr>
            <w:tcW w:w="3660" w:type="dxa"/>
            <w:vAlign w:val="bottom"/>
          </w:tcPr>
          <w:p>
            <w:pPr>
              <w:jc w:val="right"/>
              <w:ind w:right="330"/>
              <w:spacing w:after="0" w:line="173" w:lineRule="exact"/>
              <w:rPr>
                <w:sz w:val="20"/>
                <w:szCs w:val="20"/>
                <w:color w:val="auto"/>
              </w:rPr>
            </w:pPr>
            <w:r>
              <w:rPr>
                <w:rFonts w:ascii="Arial" w:cs="Arial" w:eastAsia="Arial" w:hAnsi="Arial"/>
                <w:sz w:val="18"/>
                <w:szCs w:val="18"/>
                <w:b w:val="1"/>
                <w:bCs w:val="1"/>
                <w:color w:val="auto"/>
              </w:rPr>
              <w:t>$6,069</w:t>
            </w:r>
          </w:p>
        </w:tc>
        <w:tc>
          <w:tcPr>
            <w:tcW w:w="1420" w:type="dxa"/>
            <w:vAlign w:val="bottom"/>
          </w:tcPr>
          <w:p>
            <w:pPr>
              <w:jc w:val="right"/>
              <w:ind w:right="310"/>
              <w:spacing w:after="0" w:line="173" w:lineRule="exact"/>
              <w:rPr>
                <w:sz w:val="20"/>
                <w:szCs w:val="20"/>
                <w:color w:val="auto"/>
              </w:rPr>
            </w:pPr>
            <w:r>
              <w:rPr>
                <w:rFonts w:ascii="Arial" w:cs="Arial" w:eastAsia="Arial" w:hAnsi="Arial"/>
                <w:sz w:val="18"/>
                <w:szCs w:val="18"/>
                <w:color w:val="auto"/>
              </w:rPr>
              <w:t>$22,211</w:t>
            </w:r>
          </w:p>
        </w:tc>
        <w:tc>
          <w:tcPr>
            <w:tcW w:w="1060" w:type="dxa"/>
            <w:vAlign w:val="bottom"/>
          </w:tcPr>
          <w:p>
            <w:pPr>
              <w:jc w:val="right"/>
              <w:ind w:right="10"/>
              <w:spacing w:after="0" w:line="173" w:lineRule="exact"/>
              <w:rPr>
                <w:sz w:val="20"/>
                <w:szCs w:val="20"/>
                <w:color w:val="auto"/>
              </w:rPr>
            </w:pPr>
            <w:r>
              <w:rPr>
                <w:rFonts w:ascii="Arial" w:cs="Arial" w:eastAsia="Arial" w:hAnsi="Arial"/>
                <w:sz w:val="18"/>
                <w:szCs w:val="18"/>
                <w:color w:val="auto"/>
              </w:rPr>
              <w:t>$4,828</w:t>
            </w:r>
          </w:p>
        </w:tc>
      </w:tr>
      <w:tr>
        <w:trPr>
          <w:trHeight w:val="203"/>
        </w:trPr>
        <w:tc>
          <w:tcPr>
            <w:tcW w:w="5280" w:type="dxa"/>
            <w:vAlign w:val="bottom"/>
          </w:tcPr>
          <w:p>
            <w:pPr>
              <w:ind w:left="100"/>
              <w:spacing w:after="0" w:line="202" w:lineRule="exact"/>
              <w:rPr>
                <w:sz w:val="20"/>
                <w:szCs w:val="20"/>
                <w:color w:val="auto"/>
              </w:rPr>
            </w:pPr>
            <w:r>
              <w:rPr>
                <w:rFonts w:ascii="Arial" w:cs="Arial" w:eastAsia="Arial" w:hAnsi="Arial"/>
                <w:sz w:val="18"/>
                <w:szCs w:val="18"/>
                <w:color w:val="auto"/>
              </w:rPr>
              <w:t>Albany Engineered Composites</w:t>
            </w:r>
          </w:p>
        </w:tc>
        <w:tc>
          <w:tcPr>
            <w:tcW w:w="366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2,314</w:t>
            </w:r>
          </w:p>
        </w:tc>
        <w:tc>
          <w:tcPr>
            <w:tcW w:w="142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931</w:t>
            </w:r>
          </w:p>
        </w:tc>
      </w:tr>
      <w:tr>
        <w:trPr>
          <w:trHeight w:val="225"/>
        </w:trPr>
        <w:tc>
          <w:tcPr>
            <w:tcW w:w="52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Corporate expenses</w:t>
            </w:r>
          </w:p>
        </w:tc>
        <w:tc>
          <w:tcPr>
            <w:tcW w:w="36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(7)</w:t>
            </w:r>
          </w:p>
        </w:tc>
        <w:tc>
          <w:tcPr>
            <w:tcW w:w="14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1,635</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196"/>
        </w:trPr>
        <w:tc>
          <w:tcPr>
            <w:tcW w:w="528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Total</w:t>
            </w:r>
          </w:p>
        </w:tc>
        <w:tc>
          <w:tcPr>
            <w:tcW w:w="366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$8,376</w:t>
            </w:r>
          </w:p>
        </w:tc>
        <w:tc>
          <w:tcPr>
            <w:tcW w:w="142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rPr>
              <w:t>$23,846</w:t>
            </w:r>
          </w:p>
        </w:tc>
        <w:tc>
          <w:tcPr>
            <w:tcW w:w="10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$5,759</w:t>
            </w:r>
          </w:p>
        </w:tc>
      </w:tr>
    </w:tbl>
    <w:p>
      <w:pPr>
        <w:spacing w:after="0" w:line="377" w:lineRule="exact"/>
        <w:rPr>
          <w:sz w:val="20"/>
          <w:szCs w:val="20"/>
          <w:color w:val="auto"/>
        </w:rPr>
      </w:pPr>
    </w:p>
    <w:p>
      <w:pPr>
        <w:ind w:right="380" w:firstLine="648"/>
        <w:spacing w:after="0" w:line="239" w:lineRule="auto"/>
        <w:rPr>
          <w:sz w:val="20"/>
          <w:szCs w:val="20"/>
          <w:color w:val="auto"/>
        </w:rPr>
      </w:pPr>
      <w:r>
        <w:rPr>
          <w:rFonts w:ascii="Arial" w:cs="Arial" w:eastAsia="Arial" w:hAnsi="Arial"/>
          <w:sz w:val="18"/>
          <w:szCs w:val="18"/>
          <w:color w:val="auto"/>
        </w:rPr>
        <w:t>In 2016, the Company announced the initiation of discussions with the relevant employee Works Council regarding a proposal to discontinue research and development activities at its Machine Clothing production facility in Sélestat, France. We subsequently reached agreement with the Works Council on the restructuring plan and we recorded $2.2 million of restructuring expense in 2016 for severance, outplacement, and the write-off of equipment. Cost savings associated with this action reduced 2016 research and development expenses.</w:t>
      </w:r>
    </w:p>
    <w:p>
      <w:pPr>
        <w:spacing w:after="0" w:line="161" w:lineRule="exact"/>
        <w:rPr>
          <w:sz w:val="20"/>
          <w:szCs w:val="20"/>
          <w:color w:val="auto"/>
        </w:rPr>
      </w:pPr>
    </w:p>
    <w:p>
      <w:pPr>
        <w:ind w:right="220" w:firstLine="648"/>
        <w:spacing w:after="0" w:line="246" w:lineRule="auto"/>
        <w:rPr>
          <w:sz w:val="20"/>
          <w:szCs w:val="20"/>
          <w:color w:val="auto"/>
        </w:rPr>
      </w:pPr>
      <w:r>
        <w:rPr>
          <w:rFonts w:ascii="Arial" w:cs="Arial" w:eastAsia="Arial" w:hAnsi="Arial"/>
          <w:sz w:val="18"/>
          <w:szCs w:val="18"/>
          <w:color w:val="auto"/>
        </w:rPr>
        <w:t>Albany Engineered Composites restructuring expenses in 2016 were principally related to the consolidation of the Company’s legacy programs into Boerne, Texas.</w:t>
      </w:r>
    </w:p>
    <w:p>
      <w:pPr>
        <w:spacing w:after="0" w:line="170" w:lineRule="exact"/>
        <w:rPr>
          <w:sz w:val="20"/>
          <w:szCs w:val="20"/>
          <w:color w:val="auto"/>
        </w:rPr>
      </w:pPr>
    </w:p>
    <w:p>
      <w:pPr>
        <w:ind w:right="40" w:firstLine="648"/>
        <w:spacing w:after="0" w:line="238" w:lineRule="auto"/>
        <w:rPr>
          <w:sz w:val="20"/>
          <w:szCs w:val="20"/>
          <w:color w:val="auto"/>
        </w:rPr>
      </w:pPr>
      <w:r>
        <w:rPr>
          <w:rFonts w:ascii="Arial" w:cs="Arial" w:eastAsia="Arial" w:hAnsi="Arial"/>
          <w:sz w:val="18"/>
          <w:szCs w:val="18"/>
          <w:color w:val="auto"/>
        </w:rPr>
        <w:t>In 2015, the Company announced a plan to discontinue manufacturing operations at its press fabric manufacturing facility in Göppingen, Germany and manufacturing operations were discontinued during the second quarter. The restructuring program was driven by the Company’s need to balance manufacturing capacity with demand. In 2015, we recorded charges of $11.4 million related to this restructuring, including $3.3 million related to the write down of the land and former manufacturing facility to estimated fair market value. In 2016, we recorded additional restructuring charges of $2.6 million, principally related to the final closure of the plant in Germany.</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fourth quarter of 2015, the Company implemented an early retirement program for certain employees in the United States.</w:t>
      </w:r>
    </w:p>
    <w:p>
      <w:pPr>
        <w:spacing w:after="0"/>
        <w:rPr>
          <w:sz w:val="20"/>
          <w:szCs w:val="20"/>
          <w:color w:val="auto"/>
        </w:rPr>
      </w:pPr>
      <w:r>
        <w:rPr>
          <w:rFonts w:ascii="Arial" w:cs="Arial" w:eastAsia="Arial" w:hAnsi="Arial"/>
          <w:sz w:val="18"/>
          <w:szCs w:val="18"/>
          <w:color w:val="auto"/>
        </w:rPr>
        <w:t>Restructuring charges associated with this restructuring program were $8.1 million.</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9" w:name="page30"/>
    <w:bookmarkEnd w:id="29"/>
    <w:p>
      <w:pPr>
        <w:ind w:right="140" w:firstLine="648"/>
        <w:spacing w:after="0"/>
        <w:rPr>
          <w:sz w:val="20"/>
          <w:szCs w:val="20"/>
          <w:color w:val="auto"/>
        </w:rPr>
      </w:pPr>
      <w:r>
        <w:rPr>
          <w:rFonts w:ascii="Arial" w:cs="Arial" w:eastAsia="Arial" w:hAnsi="Arial"/>
          <w:sz w:val="18"/>
          <w:szCs w:val="18"/>
          <w:color w:val="auto"/>
        </w:rPr>
        <w:t>2015 restructuring charges also included $ 4.3 million related to the reduction in STG&amp;R employment in Machine Clothing and Corporate. Machine Clothing restructuring costs in 2014 were principally related to restructuring of manufacturing operations in France, where employment was reduced by approximately 200 positions.</w:t>
      </w:r>
    </w:p>
    <w:p>
      <w:pPr>
        <w:spacing w:after="0" w:line="161" w:lineRule="exact"/>
        <w:rPr>
          <w:sz w:val="20"/>
          <w:szCs w:val="20"/>
          <w:color w:val="auto"/>
        </w:rPr>
      </w:pPr>
    </w:p>
    <w:p>
      <w:pPr>
        <w:ind w:right="220" w:firstLine="648"/>
        <w:spacing w:after="0" w:line="246" w:lineRule="auto"/>
        <w:rPr>
          <w:sz w:val="20"/>
          <w:szCs w:val="20"/>
          <w:color w:val="auto"/>
        </w:rPr>
      </w:pPr>
      <w:r>
        <w:rPr>
          <w:rFonts w:ascii="Arial" w:cs="Arial" w:eastAsia="Arial" w:hAnsi="Arial"/>
          <w:sz w:val="18"/>
          <w:szCs w:val="18"/>
          <w:color w:val="auto"/>
        </w:rPr>
        <w:t>Albany Engineered Composites restructuring expenses in 2014 were principally related to organizational changes and exiting certain aerospace programs.</w:t>
      </w:r>
    </w:p>
    <w:p>
      <w:pPr>
        <w:spacing w:after="0" w:line="170" w:lineRule="exact"/>
        <w:rPr>
          <w:sz w:val="20"/>
          <w:szCs w:val="20"/>
          <w:color w:val="auto"/>
        </w:rPr>
      </w:pPr>
    </w:p>
    <w:p>
      <w:pPr>
        <w:ind w:right="1000" w:firstLine="648"/>
        <w:spacing w:after="0" w:line="246" w:lineRule="auto"/>
        <w:rPr>
          <w:sz w:val="20"/>
          <w:szCs w:val="20"/>
          <w:color w:val="auto"/>
        </w:rPr>
      </w:pPr>
      <w:r>
        <w:rPr>
          <w:rFonts w:ascii="Arial" w:cs="Arial" w:eastAsia="Arial" w:hAnsi="Arial"/>
          <w:sz w:val="18"/>
          <w:szCs w:val="18"/>
          <w:color w:val="auto"/>
        </w:rPr>
        <w:t>For more information on our restructuring charges, see Note 5 to the Consolidated Financial Statements in Item 8, which is incorporated herein by reference.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operating income/(loss) by business segment: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62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(in thousands)</w:t>
            </w:r>
          </w:p>
        </w:tc>
        <w:tc>
          <w:tcPr>
            <w:tcW w:w="1380" w:type="dxa"/>
            <w:vAlign w:val="bottom"/>
            <w:tcBorders>
              <w:bottom w:val="single" w:sz="8" w:color="auto"/>
            </w:tcBorders>
          </w:tcPr>
          <w:p>
            <w:pPr>
              <w:spacing w:after="0"/>
              <w:rPr>
                <w:sz w:val="19"/>
                <w:szCs w:val="19"/>
                <w:color w:val="auto"/>
              </w:rPr>
            </w:pPr>
          </w:p>
        </w:tc>
      </w:tr>
      <w:tr>
        <w:trPr>
          <w:trHeight w:val="399"/>
        </w:trPr>
        <w:tc>
          <w:tcPr>
            <w:tcW w:w="56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Years ended December 31,</w:t>
            </w:r>
          </w:p>
        </w:tc>
        <w:tc>
          <w:tcPr>
            <w:tcW w:w="210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2016</w:t>
            </w:r>
          </w:p>
        </w:tc>
        <w:tc>
          <w:tcPr>
            <w:tcW w:w="232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b w:val="1"/>
                <w:bCs w:val="1"/>
                <w:color w:val="auto"/>
              </w:rPr>
              <w:t>2015</w:t>
            </w:r>
          </w:p>
        </w:tc>
        <w:tc>
          <w:tcPr>
            <w:tcW w:w="13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2014</w:t>
            </w:r>
          </w:p>
        </w:tc>
      </w:tr>
      <w:tr>
        <w:trPr>
          <w:trHeight w:val="173"/>
        </w:trPr>
        <w:tc>
          <w:tcPr>
            <w:tcW w:w="5620" w:type="dxa"/>
            <w:vAlign w:val="bottom"/>
          </w:tcPr>
          <w:p>
            <w:pPr>
              <w:ind w:left="100"/>
              <w:spacing w:after="0" w:line="173" w:lineRule="exact"/>
              <w:rPr>
                <w:sz w:val="20"/>
                <w:szCs w:val="20"/>
                <w:color w:val="auto"/>
              </w:rPr>
            </w:pPr>
            <w:r>
              <w:rPr>
                <w:rFonts w:ascii="Arial" w:cs="Arial" w:eastAsia="Arial" w:hAnsi="Arial"/>
                <w:sz w:val="18"/>
                <w:szCs w:val="18"/>
                <w:color w:val="auto"/>
              </w:rPr>
              <w:t>Machine Clothing</w:t>
            </w:r>
          </w:p>
        </w:tc>
        <w:tc>
          <w:tcPr>
            <w:tcW w:w="2100" w:type="dxa"/>
            <w:vAlign w:val="bottom"/>
          </w:tcPr>
          <w:p>
            <w:pPr>
              <w:jc w:val="right"/>
              <w:ind w:right="410"/>
              <w:spacing w:after="0" w:line="173" w:lineRule="exact"/>
              <w:rPr>
                <w:sz w:val="20"/>
                <w:szCs w:val="20"/>
                <w:color w:val="auto"/>
              </w:rPr>
            </w:pPr>
            <w:r>
              <w:rPr>
                <w:rFonts w:ascii="Arial" w:cs="Arial" w:eastAsia="Arial" w:hAnsi="Arial"/>
                <w:sz w:val="18"/>
                <w:szCs w:val="18"/>
                <w:b w:val="1"/>
                <w:bCs w:val="1"/>
                <w:color w:val="auto"/>
              </w:rPr>
              <w:t>$152,529</w:t>
            </w:r>
          </w:p>
        </w:tc>
        <w:tc>
          <w:tcPr>
            <w:tcW w:w="2320" w:type="dxa"/>
            <w:vAlign w:val="bottom"/>
          </w:tcPr>
          <w:p>
            <w:pPr>
              <w:jc w:val="right"/>
              <w:ind w:right="670"/>
              <w:spacing w:after="0" w:line="173" w:lineRule="exact"/>
              <w:rPr>
                <w:sz w:val="20"/>
                <w:szCs w:val="20"/>
                <w:color w:val="auto"/>
              </w:rPr>
            </w:pPr>
            <w:r>
              <w:rPr>
                <w:rFonts w:ascii="Arial" w:cs="Arial" w:eastAsia="Arial" w:hAnsi="Arial"/>
                <w:sz w:val="18"/>
                <w:szCs w:val="18"/>
                <w:color w:val="auto"/>
              </w:rPr>
              <w:t>$141,311</w:t>
            </w:r>
          </w:p>
        </w:tc>
        <w:tc>
          <w:tcPr>
            <w:tcW w:w="1380" w:type="dxa"/>
            <w:vAlign w:val="bottom"/>
          </w:tcPr>
          <w:p>
            <w:pPr>
              <w:jc w:val="right"/>
              <w:ind w:right="10"/>
              <w:spacing w:after="0" w:line="173" w:lineRule="exact"/>
              <w:rPr>
                <w:sz w:val="20"/>
                <w:szCs w:val="20"/>
                <w:color w:val="auto"/>
              </w:rPr>
            </w:pPr>
            <w:r>
              <w:rPr>
                <w:rFonts w:ascii="Arial" w:cs="Arial" w:eastAsia="Arial" w:hAnsi="Arial"/>
                <w:sz w:val="18"/>
                <w:szCs w:val="18"/>
                <w:color w:val="auto"/>
              </w:rPr>
              <w:t>$136,450</w:t>
            </w:r>
          </w:p>
        </w:tc>
      </w:tr>
      <w:tr>
        <w:trPr>
          <w:trHeight w:val="203"/>
        </w:trPr>
        <w:tc>
          <w:tcPr>
            <w:tcW w:w="5620" w:type="dxa"/>
            <w:vAlign w:val="bottom"/>
          </w:tcPr>
          <w:p>
            <w:pPr>
              <w:ind w:left="100"/>
              <w:spacing w:after="0" w:line="202" w:lineRule="exact"/>
              <w:rPr>
                <w:sz w:val="20"/>
                <w:szCs w:val="20"/>
                <w:color w:val="auto"/>
              </w:rPr>
            </w:pPr>
            <w:r>
              <w:rPr>
                <w:rFonts w:ascii="Arial" w:cs="Arial" w:eastAsia="Arial" w:hAnsi="Arial"/>
                <w:sz w:val="18"/>
                <w:szCs w:val="18"/>
                <w:color w:val="auto"/>
              </w:rPr>
              <w:t>Albany Engineered Composites</w:t>
            </w:r>
          </w:p>
        </w:tc>
        <w:tc>
          <w:tcPr>
            <w:tcW w:w="2100" w:type="dxa"/>
            <w:vAlign w:val="bottom"/>
          </w:tcPr>
          <w:p>
            <w:pPr>
              <w:jc w:val="right"/>
              <w:ind w:right="350"/>
              <w:spacing w:after="0" w:line="202" w:lineRule="exact"/>
              <w:rPr>
                <w:sz w:val="20"/>
                <w:szCs w:val="20"/>
                <w:color w:val="auto"/>
              </w:rPr>
            </w:pPr>
            <w:r>
              <w:rPr>
                <w:rFonts w:ascii="Arial" w:cs="Arial" w:eastAsia="Arial" w:hAnsi="Arial"/>
                <w:sz w:val="18"/>
                <w:szCs w:val="18"/>
                <w:b w:val="1"/>
                <w:bCs w:val="1"/>
                <w:color w:val="auto"/>
              </w:rPr>
              <w:t>(15,363)</w:t>
            </w:r>
          </w:p>
        </w:tc>
        <w:tc>
          <w:tcPr>
            <w:tcW w:w="2320" w:type="dxa"/>
            <w:vAlign w:val="bottom"/>
          </w:tcPr>
          <w:p>
            <w:pPr>
              <w:jc w:val="right"/>
              <w:ind w:right="610"/>
              <w:spacing w:after="0" w:line="202" w:lineRule="exact"/>
              <w:rPr>
                <w:sz w:val="20"/>
                <w:szCs w:val="20"/>
                <w:color w:val="auto"/>
              </w:rPr>
            </w:pPr>
            <w:r>
              <w:rPr>
                <w:rFonts w:ascii="Arial" w:cs="Arial" w:eastAsia="Arial" w:hAnsi="Arial"/>
                <w:sz w:val="18"/>
                <w:szCs w:val="18"/>
                <w:color w:val="auto"/>
              </w:rPr>
              <w:t>(28,478)</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(10,483)</w:t>
            </w:r>
          </w:p>
        </w:tc>
      </w:tr>
      <w:tr>
        <w:trPr>
          <w:trHeight w:val="203"/>
        </w:trPr>
        <w:tc>
          <w:tcPr>
            <w:tcW w:w="5620" w:type="dxa"/>
            <w:vAlign w:val="bottom"/>
          </w:tcPr>
          <w:p>
            <w:pPr>
              <w:ind w:left="100"/>
              <w:spacing w:after="0" w:line="202" w:lineRule="exact"/>
              <w:rPr>
                <w:sz w:val="20"/>
                <w:szCs w:val="20"/>
                <w:color w:val="auto"/>
              </w:rPr>
            </w:pPr>
            <w:r>
              <w:rPr>
                <w:rFonts w:ascii="Arial" w:cs="Arial" w:eastAsia="Arial" w:hAnsi="Arial"/>
                <w:sz w:val="18"/>
                <w:szCs w:val="18"/>
                <w:color w:val="auto"/>
              </w:rPr>
              <w:t>Corporate expenses-pension settlement</w:t>
            </w:r>
          </w:p>
        </w:tc>
        <w:tc>
          <w:tcPr>
            <w:tcW w:w="2100" w:type="dxa"/>
            <w:vAlign w:val="bottom"/>
          </w:tcPr>
          <w:p>
            <w:pPr>
              <w:jc w:val="right"/>
              <w:ind w:right="410"/>
              <w:spacing w:after="0" w:line="202" w:lineRule="exact"/>
              <w:rPr>
                <w:sz w:val="20"/>
                <w:szCs w:val="20"/>
                <w:color w:val="auto"/>
              </w:rPr>
            </w:pPr>
            <w:r>
              <w:rPr>
                <w:rFonts w:ascii="Arial" w:cs="Arial" w:eastAsia="Arial" w:hAnsi="Arial"/>
                <w:sz w:val="18"/>
                <w:szCs w:val="18"/>
                <w:b w:val="1"/>
                <w:bCs w:val="1"/>
                <w:color w:val="auto"/>
              </w:rPr>
              <w:t>-</w:t>
            </w:r>
          </w:p>
        </w:tc>
        <w:tc>
          <w:tcPr>
            <w:tcW w:w="2320" w:type="dxa"/>
            <w:vAlign w:val="bottom"/>
          </w:tcPr>
          <w:p>
            <w:pPr>
              <w:jc w:val="right"/>
              <w:ind w:right="670"/>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(8,190)</w:t>
            </w:r>
          </w:p>
        </w:tc>
      </w:tr>
      <w:tr>
        <w:trPr>
          <w:trHeight w:val="225"/>
        </w:trPr>
        <w:tc>
          <w:tcPr>
            <w:tcW w:w="56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Corporate expenses-other</w:t>
            </w:r>
          </w:p>
        </w:tc>
        <w:tc>
          <w:tcPr>
            <w:tcW w:w="2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(45,390)</w:t>
            </w:r>
          </w:p>
        </w:tc>
        <w:tc>
          <w:tcPr>
            <w:tcW w:w="23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(48,938)</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(46,417)</w:t>
            </w:r>
          </w:p>
        </w:tc>
      </w:tr>
      <w:tr>
        <w:trPr>
          <w:trHeight w:val="196"/>
        </w:trPr>
        <w:tc>
          <w:tcPr>
            <w:tcW w:w="5620" w:type="dxa"/>
            <w:vAlign w:val="bottom"/>
            <w:tcBorders>
              <w:bottom w:val="single" w:sz="8" w:color="auto"/>
            </w:tcBorders>
          </w:tcPr>
          <w:p>
            <w:pPr>
              <w:ind w:left="160"/>
              <w:spacing w:after="0" w:line="196" w:lineRule="exact"/>
              <w:rPr>
                <w:sz w:val="20"/>
                <w:szCs w:val="20"/>
                <w:color w:val="auto"/>
              </w:rPr>
            </w:pPr>
            <w:r>
              <w:rPr>
                <w:rFonts w:ascii="Arial" w:cs="Arial" w:eastAsia="Arial" w:hAnsi="Arial"/>
                <w:sz w:val="18"/>
                <w:szCs w:val="18"/>
                <w:color w:val="auto"/>
              </w:rPr>
              <w:t>Total</w:t>
            </w:r>
          </w:p>
        </w:tc>
        <w:tc>
          <w:tcPr>
            <w:tcW w:w="210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$91,776</w:t>
            </w:r>
          </w:p>
        </w:tc>
        <w:tc>
          <w:tcPr>
            <w:tcW w:w="2320" w:type="dxa"/>
            <w:vAlign w:val="bottom"/>
            <w:tcBorders>
              <w:bottom w:val="single" w:sz="8" w:color="auto"/>
            </w:tcBorders>
          </w:tcPr>
          <w:p>
            <w:pPr>
              <w:jc w:val="right"/>
              <w:ind w:right="670"/>
              <w:spacing w:after="0" w:line="196" w:lineRule="exact"/>
              <w:rPr>
                <w:sz w:val="20"/>
                <w:szCs w:val="20"/>
                <w:color w:val="auto"/>
              </w:rPr>
            </w:pPr>
            <w:r>
              <w:rPr>
                <w:rFonts w:ascii="Arial" w:cs="Arial" w:eastAsia="Arial" w:hAnsi="Arial"/>
                <w:sz w:val="18"/>
                <w:szCs w:val="18"/>
                <w:color w:val="auto"/>
              </w:rPr>
              <w:t>$63,895</w:t>
            </w:r>
          </w:p>
        </w:tc>
        <w:tc>
          <w:tcPr>
            <w:tcW w:w="13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$71,360</w:t>
            </w:r>
          </w:p>
        </w:tc>
      </w:tr>
      <w:tr>
        <w:trPr>
          <w:trHeight w:val="588"/>
        </w:trPr>
        <w:tc>
          <w:tcPr>
            <w:tcW w:w="5620" w:type="dxa"/>
            <w:vAlign w:val="bottom"/>
          </w:tcPr>
          <w:p>
            <w:pPr>
              <w:spacing w:after="0"/>
              <w:rPr>
                <w:sz w:val="20"/>
                <w:szCs w:val="20"/>
                <w:color w:val="auto"/>
              </w:rPr>
            </w:pPr>
            <w:r>
              <w:rPr>
                <w:rFonts w:ascii="Arial" w:cs="Arial" w:eastAsia="Arial" w:hAnsi="Arial"/>
                <w:sz w:val="18"/>
                <w:szCs w:val="18"/>
                <w:b w:val="1"/>
                <w:bCs w:val="1"/>
                <w:color w:val="auto"/>
              </w:rPr>
              <w:t>Other Earnings Items</w:t>
            </w:r>
          </w:p>
        </w:tc>
        <w:tc>
          <w:tcPr>
            <w:tcW w:w="21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65"/>
        </w:trPr>
        <w:tc>
          <w:tcPr>
            <w:tcW w:w="56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(in thousands)</w:t>
            </w:r>
          </w:p>
        </w:tc>
        <w:tc>
          <w:tcPr>
            <w:tcW w:w="1380" w:type="dxa"/>
            <w:vAlign w:val="bottom"/>
            <w:tcBorders>
              <w:bottom w:val="single" w:sz="8" w:color="auto"/>
            </w:tcBorders>
          </w:tcPr>
          <w:p>
            <w:pPr>
              <w:spacing w:after="0"/>
              <w:rPr>
                <w:sz w:val="24"/>
                <w:szCs w:val="24"/>
                <w:color w:val="auto"/>
              </w:rPr>
            </w:pPr>
          </w:p>
        </w:tc>
      </w:tr>
      <w:tr>
        <w:trPr>
          <w:trHeight w:val="399"/>
        </w:trPr>
        <w:tc>
          <w:tcPr>
            <w:tcW w:w="56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Years ended December 31,</w:t>
            </w:r>
          </w:p>
        </w:tc>
        <w:tc>
          <w:tcPr>
            <w:tcW w:w="21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2016</w:t>
            </w:r>
          </w:p>
        </w:tc>
        <w:tc>
          <w:tcPr>
            <w:tcW w:w="232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2015</w:t>
            </w:r>
          </w:p>
        </w:tc>
        <w:tc>
          <w:tcPr>
            <w:tcW w:w="1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2014</w:t>
            </w:r>
          </w:p>
        </w:tc>
      </w:tr>
      <w:tr>
        <w:trPr>
          <w:trHeight w:val="173"/>
        </w:trPr>
        <w:tc>
          <w:tcPr>
            <w:tcW w:w="5620" w:type="dxa"/>
            <w:vAlign w:val="bottom"/>
          </w:tcPr>
          <w:p>
            <w:pPr>
              <w:ind w:left="100"/>
              <w:spacing w:after="0" w:line="173" w:lineRule="exact"/>
              <w:rPr>
                <w:sz w:val="20"/>
                <w:szCs w:val="20"/>
                <w:color w:val="auto"/>
              </w:rPr>
            </w:pPr>
            <w:r>
              <w:rPr>
                <w:rFonts w:ascii="Arial" w:cs="Arial" w:eastAsia="Arial" w:hAnsi="Arial"/>
                <w:sz w:val="18"/>
                <w:szCs w:val="18"/>
                <w:color w:val="auto"/>
              </w:rPr>
              <w:t>Interest expense, net</w:t>
            </w:r>
          </w:p>
        </w:tc>
        <w:tc>
          <w:tcPr>
            <w:tcW w:w="2100" w:type="dxa"/>
            <w:vAlign w:val="bottom"/>
          </w:tcPr>
          <w:p>
            <w:pPr>
              <w:jc w:val="right"/>
              <w:ind w:right="410"/>
              <w:spacing w:after="0" w:line="173" w:lineRule="exact"/>
              <w:rPr>
                <w:sz w:val="20"/>
                <w:szCs w:val="20"/>
                <w:color w:val="auto"/>
              </w:rPr>
            </w:pPr>
            <w:r>
              <w:rPr>
                <w:rFonts w:ascii="Arial" w:cs="Arial" w:eastAsia="Arial" w:hAnsi="Arial"/>
                <w:sz w:val="18"/>
                <w:szCs w:val="18"/>
                <w:b w:val="1"/>
                <w:bCs w:val="1"/>
                <w:color w:val="auto"/>
              </w:rPr>
              <w:t>$13,464</w:t>
            </w:r>
          </w:p>
        </w:tc>
        <w:tc>
          <w:tcPr>
            <w:tcW w:w="2320" w:type="dxa"/>
            <w:vAlign w:val="bottom"/>
          </w:tcPr>
          <w:p>
            <w:pPr>
              <w:jc w:val="right"/>
              <w:ind w:right="670"/>
              <w:spacing w:after="0" w:line="173" w:lineRule="exact"/>
              <w:rPr>
                <w:sz w:val="20"/>
                <w:szCs w:val="20"/>
                <w:color w:val="auto"/>
              </w:rPr>
            </w:pPr>
            <w:r>
              <w:rPr>
                <w:rFonts w:ascii="Arial" w:cs="Arial" w:eastAsia="Arial" w:hAnsi="Arial"/>
                <w:sz w:val="18"/>
                <w:szCs w:val="18"/>
                <w:color w:val="auto"/>
              </w:rPr>
              <w:t>$9,984</w:t>
            </w:r>
          </w:p>
        </w:tc>
        <w:tc>
          <w:tcPr>
            <w:tcW w:w="1380" w:type="dxa"/>
            <w:vAlign w:val="bottom"/>
          </w:tcPr>
          <w:p>
            <w:pPr>
              <w:jc w:val="right"/>
              <w:ind w:right="10"/>
              <w:spacing w:after="0" w:line="173" w:lineRule="exact"/>
              <w:rPr>
                <w:sz w:val="20"/>
                <w:szCs w:val="20"/>
                <w:color w:val="auto"/>
              </w:rPr>
            </w:pPr>
            <w:r>
              <w:rPr>
                <w:rFonts w:ascii="Arial" w:cs="Arial" w:eastAsia="Arial" w:hAnsi="Arial"/>
                <w:sz w:val="18"/>
                <w:szCs w:val="18"/>
                <w:color w:val="auto"/>
              </w:rPr>
              <w:t>$10,713</w:t>
            </w:r>
          </w:p>
        </w:tc>
      </w:tr>
      <w:tr>
        <w:trPr>
          <w:trHeight w:val="203"/>
        </w:trPr>
        <w:tc>
          <w:tcPr>
            <w:tcW w:w="5620" w:type="dxa"/>
            <w:vAlign w:val="bottom"/>
          </w:tcPr>
          <w:p>
            <w:pPr>
              <w:ind w:left="100"/>
              <w:spacing w:after="0" w:line="202" w:lineRule="exact"/>
              <w:rPr>
                <w:sz w:val="20"/>
                <w:szCs w:val="20"/>
                <w:color w:val="auto"/>
              </w:rPr>
            </w:pPr>
            <w:r>
              <w:rPr>
                <w:rFonts w:ascii="Arial" w:cs="Arial" w:eastAsia="Arial" w:hAnsi="Arial"/>
                <w:sz w:val="18"/>
                <w:szCs w:val="18"/>
                <w:color w:val="auto"/>
              </w:rPr>
              <w:t>Other expense/(income), net</w:t>
            </w:r>
          </w:p>
        </w:tc>
        <w:tc>
          <w:tcPr>
            <w:tcW w:w="2100" w:type="dxa"/>
            <w:vAlign w:val="bottom"/>
          </w:tcPr>
          <w:p>
            <w:pPr>
              <w:jc w:val="right"/>
              <w:ind w:right="410"/>
              <w:spacing w:after="0" w:line="202" w:lineRule="exact"/>
              <w:rPr>
                <w:sz w:val="20"/>
                <w:szCs w:val="20"/>
                <w:color w:val="auto"/>
              </w:rPr>
            </w:pPr>
            <w:r>
              <w:rPr>
                <w:rFonts w:ascii="Arial" w:cs="Arial" w:eastAsia="Arial" w:hAnsi="Arial"/>
                <w:sz w:val="18"/>
                <w:szCs w:val="18"/>
                <w:b w:val="1"/>
                <w:bCs w:val="1"/>
                <w:color w:val="auto"/>
              </w:rPr>
              <w:t>46</w:t>
            </w:r>
          </w:p>
        </w:tc>
        <w:tc>
          <w:tcPr>
            <w:tcW w:w="2320" w:type="dxa"/>
            <w:vAlign w:val="bottom"/>
          </w:tcPr>
          <w:p>
            <w:pPr>
              <w:jc w:val="right"/>
              <w:ind w:right="670"/>
              <w:spacing w:after="0" w:line="202" w:lineRule="exact"/>
              <w:rPr>
                <w:sz w:val="20"/>
                <w:szCs w:val="20"/>
                <w:color w:val="auto"/>
              </w:rPr>
            </w:pPr>
            <w:r>
              <w:rPr>
                <w:rFonts w:ascii="Arial" w:cs="Arial" w:eastAsia="Arial" w:hAnsi="Arial"/>
                <w:sz w:val="18"/>
                <w:szCs w:val="18"/>
                <w:color w:val="auto"/>
              </w:rPr>
              <w:t>2,433</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(6,853)</w:t>
            </w:r>
          </w:p>
        </w:tc>
      </w:tr>
      <w:tr>
        <w:trPr>
          <w:trHeight w:val="203"/>
        </w:trPr>
        <w:tc>
          <w:tcPr>
            <w:tcW w:w="5620" w:type="dxa"/>
            <w:vAlign w:val="bottom"/>
          </w:tcPr>
          <w:p>
            <w:pPr>
              <w:ind w:left="100"/>
              <w:spacing w:after="0" w:line="202" w:lineRule="exact"/>
              <w:rPr>
                <w:sz w:val="20"/>
                <w:szCs w:val="20"/>
                <w:color w:val="auto"/>
              </w:rPr>
            </w:pPr>
            <w:r>
              <w:rPr>
                <w:rFonts w:ascii="Arial" w:cs="Arial" w:eastAsia="Arial" w:hAnsi="Arial"/>
                <w:sz w:val="18"/>
                <w:szCs w:val="18"/>
                <w:color w:val="auto"/>
              </w:rPr>
              <w:t>Income tax expense/(benefit)</w:t>
            </w:r>
          </w:p>
        </w:tc>
        <w:tc>
          <w:tcPr>
            <w:tcW w:w="2100" w:type="dxa"/>
            <w:vAlign w:val="bottom"/>
          </w:tcPr>
          <w:p>
            <w:pPr>
              <w:jc w:val="right"/>
              <w:ind w:right="410"/>
              <w:spacing w:after="0" w:line="202" w:lineRule="exact"/>
              <w:rPr>
                <w:sz w:val="20"/>
                <w:szCs w:val="20"/>
                <w:color w:val="auto"/>
              </w:rPr>
            </w:pPr>
            <w:r>
              <w:rPr>
                <w:rFonts w:ascii="Arial" w:cs="Arial" w:eastAsia="Arial" w:hAnsi="Arial"/>
                <w:sz w:val="18"/>
                <w:szCs w:val="18"/>
                <w:b w:val="1"/>
                <w:bCs w:val="1"/>
                <w:color w:val="auto"/>
              </w:rPr>
              <w:t>25,454</w:t>
            </w:r>
          </w:p>
        </w:tc>
        <w:tc>
          <w:tcPr>
            <w:tcW w:w="2320" w:type="dxa"/>
            <w:vAlign w:val="bottom"/>
          </w:tcPr>
          <w:p>
            <w:pPr>
              <w:jc w:val="right"/>
              <w:ind w:right="610"/>
              <w:spacing w:after="0" w:line="202" w:lineRule="exact"/>
              <w:rPr>
                <w:sz w:val="20"/>
                <w:szCs w:val="20"/>
                <w:color w:val="auto"/>
              </w:rPr>
            </w:pPr>
            <w:r>
              <w:rPr>
                <w:rFonts w:ascii="Arial" w:cs="Arial" w:eastAsia="Arial" w:hAnsi="Arial"/>
                <w:sz w:val="18"/>
                <w:szCs w:val="18"/>
                <w:color w:val="auto"/>
              </w:rPr>
              <w:t>(5,787)</w:t>
            </w:r>
          </w:p>
        </w:tc>
        <w:tc>
          <w:tcPr>
            <w:tcW w:w="1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25,751</w:t>
            </w:r>
          </w:p>
        </w:tc>
      </w:tr>
      <w:tr>
        <w:trPr>
          <w:trHeight w:val="225"/>
        </w:trPr>
        <w:tc>
          <w:tcPr>
            <w:tcW w:w="56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Net income/(loss) attributable to the noncontrolling interest</w:t>
            </w:r>
          </w:p>
        </w:tc>
        <w:tc>
          <w:tcPr>
            <w:tcW w:w="2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79</w:t>
            </w:r>
          </w:p>
        </w:tc>
        <w:tc>
          <w:tcPr>
            <w:tcW w:w="23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(14)</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180</w:t>
            </w:r>
          </w:p>
        </w:tc>
      </w:tr>
    </w:tbl>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193" w:lineRule="exact"/>
        <w:rPr>
          <w:sz w:val="20"/>
          <w:szCs w:val="20"/>
          <w:color w:val="auto"/>
        </w:rPr>
      </w:pPr>
    </w:p>
    <w:p>
      <w:pPr>
        <w:ind w:right="420" w:firstLine="648"/>
        <w:spacing w:after="0"/>
        <w:rPr>
          <w:sz w:val="20"/>
          <w:szCs w:val="20"/>
          <w:color w:val="auto"/>
        </w:rPr>
      </w:pPr>
      <w:r>
        <w:rPr>
          <w:rFonts w:ascii="Arial" w:cs="Arial" w:eastAsia="Arial" w:hAnsi="Arial"/>
          <w:sz w:val="18"/>
          <w:szCs w:val="18"/>
          <w:color w:val="auto"/>
        </w:rPr>
        <w:t>Interest expense, net, increased $3.5 million in 2016 principally due to borrowings to fund the 2016 business acquisition, and the interest associated with the capital lease obligation assumed in the acquisition. See the Capital Resources section for further discussion of borrowings and interest rates.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Expense/(Income), net</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decrease in Other expense/(income), net included the following individually significant items:</w:t>
      </w:r>
    </w:p>
    <w:p>
      <w:pPr>
        <w:spacing w:after="0" w:line="171" w:lineRule="exact"/>
        <w:rPr>
          <w:sz w:val="20"/>
          <w:szCs w:val="20"/>
          <w:color w:val="auto"/>
        </w:rPr>
      </w:pPr>
    </w:p>
    <w:p>
      <w:pPr>
        <w:ind w:left="980" w:right="60" w:hanging="324"/>
        <w:spacing w:after="0" w:line="211" w:lineRule="auto"/>
        <w:tabs>
          <w:tab w:leader="none" w:pos="980" w:val="left"/>
        </w:tabs>
        <w:numPr>
          <w:ilvl w:val="0"/>
          <w:numId w:val="11"/>
        </w:numPr>
        <w:rPr>
          <w:rFonts w:ascii="Arial" w:cs="Arial" w:eastAsia="Arial" w:hAnsi="Arial"/>
          <w:sz w:val="22"/>
          <w:szCs w:val="22"/>
          <w:color w:val="auto"/>
        </w:rPr>
      </w:pPr>
      <w:r>
        <w:rPr>
          <w:rFonts w:ascii="Arial" w:cs="Arial" w:eastAsia="Arial" w:hAnsi="Arial"/>
          <w:sz w:val="18"/>
          <w:szCs w:val="18"/>
          <w:color w:val="auto"/>
        </w:rPr>
        <w:t>Foreign currency revaluations of cash and intercompany balances resulted in gains of $3.5 million in 2016, losses of $1.5 million in 2015, and gains of $6.4 million in 2014.</w:t>
      </w:r>
    </w:p>
    <w:p>
      <w:pPr>
        <w:ind w:left="980" w:hanging="324"/>
        <w:spacing w:after="0" w:line="223" w:lineRule="auto"/>
        <w:tabs>
          <w:tab w:leader="none" w:pos="980" w:val="left"/>
        </w:tabs>
        <w:numPr>
          <w:ilvl w:val="0"/>
          <w:numId w:val="11"/>
        </w:numPr>
        <w:rPr>
          <w:rFonts w:ascii="Arial" w:cs="Arial" w:eastAsia="Arial" w:hAnsi="Arial"/>
          <w:sz w:val="22"/>
          <w:szCs w:val="22"/>
          <w:color w:val="auto"/>
        </w:rPr>
      </w:pPr>
      <w:r>
        <w:rPr>
          <w:rFonts w:ascii="Arial" w:cs="Arial" w:eastAsia="Arial" w:hAnsi="Arial"/>
          <w:sz w:val="18"/>
          <w:szCs w:val="18"/>
          <w:color w:val="auto"/>
        </w:rPr>
        <w:t>In 2016, we recorded a charge of $2.5 million due to the theft of cash at the Company’s subsidiary in Japan. While some of the loss occurred in prior periods, that portion was not material and, accordingly, we have not restated any previously-issued financial statements.</w:t>
      </w: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Income Taxes</w:t>
      </w:r>
    </w:p>
    <w:p>
      <w:pPr>
        <w:spacing w:after="0" w:line="192" w:lineRule="exact"/>
        <w:rPr>
          <w:sz w:val="20"/>
          <w:szCs w:val="20"/>
          <w:color w:val="auto"/>
        </w:rPr>
      </w:pPr>
    </w:p>
    <w:p>
      <w:pPr>
        <w:jc w:val="both"/>
        <w:ind w:right="160" w:firstLine="648"/>
        <w:spacing w:after="0"/>
        <w:rPr>
          <w:sz w:val="20"/>
          <w:szCs w:val="20"/>
          <w:color w:val="auto"/>
        </w:rPr>
      </w:pPr>
      <w:r>
        <w:rPr>
          <w:rFonts w:ascii="Arial" w:cs="Arial" w:eastAsia="Arial" w:hAnsi="Arial"/>
          <w:sz w:val="18"/>
          <w:szCs w:val="18"/>
          <w:color w:val="auto"/>
        </w:rPr>
        <w:t>The Company has operations which constitute a taxable presence in 18 countries outside of the United States. All of these countries had income tax rates that were at or below the United States’ federal tax rate of 35% during the periods reported. The jurisdictional location of earnings is a significant component of our effective tax rate each year and therefore on our overall income tax expense.</w:t>
      </w:r>
    </w:p>
    <w:p>
      <w:pPr>
        <w:spacing w:after="0" w:line="176" w:lineRule="exact"/>
        <w:rPr>
          <w:sz w:val="20"/>
          <w:szCs w:val="20"/>
          <w:color w:val="auto"/>
        </w:rPr>
      </w:pPr>
    </w:p>
    <w:p>
      <w:pPr>
        <w:ind w:right="80" w:firstLine="648"/>
        <w:spacing w:after="0" w:line="239" w:lineRule="auto"/>
        <w:rPr>
          <w:sz w:val="20"/>
          <w:szCs w:val="20"/>
          <w:color w:val="auto"/>
        </w:rPr>
      </w:pPr>
      <w:r>
        <w:rPr>
          <w:rFonts w:ascii="Arial" w:cs="Arial" w:eastAsia="Arial" w:hAnsi="Arial"/>
          <w:sz w:val="18"/>
          <w:szCs w:val="18"/>
          <w:color w:val="auto"/>
        </w:rPr>
        <w:t>The Company’s effective tax rate for fiscal years 2016, 2015 and 2014 was 32.5%, (11.2%), and 38.1%, respectively. The tax rate is affected by recurring items, such as the income tax rate in the U.S. and in non-U.S. jurisdictions and the mix of income earned in those jurisdictions. The rate is also affected by U.S. tax costs on foreign earnings that have been or will be repatriated to the U.S., and discrete items that may occur in any given year but are not consistent from year to year.</w:t>
      </w:r>
    </w:p>
    <w:p>
      <w:pPr>
        <w:spacing w:after="0" w:line="161" w:lineRule="exact"/>
        <w:rPr>
          <w:sz w:val="20"/>
          <w:szCs w:val="20"/>
          <w:color w:val="auto"/>
        </w:rPr>
      </w:pPr>
    </w:p>
    <w:p>
      <w:pPr>
        <w:ind w:right="480" w:firstLine="324"/>
        <w:spacing w:after="0" w:line="246" w:lineRule="auto"/>
        <w:rPr>
          <w:sz w:val="20"/>
          <w:szCs w:val="20"/>
          <w:color w:val="auto"/>
        </w:rPr>
      </w:pPr>
      <w:r>
        <w:rPr>
          <w:rFonts w:ascii="Arial" w:cs="Arial" w:eastAsia="Arial" w:hAnsi="Arial"/>
          <w:sz w:val="18"/>
          <w:szCs w:val="18"/>
          <w:color w:val="auto"/>
        </w:rPr>
        <w:t>Significant items that impacted the 2016 tax rate included the following (percentages reflect the effect of each item as a percentage of income before income taxes):</w:t>
      </w:r>
    </w:p>
    <w:p>
      <w:pPr>
        <w:spacing w:after="0" w:line="120"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22"/>
          <w:szCs w:val="22"/>
          <w:color w:val="auto"/>
        </w:rPr>
      </w:pPr>
      <w:r>
        <w:rPr>
          <w:rFonts w:ascii="Arial" w:cs="Arial" w:eastAsia="Arial" w:hAnsi="Arial"/>
          <w:sz w:val="18"/>
          <w:szCs w:val="18"/>
          <w:color w:val="auto"/>
        </w:rPr>
        <w:t>A tax benefit of $2.6 million (-3.4%) related to changes in uncertain tax positions.</w:t>
      </w:r>
    </w:p>
    <w:p>
      <w:pPr>
        <w:spacing w:after="0" w:line="26" w:lineRule="exact"/>
        <w:rPr>
          <w:rFonts w:ascii="Arial" w:cs="Arial" w:eastAsia="Arial" w:hAnsi="Arial"/>
          <w:sz w:val="22"/>
          <w:szCs w:val="22"/>
          <w:color w:val="auto"/>
        </w:rPr>
      </w:pPr>
    </w:p>
    <w:p>
      <w:pPr>
        <w:ind w:left="660" w:hanging="328"/>
        <w:spacing w:after="0" w:line="205" w:lineRule="auto"/>
        <w:tabs>
          <w:tab w:leader="none" w:pos="660" w:val="left"/>
        </w:tabs>
        <w:numPr>
          <w:ilvl w:val="0"/>
          <w:numId w:val="12"/>
        </w:numPr>
        <w:rPr>
          <w:rFonts w:ascii="Arial" w:cs="Arial" w:eastAsia="Arial" w:hAnsi="Arial"/>
          <w:sz w:val="22"/>
          <w:szCs w:val="22"/>
          <w:color w:val="auto"/>
        </w:rPr>
      </w:pPr>
      <w:r>
        <w:rPr>
          <w:rFonts w:ascii="Arial" w:cs="Arial" w:eastAsia="Arial" w:hAnsi="Arial"/>
          <w:sz w:val="18"/>
          <w:szCs w:val="18"/>
          <w:color w:val="auto"/>
        </w:rPr>
        <w:t>A $0.5 million (0.6%) net tax expense related to other discrete items.</w:t>
      </w:r>
    </w:p>
    <w:p>
      <w:pPr>
        <w:spacing w:after="0" w:line="27" w:lineRule="exact"/>
        <w:rPr>
          <w:rFonts w:ascii="Arial" w:cs="Arial" w:eastAsia="Arial" w:hAnsi="Arial"/>
          <w:sz w:val="22"/>
          <w:szCs w:val="22"/>
          <w:color w:val="auto"/>
        </w:rPr>
      </w:pPr>
    </w:p>
    <w:p>
      <w:pPr>
        <w:ind w:left="660" w:right="320" w:hanging="328"/>
        <w:spacing w:after="0" w:line="222" w:lineRule="auto"/>
        <w:tabs>
          <w:tab w:leader="none" w:pos="660" w:val="left"/>
        </w:tabs>
        <w:numPr>
          <w:ilvl w:val="0"/>
          <w:numId w:val="12"/>
        </w:numPr>
        <w:rPr>
          <w:rFonts w:ascii="Arial" w:cs="Arial" w:eastAsia="Arial" w:hAnsi="Arial"/>
          <w:sz w:val="22"/>
          <w:szCs w:val="22"/>
          <w:color w:val="auto"/>
        </w:rPr>
      </w:pPr>
      <w:r>
        <w:rPr>
          <w:rFonts w:ascii="Arial" w:cs="Arial" w:eastAsia="Arial" w:hAnsi="Arial"/>
          <w:sz w:val="18"/>
          <w:szCs w:val="18"/>
          <w:color w:val="auto"/>
        </w:rPr>
        <w:t>A net effective tax rate reduction of 9.7% was recognized from income tax rate differences between non-U.S. and U.S. jurisdictions. Earnings in Brazil, Switzerland, Mexico and China, where tax rates are lower than the U.S. notional rate of 35%, contributed to the majority of the reduction noted. U.S. tax costs on foreign earnings that have been or will be repatriated, and foreign withholdings resulted in an increase to the effective tax rate of 5.8%.</w:t>
      </w:r>
    </w:p>
    <w:p>
      <w:pPr>
        <w:spacing w:after="0" w:line="1" w:lineRule="exact"/>
        <w:rPr>
          <w:rFonts w:ascii="Arial" w:cs="Arial" w:eastAsia="Arial" w:hAnsi="Arial"/>
          <w:sz w:val="22"/>
          <w:szCs w:val="22"/>
          <w:color w:val="auto"/>
        </w:rPr>
      </w:pPr>
    </w:p>
    <w:p>
      <w:pPr>
        <w:ind w:left="660" w:hanging="328"/>
        <w:spacing w:after="0" w:line="205" w:lineRule="auto"/>
        <w:tabs>
          <w:tab w:leader="none" w:pos="660" w:val="left"/>
        </w:tabs>
        <w:numPr>
          <w:ilvl w:val="0"/>
          <w:numId w:val="12"/>
        </w:numPr>
        <w:rPr>
          <w:rFonts w:ascii="Arial" w:cs="Arial" w:eastAsia="Arial" w:hAnsi="Arial"/>
          <w:sz w:val="22"/>
          <w:szCs w:val="22"/>
          <w:color w:val="auto"/>
        </w:rPr>
      </w:pPr>
      <w:r>
        <w:rPr>
          <w:rFonts w:ascii="Arial" w:cs="Arial" w:eastAsia="Arial" w:hAnsi="Arial"/>
          <w:sz w:val="18"/>
          <w:szCs w:val="18"/>
          <w:color w:val="auto"/>
        </w:rPr>
        <w:t>Income tax rate on continuing operations, excluding discrete items, was 35%.</w:t>
      </w:r>
    </w:p>
    <w:p>
      <w:pPr>
        <w:spacing w:after="0" w:line="216" w:lineRule="exact"/>
        <w:rPr>
          <w:sz w:val="20"/>
          <w:szCs w:val="20"/>
          <w:color w:val="auto"/>
        </w:rPr>
      </w:pPr>
    </w:p>
    <w:p>
      <w:pPr>
        <w:ind w:right="480" w:firstLine="324"/>
        <w:spacing w:after="0" w:line="246" w:lineRule="auto"/>
        <w:rPr>
          <w:sz w:val="20"/>
          <w:szCs w:val="20"/>
          <w:color w:val="auto"/>
        </w:rPr>
      </w:pPr>
      <w:r>
        <w:rPr>
          <w:rFonts w:ascii="Arial" w:cs="Arial" w:eastAsia="Arial" w:hAnsi="Arial"/>
          <w:sz w:val="18"/>
          <w:szCs w:val="18"/>
          <w:color w:val="auto"/>
        </w:rPr>
        <w:t>Significant items that impacted the 2015 tax rate included the following (percentages reflect the effect of each item as a percentage of income before income taxes):</w:t>
      </w:r>
    </w:p>
    <w:p>
      <w:pPr>
        <w:spacing w:after="0" w:line="156" w:lineRule="exact"/>
        <w:rPr>
          <w:sz w:val="20"/>
          <w:szCs w:val="20"/>
          <w:color w:val="auto"/>
        </w:rPr>
      </w:pPr>
    </w:p>
    <w:p>
      <w:pPr>
        <w:ind w:left="660" w:right="180" w:hanging="328"/>
        <w:spacing w:after="0" w:line="211" w:lineRule="auto"/>
        <w:tabs>
          <w:tab w:leader="none" w:pos="660" w:val="left"/>
        </w:tabs>
        <w:numPr>
          <w:ilvl w:val="0"/>
          <w:numId w:val="13"/>
        </w:numPr>
        <w:rPr>
          <w:rFonts w:ascii="Arial" w:cs="Arial" w:eastAsia="Arial" w:hAnsi="Arial"/>
          <w:sz w:val="22"/>
          <w:szCs w:val="22"/>
          <w:color w:val="auto"/>
        </w:rPr>
      </w:pPr>
      <w:r>
        <w:rPr>
          <w:rFonts w:ascii="Arial" w:cs="Arial" w:eastAsia="Arial" w:hAnsi="Arial"/>
          <w:sz w:val="18"/>
          <w:szCs w:val="18"/>
          <w:color w:val="auto"/>
        </w:rPr>
        <w:t>A tax benefit of $28.6 million (-55.5%) for a worthless stock deduction related to the Company’s investment in its Germany subsidiary, where manufacturing operations have ceased.</w:t>
      </w:r>
    </w:p>
    <w:p>
      <w:pPr>
        <w:ind w:left="660" w:hanging="328"/>
        <w:spacing w:after="0" w:line="205" w:lineRule="auto"/>
        <w:tabs>
          <w:tab w:leader="none" w:pos="660" w:val="left"/>
        </w:tabs>
        <w:numPr>
          <w:ilvl w:val="0"/>
          <w:numId w:val="13"/>
        </w:numPr>
        <w:rPr>
          <w:rFonts w:ascii="Arial" w:cs="Arial" w:eastAsia="Arial" w:hAnsi="Arial"/>
          <w:sz w:val="22"/>
          <w:szCs w:val="22"/>
          <w:color w:val="auto"/>
        </w:rPr>
      </w:pPr>
      <w:r>
        <w:rPr>
          <w:rFonts w:ascii="Arial" w:cs="Arial" w:eastAsia="Arial" w:hAnsi="Arial"/>
          <w:sz w:val="18"/>
          <w:szCs w:val="18"/>
          <w:color w:val="auto"/>
        </w:rPr>
        <w:t>A tax charge of $6.4 million (12.5%) related to the estimated settlement of the German step-up appeal.</w:t>
      </w:r>
    </w:p>
    <w:p>
      <w:pPr>
        <w:spacing w:after="0" w:line="27" w:lineRule="exact"/>
        <w:rPr>
          <w:rFonts w:ascii="Arial" w:cs="Arial" w:eastAsia="Arial" w:hAnsi="Arial"/>
          <w:sz w:val="22"/>
          <w:szCs w:val="22"/>
          <w:color w:val="auto"/>
        </w:rPr>
      </w:pPr>
    </w:p>
    <w:p>
      <w:pPr>
        <w:ind w:left="660" w:hanging="328"/>
        <w:spacing w:after="0" w:line="205" w:lineRule="auto"/>
        <w:tabs>
          <w:tab w:leader="none" w:pos="660" w:val="left"/>
        </w:tabs>
        <w:numPr>
          <w:ilvl w:val="0"/>
          <w:numId w:val="13"/>
        </w:numPr>
        <w:rPr>
          <w:rFonts w:ascii="Arial" w:cs="Arial" w:eastAsia="Arial" w:hAnsi="Arial"/>
          <w:sz w:val="22"/>
          <w:szCs w:val="22"/>
          <w:color w:val="auto"/>
        </w:rPr>
      </w:pPr>
      <w:r>
        <w:rPr>
          <w:rFonts w:ascii="Arial" w:cs="Arial" w:eastAsia="Arial" w:hAnsi="Arial"/>
          <w:sz w:val="18"/>
          <w:szCs w:val="18"/>
          <w:color w:val="auto"/>
        </w:rPr>
        <w:t>A tax charge of $0.4 million (0.8%) related to changes in uncertain tax positions.</w:t>
      </w:r>
    </w:p>
    <w:p>
      <w:pPr>
        <w:spacing w:after="0" w:line="27" w:lineRule="exact"/>
        <w:rPr>
          <w:rFonts w:ascii="Arial" w:cs="Arial" w:eastAsia="Arial" w:hAnsi="Arial"/>
          <w:sz w:val="22"/>
          <w:szCs w:val="22"/>
          <w:color w:val="auto"/>
        </w:rPr>
      </w:pPr>
    </w:p>
    <w:p>
      <w:pPr>
        <w:ind w:left="660" w:hanging="328"/>
        <w:spacing w:after="0" w:line="205" w:lineRule="auto"/>
        <w:tabs>
          <w:tab w:leader="none" w:pos="660" w:val="left"/>
        </w:tabs>
        <w:numPr>
          <w:ilvl w:val="0"/>
          <w:numId w:val="13"/>
        </w:numPr>
        <w:rPr>
          <w:rFonts w:ascii="Arial" w:cs="Arial" w:eastAsia="Arial" w:hAnsi="Arial"/>
          <w:sz w:val="22"/>
          <w:szCs w:val="22"/>
          <w:color w:val="auto"/>
        </w:rPr>
      </w:pPr>
      <w:r>
        <w:rPr>
          <w:rFonts w:ascii="Arial" w:cs="Arial" w:eastAsia="Arial" w:hAnsi="Arial"/>
          <w:sz w:val="18"/>
          <w:szCs w:val="18"/>
          <w:color w:val="auto"/>
        </w:rPr>
        <w:t>A $0.5 million (-0.9%) net tax benefit related to other discrete items.</w:t>
      </w:r>
    </w:p>
    <w:p>
      <w:pPr>
        <w:spacing w:after="0" w:line="27" w:lineRule="exact"/>
        <w:rPr>
          <w:rFonts w:ascii="Arial" w:cs="Arial" w:eastAsia="Arial" w:hAnsi="Arial"/>
          <w:sz w:val="22"/>
          <w:szCs w:val="22"/>
          <w:color w:val="auto"/>
        </w:rPr>
      </w:pPr>
    </w:p>
    <w:p>
      <w:pPr>
        <w:ind w:left="660" w:right="20" w:hanging="328"/>
        <w:spacing w:after="0" w:line="222" w:lineRule="auto"/>
        <w:tabs>
          <w:tab w:leader="none" w:pos="660" w:val="left"/>
        </w:tabs>
        <w:numPr>
          <w:ilvl w:val="0"/>
          <w:numId w:val="13"/>
        </w:numPr>
        <w:rPr>
          <w:rFonts w:ascii="Arial" w:cs="Arial" w:eastAsia="Arial" w:hAnsi="Arial"/>
          <w:sz w:val="22"/>
          <w:szCs w:val="22"/>
          <w:color w:val="auto"/>
        </w:rPr>
      </w:pPr>
      <w:r>
        <w:rPr>
          <w:rFonts w:ascii="Arial" w:cs="Arial" w:eastAsia="Arial" w:hAnsi="Arial"/>
          <w:sz w:val="18"/>
          <w:szCs w:val="18"/>
          <w:color w:val="auto"/>
        </w:rPr>
        <w:t>A net effective tax rate reduction of 6.2% was recognized from income tax rate differences between non-U.S. jurisdictions and the U.S. rate. Earnings in Brazil, Switzerland, Mexico and China, where tax rates are lower than the U.S. rate of 35%, contributed to the majority of the reduction noted. Additionally, a U.S. tax benefit on foreign earnings that have been or will be repatriated, and foreign withholdings resulted in a reduction of 1.8% to the effective tax rate.</w:t>
      </w:r>
    </w:p>
    <w:p>
      <w:pPr>
        <w:spacing w:after="0" w:line="1" w:lineRule="exact"/>
        <w:rPr>
          <w:rFonts w:ascii="Arial" w:cs="Arial" w:eastAsia="Arial" w:hAnsi="Arial"/>
          <w:sz w:val="22"/>
          <w:szCs w:val="22"/>
          <w:color w:val="auto"/>
        </w:rPr>
      </w:pPr>
    </w:p>
    <w:p>
      <w:pPr>
        <w:ind w:left="660" w:hanging="328"/>
        <w:spacing w:after="0" w:line="205" w:lineRule="auto"/>
        <w:tabs>
          <w:tab w:leader="none" w:pos="660" w:val="left"/>
        </w:tabs>
        <w:numPr>
          <w:ilvl w:val="0"/>
          <w:numId w:val="13"/>
        </w:numPr>
        <w:rPr>
          <w:rFonts w:ascii="Arial" w:cs="Arial" w:eastAsia="Arial" w:hAnsi="Arial"/>
          <w:sz w:val="22"/>
          <w:szCs w:val="22"/>
          <w:color w:val="auto"/>
        </w:rPr>
      </w:pPr>
      <w:r>
        <w:rPr>
          <w:rFonts w:ascii="Arial" w:cs="Arial" w:eastAsia="Arial" w:hAnsi="Arial"/>
          <w:sz w:val="18"/>
          <w:szCs w:val="18"/>
          <w:color w:val="auto"/>
        </w:rPr>
        <w:t>Income tax rate on continuing operations, excluding discrete items, was 32%.</w:t>
      </w:r>
    </w:p>
    <w:p>
      <w:pPr>
        <w:spacing w:after="0" w:line="203" w:lineRule="exact"/>
        <w:rPr>
          <w:sz w:val="20"/>
          <w:szCs w:val="20"/>
          <w:color w:val="auto"/>
        </w:rPr>
      </w:pPr>
    </w:p>
    <w:p>
      <w:pPr>
        <w:ind w:right="480" w:firstLine="324"/>
        <w:spacing w:after="0" w:line="246" w:lineRule="auto"/>
        <w:rPr>
          <w:sz w:val="20"/>
          <w:szCs w:val="20"/>
          <w:color w:val="auto"/>
        </w:rPr>
      </w:pPr>
      <w:r>
        <w:rPr>
          <w:rFonts w:ascii="Arial" w:cs="Arial" w:eastAsia="Arial" w:hAnsi="Arial"/>
          <w:sz w:val="18"/>
          <w:szCs w:val="18"/>
          <w:color w:val="auto"/>
        </w:rPr>
        <w:t>Significant items that impacted the 2014 tax rate included the following (percentages reflect the effect of each item as a percentage of income before income taxes):</w:t>
      </w:r>
    </w:p>
    <w:p>
      <w:pPr>
        <w:spacing w:after="0" w:line="170" w:lineRule="exact"/>
        <w:rPr>
          <w:sz w:val="20"/>
          <w:szCs w:val="20"/>
          <w:color w:val="auto"/>
        </w:rPr>
      </w:pPr>
    </w:p>
    <w:p>
      <w:pPr>
        <w:ind w:left="660" w:right="300" w:hanging="328"/>
        <w:spacing w:after="0" w:line="211" w:lineRule="auto"/>
        <w:tabs>
          <w:tab w:leader="none" w:pos="660" w:val="left"/>
        </w:tabs>
        <w:numPr>
          <w:ilvl w:val="0"/>
          <w:numId w:val="14"/>
        </w:numPr>
        <w:rPr>
          <w:rFonts w:ascii="Arial" w:cs="Arial" w:eastAsia="Arial" w:hAnsi="Arial"/>
          <w:sz w:val="22"/>
          <w:szCs w:val="22"/>
          <w:color w:val="auto"/>
        </w:rPr>
      </w:pPr>
      <w:r>
        <w:rPr>
          <w:rFonts w:ascii="Arial" w:cs="Arial" w:eastAsia="Arial" w:hAnsi="Arial"/>
          <w:sz w:val="18"/>
          <w:szCs w:val="18"/>
          <w:color w:val="auto"/>
        </w:rPr>
        <w:t>A tax charge of $7.5 million (11.1%), primarily related to an unfavorable outcome in the tax court pertaining to another taxpayer with similar facts to the Company.</w:t>
      </w:r>
    </w:p>
    <w:p>
      <w:pPr>
        <w:ind w:left="660" w:hanging="328"/>
        <w:spacing w:after="0" w:line="205" w:lineRule="auto"/>
        <w:tabs>
          <w:tab w:leader="none" w:pos="660" w:val="left"/>
        </w:tabs>
        <w:numPr>
          <w:ilvl w:val="0"/>
          <w:numId w:val="14"/>
        </w:numPr>
        <w:rPr>
          <w:rFonts w:ascii="Arial" w:cs="Arial" w:eastAsia="Arial" w:hAnsi="Arial"/>
          <w:sz w:val="22"/>
          <w:szCs w:val="22"/>
          <w:color w:val="auto"/>
        </w:rPr>
      </w:pPr>
      <w:r>
        <w:rPr>
          <w:rFonts w:ascii="Arial" w:cs="Arial" w:eastAsia="Arial" w:hAnsi="Arial"/>
          <w:sz w:val="18"/>
          <w:szCs w:val="18"/>
          <w:color w:val="auto"/>
        </w:rPr>
        <w:t>A net tax benefit was recognized in the amount of $6.8 million (-10.0%) primarily due to the lapse in a tax statute.</w:t>
      </w:r>
    </w:p>
    <w:p>
      <w:pPr>
        <w:spacing w:after="0" w:line="27" w:lineRule="exact"/>
        <w:rPr>
          <w:rFonts w:ascii="Arial" w:cs="Arial" w:eastAsia="Arial" w:hAnsi="Arial"/>
          <w:sz w:val="22"/>
          <w:szCs w:val="22"/>
          <w:color w:val="auto"/>
        </w:rPr>
      </w:pPr>
    </w:p>
    <w:p>
      <w:pPr>
        <w:ind w:left="660" w:hanging="328"/>
        <w:spacing w:after="0" w:line="205" w:lineRule="auto"/>
        <w:tabs>
          <w:tab w:leader="none" w:pos="660" w:val="left"/>
        </w:tabs>
        <w:numPr>
          <w:ilvl w:val="0"/>
          <w:numId w:val="14"/>
        </w:numPr>
        <w:rPr>
          <w:rFonts w:ascii="Arial" w:cs="Arial" w:eastAsia="Arial" w:hAnsi="Arial"/>
          <w:sz w:val="22"/>
          <w:szCs w:val="22"/>
          <w:color w:val="auto"/>
        </w:rPr>
      </w:pPr>
      <w:r>
        <w:rPr>
          <w:rFonts w:ascii="Arial" w:cs="Arial" w:eastAsia="Arial" w:hAnsi="Arial"/>
          <w:sz w:val="18"/>
          <w:szCs w:val="18"/>
          <w:color w:val="auto"/>
        </w:rPr>
        <w:t>A $0.3 million (0.3%) net tax expense related to other discrete items.</w:t>
      </w:r>
    </w:p>
    <w:p>
      <w:pPr>
        <w:spacing w:after="0" w:line="27" w:lineRule="exact"/>
        <w:rPr>
          <w:rFonts w:ascii="Arial" w:cs="Arial" w:eastAsia="Arial" w:hAnsi="Arial"/>
          <w:sz w:val="22"/>
          <w:szCs w:val="22"/>
          <w:color w:val="auto"/>
        </w:rPr>
      </w:pPr>
    </w:p>
    <w:p>
      <w:pPr>
        <w:ind w:left="660" w:right="20" w:hanging="328"/>
        <w:spacing w:after="0" w:line="224" w:lineRule="auto"/>
        <w:tabs>
          <w:tab w:leader="none" w:pos="660" w:val="left"/>
        </w:tabs>
        <w:numPr>
          <w:ilvl w:val="0"/>
          <w:numId w:val="14"/>
        </w:numPr>
        <w:rPr>
          <w:rFonts w:ascii="Arial" w:cs="Arial" w:eastAsia="Arial" w:hAnsi="Arial"/>
          <w:sz w:val="22"/>
          <w:szCs w:val="22"/>
          <w:color w:val="auto"/>
        </w:rPr>
      </w:pPr>
      <w:r>
        <w:rPr>
          <w:rFonts w:ascii="Arial" w:cs="Arial" w:eastAsia="Arial" w:hAnsi="Arial"/>
          <w:sz w:val="18"/>
          <w:szCs w:val="18"/>
          <w:color w:val="auto"/>
        </w:rPr>
        <w:t>A net tax rate reduction of 10.2% was recognized from rate differences between non-U.S. and U.S. jurisdictions. Earnings in Brazil, Switzerland, and China, where tax rates are lower than the U.S. notional rate of 35%, contributed to the majority of the reduction noted. U.S. tax costs on foreign earnings and foreign withholdings offset the tax rate benefits gained from operating in low-tax jurisdictions by 8%. Included in the U.S. tax costs on foreign earnings is a $2.2 million (3.3%) expense recognized for the future repatriation of prior year earnings.</w:t>
      </w:r>
    </w:p>
    <w:p>
      <w:pPr>
        <w:spacing w:after="0" w:line="4" w:lineRule="exact"/>
        <w:rPr>
          <w:rFonts w:ascii="Arial" w:cs="Arial" w:eastAsia="Arial" w:hAnsi="Arial"/>
          <w:sz w:val="22"/>
          <w:szCs w:val="22"/>
          <w:color w:val="auto"/>
        </w:rPr>
      </w:pPr>
    </w:p>
    <w:p>
      <w:pPr>
        <w:ind w:left="660" w:hanging="328"/>
        <w:spacing w:after="0" w:line="205" w:lineRule="auto"/>
        <w:tabs>
          <w:tab w:leader="none" w:pos="660" w:val="left"/>
        </w:tabs>
        <w:numPr>
          <w:ilvl w:val="0"/>
          <w:numId w:val="14"/>
        </w:numPr>
        <w:rPr>
          <w:rFonts w:ascii="Arial" w:cs="Arial" w:eastAsia="Arial" w:hAnsi="Arial"/>
          <w:sz w:val="22"/>
          <w:szCs w:val="22"/>
          <w:color w:val="auto"/>
        </w:rPr>
      </w:pPr>
      <w:r>
        <w:rPr>
          <w:rFonts w:ascii="Arial" w:cs="Arial" w:eastAsia="Arial" w:hAnsi="Arial"/>
          <w:sz w:val="18"/>
          <w:szCs w:val="18"/>
          <w:color w:val="auto"/>
        </w:rPr>
        <w:t>Income tax rate on continuing operations, excluding discrete items, was 34%.</w:t>
      </w:r>
    </w:p>
    <w:p>
      <w:pPr>
        <w:spacing w:after="0" w:line="2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Machine Clothing Segment</w:t>
      </w:r>
    </w:p>
    <w:p>
      <w:pPr>
        <w:spacing w:after="0" w:line="220" w:lineRule="exact"/>
        <w:rPr>
          <w:sz w:val="20"/>
          <w:szCs w:val="20"/>
          <w:color w:val="auto"/>
        </w:rPr>
      </w:pPr>
    </w:p>
    <w:p>
      <w:pPr>
        <w:ind w:right="680" w:firstLine="648"/>
        <w:spacing w:after="0" w:line="246" w:lineRule="auto"/>
        <w:rPr>
          <w:sz w:val="20"/>
          <w:szCs w:val="20"/>
          <w:color w:val="auto"/>
        </w:rPr>
      </w:pPr>
      <w:r>
        <w:rPr>
          <w:rFonts w:ascii="Arial" w:cs="Arial" w:eastAsia="Arial" w:hAnsi="Arial"/>
          <w:sz w:val="18"/>
          <w:szCs w:val="18"/>
          <w:color w:val="auto"/>
        </w:rPr>
        <w:t>Machine Clothing is our primary business segment and accounted for 75% of our consolidated revenues during 2016. Machine Clothing products are purchased primarily by manufacturers of paper and paperboard.</w:t>
      </w:r>
    </w:p>
    <w:p>
      <w:pPr>
        <w:spacing w:after="0" w:line="170" w:lineRule="exact"/>
        <w:rPr>
          <w:sz w:val="20"/>
          <w:szCs w:val="20"/>
          <w:color w:val="auto"/>
        </w:rPr>
      </w:pPr>
    </w:p>
    <w:p>
      <w:pPr>
        <w:jc w:val="both"/>
        <w:ind w:right="60" w:firstLine="648"/>
        <w:spacing w:after="0"/>
        <w:rPr>
          <w:sz w:val="20"/>
          <w:szCs w:val="20"/>
          <w:color w:val="auto"/>
        </w:rPr>
      </w:pPr>
      <w:r>
        <w:rPr>
          <w:rFonts w:ascii="Arial" w:cs="Arial" w:eastAsia="Arial" w:hAnsi="Arial"/>
          <w:sz w:val="18"/>
          <w:szCs w:val="18"/>
          <w:color w:val="auto"/>
        </w:rPr>
        <w:t>According to RISI, Inc., global production of paper and paperboard is expected to grow at an annual rate of approximately 2% over the next five years, driven primarily by global growth in packaging and tissue, which is expected to be greater than expected declines in publication grades.</w:t>
      </w:r>
    </w:p>
    <w:p>
      <w:pPr>
        <w:spacing w:after="0" w:line="162" w:lineRule="exact"/>
        <w:rPr>
          <w:sz w:val="20"/>
          <w:szCs w:val="20"/>
          <w:color w:val="auto"/>
        </w:rPr>
      </w:pPr>
    </w:p>
    <w:p>
      <w:pPr>
        <w:ind w:right="80" w:firstLine="648"/>
        <w:spacing w:after="0" w:line="237" w:lineRule="auto"/>
        <w:rPr>
          <w:sz w:val="20"/>
          <w:szCs w:val="20"/>
          <w:color w:val="auto"/>
        </w:rPr>
      </w:pPr>
      <w:r>
        <w:rPr>
          <w:rFonts w:ascii="Arial" w:cs="Arial" w:eastAsia="Arial" w:hAnsi="Arial"/>
          <w:sz w:val="18"/>
          <w:szCs w:val="18"/>
          <w:color w:val="auto"/>
        </w:rPr>
        <w:t>Shifting demand for paper, across different paper grades as well as across geographical regions, continues to drive the elimination of papermaking capacity in areas with significant established capacity, primarily in the mature markets of Europe and North America. At the same time, the newest, most efficient machines are being installed in areas of growing demand, including Asia and South America generally, as well as tissue and towel paper grades in all regions. Recent technological advances in paper machine clothing, while contributing to the papermaking efficiency of customers, have lengthened the useful life of many of our products and had an adverse impact on overall paper machine clothing demand.</w:t>
      </w:r>
    </w:p>
    <w:p>
      <w:pPr>
        <w:spacing w:after="0" w:line="165" w:lineRule="exact"/>
        <w:rPr>
          <w:sz w:val="20"/>
          <w:szCs w:val="20"/>
          <w:color w:val="auto"/>
        </w:rPr>
      </w:pPr>
    </w:p>
    <w:p>
      <w:pPr>
        <w:ind w:right="60" w:firstLine="648"/>
        <w:spacing w:after="0" w:line="239" w:lineRule="auto"/>
        <w:rPr>
          <w:sz w:val="20"/>
          <w:szCs w:val="20"/>
          <w:color w:val="auto"/>
        </w:rPr>
      </w:pPr>
      <w:r>
        <w:rPr>
          <w:rFonts w:ascii="Arial" w:cs="Arial" w:eastAsia="Arial" w:hAnsi="Arial"/>
          <w:sz w:val="18"/>
          <w:szCs w:val="18"/>
          <w:color w:val="auto"/>
        </w:rPr>
        <w:t>The Company’s manufacturing and product platforms position us well to meet these shifting demands across product grades and geographic regions. Our strategy for meeting these challenges continues to be to grow share in all markets, with new products and technology, and to maintain our manufacturing footprint to align with global demand, while we offset the effects of inflation through continuous productivity improvement.</w:t>
      </w:r>
    </w:p>
    <w:p>
      <w:pPr>
        <w:spacing w:after="0" w:line="175" w:lineRule="exact"/>
        <w:rPr>
          <w:sz w:val="20"/>
          <w:szCs w:val="20"/>
          <w:color w:val="auto"/>
        </w:rPr>
      </w:pPr>
    </w:p>
    <w:p>
      <w:pPr>
        <w:ind w:right="480" w:firstLine="648"/>
        <w:spacing w:after="0" w:line="246" w:lineRule="auto"/>
        <w:rPr>
          <w:sz w:val="20"/>
          <w:szCs w:val="20"/>
          <w:color w:val="auto"/>
        </w:rPr>
      </w:pPr>
      <w:r>
        <w:rPr>
          <w:rFonts w:ascii="Arial" w:cs="Arial" w:eastAsia="Arial" w:hAnsi="Arial"/>
          <w:sz w:val="18"/>
          <w:szCs w:val="18"/>
          <w:color w:val="auto"/>
        </w:rPr>
        <w:t>We have incurred significant restructuring charges in recent periods as we reduced Machine Clothing manufacturing capacity and administrative positions in the United States, Canada, Germany, France, and Sweden.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of Operations</w:t>
      </w:r>
    </w:p>
    <w:p>
      <w:pPr>
        <w:spacing w:after="0" w:line="171" w:lineRule="exact"/>
        <w:rPr>
          <w:sz w:val="20"/>
          <w:szCs w:val="20"/>
          <w:color w:val="auto"/>
        </w:rPr>
      </w:pPr>
    </w:p>
    <w:p>
      <w:pPr>
        <w:ind w:left="7280"/>
        <w:spacing w:after="0"/>
        <w:rPr>
          <w:sz w:val="20"/>
          <w:szCs w:val="20"/>
          <w:color w:val="auto"/>
        </w:rPr>
      </w:pPr>
      <w:r>
        <w:rPr>
          <w:rFonts w:ascii="Arial" w:cs="Arial" w:eastAsia="Arial" w:hAnsi="Arial"/>
          <w:sz w:val="18"/>
          <w:szCs w:val="18"/>
          <w:b w:val="1"/>
          <w:bCs w:val="1"/>
          <w:color w:val="auto"/>
        </w:rPr>
        <w:t>(in thousands, except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4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Years ended December 31,</w:t>
            </w:r>
          </w:p>
        </w:tc>
        <w:tc>
          <w:tcPr>
            <w:tcW w:w="346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2016</w:t>
            </w:r>
          </w:p>
        </w:tc>
        <w:tc>
          <w:tcPr>
            <w:tcW w:w="204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2015</w:t>
            </w:r>
          </w:p>
        </w:tc>
        <w:tc>
          <w:tcPr>
            <w:tcW w:w="15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r>
      <w:tr>
        <w:trPr>
          <w:trHeight w:val="173"/>
        </w:trPr>
        <w:tc>
          <w:tcPr>
            <w:tcW w:w="4420" w:type="dxa"/>
            <w:vAlign w:val="bottom"/>
          </w:tcPr>
          <w:p>
            <w:pPr>
              <w:ind w:left="100"/>
              <w:spacing w:after="0" w:line="173" w:lineRule="exact"/>
              <w:rPr>
                <w:sz w:val="20"/>
                <w:szCs w:val="20"/>
                <w:color w:val="auto"/>
              </w:rPr>
            </w:pPr>
            <w:r>
              <w:rPr>
                <w:rFonts w:ascii="Arial" w:cs="Arial" w:eastAsia="Arial" w:hAnsi="Arial"/>
                <w:sz w:val="18"/>
                <w:szCs w:val="18"/>
                <w:color w:val="auto"/>
              </w:rPr>
              <w:t>Net sales</w:t>
            </w:r>
          </w:p>
        </w:tc>
        <w:tc>
          <w:tcPr>
            <w:tcW w:w="3460" w:type="dxa"/>
            <w:vAlign w:val="bottom"/>
          </w:tcPr>
          <w:p>
            <w:pPr>
              <w:jc w:val="right"/>
              <w:ind w:right="570"/>
              <w:spacing w:after="0" w:line="173" w:lineRule="exact"/>
              <w:rPr>
                <w:sz w:val="20"/>
                <w:szCs w:val="20"/>
                <w:color w:val="auto"/>
              </w:rPr>
            </w:pPr>
            <w:r>
              <w:rPr>
                <w:rFonts w:ascii="Arial" w:cs="Arial" w:eastAsia="Arial" w:hAnsi="Arial"/>
                <w:sz w:val="18"/>
                <w:szCs w:val="18"/>
                <w:b w:val="1"/>
                <w:bCs w:val="1"/>
                <w:color w:val="auto"/>
              </w:rPr>
              <w:t>$582,190</w:t>
            </w:r>
          </w:p>
        </w:tc>
        <w:tc>
          <w:tcPr>
            <w:tcW w:w="2040" w:type="dxa"/>
            <w:vAlign w:val="bottom"/>
          </w:tcPr>
          <w:p>
            <w:pPr>
              <w:jc w:val="right"/>
              <w:ind w:right="550"/>
              <w:spacing w:after="0" w:line="173" w:lineRule="exact"/>
              <w:rPr>
                <w:sz w:val="20"/>
                <w:szCs w:val="20"/>
                <w:color w:val="auto"/>
              </w:rPr>
            </w:pPr>
            <w:r>
              <w:rPr>
                <w:rFonts w:ascii="Arial" w:cs="Arial" w:eastAsia="Arial" w:hAnsi="Arial"/>
                <w:sz w:val="18"/>
                <w:szCs w:val="18"/>
                <w:color w:val="auto"/>
              </w:rPr>
              <w:t>$608,581</w:t>
            </w:r>
          </w:p>
        </w:tc>
        <w:tc>
          <w:tcPr>
            <w:tcW w:w="1500" w:type="dxa"/>
            <w:vAlign w:val="bottom"/>
          </w:tcPr>
          <w:p>
            <w:pPr>
              <w:jc w:val="right"/>
              <w:ind w:right="10"/>
              <w:spacing w:after="0" w:line="173" w:lineRule="exact"/>
              <w:rPr>
                <w:sz w:val="20"/>
                <w:szCs w:val="20"/>
                <w:color w:val="auto"/>
              </w:rPr>
            </w:pPr>
            <w:r>
              <w:rPr>
                <w:rFonts w:ascii="Arial" w:cs="Arial" w:eastAsia="Arial" w:hAnsi="Arial"/>
                <w:sz w:val="18"/>
                <w:szCs w:val="18"/>
                <w:color w:val="auto"/>
              </w:rPr>
              <w:t>$655,026</w:t>
            </w:r>
          </w:p>
        </w:tc>
      </w:tr>
      <w:tr>
        <w:trPr>
          <w:trHeight w:val="203"/>
        </w:trPr>
        <w:tc>
          <w:tcPr>
            <w:tcW w:w="4420" w:type="dxa"/>
            <w:vAlign w:val="bottom"/>
          </w:tcPr>
          <w:p>
            <w:pPr>
              <w:ind w:left="100"/>
              <w:spacing w:after="0" w:line="202" w:lineRule="exact"/>
              <w:rPr>
                <w:sz w:val="20"/>
                <w:szCs w:val="20"/>
                <w:color w:val="auto"/>
              </w:rPr>
            </w:pPr>
            <w:r>
              <w:rPr>
                <w:rFonts w:ascii="Arial" w:cs="Arial" w:eastAsia="Arial" w:hAnsi="Arial"/>
                <w:sz w:val="18"/>
                <w:szCs w:val="18"/>
                <w:color w:val="auto"/>
              </w:rPr>
              <w:t>% change from prior year</w:t>
            </w:r>
          </w:p>
        </w:tc>
        <w:tc>
          <w:tcPr>
            <w:tcW w:w="3460" w:type="dxa"/>
            <w:vAlign w:val="bottom"/>
          </w:tcPr>
          <w:p>
            <w:pPr>
              <w:jc w:val="right"/>
              <w:ind w:right="570"/>
              <w:spacing w:after="0" w:line="202" w:lineRule="exact"/>
              <w:rPr>
                <w:sz w:val="20"/>
                <w:szCs w:val="20"/>
                <w:color w:val="auto"/>
              </w:rPr>
            </w:pPr>
            <w:r>
              <w:rPr>
                <w:rFonts w:ascii="Arial" w:cs="Arial" w:eastAsia="Arial" w:hAnsi="Arial"/>
                <w:sz w:val="18"/>
                <w:szCs w:val="18"/>
                <w:b w:val="1"/>
                <w:bCs w:val="1"/>
                <w:color w:val="auto"/>
              </w:rPr>
              <w:t>-4.3%</w:t>
            </w:r>
          </w:p>
        </w:tc>
        <w:tc>
          <w:tcPr>
            <w:tcW w:w="2040" w:type="dxa"/>
            <w:vAlign w:val="bottom"/>
          </w:tcPr>
          <w:p>
            <w:pPr>
              <w:jc w:val="right"/>
              <w:ind w:right="550"/>
              <w:spacing w:after="0" w:line="202" w:lineRule="exact"/>
              <w:rPr>
                <w:sz w:val="20"/>
                <w:szCs w:val="20"/>
                <w:color w:val="auto"/>
              </w:rPr>
            </w:pPr>
            <w:r>
              <w:rPr>
                <w:rFonts w:ascii="Arial" w:cs="Arial" w:eastAsia="Arial" w:hAnsi="Arial"/>
                <w:sz w:val="18"/>
                <w:szCs w:val="18"/>
                <w:color w:val="auto"/>
              </w:rPr>
              <w:t>-7.1%</w:t>
            </w:r>
          </w:p>
        </w:tc>
        <w:tc>
          <w:tcPr>
            <w:tcW w:w="15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4420" w:type="dxa"/>
            <w:vAlign w:val="bottom"/>
          </w:tcPr>
          <w:p>
            <w:pPr>
              <w:ind w:left="100"/>
              <w:spacing w:after="0" w:line="202" w:lineRule="exact"/>
              <w:rPr>
                <w:sz w:val="20"/>
                <w:szCs w:val="20"/>
                <w:color w:val="auto"/>
              </w:rPr>
            </w:pPr>
            <w:r>
              <w:rPr>
                <w:rFonts w:ascii="Arial" w:cs="Arial" w:eastAsia="Arial" w:hAnsi="Arial"/>
                <w:sz w:val="18"/>
                <w:szCs w:val="18"/>
                <w:color w:val="auto"/>
              </w:rPr>
              <w:t>Gross profit</w:t>
            </w:r>
          </w:p>
        </w:tc>
        <w:tc>
          <w:tcPr>
            <w:tcW w:w="3460" w:type="dxa"/>
            <w:vAlign w:val="bottom"/>
          </w:tcPr>
          <w:p>
            <w:pPr>
              <w:jc w:val="right"/>
              <w:ind w:right="570"/>
              <w:spacing w:after="0" w:line="202" w:lineRule="exact"/>
              <w:rPr>
                <w:sz w:val="20"/>
                <w:szCs w:val="20"/>
                <w:color w:val="auto"/>
              </w:rPr>
            </w:pPr>
            <w:r>
              <w:rPr>
                <w:rFonts w:ascii="Arial" w:cs="Arial" w:eastAsia="Arial" w:hAnsi="Arial"/>
                <w:sz w:val="18"/>
                <w:szCs w:val="18"/>
                <w:b w:val="1"/>
                <w:bCs w:val="1"/>
                <w:color w:val="auto"/>
              </w:rPr>
              <w:t>276,402</w:t>
            </w:r>
          </w:p>
        </w:tc>
        <w:tc>
          <w:tcPr>
            <w:tcW w:w="2040" w:type="dxa"/>
            <w:vAlign w:val="bottom"/>
          </w:tcPr>
          <w:p>
            <w:pPr>
              <w:jc w:val="right"/>
              <w:ind w:right="550"/>
              <w:spacing w:after="0" w:line="202" w:lineRule="exact"/>
              <w:rPr>
                <w:sz w:val="20"/>
                <w:szCs w:val="20"/>
                <w:color w:val="auto"/>
              </w:rPr>
            </w:pPr>
            <w:r>
              <w:rPr>
                <w:rFonts w:ascii="Arial" w:cs="Arial" w:eastAsia="Arial" w:hAnsi="Arial"/>
                <w:sz w:val="18"/>
                <w:szCs w:val="18"/>
                <w:color w:val="auto"/>
              </w:rPr>
              <w:t>286,847</w:t>
            </w:r>
          </w:p>
        </w:tc>
        <w:tc>
          <w:tcPr>
            <w:tcW w:w="15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282,300</w:t>
            </w:r>
          </w:p>
        </w:tc>
      </w:tr>
      <w:tr>
        <w:trPr>
          <w:trHeight w:val="203"/>
        </w:trPr>
        <w:tc>
          <w:tcPr>
            <w:tcW w:w="4420" w:type="dxa"/>
            <w:vAlign w:val="bottom"/>
          </w:tcPr>
          <w:p>
            <w:pPr>
              <w:ind w:left="100"/>
              <w:spacing w:after="0" w:line="202" w:lineRule="exact"/>
              <w:rPr>
                <w:sz w:val="20"/>
                <w:szCs w:val="20"/>
                <w:color w:val="auto"/>
              </w:rPr>
            </w:pPr>
            <w:r>
              <w:rPr>
                <w:rFonts w:ascii="Arial" w:cs="Arial" w:eastAsia="Arial" w:hAnsi="Arial"/>
                <w:sz w:val="18"/>
                <w:szCs w:val="18"/>
                <w:color w:val="auto"/>
              </w:rPr>
              <w:t>% of net sales</w:t>
            </w:r>
          </w:p>
        </w:tc>
        <w:tc>
          <w:tcPr>
            <w:tcW w:w="3460" w:type="dxa"/>
            <w:vAlign w:val="bottom"/>
          </w:tcPr>
          <w:p>
            <w:pPr>
              <w:jc w:val="right"/>
              <w:ind w:right="570"/>
              <w:spacing w:after="0" w:line="202" w:lineRule="exact"/>
              <w:rPr>
                <w:sz w:val="20"/>
                <w:szCs w:val="20"/>
                <w:color w:val="auto"/>
              </w:rPr>
            </w:pPr>
            <w:r>
              <w:rPr>
                <w:rFonts w:ascii="Arial" w:cs="Arial" w:eastAsia="Arial" w:hAnsi="Arial"/>
                <w:sz w:val="18"/>
                <w:szCs w:val="18"/>
                <w:b w:val="1"/>
                <w:bCs w:val="1"/>
                <w:color w:val="auto"/>
              </w:rPr>
              <w:t>47.5%</w:t>
            </w:r>
          </w:p>
        </w:tc>
        <w:tc>
          <w:tcPr>
            <w:tcW w:w="2040" w:type="dxa"/>
            <w:vAlign w:val="bottom"/>
          </w:tcPr>
          <w:p>
            <w:pPr>
              <w:jc w:val="right"/>
              <w:ind w:right="550"/>
              <w:spacing w:after="0" w:line="202" w:lineRule="exact"/>
              <w:rPr>
                <w:sz w:val="20"/>
                <w:szCs w:val="20"/>
                <w:color w:val="auto"/>
              </w:rPr>
            </w:pPr>
            <w:r>
              <w:rPr>
                <w:rFonts w:ascii="Arial" w:cs="Arial" w:eastAsia="Arial" w:hAnsi="Arial"/>
                <w:sz w:val="18"/>
                <w:szCs w:val="18"/>
                <w:color w:val="auto"/>
              </w:rPr>
              <w:t>47.1%</w:t>
            </w:r>
          </w:p>
        </w:tc>
        <w:tc>
          <w:tcPr>
            <w:tcW w:w="15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43.1%</w:t>
            </w:r>
          </w:p>
        </w:tc>
      </w:tr>
      <w:tr>
        <w:trPr>
          <w:trHeight w:val="203"/>
        </w:trPr>
        <w:tc>
          <w:tcPr>
            <w:tcW w:w="4420" w:type="dxa"/>
            <w:vAlign w:val="bottom"/>
          </w:tcPr>
          <w:p>
            <w:pPr>
              <w:ind w:left="100"/>
              <w:spacing w:after="0" w:line="202" w:lineRule="exact"/>
              <w:rPr>
                <w:sz w:val="20"/>
                <w:szCs w:val="20"/>
                <w:color w:val="auto"/>
              </w:rPr>
            </w:pPr>
            <w:r>
              <w:rPr>
                <w:rFonts w:ascii="Arial" w:cs="Arial" w:eastAsia="Arial" w:hAnsi="Arial"/>
                <w:sz w:val="18"/>
                <w:szCs w:val="18"/>
                <w:color w:val="auto"/>
              </w:rPr>
              <w:t>STG&amp;R expenses</w:t>
            </w:r>
          </w:p>
        </w:tc>
        <w:tc>
          <w:tcPr>
            <w:tcW w:w="3460" w:type="dxa"/>
            <w:vAlign w:val="bottom"/>
          </w:tcPr>
          <w:p>
            <w:pPr>
              <w:jc w:val="right"/>
              <w:ind w:right="570"/>
              <w:spacing w:after="0" w:line="202" w:lineRule="exact"/>
              <w:rPr>
                <w:sz w:val="20"/>
                <w:szCs w:val="20"/>
                <w:color w:val="auto"/>
              </w:rPr>
            </w:pPr>
            <w:r>
              <w:rPr>
                <w:rFonts w:ascii="Arial" w:cs="Arial" w:eastAsia="Arial" w:hAnsi="Arial"/>
                <w:sz w:val="18"/>
                <w:szCs w:val="18"/>
                <w:b w:val="1"/>
                <w:bCs w:val="1"/>
                <w:color w:val="auto"/>
              </w:rPr>
              <w:t>117,804</w:t>
            </w:r>
          </w:p>
        </w:tc>
        <w:tc>
          <w:tcPr>
            <w:tcW w:w="2040" w:type="dxa"/>
            <w:vAlign w:val="bottom"/>
          </w:tcPr>
          <w:p>
            <w:pPr>
              <w:jc w:val="right"/>
              <w:ind w:right="550"/>
              <w:spacing w:after="0" w:line="202" w:lineRule="exact"/>
              <w:rPr>
                <w:sz w:val="20"/>
                <w:szCs w:val="20"/>
                <w:color w:val="auto"/>
              </w:rPr>
            </w:pPr>
            <w:r>
              <w:rPr>
                <w:rFonts w:ascii="Arial" w:cs="Arial" w:eastAsia="Arial" w:hAnsi="Arial"/>
                <w:sz w:val="18"/>
                <w:szCs w:val="18"/>
                <w:color w:val="auto"/>
              </w:rPr>
              <w:t>123,325</w:t>
            </w:r>
          </w:p>
        </w:tc>
        <w:tc>
          <w:tcPr>
            <w:tcW w:w="15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141,023</w:t>
            </w:r>
          </w:p>
        </w:tc>
      </w:tr>
      <w:tr>
        <w:trPr>
          <w:trHeight w:val="225"/>
        </w:trPr>
        <w:tc>
          <w:tcPr>
            <w:tcW w:w="44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Operating income</w:t>
            </w:r>
          </w:p>
        </w:tc>
        <w:tc>
          <w:tcPr>
            <w:tcW w:w="34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152,529</w:t>
            </w:r>
          </w:p>
        </w:tc>
        <w:tc>
          <w:tcPr>
            <w:tcW w:w="20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141,311</w:t>
            </w: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136,450</w:t>
            </w:r>
          </w:p>
        </w:tc>
      </w:tr>
    </w:tbl>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vs. 2015</w:t>
      </w:r>
    </w:p>
    <w:p>
      <w:pPr>
        <w:spacing w:after="0" w:line="193" w:lineRule="exact"/>
        <w:rPr>
          <w:sz w:val="20"/>
          <w:szCs w:val="20"/>
          <w:color w:val="auto"/>
        </w:rPr>
      </w:pPr>
    </w:p>
    <w:p>
      <w:pPr>
        <w:ind w:left="900" w:right="40" w:hanging="244"/>
        <w:spacing w:after="0" w:line="218" w:lineRule="auto"/>
        <w:tabs>
          <w:tab w:leader="none" w:pos="900" w:val="left"/>
        </w:tabs>
        <w:numPr>
          <w:ilvl w:val="0"/>
          <w:numId w:val="15"/>
        </w:numPr>
        <w:rPr>
          <w:rFonts w:ascii="Arial" w:cs="Arial" w:eastAsia="Arial" w:hAnsi="Arial"/>
          <w:sz w:val="22"/>
          <w:szCs w:val="22"/>
          <w:color w:val="auto"/>
        </w:rPr>
      </w:pPr>
      <w:r>
        <w:rPr>
          <w:rFonts w:ascii="Arial" w:cs="Arial" w:eastAsia="Arial" w:hAnsi="Arial"/>
          <w:sz w:val="18"/>
          <w:szCs w:val="18"/>
          <w:color w:val="auto"/>
        </w:rPr>
        <w:t>Changes in currency translation rates had the effect of decreasing 2016 sales by $2.8 million compared to 2015. That currency translation effect was principally due to sales in China, as the Chinese renminbi was approximately 5% weaker in 2016 compared to 2015. Excluding the effect of changes in translation rates, net sales decreased 3.9%.</w:t>
      </w:r>
    </w:p>
    <w:p>
      <w:pPr>
        <w:spacing w:after="0" w:line="1" w:lineRule="exact"/>
        <w:rPr>
          <w:rFonts w:ascii="Arial" w:cs="Arial" w:eastAsia="Arial" w:hAnsi="Arial"/>
          <w:sz w:val="22"/>
          <w:szCs w:val="22"/>
          <w:color w:val="auto"/>
        </w:rPr>
      </w:pPr>
    </w:p>
    <w:p>
      <w:pPr>
        <w:ind w:left="900" w:right="200" w:hanging="244"/>
        <w:spacing w:after="0" w:line="218" w:lineRule="auto"/>
        <w:tabs>
          <w:tab w:leader="none" w:pos="900" w:val="left"/>
        </w:tabs>
        <w:numPr>
          <w:ilvl w:val="0"/>
          <w:numId w:val="15"/>
        </w:numPr>
        <w:rPr>
          <w:rFonts w:ascii="Arial" w:cs="Arial" w:eastAsia="Arial" w:hAnsi="Arial"/>
          <w:sz w:val="22"/>
          <w:szCs w:val="22"/>
          <w:color w:val="auto"/>
        </w:rPr>
      </w:pPr>
      <w:r>
        <w:rPr>
          <w:rFonts w:ascii="Arial" w:cs="Arial" w:eastAsia="Arial" w:hAnsi="Arial"/>
          <w:sz w:val="18"/>
          <w:szCs w:val="18"/>
          <w:color w:val="auto"/>
        </w:rPr>
        <w:t>The reduction in MC net sales was due to the continuation of declines in the market for publication grades, coupled with economic weakness in South America.</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2015 vs. 2014</w:t>
      </w:r>
    </w:p>
    <w:p>
      <w:pPr>
        <w:spacing w:after="0" w:line="192" w:lineRule="exact"/>
        <w:rPr>
          <w:sz w:val="20"/>
          <w:szCs w:val="20"/>
          <w:color w:val="auto"/>
        </w:rPr>
      </w:pPr>
    </w:p>
    <w:p>
      <w:pPr>
        <w:ind w:left="900" w:right="180" w:hanging="244"/>
        <w:spacing w:after="0" w:line="218" w:lineRule="auto"/>
        <w:tabs>
          <w:tab w:leader="none" w:pos="900" w:val="left"/>
        </w:tabs>
        <w:numPr>
          <w:ilvl w:val="0"/>
          <w:numId w:val="16"/>
        </w:numPr>
        <w:rPr>
          <w:rFonts w:ascii="Arial" w:cs="Arial" w:eastAsia="Arial" w:hAnsi="Arial"/>
          <w:sz w:val="22"/>
          <w:szCs w:val="22"/>
          <w:color w:val="auto"/>
        </w:rPr>
      </w:pPr>
      <w:r>
        <w:rPr>
          <w:rFonts w:ascii="Arial" w:cs="Arial" w:eastAsia="Arial" w:hAnsi="Arial"/>
          <w:sz w:val="18"/>
          <w:szCs w:val="18"/>
          <w:color w:val="auto"/>
        </w:rPr>
        <w:t>Changes in currency translation rates had the effect of decreasing 2015 sales by $38.0 million compared to 2014 due to the broad weakening of foreign currencies against the U.S. dollar. Approximately 80% of that decrease was due to European-based sales, which were principally transacted in euros. On average, the euro was approximately 17% weaker in 2015 compared to 2014.</w:t>
      </w:r>
    </w:p>
    <w:p>
      <w:pPr>
        <w:spacing w:after="0" w:line="1" w:lineRule="exact"/>
        <w:rPr>
          <w:rFonts w:ascii="Arial" w:cs="Arial" w:eastAsia="Arial" w:hAnsi="Arial"/>
          <w:sz w:val="22"/>
          <w:szCs w:val="22"/>
          <w:color w:val="auto"/>
        </w:rPr>
      </w:pPr>
    </w:p>
    <w:p>
      <w:pPr>
        <w:ind w:left="900" w:hanging="244"/>
        <w:spacing w:after="0" w:line="205" w:lineRule="auto"/>
        <w:tabs>
          <w:tab w:leader="none" w:pos="900" w:val="left"/>
        </w:tabs>
        <w:numPr>
          <w:ilvl w:val="0"/>
          <w:numId w:val="16"/>
        </w:numPr>
        <w:rPr>
          <w:rFonts w:ascii="Arial" w:cs="Arial" w:eastAsia="Arial" w:hAnsi="Arial"/>
          <w:sz w:val="22"/>
          <w:szCs w:val="22"/>
          <w:color w:val="auto"/>
        </w:rPr>
      </w:pPr>
      <w:r>
        <w:rPr>
          <w:rFonts w:ascii="Arial" w:cs="Arial" w:eastAsia="Arial" w:hAnsi="Arial"/>
          <w:sz w:val="18"/>
          <w:szCs w:val="18"/>
          <w:color w:val="auto"/>
        </w:rPr>
        <w:t>Excluding the effect of changes in currency translation rates, sales decreased 1.3%.</w:t>
      </w:r>
    </w:p>
    <w:p>
      <w:pPr>
        <w:spacing w:after="0" w:line="27" w:lineRule="exact"/>
        <w:rPr>
          <w:rFonts w:ascii="Arial" w:cs="Arial" w:eastAsia="Arial" w:hAnsi="Arial"/>
          <w:sz w:val="22"/>
          <w:szCs w:val="22"/>
          <w:color w:val="auto"/>
        </w:rPr>
      </w:pPr>
    </w:p>
    <w:p>
      <w:pPr>
        <w:ind w:left="900" w:right="340" w:hanging="244"/>
        <w:spacing w:after="0" w:line="218" w:lineRule="auto"/>
        <w:tabs>
          <w:tab w:leader="none" w:pos="900" w:val="left"/>
        </w:tabs>
        <w:numPr>
          <w:ilvl w:val="0"/>
          <w:numId w:val="16"/>
        </w:numPr>
        <w:rPr>
          <w:rFonts w:ascii="Arial" w:cs="Arial" w:eastAsia="Arial" w:hAnsi="Arial"/>
          <w:sz w:val="22"/>
          <w:szCs w:val="22"/>
          <w:color w:val="auto"/>
        </w:rPr>
      </w:pPr>
      <w:r>
        <w:rPr>
          <w:rFonts w:ascii="Arial" w:cs="Arial" w:eastAsia="Arial" w:hAnsi="Arial"/>
          <w:sz w:val="18"/>
          <w:szCs w:val="18"/>
          <w:color w:val="auto"/>
        </w:rPr>
        <w:t>Excluding the effect of changes in currency translation rates, the year-over-year decline in MC sales was primarily attributable to lower sales in the North American publishing grades.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vs. 2015</w:t>
      </w:r>
    </w:p>
    <w:p>
      <w:pPr>
        <w:spacing w:after="0" w:line="157"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22"/>
          <w:szCs w:val="22"/>
          <w:color w:val="auto"/>
        </w:rPr>
      </w:pPr>
      <w:r>
        <w:rPr>
          <w:rFonts w:ascii="Arial" w:cs="Arial" w:eastAsia="Arial" w:hAnsi="Arial"/>
          <w:sz w:val="18"/>
          <w:szCs w:val="18"/>
          <w:color w:val="auto"/>
        </w:rPr>
        <w:t>The decline in MC gross profit was principally due to the decline in net sales, as noted above.</w:t>
      </w:r>
    </w:p>
    <w:p>
      <w:pPr>
        <w:spacing w:after="0" w:line="26" w:lineRule="exact"/>
        <w:rPr>
          <w:rFonts w:ascii="Arial" w:cs="Arial" w:eastAsia="Arial" w:hAnsi="Arial"/>
          <w:sz w:val="22"/>
          <w:szCs w:val="22"/>
          <w:color w:val="auto"/>
        </w:rPr>
      </w:pPr>
    </w:p>
    <w:p>
      <w:pPr>
        <w:ind w:left="980" w:hanging="324"/>
        <w:spacing w:after="0" w:line="205" w:lineRule="auto"/>
        <w:tabs>
          <w:tab w:leader="none" w:pos="980" w:val="left"/>
        </w:tabs>
        <w:numPr>
          <w:ilvl w:val="0"/>
          <w:numId w:val="17"/>
        </w:numPr>
        <w:rPr>
          <w:rFonts w:ascii="Arial" w:cs="Arial" w:eastAsia="Arial" w:hAnsi="Arial"/>
          <w:sz w:val="22"/>
          <w:szCs w:val="22"/>
          <w:color w:val="auto"/>
        </w:rPr>
      </w:pPr>
      <w:r>
        <w:rPr>
          <w:rFonts w:ascii="Arial" w:cs="Arial" w:eastAsia="Arial" w:hAnsi="Arial"/>
          <w:sz w:val="18"/>
          <w:szCs w:val="18"/>
          <w:color w:val="auto"/>
        </w:rPr>
        <w:t>Changes in currency translation rates did not have a significant effect on gross profit in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vs. 2014</w:t>
      </w:r>
    </w:p>
    <w:p>
      <w:pPr>
        <w:spacing w:after="0" w:line="207" w:lineRule="exact"/>
        <w:rPr>
          <w:sz w:val="20"/>
          <w:szCs w:val="20"/>
          <w:color w:val="auto"/>
        </w:rPr>
      </w:pPr>
    </w:p>
    <w:p>
      <w:pPr>
        <w:ind w:left="980" w:right="120" w:hanging="324"/>
        <w:spacing w:after="0" w:line="242" w:lineRule="auto"/>
        <w:tabs>
          <w:tab w:leader="none" w:pos="980" w:val="left"/>
        </w:tabs>
        <w:numPr>
          <w:ilvl w:val="0"/>
          <w:numId w:val="18"/>
        </w:numPr>
        <w:rPr>
          <w:rFonts w:ascii="Arial" w:cs="Arial" w:eastAsia="Arial" w:hAnsi="Arial"/>
          <w:sz w:val="21"/>
          <w:szCs w:val="21"/>
          <w:color w:val="auto"/>
        </w:rPr>
      </w:pPr>
      <w:r>
        <w:rPr>
          <w:rFonts w:ascii="Arial" w:cs="Arial" w:eastAsia="Arial" w:hAnsi="Arial"/>
          <w:sz w:val="17"/>
          <w:szCs w:val="17"/>
          <w:color w:val="auto"/>
        </w:rPr>
        <w:t>Changes in currency translation rates from 2014 to 2015 had a slightly positive effect on Machine Clothing gross profit. In 2015, approximately 20% of Machine Clothing (MC) sales had U.S. dollar sales prices, but were manufactured by non-U.S. subsidiaries, principally in Latin America. The Brazilian real and Mexican peso weakened in 2015, which reduced Cost of sales related to that revenue. Approximately 45% of MC sales were manufactured and sold in currencies other than the dollar, real or peso, and since almost all currencies in which we operate weakened against the U.S. dollar in 2015, the gross profit in these other countries was reduced by changes in currency translation rates. The net impact of these two effects on gross profit was slightly positive in 2015.</w:t>
      </w:r>
    </w:p>
    <w:p>
      <w:pPr>
        <w:spacing w:after="0" w:line="121" w:lineRule="exact"/>
        <w:rPr>
          <w:rFonts w:ascii="Arial" w:cs="Arial" w:eastAsia="Arial" w:hAnsi="Arial"/>
          <w:sz w:val="21"/>
          <w:szCs w:val="21"/>
          <w:color w:val="auto"/>
        </w:rPr>
      </w:pPr>
    </w:p>
    <w:p>
      <w:pPr>
        <w:ind w:left="980" w:right="360" w:hanging="324"/>
        <w:spacing w:after="0" w:line="218" w:lineRule="auto"/>
        <w:tabs>
          <w:tab w:leader="none" w:pos="980" w:val="left"/>
        </w:tabs>
        <w:numPr>
          <w:ilvl w:val="0"/>
          <w:numId w:val="18"/>
        </w:numPr>
        <w:rPr>
          <w:rFonts w:ascii="Arial" w:cs="Arial" w:eastAsia="Arial" w:hAnsi="Arial"/>
          <w:sz w:val="22"/>
          <w:szCs w:val="22"/>
          <w:color w:val="auto"/>
        </w:rPr>
      </w:pPr>
      <w:r>
        <w:rPr>
          <w:rFonts w:ascii="Arial" w:cs="Arial" w:eastAsia="Arial" w:hAnsi="Arial"/>
          <w:sz w:val="18"/>
          <w:szCs w:val="18"/>
          <w:color w:val="auto"/>
        </w:rPr>
        <w:t>The remaining increase in MC gross profit reflects lower costs for raw materials and freight that resulted from reduced crude oil costs.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vs. 2015</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increase in operating income was principally due to the net effect of the following individually significant items:</w:t>
      </w:r>
    </w:p>
    <w:p>
      <w:pPr>
        <w:spacing w:after="0" w:line="162" w:lineRule="exact"/>
        <w:rPr>
          <w:sz w:val="20"/>
          <w:szCs w:val="20"/>
          <w:color w:val="auto"/>
        </w:rPr>
      </w:pPr>
    </w:p>
    <w:p>
      <w:pPr>
        <w:ind w:left="900" w:hanging="244"/>
        <w:spacing w:after="0"/>
        <w:tabs>
          <w:tab w:leader="none" w:pos="900" w:val="left"/>
        </w:tabs>
        <w:numPr>
          <w:ilvl w:val="0"/>
          <w:numId w:val="19"/>
        </w:numPr>
        <w:rPr>
          <w:rFonts w:ascii="Arial" w:cs="Arial" w:eastAsia="Arial" w:hAnsi="Arial"/>
          <w:sz w:val="22"/>
          <w:szCs w:val="22"/>
          <w:color w:val="auto"/>
        </w:rPr>
      </w:pPr>
      <w:r>
        <w:rPr>
          <w:rFonts w:ascii="Arial" w:cs="Arial" w:eastAsia="Arial" w:hAnsi="Arial"/>
          <w:sz w:val="18"/>
          <w:szCs w:val="18"/>
          <w:color w:val="auto"/>
        </w:rPr>
        <w:t>Gross profit decreased $10.4 million due to lower sales, as described above.</w:t>
      </w:r>
    </w:p>
    <w:p>
      <w:pPr>
        <w:spacing w:after="0" w:line="26" w:lineRule="exact"/>
        <w:rPr>
          <w:rFonts w:ascii="Arial" w:cs="Arial" w:eastAsia="Arial" w:hAnsi="Arial"/>
          <w:sz w:val="22"/>
          <w:szCs w:val="22"/>
          <w:color w:val="auto"/>
        </w:rPr>
      </w:pPr>
    </w:p>
    <w:p>
      <w:pPr>
        <w:ind w:left="900" w:hanging="244"/>
        <w:spacing w:after="0" w:line="205" w:lineRule="auto"/>
        <w:tabs>
          <w:tab w:leader="none" w:pos="900" w:val="left"/>
        </w:tabs>
        <w:numPr>
          <w:ilvl w:val="0"/>
          <w:numId w:val="19"/>
        </w:numPr>
        <w:rPr>
          <w:rFonts w:ascii="Arial" w:cs="Arial" w:eastAsia="Arial" w:hAnsi="Arial"/>
          <w:sz w:val="22"/>
          <w:szCs w:val="22"/>
          <w:color w:val="auto"/>
        </w:rPr>
      </w:pPr>
      <w:r>
        <w:rPr>
          <w:rFonts w:ascii="Arial" w:cs="Arial" w:eastAsia="Arial" w:hAnsi="Arial"/>
          <w:sz w:val="18"/>
          <w:szCs w:val="18"/>
          <w:color w:val="auto"/>
        </w:rPr>
        <w:t>STG&amp;R expenses decreased $5.5 million, as described above.</w:t>
      </w:r>
    </w:p>
    <w:p>
      <w:pPr>
        <w:spacing w:after="0" w:line="27" w:lineRule="exact"/>
        <w:rPr>
          <w:rFonts w:ascii="Arial" w:cs="Arial" w:eastAsia="Arial" w:hAnsi="Arial"/>
          <w:sz w:val="22"/>
          <w:szCs w:val="22"/>
          <w:color w:val="auto"/>
        </w:rPr>
      </w:pPr>
    </w:p>
    <w:p>
      <w:pPr>
        <w:ind w:left="900" w:hanging="244"/>
        <w:spacing w:after="0" w:line="205" w:lineRule="auto"/>
        <w:tabs>
          <w:tab w:leader="none" w:pos="900" w:val="left"/>
        </w:tabs>
        <w:numPr>
          <w:ilvl w:val="0"/>
          <w:numId w:val="19"/>
        </w:numPr>
        <w:rPr>
          <w:rFonts w:ascii="Arial" w:cs="Arial" w:eastAsia="Arial" w:hAnsi="Arial"/>
          <w:sz w:val="22"/>
          <w:szCs w:val="22"/>
          <w:color w:val="auto"/>
        </w:rPr>
      </w:pPr>
      <w:r>
        <w:rPr>
          <w:rFonts w:ascii="Arial" w:cs="Arial" w:eastAsia="Arial" w:hAnsi="Arial"/>
          <w:sz w:val="18"/>
          <w:szCs w:val="18"/>
          <w:color w:val="auto"/>
        </w:rPr>
        <w:t>Restructuring charges were $6.1 million in 2016, compared to $22.2 million in 2015.</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vs. 2014</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increase in 2015 operating income was principally due to the net effect of the following individually significant items:</w:t>
      </w:r>
    </w:p>
    <w:p>
      <w:pPr>
        <w:spacing w:after="0" w:line="135" w:lineRule="exact"/>
        <w:rPr>
          <w:sz w:val="20"/>
          <w:szCs w:val="20"/>
          <w:color w:val="auto"/>
        </w:rPr>
      </w:pPr>
    </w:p>
    <w:p>
      <w:pPr>
        <w:ind w:left="900" w:hanging="244"/>
        <w:spacing w:after="0"/>
        <w:tabs>
          <w:tab w:leader="none" w:pos="900" w:val="left"/>
        </w:tabs>
        <w:numPr>
          <w:ilvl w:val="0"/>
          <w:numId w:val="20"/>
        </w:numPr>
        <w:rPr>
          <w:rFonts w:ascii="Arial" w:cs="Arial" w:eastAsia="Arial" w:hAnsi="Arial"/>
          <w:sz w:val="22"/>
          <w:szCs w:val="22"/>
          <w:color w:val="auto"/>
        </w:rPr>
      </w:pPr>
      <w:r>
        <w:rPr>
          <w:rFonts w:ascii="Arial" w:cs="Arial" w:eastAsia="Arial" w:hAnsi="Arial"/>
          <w:sz w:val="18"/>
          <w:szCs w:val="18"/>
          <w:color w:val="auto"/>
        </w:rPr>
        <w:t>Gross profit increased $4.5 million, as described above.</w:t>
      </w:r>
    </w:p>
    <w:p>
      <w:pPr>
        <w:spacing w:after="0" w:line="26" w:lineRule="exact"/>
        <w:rPr>
          <w:rFonts w:ascii="Arial" w:cs="Arial" w:eastAsia="Arial" w:hAnsi="Arial"/>
          <w:sz w:val="22"/>
          <w:szCs w:val="22"/>
          <w:color w:val="auto"/>
        </w:rPr>
      </w:pPr>
    </w:p>
    <w:p>
      <w:pPr>
        <w:ind w:left="900" w:right="640" w:hanging="244"/>
        <w:spacing w:after="0" w:line="211" w:lineRule="auto"/>
        <w:tabs>
          <w:tab w:leader="none" w:pos="900" w:val="left"/>
        </w:tabs>
        <w:numPr>
          <w:ilvl w:val="0"/>
          <w:numId w:val="20"/>
        </w:numPr>
        <w:rPr>
          <w:rFonts w:ascii="Arial" w:cs="Arial" w:eastAsia="Arial" w:hAnsi="Arial"/>
          <w:sz w:val="22"/>
          <w:szCs w:val="22"/>
          <w:color w:val="auto"/>
        </w:rPr>
      </w:pPr>
      <w:r>
        <w:rPr>
          <w:rFonts w:ascii="Arial" w:cs="Arial" w:eastAsia="Arial" w:hAnsi="Arial"/>
          <w:sz w:val="18"/>
          <w:szCs w:val="18"/>
          <w:color w:val="auto"/>
        </w:rPr>
        <w:t>As described above, STG&amp;R expenses declined $17.7 million, including $13.5 million that resulted from changes in currency translation rates.</w:t>
      </w:r>
    </w:p>
    <w:p>
      <w:pPr>
        <w:ind w:left="900" w:hanging="244"/>
        <w:spacing w:after="0" w:line="205" w:lineRule="auto"/>
        <w:tabs>
          <w:tab w:leader="none" w:pos="900" w:val="left"/>
        </w:tabs>
        <w:numPr>
          <w:ilvl w:val="0"/>
          <w:numId w:val="20"/>
        </w:numPr>
        <w:rPr>
          <w:rFonts w:ascii="Arial" w:cs="Arial" w:eastAsia="Arial" w:hAnsi="Arial"/>
          <w:sz w:val="22"/>
          <w:szCs w:val="22"/>
          <w:color w:val="auto"/>
        </w:rPr>
      </w:pPr>
      <w:r>
        <w:rPr>
          <w:rFonts w:ascii="Arial" w:cs="Arial" w:eastAsia="Arial" w:hAnsi="Arial"/>
          <w:sz w:val="18"/>
          <w:szCs w:val="18"/>
          <w:color w:val="auto"/>
        </w:rPr>
        <w:t>Restructuring charges were $22.2 million in 2015, compared to $4.8 million in 2014.</w:t>
      </w:r>
    </w:p>
    <w:p>
      <w:pPr>
        <w:spacing w:after="0" w:line="2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Albany Engineered Composites Segment</w:t>
      </w:r>
    </w:p>
    <w:p>
      <w:pPr>
        <w:spacing w:after="0" w:line="219" w:lineRule="exact"/>
        <w:rPr>
          <w:sz w:val="20"/>
          <w:szCs w:val="20"/>
          <w:color w:val="auto"/>
        </w:rPr>
      </w:pPr>
    </w:p>
    <w:p>
      <w:pPr>
        <w:ind w:left="660" w:right="20" w:firstLine="648"/>
        <w:spacing w:after="0" w:line="237" w:lineRule="auto"/>
        <w:rPr>
          <w:sz w:val="20"/>
          <w:szCs w:val="20"/>
          <w:color w:val="auto"/>
        </w:rPr>
      </w:pPr>
      <w:r>
        <w:rPr>
          <w:rFonts w:ascii="Arial" w:cs="Arial" w:eastAsia="Arial" w:hAnsi="Arial"/>
          <w:sz w:val="18"/>
          <w:szCs w:val="18"/>
          <w:color w:val="auto"/>
        </w:rPr>
        <w:t>The Albany Engineered Composites (AEC) segment, including Albany Safran Composites, LLC (ASC), in which our customer SAFRAN Group owns a 10 percent noncontrolling interest, provides highly engineered advanced composite structures to customers primarily in the aerospace and defense industries. AEC’s largest program relates to CFM International’s LEAP engine. AEC, through ASC, is the exclusive supplier of advanced composite fan blades and cases for this program under a long-term supply contract. Other significant AEC programs include components for the F-35 Joint Strike Fighter, fuselage frame components for the Boeing 787, and the fan case for the GE9X engine. The AEC segment also includes the Company’s April 2016 acquisition of Harris Corporation’s composite aerostructures business for cash of $187 million, plus the assumption of certain liabilities.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of Operations</w:t>
      </w:r>
    </w:p>
    <w:p>
      <w:pPr>
        <w:spacing w:after="0" w:line="171"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(in thousands, except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4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Years ended December 31,</w:t>
            </w:r>
          </w:p>
        </w:tc>
        <w:tc>
          <w:tcPr>
            <w:tcW w:w="34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2016</w:t>
            </w:r>
          </w:p>
        </w:tc>
        <w:tc>
          <w:tcPr>
            <w:tcW w:w="210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2015</w:t>
            </w:r>
          </w:p>
        </w:tc>
        <w:tc>
          <w:tcPr>
            <w:tcW w:w="1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2014</w:t>
            </w:r>
          </w:p>
        </w:tc>
      </w:tr>
      <w:tr>
        <w:trPr>
          <w:trHeight w:val="173"/>
        </w:trPr>
        <w:tc>
          <w:tcPr>
            <w:tcW w:w="4420" w:type="dxa"/>
            <w:vAlign w:val="bottom"/>
          </w:tcPr>
          <w:p>
            <w:pPr>
              <w:ind w:left="100"/>
              <w:spacing w:after="0" w:line="173" w:lineRule="exact"/>
              <w:rPr>
                <w:sz w:val="20"/>
                <w:szCs w:val="20"/>
                <w:color w:val="auto"/>
              </w:rPr>
            </w:pPr>
            <w:r>
              <w:rPr>
                <w:rFonts w:ascii="Arial" w:cs="Arial" w:eastAsia="Arial" w:hAnsi="Arial"/>
                <w:sz w:val="18"/>
                <w:szCs w:val="18"/>
                <w:color w:val="auto"/>
              </w:rPr>
              <w:t>Net sales</w:t>
            </w:r>
          </w:p>
        </w:tc>
        <w:tc>
          <w:tcPr>
            <w:tcW w:w="3480" w:type="dxa"/>
            <w:vAlign w:val="bottom"/>
          </w:tcPr>
          <w:p>
            <w:pPr>
              <w:jc w:val="right"/>
              <w:ind w:right="590"/>
              <w:spacing w:after="0" w:line="173" w:lineRule="exact"/>
              <w:rPr>
                <w:sz w:val="20"/>
                <w:szCs w:val="20"/>
                <w:color w:val="auto"/>
              </w:rPr>
            </w:pPr>
            <w:r>
              <w:rPr>
                <w:rFonts w:ascii="Arial" w:cs="Arial" w:eastAsia="Arial" w:hAnsi="Arial"/>
                <w:sz w:val="18"/>
                <w:szCs w:val="18"/>
                <w:b w:val="1"/>
                <w:bCs w:val="1"/>
                <w:color w:val="auto"/>
              </w:rPr>
              <w:t>$197,649</w:t>
            </w:r>
          </w:p>
        </w:tc>
        <w:tc>
          <w:tcPr>
            <w:tcW w:w="2100" w:type="dxa"/>
            <w:vAlign w:val="bottom"/>
          </w:tcPr>
          <w:p>
            <w:pPr>
              <w:jc w:val="right"/>
              <w:ind w:right="630"/>
              <w:spacing w:after="0" w:line="173" w:lineRule="exact"/>
              <w:rPr>
                <w:sz w:val="20"/>
                <w:szCs w:val="20"/>
                <w:color w:val="auto"/>
              </w:rPr>
            </w:pPr>
            <w:r>
              <w:rPr>
                <w:rFonts w:ascii="Arial" w:cs="Arial" w:eastAsia="Arial" w:hAnsi="Arial"/>
                <w:sz w:val="18"/>
                <w:szCs w:val="18"/>
                <w:color w:val="auto"/>
              </w:rPr>
              <w:t>$101,287</w:t>
            </w:r>
          </w:p>
        </w:tc>
        <w:tc>
          <w:tcPr>
            <w:tcW w:w="1420" w:type="dxa"/>
            <w:vAlign w:val="bottom"/>
          </w:tcPr>
          <w:p>
            <w:pPr>
              <w:jc w:val="right"/>
              <w:ind w:right="10"/>
              <w:spacing w:after="0" w:line="173" w:lineRule="exact"/>
              <w:rPr>
                <w:sz w:val="20"/>
                <w:szCs w:val="20"/>
                <w:color w:val="auto"/>
              </w:rPr>
            </w:pPr>
            <w:r>
              <w:rPr>
                <w:rFonts w:ascii="Arial" w:cs="Arial" w:eastAsia="Arial" w:hAnsi="Arial"/>
                <w:sz w:val="18"/>
                <w:szCs w:val="18"/>
                <w:color w:val="auto"/>
              </w:rPr>
              <w:t>$90,319</w:t>
            </w:r>
          </w:p>
        </w:tc>
      </w:tr>
      <w:tr>
        <w:trPr>
          <w:trHeight w:val="203"/>
        </w:trPr>
        <w:tc>
          <w:tcPr>
            <w:tcW w:w="4420" w:type="dxa"/>
            <w:vAlign w:val="bottom"/>
          </w:tcPr>
          <w:p>
            <w:pPr>
              <w:ind w:left="100"/>
              <w:spacing w:after="0" w:line="202" w:lineRule="exact"/>
              <w:rPr>
                <w:sz w:val="20"/>
                <w:szCs w:val="20"/>
                <w:color w:val="auto"/>
              </w:rPr>
            </w:pPr>
            <w:r>
              <w:rPr>
                <w:rFonts w:ascii="Arial" w:cs="Arial" w:eastAsia="Arial" w:hAnsi="Arial"/>
                <w:sz w:val="18"/>
                <w:szCs w:val="18"/>
                <w:color w:val="auto"/>
              </w:rPr>
              <w:t>% change from prior year</w:t>
            </w:r>
          </w:p>
        </w:tc>
        <w:tc>
          <w:tcPr>
            <w:tcW w:w="3480" w:type="dxa"/>
            <w:vAlign w:val="bottom"/>
          </w:tcPr>
          <w:p>
            <w:pPr>
              <w:jc w:val="right"/>
              <w:ind w:right="590"/>
              <w:spacing w:after="0" w:line="202" w:lineRule="exact"/>
              <w:rPr>
                <w:sz w:val="20"/>
                <w:szCs w:val="20"/>
                <w:color w:val="auto"/>
              </w:rPr>
            </w:pPr>
            <w:r>
              <w:rPr>
                <w:rFonts w:ascii="Arial" w:cs="Arial" w:eastAsia="Arial" w:hAnsi="Arial"/>
                <w:sz w:val="18"/>
                <w:szCs w:val="18"/>
                <w:b w:val="1"/>
                <w:bCs w:val="1"/>
                <w:color w:val="auto"/>
              </w:rPr>
              <w:t>95.1%</w:t>
            </w:r>
          </w:p>
        </w:tc>
        <w:tc>
          <w:tcPr>
            <w:tcW w:w="2100" w:type="dxa"/>
            <w:vAlign w:val="bottom"/>
          </w:tcPr>
          <w:p>
            <w:pPr>
              <w:jc w:val="right"/>
              <w:ind w:right="630"/>
              <w:spacing w:after="0" w:line="202" w:lineRule="exact"/>
              <w:rPr>
                <w:sz w:val="20"/>
                <w:szCs w:val="20"/>
                <w:color w:val="auto"/>
              </w:rPr>
            </w:pPr>
            <w:r>
              <w:rPr>
                <w:rFonts w:ascii="Arial" w:cs="Arial" w:eastAsia="Arial" w:hAnsi="Arial"/>
                <w:sz w:val="18"/>
                <w:szCs w:val="18"/>
                <w:color w:val="auto"/>
              </w:rPr>
              <w:t>12.1%</w:t>
            </w:r>
          </w:p>
        </w:tc>
        <w:tc>
          <w:tcPr>
            <w:tcW w:w="14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4420" w:type="dxa"/>
            <w:vAlign w:val="bottom"/>
          </w:tcPr>
          <w:p>
            <w:pPr>
              <w:ind w:left="100"/>
              <w:spacing w:after="0" w:line="202" w:lineRule="exact"/>
              <w:rPr>
                <w:sz w:val="20"/>
                <w:szCs w:val="20"/>
                <w:color w:val="auto"/>
              </w:rPr>
            </w:pPr>
            <w:r>
              <w:rPr>
                <w:rFonts w:ascii="Arial" w:cs="Arial" w:eastAsia="Arial" w:hAnsi="Arial"/>
                <w:sz w:val="18"/>
                <w:szCs w:val="18"/>
                <w:color w:val="auto"/>
              </w:rPr>
              <w:t>Gross profit/(loss)</w:t>
            </w:r>
          </w:p>
        </w:tc>
        <w:tc>
          <w:tcPr>
            <w:tcW w:w="3480" w:type="dxa"/>
            <w:vAlign w:val="bottom"/>
          </w:tcPr>
          <w:p>
            <w:pPr>
              <w:jc w:val="right"/>
              <w:ind w:right="590"/>
              <w:spacing w:after="0" w:line="202" w:lineRule="exact"/>
              <w:rPr>
                <w:sz w:val="20"/>
                <w:szCs w:val="20"/>
                <w:color w:val="auto"/>
              </w:rPr>
            </w:pPr>
            <w:r>
              <w:rPr>
                <w:rFonts w:ascii="Arial" w:cs="Arial" w:eastAsia="Arial" w:hAnsi="Arial"/>
                <w:sz w:val="18"/>
                <w:szCs w:val="18"/>
                <w:b w:val="1"/>
                <w:bCs w:val="1"/>
                <w:color w:val="auto"/>
              </w:rPr>
              <w:t>25,121</w:t>
            </w:r>
          </w:p>
        </w:tc>
        <w:tc>
          <w:tcPr>
            <w:tcW w:w="2100" w:type="dxa"/>
            <w:vAlign w:val="bottom"/>
          </w:tcPr>
          <w:p>
            <w:pPr>
              <w:jc w:val="right"/>
              <w:ind w:right="570"/>
              <w:spacing w:after="0" w:line="202" w:lineRule="exact"/>
              <w:rPr>
                <w:sz w:val="20"/>
                <w:szCs w:val="20"/>
                <w:color w:val="auto"/>
              </w:rPr>
            </w:pPr>
            <w:r>
              <w:rPr>
                <w:rFonts w:ascii="Arial" w:cs="Arial" w:eastAsia="Arial" w:hAnsi="Arial"/>
                <w:sz w:val="18"/>
                <w:szCs w:val="18"/>
                <w:color w:val="auto"/>
              </w:rPr>
              <w:t>(6,596)</w:t>
            </w:r>
          </w:p>
        </w:tc>
        <w:tc>
          <w:tcPr>
            <w:tcW w:w="14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10,750</w:t>
            </w:r>
          </w:p>
        </w:tc>
      </w:tr>
      <w:tr>
        <w:trPr>
          <w:trHeight w:val="203"/>
        </w:trPr>
        <w:tc>
          <w:tcPr>
            <w:tcW w:w="4420" w:type="dxa"/>
            <w:vAlign w:val="bottom"/>
          </w:tcPr>
          <w:p>
            <w:pPr>
              <w:ind w:left="100"/>
              <w:spacing w:after="0" w:line="202" w:lineRule="exact"/>
              <w:rPr>
                <w:sz w:val="20"/>
                <w:szCs w:val="20"/>
                <w:color w:val="auto"/>
              </w:rPr>
            </w:pPr>
            <w:r>
              <w:rPr>
                <w:rFonts w:ascii="Arial" w:cs="Arial" w:eastAsia="Arial" w:hAnsi="Arial"/>
                <w:sz w:val="18"/>
                <w:szCs w:val="18"/>
                <w:color w:val="auto"/>
              </w:rPr>
              <w:t>% of net sales</w:t>
            </w:r>
          </w:p>
        </w:tc>
        <w:tc>
          <w:tcPr>
            <w:tcW w:w="3480" w:type="dxa"/>
            <w:vAlign w:val="bottom"/>
          </w:tcPr>
          <w:p>
            <w:pPr>
              <w:jc w:val="right"/>
              <w:ind w:right="590"/>
              <w:spacing w:after="0" w:line="202" w:lineRule="exact"/>
              <w:rPr>
                <w:sz w:val="20"/>
                <w:szCs w:val="20"/>
                <w:color w:val="auto"/>
              </w:rPr>
            </w:pPr>
            <w:r>
              <w:rPr>
                <w:rFonts w:ascii="Arial" w:cs="Arial" w:eastAsia="Arial" w:hAnsi="Arial"/>
                <w:sz w:val="18"/>
                <w:szCs w:val="18"/>
                <w:b w:val="1"/>
                <w:bCs w:val="1"/>
                <w:color w:val="auto"/>
              </w:rPr>
              <w:t>12.7%</w:t>
            </w:r>
          </w:p>
        </w:tc>
        <w:tc>
          <w:tcPr>
            <w:tcW w:w="2100" w:type="dxa"/>
            <w:vAlign w:val="bottom"/>
          </w:tcPr>
          <w:p>
            <w:pPr>
              <w:jc w:val="right"/>
              <w:ind w:right="630"/>
              <w:spacing w:after="0" w:line="202" w:lineRule="exact"/>
              <w:rPr>
                <w:sz w:val="20"/>
                <w:szCs w:val="20"/>
                <w:color w:val="auto"/>
              </w:rPr>
            </w:pPr>
            <w:r>
              <w:rPr>
                <w:rFonts w:ascii="Arial" w:cs="Arial" w:eastAsia="Arial" w:hAnsi="Arial"/>
                <w:sz w:val="18"/>
                <w:szCs w:val="18"/>
                <w:color w:val="auto"/>
              </w:rPr>
              <w:t>-6.5%</w:t>
            </w:r>
          </w:p>
        </w:tc>
        <w:tc>
          <w:tcPr>
            <w:tcW w:w="14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11.9%</w:t>
            </w:r>
          </w:p>
        </w:tc>
      </w:tr>
      <w:tr>
        <w:trPr>
          <w:trHeight w:val="203"/>
        </w:trPr>
        <w:tc>
          <w:tcPr>
            <w:tcW w:w="4420" w:type="dxa"/>
            <w:vAlign w:val="bottom"/>
          </w:tcPr>
          <w:p>
            <w:pPr>
              <w:ind w:left="100"/>
              <w:spacing w:after="0" w:line="202" w:lineRule="exact"/>
              <w:rPr>
                <w:sz w:val="20"/>
                <w:szCs w:val="20"/>
                <w:color w:val="auto"/>
              </w:rPr>
            </w:pPr>
            <w:r>
              <w:rPr>
                <w:rFonts w:ascii="Arial" w:cs="Arial" w:eastAsia="Arial" w:hAnsi="Arial"/>
                <w:sz w:val="18"/>
                <w:szCs w:val="18"/>
                <w:color w:val="auto"/>
              </w:rPr>
              <w:t>STG&amp;R expenses</w:t>
            </w:r>
          </w:p>
        </w:tc>
        <w:tc>
          <w:tcPr>
            <w:tcW w:w="3480" w:type="dxa"/>
            <w:vAlign w:val="bottom"/>
          </w:tcPr>
          <w:p>
            <w:pPr>
              <w:jc w:val="right"/>
              <w:ind w:right="590"/>
              <w:spacing w:after="0" w:line="202" w:lineRule="exact"/>
              <w:rPr>
                <w:sz w:val="20"/>
                <w:szCs w:val="20"/>
                <w:color w:val="auto"/>
              </w:rPr>
            </w:pPr>
            <w:r>
              <w:rPr>
                <w:rFonts w:ascii="Arial" w:cs="Arial" w:eastAsia="Arial" w:hAnsi="Arial"/>
                <w:sz w:val="18"/>
                <w:szCs w:val="18"/>
                <w:b w:val="1"/>
                <w:bCs w:val="1"/>
                <w:color w:val="auto"/>
              </w:rPr>
              <w:t>38,170</w:t>
            </w:r>
          </w:p>
        </w:tc>
        <w:tc>
          <w:tcPr>
            <w:tcW w:w="2100" w:type="dxa"/>
            <w:vAlign w:val="bottom"/>
          </w:tcPr>
          <w:p>
            <w:pPr>
              <w:jc w:val="right"/>
              <w:ind w:right="630"/>
              <w:spacing w:after="0" w:line="202" w:lineRule="exact"/>
              <w:rPr>
                <w:sz w:val="20"/>
                <w:szCs w:val="20"/>
                <w:color w:val="auto"/>
              </w:rPr>
            </w:pPr>
            <w:r>
              <w:rPr>
                <w:rFonts w:ascii="Arial" w:cs="Arial" w:eastAsia="Arial" w:hAnsi="Arial"/>
                <w:sz w:val="18"/>
                <w:szCs w:val="18"/>
                <w:color w:val="auto"/>
              </w:rPr>
              <w:t>21,882</w:t>
            </w:r>
          </w:p>
        </w:tc>
        <w:tc>
          <w:tcPr>
            <w:tcW w:w="14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20,301</w:t>
            </w:r>
          </w:p>
        </w:tc>
      </w:tr>
      <w:tr>
        <w:trPr>
          <w:trHeight w:val="225"/>
        </w:trPr>
        <w:tc>
          <w:tcPr>
            <w:tcW w:w="44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Operating loss</w:t>
            </w:r>
          </w:p>
        </w:tc>
        <w:tc>
          <w:tcPr>
            <w:tcW w:w="34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(15,363)</w:t>
            </w:r>
          </w:p>
        </w:tc>
        <w:tc>
          <w:tcPr>
            <w:tcW w:w="21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(28,478)</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(10,483)</w:t>
            </w:r>
          </w:p>
        </w:tc>
      </w:tr>
    </w:tbl>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vs. 2015</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increase in sales was principally due to the net effect of the following individually significant items:</w:t>
      </w:r>
    </w:p>
    <w:p>
      <w:pPr>
        <w:spacing w:after="0" w:line="149"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22"/>
          <w:szCs w:val="22"/>
          <w:color w:val="auto"/>
        </w:rPr>
      </w:pPr>
      <w:r>
        <w:rPr>
          <w:rFonts w:ascii="Arial" w:cs="Arial" w:eastAsia="Arial" w:hAnsi="Arial"/>
          <w:sz w:val="18"/>
          <w:szCs w:val="18"/>
          <w:color w:val="auto"/>
        </w:rPr>
        <w:t>AEC sales increased $67.0 million in 2016 due to the acquisition.</w:t>
      </w:r>
    </w:p>
    <w:p>
      <w:pPr>
        <w:spacing w:after="0" w:line="26" w:lineRule="exact"/>
        <w:rPr>
          <w:rFonts w:ascii="Arial" w:cs="Arial" w:eastAsia="Arial" w:hAnsi="Arial"/>
          <w:sz w:val="22"/>
          <w:szCs w:val="22"/>
          <w:color w:val="auto"/>
        </w:rPr>
      </w:pPr>
    </w:p>
    <w:p>
      <w:pPr>
        <w:ind w:left="980" w:hanging="324"/>
        <w:spacing w:after="0" w:line="205" w:lineRule="auto"/>
        <w:tabs>
          <w:tab w:leader="none" w:pos="980" w:val="left"/>
        </w:tabs>
        <w:numPr>
          <w:ilvl w:val="0"/>
          <w:numId w:val="21"/>
        </w:numPr>
        <w:rPr>
          <w:rFonts w:ascii="Arial" w:cs="Arial" w:eastAsia="Arial" w:hAnsi="Arial"/>
          <w:sz w:val="22"/>
          <w:szCs w:val="22"/>
          <w:color w:val="auto"/>
        </w:rPr>
      </w:pPr>
      <w:r>
        <w:rPr>
          <w:rFonts w:ascii="Arial" w:cs="Arial" w:eastAsia="Arial" w:hAnsi="Arial"/>
          <w:sz w:val="18"/>
          <w:szCs w:val="18"/>
          <w:color w:val="auto"/>
        </w:rPr>
        <w:t>The remainder of the sales increase was due to growth in the LEAP program.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vs. 2014</w:t>
      </w:r>
    </w:p>
    <w:p>
      <w:pPr>
        <w:spacing w:after="0" w:line="157"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22"/>
          <w:szCs w:val="22"/>
          <w:color w:val="auto"/>
        </w:rPr>
      </w:pPr>
      <w:r>
        <w:rPr>
          <w:rFonts w:ascii="Arial" w:cs="Arial" w:eastAsia="Arial" w:hAnsi="Arial"/>
          <w:sz w:val="18"/>
          <w:szCs w:val="18"/>
          <w:color w:val="auto"/>
        </w:rPr>
        <w:t>The increase in 2015 sales was principally due to higher sales in the GE9X and LEAP programs.</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vs. 2015</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increase in gross profit was principally due to the net effect of the following individually significant items:</w:t>
      </w:r>
    </w:p>
    <w:p>
      <w:pPr>
        <w:spacing w:after="0" w:line="171" w:lineRule="exact"/>
        <w:rPr>
          <w:sz w:val="20"/>
          <w:szCs w:val="20"/>
          <w:color w:val="auto"/>
        </w:rPr>
      </w:pPr>
    </w:p>
    <w:p>
      <w:pPr>
        <w:ind w:left="980" w:hanging="324"/>
        <w:spacing w:after="0" w:line="211" w:lineRule="auto"/>
        <w:tabs>
          <w:tab w:leader="none" w:pos="980" w:val="left"/>
        </w:tabs>
        <w:numPr>
          <w:ilvl w:val="0"/>
          <w:numId w:val="23"/>
        </w:numPr>
        <w:rPr>
          <w:rFonts w:ascii="Arial" w:cs="Arial" w:eastAsia="Arial" w:hAnsi="Arial"/>
          <w:sz w:val="22"/>
          <w:szCs w:val="22"/>
          <w:color w:val="auto"/>
        </w:rPr>
      </w:pPr>
      <w:r>
        <w:rPr>
          <w:rFonts w:ascii="Arial" w:cs="Arial" w:eastAsia="Arial" w:hAnsi="Arial"/>
          <w:sz w:val="18"/>
          <w:szCs w:val="18"/>
          <w:color w:val="auto"/>
        </w:rPr>
        <w:t>In 2015, we recorded a charge of $14.0 million for a revision in the profitability of a long-term manufacturing contract for the BR 725 program.</w:t>
      </w:r>
    </w:p>
    <w:p>
      <w:pPr>
        <w:ind w:left="980" w:hanging="324"/>
        <w:spacing w:after="0" w:line="205" w:lineRule="auto"/>
        <w:tabs>
          <w:tab w:leader="none" w:pos="980" w:val="left"/>
        </w:tabs>
        <w:numPr>
          <w:ilvl w:val="0"/>
          <w:numId w:val="23"/>
        </w:numPr>
        <w:rPr>
          <w:rFonts w:ascii="Arial" w:cs="Arial" w:eastAsia="Arial" w:hAnsi="Arial"/>
          <w:sz w:val="22"/>
          <w:szCs w:val="22"/>
          <w:color w:val="auto"/>
        </w:rPr>
      </w:pPr>
      <w:r>
        <w:rPr>
          <w:rFonts w:ascii="Arial" w:cs="Arial" w:eastAsia="Arial" w:hAnsi="Arial"/>
          <w:sz w:val="18"/>
          <w:szCs w:val="18"/>
          <w:color w:val="auto"/>
        </w:rPr>
        <w:t>The business acquired in 2016 generated $9.4 million of gross profit.</w:t>
      </w:r>
    </w:p>
    <w:p>
      <w:pPr>
        <w:spacing w:after="0" w:line="27" w:lineRule="exact"/>
        <w:rPr>
          <w:rFonts w:ascii="Arial" w:cs="Arial" w:eastAsia="Arial" w:hAnsi="Arial"/>
          <w:sz w:val="22"/>
          <w:szCs w:val="22"/>
          <w:color w:val="auto"/>
        </w:rPr>
      </w:pPr>
    </w:p>
    <w:p>
      <w:pPr>
        <w:ind w:left="980" w:hanging="324"/>
        <w:spacing w:after="0" w:line="205" w:lineRule="auto"/>
        <w:tabs>
          <w:tab w:leader="none" w:pos="980" w:val="left"/>
        </w:tabs>
        <w:numPr>
          <w:ilvl w:val="0"/>
          <w:numId w:val="23"/>
        </w:numPr>
        <w:rPr>
          <w:rFonts w:ascii="Arial" w:cs="Arial" w:eastAsia="Arial" w:hAnsi="Arial"/>
          <w:sz w:val="22"/>
          <w:szCs w:val="22"/>
          <w:color w:val="auto"/>
        </w:rPr>
      </w:pPr>
      <w:r>
        <w:rPr>
          <w:rFonts w:ascii="Arial" w:cs="Arial" w:eastAsia="Arial" w:hAnsi="Arial"/>
          <w:sz w:val="18"/>
          <w:szCs w:val="18"/>
          <w:color w:val="auto"/>
        </w:rPr>
        <w:t>The remaining $8.3 million increase in AEC gross profit was principally due to increased sales in the LEAP program.</w:t>
      </w:r>
    </w:p>
    <w:p>
      <w:pPr>
        <w:spacing w:after="0" w:line="2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2015 vs. 2014</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decrease in gross profit was principally due to the net effect of the following individually significant items:</w:t>
      </w:r>
    </w:p>
    <w:p>
      <w:pPr>
        <w:spacing w:after="0" w:line="149"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22"/>
          <w:szCs w:val="22"/>
          <w:color w:val="auto"/>
        </w:rPr>
      </w:pPr>
      <w:r>
        <w:rPr>
          <w:rFonts w:ascii="Arial" w:cs="Arial" w:eastAsia="Arial" w:hAnsi="Arial"/>
          <w:sz w:val="18"/>
          <w:szCs w:val="18"/>
          <w:color w:val="auto"/>
        </w:rPr>
        <w:t>In 2015, we recorded the $14.0 million charge described above.</w:t>
      </w:r>
    </w:p>
    <w:p>
      <w:pPr>
        <w:spacing w:after="0" w:line="26" w:lineRule="exact"/>
        <w:rPr>
          <w:rFonts w:ascii="Arial" w:cs="Arial" w:eastAsia="Arial" w:hAnsi="Arial"/>
          <w:sz w:val="22"/>
          <w:szCs w:val="22"/>
          <w:color w:val="auto"/>
        </w:rPr>
      </w:pPr>
    </w:p>
    <w:p>
      <w:pPr>
        <w:ind w:left="980" w:hanging="324"/>
        <w:spacing w:after="0" w:line="205" w:lineRule="auto"/>
        <w:tabs>
          <w:tab w:leader="none" w:pos="980" w:val="left"/>
        </w:tabs>
        <w:numPr>
          <w:ilvl w:val="0"/>
          <w:numId w:val="24"/>
        </w:numPr>
        <w:rPr>
          <w:rFonts w:ascii="Arial" w:cs="Arial" w:eastAsia="Arial" w:hAnsi="Arial"/>
          <w:sz w:val="22"/>
          <w:szCs w:val="22"/>
          <w:color w:val="auto"/>
        </w:rPr>
      </w:pPr>
      <w:r>
        <w:rPr>
          <w:rFonts w:ascii="Arial" w:cs="Arial" w:eastAsia="Arial" w:hAnsi="Arial"/>
          <w:sz w:val="18"/>
          <w:szCs w:val="18"/>
          <w:color w:val="auto"/>
        </w:rPr>
        <w:t>While sales at the Company’s Boerne, Texas operation increased $2.3 million, manufacturing costs increased $4.4 million.</w:t>
      </w:r>
    </w:p>
    <w:p>
      <w:pPr>
        <w:spacing w:after="0" w:line="27" w:lineRule="exact"/>
        <w:rPr>
          <w:rFonts w:ascii="Arial" w:cs="Arial" w:eastAsia="Arial" w:hAnsi="Arial"/>
          <w:sz w:val="22"/>
          <w:szCs w:val="22"/>
          <w:color w:val="auto"/>
        </w:rPr>
      </w:pPr>
    </w:p>
    <w:p>
      <w:pPr>
        <w:ind w:left="980" w:hanging="324"/>
        <w:spacing w:after="0" w:line="205" w:lineRule="auto"/>
        <w:tabs>
          <w:tab w:leader="none" w:pos="980" w:val="left"/>
        </w:tabs>
        <w:numPr>
          <w:ilvl w:val="0"/>
          <w:numId w:val="24"/>
        </w:numPr>
        <w:rPr>
          <w:rFonts w:ascii="Arial" w:cs="Arial" w:eastAsia="Arial" w:hAnsi="Arial"/>
          <w:sz w:val="22"/>
          <w:szCs w:val="22"/>
          <w:color w:val="auto"/>
        </w:rPr>
      </w:pPr>
      <w:r>
        <w:rPr>
          <w:rFonts w:ascii="Arial" w:cs="Arial" w:eastAsia="Arial" w:hAnsi="Arial"/>
          <w:sz w:val="18"/>
          <w:szCs w:val="18"/>
          <w:color w:val="auto"/>
        </w:rPr>
        <w:t>Higher sales in the LEAP program increased gross profit by approximately $1.1 million.</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contracts</w:t>
      </w:r>
    </w:p>
    <w:p>
      <w:pPr>
        <w:spacing w:after="0" w:line="207" w:lineRule="exact"/>
        <w:rPr>
          <w:sz w:val="20"/>
          <w:szCs w:val="20"/>
          <w:color w:val="auto"/>
        </w:rPr>
      </w:pPr>
    </w:p>
    <w:p>
      <w:pPr>
        <w:ind w:right="280" w:firstLine="648"/>
        <w:spacing w:after="0"/>
        <w:rPr>
          <w:sz w:val="20"/>
          <w:szCs w:val="20"/>
          <w:color w:val="auto"/>
        </w:rPr>
      </w:pPr>
      <w:r>
        <w:rPr>
          <w:rFonts w:ascii="Arial" w:cs="Arial" w:eastAsia="Arial" w:hAnsi="Arial"/>
          <w:sz w:val="18"/>
          <w:szCs w:val="18"/>
          <w:color w:val="auto"/>
        </w:rPr>
        <w:t>AEC has contracts with certain customers, including its contract for the LEAP program, where revenue is determined by cost, plus a defined profit margin. Revenue earned under these arrangements accounted for approximately 45 percent, 50 percent, and 54 percent of segment revenue for 2016, 2015, and 2014 respectively.</w:t>
      </w:r>
    </w:p>
    <w:p>
      <w:pPr>
        <w:spacing w:after="0" w:line="189" w:lineRule="exact"/>
        <w:rPr>
          <w:sz w:val="20"/>
          <w:szCs w:val="20"/>
          <w:color w:val="auto"/>
        </w:rPr>
      </w:pPr>
    </w:p>
    <w:p>
      <w:pPr>
        <w:ind w:right="240" w:firstLine="648"/>
        <w:spacing w:after="0" w:line="239" w:lineRule="auto"/>
        <w:rPr>
          <w:sz w:val="20"/>
          <w:szCs w:val="20"/>
          <w:color w:val="auto"/>
        </w:rPr>
      </w:pPr>
      <w:r>
        <w:rPr>
          <w:rFonts w:ascii="Arial" w:cs="Arial" w:eastAsia="Arial" w:hAnsi="Arial"/>
          <w:sz w:val="18"/>
          <w:szCs w:val="18"/>
          <w:color w:val="auto"/>
        </w:rPr>
        <w:t>In addition, AEC has long-term contracts in which the total contract price is fixed. In accounting for those contracts, we estimate the profit margin expected at the completion of the contract and recognize a pro-rata share of that profit during the course of the contract using a cost-to-cost or units of delivery approach. Changes in estimated contract profitability will affect revenue and gross profit when the change occurs, which could have a significant favorable or unfavorable effect on revenue and gross profit in any reporting period.</w:t>
      </w:r>
    </w:p>
    <w:p>
      <w:pPr>
        <w:spacing w:after="0" w:line="161" w:lineRule="exact"/>
        <w:rPr>
          <w:sz w:val="20"/>
          <w:szCs w:val="20"/>
          <w:color w:val="auto"/>
        </w:rPr>
      </w:pPr>
    </w:p>
    <w:p>
      <w:pPr>
        <w:ind w:right="160" w:firstLine="648"/>
        <w:spacing w:after="0" w:line="236" w:lineRule="auto"/>
        <w:rPr>
          <w:sz w:val="20"/>
          <w:szCs w:val="20"/>
          <w:color w:val="auto"/>
        </w:rPr>
      </w:pPr>
      <w:r>
        <w:rPr>
          <w:rFonts w:ascii="Arial" w:cs="Arial" w:eastAsia="Arial" w:hAnsi="Arial"/>
          <w:sz w:val="18"/>
          <w:szCs w:val="18"/>
          <w:color w:val="auto"/>
        </w:rPr>
        <w:t>In 2015, the Company recorded a charge of $14.0 million associated with a revision in the profitability of a contract in the AEC segment. That charge included $10.9 million for the write-off of deferred contract costs and a reserve of $3.1 million for additional losses expected through 2016. AEC has a long-term contract for the manufacture of composite components for the Rolls-Royce BR725 engine (BR 725), which powers the Gulfstream G-650 business jet. These components are manufactured in AEC’s Boerne, Texas facility. The contract for this program was signed in 2007 and contains a very aggressive approach to pricing compared to AEC’s other contracts. The total charge of $14.0 million is included in Cost of goods sold in the Consolidated Statements of Income. In the Consolidated Statements of Cash flows, the write-off of previously deferred costs is included in Other, net. This program generated a loss of $2.6 million in 2016, approximately half of which was absorbed by the remaining loss reserve. While the program is expected to generate additional losses in the short-term, management expects that the program will be profitable over the remaining life of the program. AEC is working with the customer to establish future pricing of the parts and effect changes in the program that are expected to eventually eliminate these losses and result in a profitable program. Additional program losses, which could have a material effect on operating results in future periods, could occur if AEC’s efforts to improve the program are unsuccessful.</w:t>
      </w:r>
    </w:p>
    <w:p>
      <w:pPr>
        <w:spacing w:after="0" w:line="164" w:lineRule="exact"/>
        <w:rPr>
          <w:sz w:val="20"/>
          <w:szCs w:val="20"/>
          <w:color w:val="auto"/>
        </w:rPr>
      </w:pPr>
    </w:p>
    <w:p>
      <w:pPr>
        <w:ind w:right="580" w:firstLine="648"/>
        <w:spacing w:after="0" w:line="246" w:lineRule="auto"/>
        <w:rPr>
          <w:sz w:val="20"/>
          <w:szCs w:val="20"/>
          <w:color w:val="auto"/>
        </w:rPr>
      </w:pPr>
      <w:r>
        <w:rPr>
          <w:rFonts w:ascii="Arial" w:cs="Arial" w:eastAsia="Arial" w:hAnsi="Arial"/>
          <w:sz w:val="18"/>
          <w:szCs w:val="18"/>
          <w:color w:val="auto"/>
        </w:rPr>
        <w:t>Changes in contract estimates other than BR 725 increased gross profit by $1.5 million in 2016, and by $0.4 million in 2015, and reduced gross profit by $0.6 million in 2014.</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sectPr>
      </w:pPr>
    </w:p>
    <w:bookmarkStart w:id="35" w:name="page36"/>
    <w:bookmarkEnd w:id="35"/>
    <w:p>
      <w:pPr>
        <w:ind w:right="220" w:firstLine="648"/>
        <w:spacing w:after="0" w:line="245" w:lineRule="auto"/>
        <w:rPr>
          <w:sz w:val="20"/>
          <w:szCs w:val="20"/>
          <w:color w:val="auto"/>
        </w:rPr>
      </w:pPr>
      <w:r>
        <w:rPr>
          <w:rFonts w:ascii="Arial" w:cs="Arial" w:eastAsia="Arial" w:hAnsi="Arial"/>
          <w:sz w:val="18"/>
          <w:szCs w:val="18"/>
          <w:color w:val="auto"/>
        </w:rPr>
        <w:t>The value of fixed price contracts increased significantly in 2016 due to the acquisition. The table below provides a summary of long-term fixed price contracts that were in process at the end of each year:</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0" w:type="dxa"/>
            <w:vAlign w:val="bottom"/>
            <w:tcBorders>
              <w:top w:val="single" w:sz="8" w:color="auto"/>
              <w:bottom w:val="single" w:sz="8" w:color="auto"/>
            </w:tcBorders>
          </w:tcPr>
          <w:p>
            <w:pPr>
              <w:spacing w:after="0"/>
              <w:rPr>
                <w:sz w:val="18"/>
                <w:szCs w:val="18"/>
                <w:color w:val="auto"/>
              </w:rPr>
            </w:pPr>
          </w:p>
        </w:tc>
        <w:tc>
          <w:tcPr>
            <w:tcW w:w="2660" w:type="dxa"/>
            <w:vAlign w:val="bottom"/>
            <w:tcBorders>
              <w:top w:val="single" w:sz="8" w:color="auto"/>
              <w:bottom w:val="single" w:sz="8" w:color="auto"/>
            </w:tcBorders>
          </w:tcPr>
          <w:p>
            <w:pPr>
              <w:spacing w:after="0"/>
              <w:rPr>
                <w:sz w:val="18"/>
                <w:szCs w:val="18"/>
                <w:color w:val="auto"/>
              </w:rPr>
            </w:pPr>
          </w:p>
        </w:tc>
        <w:tc>
          <w:tcPr>
            <w:tcW w:w="17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(in thousands)</w:t>
            </w:r>
          </w:p>
        </w:tc>
        <w:tc>
          <w:tcPr>
            <w:tcW w:w="10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9"/>
        </w:trPr>
        <w:tc>
          <w:tcPr>
            <w:tcW w:w="60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As of December 31,</w:t>
            </w:r>
          </w:p>
        </w:tc>
        <w:tc>
          <w:tcPr>
            <w:tcW w:w="26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7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32"/>
        </w:trPr>
        <w:tc>
          <w:tcPr>
            <w:tcW w:w="6000" w:type="dxa"/>
            <w:vAlign w:val="bottom"/>
          </w:tcPr>
          <w:p>
            <w:pPr>
              <w:ind w:left="100"/>
              <w:spacing w:after="0"/>
              <w:rPr>
                <w:sz w:val="20"/>
                <w:szCs w:val="20"/>
                <w:color w:val="auto"/>
              </w:rPr>
            </w:pPr>
            <w:r>
              <w:rPr>
                <w:rFonts w:ascii="Arial" w:cs="Arial" w:eastAsia="Arial" w:hAnsi="Arial"/>
                <w:sz w:val="18"/>
                <w:szCs w:val="18"/>
                <w:color w:val="auto"/>
              </w:rPr>
              <w:t>Revenue earned during year on long-term contracts</w:t>
            </w:r>
          </w:p>
        </w:tc>
        <w:tc>
          <w:tcPr>
            <w:tcW w:w="2660" w:type="dxa"/>
            <w:vAlign w:val="bottom"/>
          </w:tcPr>
          <w:p>
            <w:pPr>
              <w:jc w:val="right"/>
              <w:ind w:right="150"/>
              <w:spacing w:after="0"/>
              <w:rPr>
                <w:sz w:val="20"/>
                <w:szCs w:val="20"/>
                <w:color w:val="auto"/>
              </w:rPr>
            </w:pPr>
            <w:r>
              <w:rPr>
                <w:rFonts w:ascii="Arial" w:cs="Arial" w:eastAsia="Arial" w:hAnsi="Arial"/>
                <w:sz w:val="18"/>
                <w:szCs w:val="18"/>
                <w:b w:val="1"/>
                <w:bCs w:val="1"/>
                <w:color w:val="auto"/>
              </w:rPr>
              <w:t>$77,190</w:t>
            </w:r>
          </w:p>
        </w:tc>
        <w:tc>
          <w:tcPr>
            <w:tcW w:w="1740" w:type="dxa"/>
            <w:vAlign w:val="bottom"/>
          </w:tcPr>
          <w:p>
            <w:pPr>
              <w:jc w:val="right"/>
              <w:ind w:right="450"/>
              <w:spacing w:after="0"/>
              <w:rPr>
                <w:sz w:val="20"/>
                <w:szCs w:val="20"/>
                <w:color w:val="auto"/>
              </w:rPr>
            </w:pPr>
            <w:r>
              <w:rPr>
                <w:rFonts w:ascii="Arial" w:cs="Arial" w:eastAsia="Arial" w:hAnsi="Arial"/>
                <w:sz w:val="18"/>
                <w:szCs w:val="18"/>
                <w:color w:val="auto"/>
              </w:rPr>
              <w:t>$16,891</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$15,439</w:t>
            </w:r>
          </w:p>
        </w:tc>
        <w:tc>
          <w:tcPr>
            <w:tcW w:w="0" w:type="dxa"/>
            <w:vAlign w:val="bottom"/>
          </w:tcPr>
          <w:p>
            <w:pPr>
              <w:spacing w:after="0"/>
              <w:rPr>
                <w:sz w:val="1"/>
                <w:szCs w:val="1"/>
                <w:color w:val="auto"/>
              </w:rPr>
            </w:pPr>
          </w:p>
        </w:tc>
      </w:tr>
      <w:tr>
        <w:trPr>
          <w:trHeight w:val="368"/>
        </w:trPr>
        <w:tc>
          <w:tcPr>
            <w:tcW w:w="6000" w:type="dxa"/>
            <w:vAlign w:val="bottom"/>
          </w:tcPr>
          <w:p>
            <w:pPr>
              <w:ind w:left="100"/>
              <w:spacing w:after="0"/>
              <w:rPr>
                <w:sz w:val="20"/>
                <w:szCs w:val="20"/>
                <w:color w:val="auto"/>
              </w:rPr>
            </w:pPr>
            <w:r>
              <w:rPr>
                <w:rFonts w:ascii="Arial" w:cs="Arial" w:eastAsia="Arial" w:hAnsi="Arial"/>
                <w:sz w:val="18"/>
                <w:szCs w:val="18"/>
                <w:color w:val="auto"/>
              </w:rPr>
              <w:t>Contracts in process at year-end:</w:t>
            </w:r>
          </w:p>
        </w:tc>
        <w:tc>
          <w:tcPr>
            <w:tcW w:w="266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351,779</w:t>
            </w:r>
          </w:p>
        </w:tc>
        <w:tc>
          <w:tcPr>
            <w:tcW w:w="1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6000" w:type="dxa"/>
            <w:vAlign w:val="bottom"/>
          </w:tcPr>
          <w:p>
            <w:pPr>
              <w:ind w:left="100"/>
              <w:spacing w:after="0" w:line="181" w:lineRule="exact"/>
              <w:rPr>
                <w:sz w:val="20"/>
                <w:szCs w:val="20"/>
                <w:color w:val="auto"/>
              </w:rPr>
            </w:pPr>
            <w:r>
              <w:rPr>
                <w:rFonts w:ascii="Arial" w:cs="Arial" w:eastAsia="Arial" w:hAnsi="Arial"/>
                <w:sz w:val="18"/>
                <w:szCs w:val="18"/>
                <w:color w:val="auto"/>
              </w:rPr>
              <w:t>Total value of contracts</w:t>
            </w:r>
          </w:p>
        </w:tc>
        <w:tc>
          <w:tcPr>
            <w:tcW w:w="2660" w:type="dxa"/>
            <w:vAlign w:val="bottom"/>
            <w:vMerge w:val="continue"/>
          </w:tcPr>
          <w:p>
            <w:pPr>
              <w:spacing w:after="0"/>
              <w:rPr>
                <w:sz w:val="15"/>
                <w:szCs w:val="15"/>
                <w:color w:val="auto"/>
              </w:rPr>
            </w:pPr>
          </w:p>
        </w:tc>
        <w:tc>
          <w:tcPr>
            <w:tcW w:w="1740" w:type="dxa"/>
            <w:vAlign w:val="bottom"/>
          </w:tcPr>
          <w:p>
            <w:pPr>
              <w:jc w:val="right"/>
              <w:ind w:right="450"/>
              <w:spacing w:after="0" w:line="181" w:lineRule="exact"/>
              <w:rPr>
                <w:sz w:val="20"/>
                <w:szCs w:val="20"/>
                <w:color w:val="auto"/>
              </w:rPr>
            </w:pPr>
            <w:r>
              <w:rPr>
                <w:rFonts w:ascii="Arial" w:cs="Arial" w:eastAsia="Arial" w:hAnsi="Arial"/>
                <w:sz w:val="18"/>
                <w:szCs w:val="18"/>
                <w:color w:val="auto"/>
              </w:rPr>
              <w:t>17,670</w:t>
            </w:r>
          </w:p>
        </w:tc>
        <w:tc>
          <w:tcPr>
            <w:tcW w:w="1020" w:type="dxa"/>
            <w:vAlign w:val="bottom"/>
          </w:tcPr>
          <w:p>
            <w:pPr>
              <w:jc w:val="right"/>
              <w:ind w:right="10"/>
              <w:spacing w:after="0" w:line="181" w:lineRule="exact"/>
              <w:rPr>
                <w:sz w:val="20"/>
                <w:szCs w:val="20"/>
                <w:color w:val="auto"/>
              </w:rPr>
            </w:pPr>
            <w:r>
              <w:rPr>
                <w:rFonts w:ascii="Arial" w:cs="Arial" w:eastAsia="Arial" w:hAnsi="Arial"/>
                <w:sz w:val="18"/>
                <w:szCs w:val="18"/>
                <w:color w:val="auto"/>
              </w:rPr>
              <w:t>27,541</w:t>
            </w:r>
          </w:p>
        </w:tc>
        <w:tc>
          <w:tcPr>
            <w:tcW w:w="0" w:type="dxa"/>
            <w:vAlign w:val="bottom"/>
          </w:tcPr>
          <w:p>
            <w:pPr>
              <w:spacing w:after="0"/>
              <w:rPr>
                <w:sz w:val="1"/>
                <w:szCs w:val="1"/>
                <w:color w:val="auto"/>
              </w:rPr>
            </w:pPr>
          </w:p>
        </w:tc>
      </w:tr>
      <w:tr>
        <w:trPr>
          <w:trHeight w:val="203"/>
        </w:trPr>
        <w:tc>
          <w:tcPr>
            <w:tcW w:w="6000" w:type="dxa"/>
            <w:vAlign w:val="bottom"/>
          </w:tcPr>
          <w:p>
            <w:pPr>
              <w:ind w:left="100"/>
              <w:spacing w:after="0" w:line="202" w:lineRule="exact"/>
              <w:rPr>
                <w:sz w:val="20"/>
                <w:szCs w:val="20"/>
                <w:color w:val="auto"/>
              </w:rPr>
            </w:pPr>
            <w:r>
              <w:rPr>
                <w:rFonts w:ascii="Arial" w:cs="Arial" w:eastAsia="Arial" w:hAnsi="Arial"/>
                <w:sz w:val="18"/>
                <w:szCs w:val="18"/>
                <w:color w:val="auto"/>
              </w:rPr>
              <w:t>Revenue recognized to date</w:t>
            </w:r>
          </w:p>
        </w:tc>
        <w:tc>
          <w:tcPr>
            <w:tcW w:w="266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55,091</w:t>
            </w:r>
          </w:p>
        </w:tc>
        <w:tc>
          <w:tcPr>
            <w:tcW w:w="174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6,471</w:t>
            </w: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20,360</w:t>
            </w:r>
          </w:p>
        </w:tc>
        <w:tc>
          <w:tcPr>
            <w:tcW w:w="0" w:type="dxa"/>
            <w:vAlign w:val="bottom"/>
          </w:tcPr>
          <w:p>
            <w:pPr>
              <w:spacing w:after="0"/>
              <w:rPr>
                <w:sz w:val="1"/>
                <w:szCs w:val="1"/>
                <w:color w:val="auto"/>
              </w:rPr>
            </w:pPr>
          </w:p>
        </w:tc>
      </w:tr>
      <w:tr>
        <w:trPr>
          <w:trHeight w:val="225"/>
        </w:trPr>
        <w:tc>
          <w:tcPr>
            <w:tcW w:w="6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Revenue to be recognized in future periods</w:t>
            </w:r>
          </w:p>
        </w:tc>
        <w:tc>
          <w:tcPr>
            <w:tcW w:w="2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296,688</w:t>
            </w:r>
          </w:p>
        </w:tc>
        <w:tc>
          <w:tcPr>
            <w:tcW w:w="17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11,199</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7,181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Technical, General, and Research (STG&amp;R)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vs. 2015</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STG&amp;R expenses increased $16.3 million principally due to the following individually significant items:</w:t>
      </w:r>
    </w:p>
    <w:p>
      <w:pPr>
        <w:spacing w:after="0" w:line="149"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22"/>
          <w:szCs w:val="22"/>
          <w:color w:val="auto"/>
        </w:rPr>
      </w:pPr>
      <w:r>
        <w:rPr>
          <w:rFonts w:ascii="Arial" w:cs="Arial" w:eastAsia="Arial" w:hAnsi="Arial"/>
          <w:sz w:val="18"/>
          <w:szCs w:val="18"/>
          <w:color w:val="auto"/>
        </w:rPr>
        <w:t>The acquired business had STG&amp;R expenses of $10.3 million.</w:t>
      </w:r>
    </w:p>
    <w:p>
      <w:pPr>
        <w:spacing w:after="0" w:line="26" w:lineRule="exact"/>
        <w:rPr>
          <w:rFonts w:ascii="Arial" w:cs="Arial" w:eastAsia="Arial" w:hAnsi="Arial"/>
          <w:sz w:val="22"/>
          <w:szCs w:val="22"/>
          <w:color w:val="auto"/>
        </w:rPr>
      </w:pPr>
    </w:p>
    <w:p>
      <w:pPr>
        <w:ind w:left="660" w:hanging="328"/>
        <w:spacing w:after="0" w:line="205" w:lineRule="auto"/>
        <w:tabs>
          <w:tab w:leader="none" w:pos="660" w:val="left"/>
        </w:tabs>
        <w:numPr>
          <w:ilvl w:val="0"/>
          <w:numId w:val="25"/>
        </w:numPr>
        <w:rPr>
          <w:rFonts w:ascii="Arial" w:cs="Arial" w:eastAsia="Arial" w:hAnsi="Arial"/>
          <w:sz w:val="22"/>
          <w:szCs w:val="22"/>
          <w:color w:val="auto"/>
        </w:rPr>
      </w:pPr>
      <w:r>
        <w:rPr>
          <w:rFonts w:ascii="Arial" w:cs="Arial" w:eastAsia="Arial" w:hAnsi="Arial"/>
          <w:sz w:val="18"/>
          <w:szCs w:val="18"/>
          <w:color w:val="auto"/>
        </w:rPr>
        <w:t>We recorded expenses of $5.4 million related to the acquisition transaction.</w:t>
      </w:r>
    </w:p>
    <w:p>
      <w:pPr>
        <w:spacing w:after="0" w:line="27" w:lineRule="exact"/>
        <w:rPr>
          <w:rFonts w:ascii="Arial" w:cs="Arial" w:eastAsia="Arial" w:hAnsi="Arial"/>
          <w:sz w:val="22"/>
          <w:szCs w:val="22"/>
          <w:color w:val="auto"/>
        </w:rPr>
      </w:pPr>
    </w:p>
    <w:p>
      <w:pPr>
        <w:ind w:left="660" w:hanging="328"/>
        <w:spacing w:after="0" w:line="205" w:lineRule="auto"/>
        <w:tabs>
          <w:tab w:leader="none" w:pos="660" w:val="left"/>
        </w:tabs>
        <w:numPr>
          <w:ilvl w:val="0"/>
          <w:numId w:val="25"/>
        </w:numPr>
        <w:rPr>
          <w:rFonts w:ascii="Arial" w:cs="Arial" w:eastAsia="Arial" w:hAnsi="Arial"/>
          <w:sz w:val="22"/>
          <w:szCs w:val="22"/>
          <w:color w:val="auto"/>
        </w:rPr>
      </w:pPr>
      <w:r>
        <w:rPr>
          <w:rFonts w:ascii="Arial" w:cs="Arial" w:eastAsia="Arial" w:hAnsi="Arial"/>
          <w:sz w:val="18"/>
          <w:szCs w:val="18"/>
          <w:color w:val="auto"/>
        </w:rPr>
        <w:t>We incurred expenses of approximately $1.0 million related to integration activities.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vs. 2014</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STG&amp;R expenses increased $1.6 million, or 7.8%, to support current and anticipated business growth.</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Loss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vs. 2015</w:t>
      </w:r>
    </w:p>
    <w:p>
      <w:pPr>
        <w:spacing w:after="0" w:line="171"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Arial" w:cs="Arial" w:eastAsia="Arial" w:hAnsi="Arial"/>
          <w:sz w:val="18"/>
          <w:szCs w:val="18"/>
          <w:color w:val="auto"/>
        </w:rPr>
        <w:t>The operating loss improved by $13.1 million in 2016, principally due to the following individually significant items:</w:t>
      </w:r>
    </w:p>
    <w:p>
      <w:pPr>
        <w:spacing w:after="0" w:line="70" w:lineRule="exact"/>
        <w:rPr>
          <w:rFonts w:ascii="Arial" w:cs="Arial" w:eastAsia="Arial" w:hAnsi="Arial"/>
          <w:sz w:val="22"/>
          <w:szCs w:val="22"/>
          <w:color w:val="auto"/>
        </w:rPr>
      </w:pPr>
    </w:p>
    <w:p>
      <w:pPr>
        <w:ind w:left="2600" w:hanging="323"/>
        <w:spacing w:after="0"/>
        <w:tabs>
          <w:tab w:leader="none" w:pos="2600" w:val="left"/>
        </w:tabs>
        <w:numPr>
          <w:ilvl w:val="1"/>
          <w:numId w:val="26"/>
        </w:numPr>
        <w:rPr>
          <w:rFonts w:ascii="Arial" w:cs="Arial" w:eastAsia="Arial" w:hAnsi="Arial"/>
          <w:sz w:val="29"/>
          <w:szCs w:val="29"/>
          <w:color w:val="auto"/>
          <w:vertAlign w:val="superscript"/>
        </w:rPr>
      </w:pPr>
      <w:r>
        <w:rPr>
          <w:rFonts w:ascii="Arial" w:cs="Arial" w:eastAsia="Arial" w:hAnsi="Arial"/>
          <w:sz w:val="18"/>
          <w:szCs w:val="18"/>
          <w:color w:val="auto"/>
        </w:rPr>
        <w:t>The $14.0 million charge recorded in 2015 for the revision to estimated contract profitability.</w:t>
      </w:r>
    </w:p>
    <w:p>
      <w:pPr>
        <w:ind w:left="2600" w:hanging="323"/>
        <w:spacing w:after="0" w:line="183" w:lineRule="auto"/>
        <w:tabs>
          <w:tab w:leader="none" w:pos="2600" w:val="left"/>
        </w:tabs>
        <w:numPr>
          <w:ilvl w:val="1"/>
          <w:numId w:val="26"/>
        </w:numPr>
        <w:rPr>
          <w:rFonts w:ascii="Arial" w:cs="Arial" w:eastAsia="Arial" w:hAnsi="Arial"/>
          <w:sz w:val="23"/>
          <w:szCs w:val="23"/>
          <w:color w:val="auto"/>
          <w:vertAlign w:val="superscript"/>
        </w:rPr>
      </w:pPr>
      <w:r>
        <w:rPr>
          <w:rFonts w:ascii="Arial" w:cs="Arial" w:eastAsia="Arial" w:hAnsi="Arial"/>
          <w:sz w:val="15"/>
          <w:szCs w:val="15"/>
          <w:color w:val="auto"/>
        </w:rPr>
        <w:t>Gross profit increased by approximately $6 million due to higher sales in the LEAP program.</w:t>
      </w:r>
    </w:p>
    <w:p>
      <w:pPr>
        <w:ind w:left="2600" w:hanging="323"/>
        <w:spacing w:after="0" w:line="183" w:lineRule="auto"/>
        <w:tabs>
          <w:tab w:leader="none" w:pos="2600" w:val="left"/>
        </w:tabs>
        <w:numPr>
          <w:ilvl w:val="1"/>
          <w:numId w:val="26"/>
        </w:numPr>
        <w:rPr>
          <w:rFonts w:ascii="Arial" w:cs="Arial" w:eastAsia="Arial" w:hAnsi="Arial"/>
          <w:sz w:val="23"/>
          <w:szCs w:val="23"/>
          <w:color w:val="auto"/>
          <w:vertAlign w:val="superscript"/>
        </w:rPr>
      </w:pPr>
      <w:r>
        <w:rPr>
          <w:rFonts w:ascii="Arial" w:cs="Arial" w:eastAsia="Arial" w:hAnsi="Arial"/>
          <w:sz w:val="15"/>
          <w:szCs w:val="15"/>
          <w:color w:val="auto"/>
        </w:rPr>
        <w:t>The acquired business acquired had an operating loss of $1.2 million in 2016.</w:t>
      </w:r>
    </w:p>
    <w:p>
      <w:pPr>
        <w:ind w:left="2600" w:hanging="323"/>
        <w:spacing w:after="0" w:line="183" w:lineRule="auto"/>
        <w:tabs>
          <w:tab w:leader="none" w:pos="2600" w:val="left"/>
        </w:tabs>
        <w:numPr>
          <w:ilvl w:val="1"/>
          <w:numId w:val="26"/>
        </w:numPr>
        <w:rPr>
          <w:rFonts w:ascii="Arial" w:cs="Arial" w:eastAsia="Arial" w:hAnsi="Arial"/>
          <w:sz w:val="23"/>
          <w:szCs w:val="23"/>
          <w:color w:val="auto"/>
          <w:vertAlign w:val="superscript"/>
        </w:rPr>
      </w:pPr>
      <w:r>
        <w:rPr>
          <w:rFonts w:ascii="Arial" w:cs="Arial" w:eastAsia="Arial" w:hAnsi="Arial"/>
          <w:sz w:val="15"/>
          <w:szCs w:val="15"/>
          <w:color w:val="auto"/>
        </w:rPr>
        <w:t>The company incurred costs of $6.4 million related to the acquisition transaction and integration activities.</w:t>
      </w:r>
    </w:p>
    <w:p>
      <w:pPr>
        <w:spacing w:after="0"/>
        <w:rPr>
          <w:rFonts w:ascii="Arial" w:cs="Arial" w:eastAsia="Arial" w:hAnsi="Arial"/>
          <w:sz w:val="23"/>
          <w:szCs w:val="23"/>
          <w:color w:val="auto"/>
          <w:vertAlign w:val="superscript"/>
        </w:rPr>
      </w:pPr>
      <w:r>
        <w:rPr>
          <w:rFonts w:ascii="Arial" w:cs="Arial" w:eastAsia="Arial" w:hAnsi="Arial"/>
          <w:sz w:val="18"/>
          <w:szCs w:val="18"/>
          <w:b w:val="1"/>
          <w:bCs w:val="1"/>
          <w:color w:val="auto"/>
        </w:rPr>
        <w:t>2015 vs. 2014</w:t>
      </w:r>
    </w:p>
    <w:p>
      <w:pPr>
        <w:spacing w:after="0" w:line="135" w:lineRule="exact"/>
        <w:rPr>
          <w:rFonts w:ascii="Arial" w:cs="Arial" w:eastAsia="Arial" w:hAnsi="Arial"/>
          <w:sz w:val="23"/>
          <w:szCs w:val="23"/>
          <w:color w:val="auto"/>
          <w:vertAlign w:val="superscript"/>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Arial" w:cs="Arial" w:eastAsia="Arial" w:hAnsi="Arial"/>
          <w:sz w:val="18"/>
          <w:szCs w:val="18"/>
          <w:color w:val="auto"/>
        </w:rPr>
        <w:t>The segment operating loss increased in 2015, compared to 2014, principally due to the $14 million charge.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8"/>
        </w:trPr>
        <w:tc>
          <w:tcPr>
            <w:tcW w:w="5900" w:type="dxa"/>
            <w:vAlign w:val="bottom"/>
          </w:tcPr>
          <w:p>
            <w:pPr>
              <w:spacing w:after="0"/>
              <w:rPr>
                <w:sz w:val="20"/>
                <w:szCs w:val="20"/>
                <w:color w:val="auto"/>
              </w:rPr>
            </w:pPr>
            <w:r>
              <w:rPr>
                <w:rFonts w:ascii="Arial" w:cs="Arial" w:eastAsia="Arial" w:hAnsi="Arial"/>
                <w:sz w:val="18"/>
                <w:szCs w:val="18"/>
                <w:b w:val="1"/>
                <w:bCs w:val="1"/>
                <w:color w:val="auto"/>
              </w:rPr>
              <w:t>Liquidity and Capital Resources</w:t>
            </w:r>
          </w:p>
        </w:tc>
        <w:tc>
          <w:tcPr>
            <w:tcW w:w="18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78"/>
        </w:trPr>
        <w:tc>
          <w:tcPr>
            <w:tcW w:w="5900" w:type="dxa"/>
            <w:vAlign w:val="bottom"/>
          </w:tcPr>
          <w:p>
            <w:pPr>
              <w:spacing w:after="0"/>
              <w:rPr>
                <w:sz w:val="20"/>
                <w:szCs w:val="20"/>
                <w:color w:val="auto"/>
              </w:rPr>
            </w:pPr>
            <w:r>
              <w:rPr>
                <w:rFonts w:ascii="Arial" w:cs="Arial" w:eastAsia="Arial" w:hAnsi="Arial"/>
                <w:sz w:val="18"/>
                <w:szCs w:val="18"/>
                <w:b w:val="1"/>
                <w:bCs w:val="1"/>
                <w:color w:val="auto"/>
              </w:rPr>
              <w:t>Cash Flow Summary</w:t>
            </w:r>
          </w:p>
        </w:tc>
        <w:tc>
          <w:tcPr>
            <w:tcW w:w="18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55"/>
        </w:trPr>
        <w:tc>
          <w:tcPr>
            <w:tcW w:w="59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260" w:type="dxa"/>
            <w:vAlign w:val="bottom"/>
          </w:tcPr>
          <w:p>
            <w:pPr>
              <w:jc w:val="right"/>
              <w:ind w:right="450"/>
              <w:spacing w:after="0"/>
              <w:rPr>
                <w:sz w:val="20"/>
                <w:szCs w:val="20"/>
                <w:color w:val="auto"/>
              </w:rPr>
            </w:pPr>
            <w:r>
              <w:rPr>
                <w:rFonts w:ascii="Arial" w:cs="Arial" w:eastAsia="Arial" w:hAnsi="Arial"/>
                <w:sz w:val="18"/>
                <w:szCs w:val="18"/>
                <w:b w:val="1"/>
                <w:bCs w:val="1"/>
                <w:color w:val="auto"/>
              </w:rPr>
              <w:t>(in thousands)</w:t>
            </w:r>
          </w:p>
        </w:tc>
        <w:tc>
          <w:tcPr>
            <w:tcW w:w="1400" w:type="dxa"/>
            <w:vAlign w:val="bottom"/>
          </w:tcPr>
          <w:p>
            <w:pPr>
              <w:spacing w:after="0"/>
              <w:rPr>
                <w:sz w:val="24"/>
                <w:szCs w:val="24"/>
                <w:color w:val="auto"/>
              </w:rPr>
            </w:pPr>
          </w:p>
        </w:tc>
      </w:tr>
      <w:tr>
        <w:trPr>
          <w:trHeight w:val="225"/>
        </w:trPr>
        <w:tc>
          <w:tcPr>
            <w:tcW w:w="59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For the years ended December 31,</w:t>
            </w:r>
          </w:p>
        </w:tc>
        <w:tc>
          <w:tcPr>
            <w:tcW w:w="18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2016</w:t>
            </w:r>
          </w:p>
        </w:tc>
        <w:tc>
          <w:tcPr>
            <w:tcW w:w="226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b w:val="1"/>
                <w:bCs w:val="1"/>
                <w:color w:val="auto"/>
              </w:rPr>
              <w:t>2015</w:t>
            </w:r>
          </w:p>
        </w:tc>
        <w:tc>
          <w:tcPr>
            <w:tcW w:w="14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r>
      <w:tr>
        <w:trPr>
          <w:trHeight w:val="173"/>
        </w:trPr>
        <w:tc>
          <w:tcPr>
            <w:tcW w:w="5900" w:type="dxa"/>
            <w:vAlign w:val="bottom"/>
          </w:tcPr>
          <w:p>
            <w:pPr>
              <w:ind w:left="100"/>
              <w:spacing w:after="0" w:line="173" w:lineRule="exact"/>
              <w:rPr>
                <w:sz w:val="20"/>
                <w:szCs w:val="20"/>
                <w:color w:val="auto"/>
              </w:rPr>
            </w:pPr>
            <w:r>
              <w:rPr>
                <w:rFonts w:ascii="Arial" w:cs="Arial" w:eastAsia="Arial" w:hAnsi="Arial"/>
                <w:sz w:val="18"/>
                <w:szCs w:val="18"/>
                <w:color w:val="auto"/>
              </w:rPr>
              <w:t>Net income</w:t>
            </w:r>
          </w:p>
        </w:tc>
        <w:tc>
          <w:tcPr>
            <w:tcW w:w="1860" w:type="dxa"/>
            <w:vAlign w:val="bottom"/>
          </w:tcPr>
          <w:p>
            <w:pPr>
              <w:jc w:val="right"/>
              <w:ind w:right="470"/>
              <w:spacing w:after="0" w:line="173" w:lineRule="exact"/>
              <w:rPr>
                <w:sz w:val="20"/>
                <w:szCs w:val="20"/>
                <w:color w:val="auto"/>
              </w:rPr>
            </w:pPr>
            <w:r>
              <w:rPr>
                <w:rFonts w:ascii="Arial" w:cs="Arial" w:eastAsia="Arial" w:hAnsi="Arial"/>
                <w:sz w:val="18"/>
                <w:szCs w:val="18"/>
                <w:b w:val="1"/>
                <w:bCs w:val="1"/>
                <w:color w:val="auto"/>
              </w:rPr>
              <w:t>$52,812</w:t>
            </w:r>
          </w:p>
        </w:tc>
        <w:tc>
          <w:tcPr>
            <w:tcW w:w="2260" w:type="dxa"/>
            <w:vAlign w:val="bottom"/>
          </w:tcPr>
          <w:p>
            <w:pPr>
              <w:jc w:val="right"/>
              <w:ind w:right="650"/>
              <w:spacing w:after="0" w:line="173" w:lineRule="exact"/>
              <w:rPr>
                <w:sz w:val="20"/>
                <w:szCs w:val="20"/>
                <w:color w:val="auto"/>
              </w:rPr>
            </w:pPr>
            <w:r>
              <w:rPr>
                <w:rFonts w:ascii="Arial" w:cs="Arial" w:eastAsia="Arial" w:hAnsi="Arial"/>
                <w:sz w:val="18"/>
                <w:szCs w:val="18"/>
                <w:color w:val="auto"/>
              </w:rPr>
              <w:t>$57,265</w:t>
            </w:r>
          </w:p>
        </w:tc>
        <w:tc>
          <w:tcPr>
            <w:tcW w:w="1400" w:type="dxa"/>
            <w:vAlign w:val="bottom"/>
          </w:tcPr>
          <w:p>
            <w:pPr>
              <w:jc w:val="right"/>
              <w:ind w:right="10"/>
              <w:spacing w:after="0" w:line="173" w:lineRule="exact"/>
              <w:rPr>
                <w:sz w:val="20"/>
                <w:szCs w:val="20"/>
                <w:color w:val="auto"/>
              </w:rPr>
            </w:pPr>
            <w:r>
              <w:rPr>
                <w:rFonts w:ascii="Arial" w:cs="Arial" w:eastAsia="Arial" w:hAnsi="Arial"/>
                <w:sz w:val="18"/>
                <w:szCs w:val="18"/>
                <w:color w:val="auto"/>
              </w:rPr>
              <w:t>$41,749</w:t>
            </w:r>
          </w:p>
        </w:tc>
      </w:tr>
      <w:tr>
        <w:trPr>
          <w:trHeight w:val="203"/>
        </w:trPr>
        <w:tc>
          <w:tcPr>
            <w:tcW w:w="5900" w:type="dxa"/>
            <w:vAlign w:val="bottom"/>
          </w:tcPr>
          <w:p>
            <w:pPr>
              <w:ind w:left="260"/>
              <w:spacing w:after="0" w:line="202" w:lineRule="exact"/>
              <w:rPr>
                <w:sz w:val="20"/>
                <w:szCs w:val="20"/>
                <w:color w:val="auto"/>
              </w:rPr>
            </w:pPr>
            <w:r>
              <w:rPr>
                <w:rFonts w:ascii="Arial" w:cs="Arial" w:eastAsia="Arial" w:hAnsi="Arial"/>
                <w:sz w:val="18"/>
                <w:szCs w:val="18"/>
                <w:color w:val="auto"/>
              </w:rPr>
              <w:t>Depreciation and amortization</w:t>
            </w:r>
          </w:p>
        </w:tc>
        <w:tc>
          <w:tcPr>
            <w:tcW w:w="1860" w:type="dxa"/>
            <w:vAlign w:val="bottom"/>
          </w:tcPr>
          <w:p>
            <w:pPr>
              <w:jc w:val="right"/>
              <w:ind w:right="470"/>
              <w:spacing w:after="0" w:line="202" w:lineRule="exact"/>
              <w:rPr>
                <w:sz w:val="20"/>
                <w:szCs w:val="20"/>
                <w:color w:val="auto"/>
              </w:rPr>
            </w:pPr>
            <w:r>
              <w:rPr>
                <w:rFonts w:ascii="Arial" w:cs="Arial" w:eastAsia="Arial" w:hAnsi="Arial"/>
                <w:sz w:val="18"/>
                <w:szCs w:val="18"/>
                <w:b w:val="1"/>
                <w:bCs w:val="1"/>
                <w:color w:val="auto"/>
              </w:rPr>
              <w:t>67,461</w:t>
            </w:r>
          </w:p>
        </w:tc>
        <w:tc>
          <w:tcPr>
            <w:tcW w:w="2260" w:type="dxa"/>
            <w:vAlign w:val="bottom"/>
          </w:tcPr>
          <w:p>
            <w:pPr>
              <w:jc w:val="right"/>
              <w:ind w:right="650"/>
              <w:spacing w:after="0" w:line="202" w:lineRule="exact"/>
              <w:rPr>
                <w:sz w:val="20"/>
                <w:szCs w:val="20"/>
                <w:color w:val="auto"/>
              </w:rPr>
            </w:pPr>
            <w:r>
              <w:rPr>
                <w:rFonts w:ascii="Arial" w:cs="Arial" w:eastAsia="Arial" w:hAnsi="Arial"/>
                <w:sz w:val="18"/>
                <w:szCs w:val="18"/>
                <w:color w:val="auto"/>
              </w:rPr>
              <w:t>60,114</w:t>
            </w:r>
          </w:p>
        </w:tc>
        <w:tc>
          <w:tcPr>
            <w:tcW w:w="14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64,292</w:t>
            </w:r>
          </w:p>
        </w:tc>
      </w:tr>
      <w:tr>
        <w:trPr>
          <w:trHeight w:val="203"/>
        </w:trPr>
        <w:tc>
          <w:tcPr>
            <w:tcW w:w="5900" w:type="dxa"/>
            <w:vAlign w:val="bottom"/>
          </w:tcPr>
          <w:p>
            <w:pPr>
              <w:ind w:left="260"/>
              <w:spacing w:after="0" w:line="202" w:lineRule="exact"/>
              <w:rPr>
                <w:sz w:val="20"/>
                <w:szCs w:val="20"/>
                <w:color w:val="auto"/>
              </w:rPr>
            </w:pPr>
            <w:r>
              <w:rPr>
                <w:rFonts w:ascii="Arial" w:cs="Arial" w:eastAsia="Arial" w:hAnsi="Arial"/>
                <w:sz w:val="18"/>
                <w:szCs w:val="18"/>
                <w:color w:val="auto"/>
              </w:rPr>
              <w:t>Changes in working capital</w:t>
            </w:r>
          </w:p>
        </w:tc>
        <w:tc>
          <w:tcPr>
            <w:tcW w:w="1860" w:type="dxa"/>
            <w:vAlign w:val="bottom"/>
          </w:tcPr>
          <w:p>
            <w:pPr>
              <w:jc w:val="right"/>
              <w:ind w:right="410"/>
              <w:spacing w:after="0" w:line="202" w:lineRule="exact"/>
              <w:rPr>
                <w:sz w:val="20"/>
                <w:szCs w:val="20"/>
                <w:color w:val="auto"/>
              </w:rPr>
            </w:pPr>
            <w:r>
              <w:rPr>
                <w:rFonts w:ascii="Arial" w:cs="Arial" w:eastAsia="Arial" w:hAnsi="Arial"/>
                <w:sz w:val="18"/>
                <w:szCs w:val="18"/>
                <w:b w:val="1"/>
                <w:bCs w:val="1"/>
                <w:color w:val="auto"/>
              </w:rPr>
              <w:t>(45,816)</w:t>
            </w:r>
          </w:p>
        </w:tc>
        <w:tc>
          <w:tcPr>
            <w:tcW w:w="2260" w:type="dxa"/>
            <w:vAlign w:val="bottom"/>
          </w:tcPr>
          <w:p>
            <w:pPr>
              <w:jc w:val="right"/>
              <w:ind w:right="650"/>
              <w:spacing w:after="0" w:line="202" w:lineRule="exact"/>
              <w:rPr>
                <w:sz w:val="20"/>
                <w:szCs w:val="20"/>
                <w:color w:val="auto"/>
              </w:rPr>
            </w:pPr>
            <w:r>
              <w:rPr>
                <w:rFonts w:ascii="Arial" w:cs="Arial" w:eastAsia="Arial" w:hAnsi="Arial"/>
                <w:sz w:val="18"/>
                <w:szCs w:val="18"/>
                <w:color w:val="auto"/>
              </w:rPr>
              <w:t>1,707</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(21,423)</w:t>
            </w:r>
          </w:p>
        </w:tc>
      </w:tr>
      <w:tr>
        <w:trPr>
          <w:trHeight w:val="203"/>
        </w:trPr>
        <w:tc>
          <w:tcPr>
            <w:tcW w:w="5900" w:type="dxa"/>
            <w:vAlign w:val="bottom"/>
          </w:tcPr>
          <w:p>
            <w:pPr>
              <w:ind w:left="260"/>
              <w:spacing w:after="0" w:line="202" w:lineRule="exact"/>
              <w:rPr>
                <w:sz w:val="20"/>
                <w:szCs w:val="20"/>
                <w:color w:val="auto"/>
              </w:rPr>
            </w:pPr>
            <w:r>
              <w:rPr>
                <w:rFonts w:ascii="Arial" w:cs="Arial" w:eastAsia="Arial" w:hAnsi="Arial"/>
                <w:sz w:val="18"/>
                <w:szCs w:val="18"/>
                <w:color w:val="auto"/>
              </w:rPr>
              <w:t>Fair value adjustment on asset held for sale</w:t>
            </w:r>
          </w:p>
        </w:tc>
        <w:tc>
          <w:tcPr>
            <w:tcW w:w="1860" w:type="dxa"/>
            <w:vAlign w:val="bottom"/>
          </w:tcPr>
          <w:p>
            <w:pPr>
              <w:jc w:val="right"/>
              <w:ind w:right="470"/>
              <w:spacing w:after="0" w:line="202" w:lineRule="exact"/>
              <w:rPr>
                <w:sz w:val="20"/>
                <w:szCs w:val="20"/>
                <w:color w:val="auto"/>
              </w:rPr>
            </w:pPr>
            <w:r>
              <w:rPr>
                <w:rFonts w:ascii="Arial" w:cs="Arial" w:eastAsia="Arial" w:hAnsi="Arial"/>
                <w:sz w:val="18"/>
                <w:szCs w:val="18"/>
                <w:b w:val="1"/>
                <w:bCs w:val="1"/>
                <w:color w:val="auto"/>
              </w:rPr>
              <w:t>-</w:t>
            </w:r>
          </w:p>
        </w:tc>
        <w:tc>
          <w:tcPr>
            <w:tcW w:w="2260" w:type="dxa"/>
            <w:vAlign w:val="bottom"/>
          </w:tcPr>
          <w:p>
            <w:pPr>
              <w:jc w:val="right"/>
              <w:ind w:right="650"/>
              <w:spacing w:after="0" w:line="202" w:lineRule="exact"/>
              <w:rPr>
                <w:sz w:val="20"/>
                <w:szCs w:val="20"/>
                <w:color w:val="auto"/>
              </w:rPr>
            </w:pPr>
            <w:r>
              <w:rPr>
                <w:rFonts w:ascii="Arial" w:cs="Arial" w:eastAsia="Arial" w:hAnsi="Arial"/>
                <w:sz w:val="18"/>
                <w:szCs w:val="18"/>
                <w:color w:val="auto"/>
              </w:rPr>
              <w:t>3,212</w:t>
            </w:r>
          </w:p>
        </w:tc>
        <w:tc>
          <w:tcPr>
            <w:tcW w:w="14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5900" w:type="dxa"/>
            <w:vAlign w:val="bottom"/>
          </w:tcPr>
          <w:p>
            <w:pPr>
              <w:ind w:left="260"/>
              <w:spacing w:after="0" w:line="202" w:lineRule="exact"/>
              <w:rPr>
                <w:sz w:val="20"/>
                <w:szCs w:val="20"/>
                <w:color w:val="auto"/>
              </w:rPr>
            </w:pPr>
            <w:r>
              <w:rPr>
                <w:rFonts w:ascii="Arial" w:cs="Arial" w:eastAsia="Arial" w:hAnsi="Arial"/>
                <w:sz w:val="18"/>
                <w:szCs w:val="18"/>
                <w:color w:val="auto"/>
              </w:rPr>
              <w:t>Gain on disposition of assets</w:t>
            </w:r>
          </w:p>
        </w:tc>
        <w:tc>
          <w:tcPr>
            <w:tcW w:w="1860" w:type="dxa"/>
            <w:vAlign w:val="bottom"/>
          </w:tcPr>
          <w:p>
            <w:pPr>
              <w:jc w:val="right"/>
              <w:ind w:right="470"/>
              <w:spacing w:after="0" w:line="202" w:lineRule="exact"/>
              <w:rPr>
                <w:sz w:val="20"/>
                <w:szCs w:val="20"/>
                <w:color w:val="auto"/>
              </w:rPr>
            </w:pPr>
            <w:r>
              <w:rPr>
                <w:rFonts w:ascii="Arial" w:cs="Arial" w:eastAsia="Arial" w:hAnsi="Arial"/>
                <w:sz w:val="18"/>
                <w:szCs w:val="18"/>
                <w:b w:val="1"/>
                <w:bCs w:val="1"/>
                <w:color w:val="auto"/>
              </w:rPr>
              <w:t>-</w:t>
            </w:r>
          </w:p>
        </w:tc>
        <w:tc>
          <w:tcPr>
            <w:tcW w:w="2260" w:type="dxa"/>
            <w:vAlign w:val="bottom"/>
          </w:tcPr>
          <w:p>
            <w:pPr>
              <w:jc w:val="right"/>
              <w:ind w:right="590"/>
              <w:spacing w:after="0" w:line="202" w:lineRule="exact"/>
              <w:rPr>
                <w:sz w:val="20"/>
                <w:szCs w:val="20"/>
                <w:color w:val="auto"/>
              </w:rPr>
            </w:pPr>
            <w:r>
              <w:rPr>
                <w:rFonts w:ascii="Arial" w:cs="Arial" w:eastAsia="Arial" w:hAnsi="Arial"/>
                <w:sz w:val="18"/>
                <w:szCs w:val="18"/>
                <w:color w:val="auto"/>
              </w:rPr>
              <w:t>(1,056)</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(1,126)</w:t>
            </w:r>
          </w:p>
        </w:tc>
      </w:tr>
      <w:tr>
        <w:trPr>
          <w:trHeight w:val="203"/>
        </w:trPr>
        <w:tc>
          <w:tcPr>
            <w:tcW w:w="5900" w:type="dxa"/>
            <w:vAlign w:val="bottom"/>
          </w:tcPr>
          <w:p>
            <w:pPr>
              <w:ind w:left="260"/>
              <w:spacing w:after="0" w:line="202" w:lineRule="exact"/>
              <w:rPr>
                <w:sz w:val="20"/>
                <w:szCs w:val="20"/>
                <w:color w:val="auto"/>
              </w:rPr>
            </w:pPr>
            <w:r>
              <w:rPr>
                <w:rFonts w:ascii="Arial" w:cs="Arial" w:eastAsia="Arial" w:hAnsi="Arial"/>
                <w:sz w:val="18"/>
                <w:szCs w:val="18"/>
                <w:color w:val="auto"/>
              </w:rPr>
              <w:t>Changes in long-term liabilities, deferred taxes and other credits</w:t>
            </w:r>
          </w:p>
        </w:tc>
        <w:tc>
          <w:tcPr>
            <w:tcW w:w="1860" w:type="dxa"/>
            <w:vAlign w:val="bottom"/>
          </w:tcPr>
          <w:p>
            <w:pPr>
              <w:jc w:val="right"/>
              <w:ind w:right="410"/>
              <w:spacing w:after="0" w:line="202" w:lineRule="exact"/>
              <w:rPr>
                <w:sz w:val="20"/>
                <w:szCs w:val="20"/>
                <w:color w:val="auto"/>
              </w:rPr>
            </w:pPr>
            <w:r>
              <w:rPr>
                <w:rFonts w:ascii="Arial" w:cs="Arial" w:eastAsia="Arial" w:hAnsi="Arial"/>
                <w:sz w:val="18"/>
                <w:szCs w:val="18"/>
                <w:b w:val="1"/>
                <w:bCs w:val="1"/>
                <w:color w:val="auto"/>
              </w:rPr>
              <w:t>(615)</w:t>
            </w:r>
          </w:p>
        </w:tc>
        <w:tc>
          <w:tcPr>
            <w:tcW w:w="2260" w:type="dxa"/>
            <w:vAlign w:val="bottom"/>
          </w:tcPr>
          <w:p>
            <w:pPr>
              <w:jc w:val="right"/>
              <w:ind w:right="590"/>
              <w:spacing w:after="0" w:line="202" w:lineRule="exact"/>
              <w:rPr>
                <w:sz w:val="20"/>
                <w:szCs w:val="20"/>
                <w:color w:val="auto"/>
              </w:rPr>
            </w:pPr>
            <w:r>
              <w:rPr>
                <w:rFonts w:ascii="Arial" w:cs="Arial" w:eastAsia="Arial" w:hAnsi="Arial"/>
                <w:sz w:val="18"/>
                <w:szCs w:val="18"/>
                <w:color w:val="auto"/>
              </w:rPr>
              <w:t>(27,358)</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(10,725)</w:t>
            </w:r>
          </w:p>
        </w:tc>
      </w:tr>
      <w:tr>
        <w:trPr>
          <w:trHeight w:val="203"/>
        </w:trPr>
        <w:tc>
          <w:tcPr>
            <w:tcW w:w="5900" w:type="dxa"/>
            <w:vAlign w:val="bottom"/>
          </w:tcPr>
          <w:p>
            <w:pPr>
              <w:ind w:left="260"/>
              <w:spacing w:after="0" w:line="202" w:lineRule="exact"/>
              <w:rPr>
                <w:sz w:val="20"/>
                <w:szCs w:val="20"/>
                <w:color w:val="auto"/>
              </w:rPr>
            </w:pPr>
            <w:r>
              <w:rPr>
                <w:rFonts w:ascii="Arial" w:cs="Arial" w:eastAsia="Arial" w:hAnsi="Arial"/>
                <w:sz w:val="18"/>
                <w:szCs w:val="18"/>
                <w:color w:val="auto"/>
              </w:rPr>
              <w:t>Write-off of pension liability adjustment</w:t>
            </w:r>
          </w:p>
        </w:tc>
        <w:tc>
          <w:tcPr>
            <w:tcW w:w="1860" w:type="dxa"/>
            <w:vAlign w:val="bottom"/>
          </w:tcPr>
          <w:p>
            <w:pPr>
              <w:jc w:val="right"/>
              <w:ind w:right="470"/>
              <w:spacing w:after="0" w:line="202" w:lineRule="exact"/>
              <w:rPr>
                <w:sz w:val="20"/>
                <w:szCs w:val="20"/>
                <w:color w:val="auto"/>
              </w:rPr>
            </w:pPr>
            <w:r>
              <w:rPr>
                <w:rFonts w:ascii="Arial" w:cs="Arial" w:eastAsia="Arial" w:hAnsi="Arial"/>
                <w:sz w:val="18"/>
                <w:szCs w:val="18"/>
                <w:b w:val="1"/>
                <w:bCs w:val="1"/>
                <w:color w:val="auto"/>
              </w:rPr>
              <w:t>51</w:t>
            </w:r>
          </w:p>
        </w:tc>
        <w:tc>
          <w:tcPr>
            <w:tcW w:w="2260" w:type="dxa"/>
            <w:vAlign w:val="bottom"/>
          </w:tcPr>
          <w:p>
            <w:pPr>
              <w:jc w:val="right"/>
              <w:ind w:right="650"/>
              <w:spacing w:after="0" w:line="202" w:lineRule="exact"/>
              <w:rPr>
                <w:sz w:val="20"/>
                <w:szCs w:val="20"/>
                <w:color w:val="auto"/>
              </w:rPr>
            </w:pPr>
            <w:r>
              <w:rPr>
                <w:rFonts w:ascii="Arial" w:cs="Arial" w:eastAsia="Arial" w:hAnsi="Arial"/>
                <w:sz w:val="18"/>
                <w:szCs w:val="18"/>
                <w:color w:val="auto"/>
              </w:rPr>
              <w:t>103</w:t>
            </w:r>
          </w:p>
        </w:tc>
        <w:tc>
          <w:tcPr>
            <w:tcW w:w="14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8,331</w:t>
            </w:r>
          </w:p>
        </w:tc>
      </w:tr>
      <w:tr>
        <w:trPr>
          <w:trHeight w:val="225"/>
        </w:trPr>
        <w:tc>
          <w:tcPr>
            <w:tcW w:w="59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Other operating items</w:t>
            </w:r>
          </w:p>
        </w:tc>
        <w:tc>
          <w:tcPr>
            <w:tcW w:w="18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5,625</w:t>
            </w:r>
          </w:p>
        </w:tc>
        <w:tc>
          <w:tcPr>
            <w:tcW w:w="22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1,950</w:t>
            </w: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3,098</w:t>
            </w:r>
          </w:p>
        </w:tc>
      </w:tr>
      <w:tr>
        <w:trPr>
          <w:trHeight w:val="173"/>
        </w:trPr>
        <w:tc>
          <w:tcPr>
            <w:tcW w:w="5900" w:type="dxa"/>
            <w:vAlign w:val="bottom"/>
          </w:tcPr>
          <w:p>
            <w:pPr>
              <w:ind w:left="100"/>
              <w:spacing w:after="0" w:line="173" w:lineRule="exact"/>
              <w:rPr>
                <w:sz w:val="20"/>
                <w:szCs w:val="20"/>
                <w:color w:val="auto"/>
              </w:rPr>
            </w:pPr>
            <w:r>
              <w:rPr>
                <w:rFonts w:ascii="Arial" w:cs="Arial" w:eastAsia="Arial" w:hAnsi="Arial"/>
                <w:sz w:val="18"/>
                <w:szCs w:val="18"/>
                <w:color w:val="auto"/>
              </w:rPr>
              <w:t>Net cash provided by operating activities</w:t>
            </w:r>
          </w:p>
        </w:tc>
        <w:tc>
          <w:tcPr>
            <w:tcW w:w="1860" w:type="dxa"/>
            <w:vAlign w:val="bottom"/>
          </w:tcPr>
          <w:p>
            <w:pPr>
              <w:jc w:val="right"/>
              <w:ind w:right="470"/>
              <w:spacing w:after="0" w:line="173" w:lineRule="exact"/>
              <w:rPr>
                <w:sz w:val="20"/>
                <w:szCs w:val="20"/>
                <w:color w:val="auto"/>
              </w:rPr>
            </w:pPr>
            <w:r>
              <w:rPr>
                <w:rFonts w:ascii="Arial" w:cs="Arial" w:eastAsia="Arial" w:hAnsi="Arial"/>
                <w:sz w:val="18"/>
                <w:szCs w:val="18"/>
                <w:b w:val="1"/>
                <w:bCs w:val="1"/>
                <w:color w:val="auto"/>
              </w:rPr>
              <w:t>79,518</w:t>
            </w:r>
          </w:p>
        </w:tc>
        <w:tc>
          <w:tcPr>
            <w:tcW w:w="2260" w:type="dxa"/>
            <w:vAlign w:val="bottom"/>
          </w:tcPr>
          <w:p>
            <w:pPr>
              <w:jc w:val="right"/>
              <w:ind w:right="650"/>
              <w:spacing w:after="0" w:line="173" w:lineRule="exact"/>
              <w:rPr>
                <w:sz w:val="20"/>
                <w:szCs w:val="20"/>
                <w:color w:val="auto"/>
              </w:rPr>
            </w:pPr>
            <w:r>
              <w:rPr>
                <w:rFonts w:ascii="Arial" w:cs="Arial" w:eastAsia="Arial" w:hAnsi="Arial"/>
                <w:sz w:val="18"/>
                <w:szCs w:val="18"/>
                <w:color w:val="auto"/>
              </w:rPr>
              <w:t>95,937</w:t>
            </w:r>
          </w:p>
        </w:tc>
        <w:tc>
          <w:tcPr>
            <w:tcW w:w="1400" w:type="dxa"/>
            <w:vAlign w:val="bottom"/>
          </w:tcPr>
          <w:p>
            <w:pPr>
              <w:jc w:val="right"/>
              <w:ind w:right="10"/>
              <w:spacing w:after="0" w:line="173" w:lineRule="exact"/>
              <w:rPr>
                <w:sz w:val="20"/>
                <w:szCs w:val="20"/>
                <w:color w:val="auto"/>
              </w:rPr>
            </w:pPr>
            <w:r>
              <w:rPr>
                <w:rFonts w:ascii="Arial" w:cs="Arial" w:eastAsia="Arial" w:hAnsi="Arial"/>
                <w:sz w:val="18"/>
                <w:szCs w:val="18"/>
                <w:color w:val="auto"/>
              </w:rPr>
              <w:t>84,196</w:t>
            </w:r>
          </w:p>
        </w:tc>
      </w:tr>
      <w:tr>
        <w:trPr>
          <w:trHeight w:val="203"/>
        </w:trPr>
        <w:tc>
          <w:tcPr>
            <w:tcW w:w="5900" w:type="dxa"/>
            <w:vAlign w:val="bottom"/>
          </w:tcPr>
          <w:p>
            <w:pPr>
              <w:ind w:left="100"/>
              <w:spacing w:after="0" w:line="202" w:lineRule="exact"/>
              <w:rPr>
                <w:sz w:val="20"/>
                <w:szCs w:val="20"/>
                <w:color w:val="auto"/>
              </w:rPr>
            </w:pPr>
            <w:r>
              <w:rPr>
                <w:rFonts w:ascii="Arial" w:cs="Arial" w:eastAsia="Arial" w:hAnsi="Arial"/>
                <w:sz w:val="18"/>
                <w:szCs w:val="18"/>
                <w:color w:val="auto"/>
              </w:rPr>
              <w:t>Net cash used in investing activities</w:t>
            </w:r>
          </w:p>
        </w:tc>
        <w:tc>
          <w:tcPr>
            <w:tcW w:w="1860" w:type="dxa"/>
            <w:vAlign w:val="bottom"/>
          </w:tcPr>
          <w:p>
            <w:pPr>
              <w:jc w:val="right"/>
              <w:ind w:right="410"/>
              <w:spacing w:after="0" w:line="202" w:lineRule="exact"/>
              <w:rPr>
                <w:sz w:val="20"/>
                <w:szCs w:val="20"/>
                <w:color w:val="auto"/>
              </w:rPr>
            </w:pPr>
            <w:r>
              <w:rPr>
                <w:rFonts w:ascii="Arial" w:cs="Arial" w:eastAsia="Arial" w:hAnsi="Arial"/>
                <w:sz w:val="18"/>
                <w:szCs w:val="18"/>
                <w:b w:val="1"/>
                <w:bCs w:val="1"/>
                <w:color w:val="auto"/>
              </w:rPr>
              <w:t>(253,553)</w:t>
            </w:r>
          </w:p>
        </w:tc>
        <w:tc>
          <w:tcPr>
            <w:tcW w:w="2260" w:type="dxa"/>
            <w:vAlign w:val="bottom"/>
          </w:tcPr>
          <w:p>
            <w:pPr>
              <w:jc w:val="right"/>
              <w:ind w:right="590"/>
              <w:spacing w:after="0" w:line="202" w:lineRule="exact"/>
              <w:rPr>
                <w:sz w:val="20"/>
                <w:szCs w:val="20"/>
                <w:color w:val="auto"/>
              </w:rPr>
            </w:pPr>
            <w:r>
              <w:rPr>
                <w:rFonts w:ascii="Arial" w:cs="Arial" w:eastAsia="Arial" w:hAnsi="Arial"/>
                <w:sz w:val="18"/>
                <w:szCs w:val="18"/>
                <w:color w:val="auto"/>
              </w:rPr>
              <w:t>(47,798)</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(57,747)</w:t>
            </w:r>
          </w:p>
        </w:tc>
      </w:tr>
      <w:tr>
        <w:trPr>
          <w:trHeight w:val="203"/>
        </w:trPr>
        <w:tc>
          <w:tcPr>
            <w:tcW w:w="5900" w:type="dxa"/>
            <w:vAlign w:val="bottom"/>
          </w:tcPr>
          <w:p>
            <w:pPr>
              <w:ind w:left="100"/>
              <w:spacing w:after="0" w:line="202" w:lineRule="exact"/>
              <w:rPr>
                <w:sz w:val="20"/>
                <w:szCs w:val="20"/>
                <w:color w:val="auto"/>
              </w:rPr>
            </w:pPr>
            <w:r>
              <w:rPr>
                <w:rFonts w:ascii="Arial" w:cs="Arial" w:eastAsia="Arial" w:hAnsi="Arial"/>
                <w:sz w:val="18"/>
                <w:szCs w:val="18"/>
                <w:color w:val="auto"/>
              </w:rPr>
              <w:t>Net cash provided by/(used in) financing activities</w:t>
            </w:r>
          </w:p>
        </w:tc>
        <w:tc>
          <w:tcPr>
            <w:tcW w:w="1860" w:type="dxa"/>
            <w:vAlign w:val="bottom"/>
          </w:tcPr>
          <w:p>
            <w:pPr>
              <w:jc w:val="right"/>
              <w:ind w:right="470"/>
              <w:spacing w:after="0" w:line="202" w:lineRule="exact"/>
              <w:rPr>
                <w:sz w:val="20"/>
                <w:szCs w:val="20"/>
                <w:color w:val="auto"/>
              </w:rPr>
            </w:pPr>
            <w:r>
              <w:rPr>
                <w:rFonts w:ascii="Arial" w:cs="Arial" w:eastAsia="Arial" w:hAnsi="Arial"/>
                <w:sz w:val="18"/>
                <w:szCs w:val="18"/>
                <w:b w:val="1"/>
                <w:bCs w:val="1"/>
                <w:color w:val="auto"/>
              </w:rPr>
              <w:t>173,460</w:t>
            </w:r>
          </w:p>
        </w:tc>
        <w:tc>
          <w:tcPr>
            <w:tcW w:w="2260" w:type="dxa"/>
            <w:vAlign w:val="bottom"/>
          </w:tcPr>
          <w:p>
            <w:pPr>
              <w:jc w:val="right"/>
              <w:ind w:right="590"/>
              <w:spacing w:after="0" w:line="202" w:lineRule="exact"/>
              <w:rPr>
                <w:sz w:val="20"/>
                <w:szCs w:val="20"/>
                <w:color w:val="auto"/>
              </w:rPr>
            </w:pPr>
            <w:r>
              <w:rPr>
                <w:rFonts w:ascii="Arial" w:cs="Arial" w:eastAsia="Arial" w:hAnsi="Arial"/>
                <w:sz w:val="18"/>
                <w:szCs w:val="18"/>
                <w:color w:val="auto"/>
              </w:rPr>
              <w:t>(27,329)</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(50,483)</w:t>
            </w:r>
          </w:p>
        </w:tc>
      </w:tr>
      <w:tr>
        <w:trPr>
          <w:trHeight w:val="225"/>
        </w:trPr>
        <w:tc>
          <w:tcPr>
            <w:tcW w:w="59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Effect of exchange rate changes on cash flows</w:t>
            </w:r>
          </w:p>
        </w:tc>
        <w:tc>
          <w:tcPr>
            <w:tcW w:w="18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(2,796)</w:t>
            </w:r>
          </w:p>
        </w:tc>
        <w:tc>
          <w:tcPr>
            <w:tcW w:w="22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(15,499)</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(18,830)</w:t>
            </w:r>
          </w:p>
        </w:tc>
      </w:tr>
      <w:tr>
        <w:trPr>
          <w:trHeight w:val="173"/>
        </w:trPr>
        <w:tc>
          <w:tcPr>
            <w:tcW w:w="5900" w:type="dxa"/>
            <w:vAlign w:val="bottom"/>
          </w:tcPr>
          <w:p>
            <w:pPr>
              <w:ind w:left="100"/>
              <w:spacing w:after="0" w:line="173" w:lineRule="exact"/>
              <w:rPr>
                <w:sz w:val="20"/>
                <w:szCs w:val="20"/>
                <w:color w:val="auto"/>
              </w:rPr>
            </w:pPr>
            <w:r>
              <w:rPr>
                <w:rFonts w:ascii="Arial" w:cs="Arial" w:eastAsia="Arial" w:hAnsi="Arial"/>
                <w:sz w:val="18"/>
                <w:szCs w:val="18"/>
                <w:color w:val="auto"/>
              </w:rPr>
              <w:t>(Decrease)/increase in cash and cash equivalents</w:t>
            </w:r>
          </w:p>
        </w:tc>
        <w:tc>
          <w:tcPr>
            <w:tcW w:w="1860" w:type="dxa"/>
            <w:vAlign w:val="bottom"/>
          </w:tcPr>
          <w:p>
            <w:pPr>
              <w:jc w:val="right"/>
              <w:ind w:right="410"/>
              <w:spacing w:after="0" w:line="173" w:lineRule="exact"/>
              <w:rPr>
                <w:sz w:val="20"/>
                <w:szCs w:val="20"/>
                <w:color w:val="auto"/>
              </w:rPr>
            </w:pPr>
            <w:r>
              <w:rPr>
                <w:rFonts w:ascii="Arial" w:cs="Arial" w:eastAsia="Arial" w:hAnsi="Arial"/>
                <w:sz w:val="18"/>
                <w:szCs w:val="18"/>
                <w:b w:val="1"/>
                <w:bCs w:val="1"/>
                <w:color w:val="auto"/>
              </w:rPr>
              <w:t>(3,371)</w:t>
            </w:r>
          </w:p>
        </w:tc>
        <w:tc>
          <w:tcPr>
            <w:tcW w:w="2260" w:type="dxa"/>
            <w:vAlign w:val="bottom"/>
          </w:tcPr>
          <w:p>
            <w:pPr>
              <w:jc w:val="right"/>
              <w:ind w:right="650"/>
              <w:spacing w:after="0" w:line="173" w:lineRule="exact"/>
              <w:rPr>
                <w:sz w:val="20"/>
                <w:szCs w:val="20"/>
                <w:color w:val="auto"/>
              </w:rPr>
            </w:pPr>
            <w:r>
              <w:rPr>
                <w:rFonts w:ascii="Arial" w:cs="Arial" w:eastAsia="Arial" w:hAnsi="Arial"/>
                <w:sz w:val="18"/>
                <w:szCs w:val="18"/>
                <w:color w:val="auto"/>
              </w:rPr>
              <w:t>5,311</w:t>
            </w:r>
          </w:p>
        </w:tc>
        <w:tc>
          <w:tcPr>
            <w:tcW w:w="1400" w:type="dxa"/>
            <w:vAlign w:val="bottom"/>
          </w:tcPr>
          <w:p>
            <w:pPr>
              <w:jc w:val="right"/>
              <w:spacing w:after="0" w:line="173" w:lineRule="exact"/>
              <w:rPr>
                <w:sz w:val="20"/>
                <w:szCs w:val="20"/>
                <w:color w:val="auto"/>
              </w:rPr>
            </w:pPr>
            <w:r>
              <w:rPr>
                <w:rFonts w:ascii="Arial" w:cs="Arial" w:eastAsia="Arial" w:hAnsi="Arial"/>
                <w:sz w:val="18"/>
                <w:szCs w:val="18"/>
                <w:color w:val="auto"/>
              </w:rPr>
              <w:t>(42,864)</w:t>
            </w:r>
          </w:p>
        </w:tc>
      </w:tr>
      <w:tr>
        <w:trPr>
          <w:trHeight w:val="225"/>
        </w:trPr>
        <w:tc>
          <w:tcPr>
            <w:tcW w:w="59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Cash and cash equivalents at beginning of year</w:t>
            </w:r>
          </w:p>
        </w:tc>
        <w:tc>
          <w:tcPr>
            <w:tcW w:w="18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185,113</w:t>
            </w:r>
          </w:p>
        </w:tc>
        <w:tc>
          <w:tcPr>
            <w:tcW w:w="22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179,802</w:t>
            </w: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222,666</w:t>
            </w:r>
          </w:p>
        </w:tc>
      </w:tr>
      <w:tr>
        <w:trPr>
          <w:trHeight w:val="196"/>
        </w:trPr>
        <w:tc>
          <w:tcPr>
            <w:tcW w:w="590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Cash and cash equivalents at end of year</w:t>
            </w:r>
          </w:p>
        </w:tc>
        <w:tc>
          <w:tcPr>
            <w:tcW w:w="186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b w:val="1"/>
                <w:bCs w:val="1"/>
                <w:color w:val="auto"/>
              </w:rPr>
              <w:t>$181,742</w:t>
            </w:r>
          </w:p>
        </w:tc>
        <w:tc>
          <w:tcPr>
            <w:tcW w:w="2260" w:type="dxa"/>
            <w:vAlign w:val="bottom"/>
            <w:tcBorders>
              <w:bottom w:val="single" w:sz="8" w:color="auto"/>
            </w:tcBorders>
          </w:tcPr>
          <w:p>
            <w:pPr>
              <w:jc w:val="right"/>
              <w:ind w:right="650"/>
              <w:spacing w:after="0" w:line="196" w:lineRule="exact"/>
              <w:rPr>
                <w:sz w:val="20"/>
                <w:szCs w:val="20"/>
                <w:color w:val="auto"/>
              </w:rPr>
            </w:pPr>
            <w:r>
              <w:rPr>
                <w:rFonts w:ascii="Arial" w:cs="Arial" w:eastAsia="Arial" w:hAnsi="Arial"/>
                <w:sz w:val="18"/>
                <w:szCs w:val="18"/>
                <w:color w:val="auto"/>
              </w:rPr>
              <w:t>$185,113</w:t>
            </w:r>
          </w:p>
        </w:tc>
        <w:tc>
          <w:tcPr>
            <w:tcW w:w="14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$179,802</w:t>
            </w: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93" w:lineRule="exact"/>
        <w:rPr>
          <w:sz w:val="20"/>
          <w:szCs w:val="20"/>
          <w:color w:val="auto"/>
        </w:rPr>
      </w:pPr>
    </w:p>
    <w:p>
      <w:pPr>
        <w:jc w:val="both"/>
        <w:ind w:right="80" w:firstLine="648"/>
        <w:spacing w:after="0" w:line="234" w:lineRule="auto"/>
        <w:rPr>
          <w:sz w:val="20"/>
          <w:szCs w:val="20"/>
          <w:color w:val="auto"/>
        </w:rPr>
      </w:pPr>
      <w:r>
        <w:rPr>
          <w:rFonts w:ascii="Arial" w:cs="Arial" w:eastAsia="Arial" w:hAnsi="Arial"/>
          <w:sz w:val="18"/>
          <w:szCs w:val="18"/>
          <w:color w:val="auto"/>
        </w:rPr>
        <w:t>Cash provided by operating activities was $79.5 million in 2016 compared to $95.9 million in 2015, and $84.2 million in 2014. Changes in working capital for 2016 includes a use of cash of $42.8 million for AEC segment accounts receivable, inventories, contract receivables and other assets, as several long-term contracts are beginning to ramp up. Changes in working capital for 2015 includes the $14.0 million write-off related to the BR 725 program, while changes in accounts receivable, inventories and accounts payable resulted in an offsetting use of cash.</w:t>
      </w:r>
    </w:p>
    <w:p>
      <w:pPr>
        <w:spacing w:after="0" w:line="3"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Changes in working capital for 2014 were a use of cash totaling $21.4 million principally due to costs incurred for the BR 725 program and restructuring payments. Changes in long-term liabilities, deferred taxes and other liabilities resulted in a use of cash totaling $0.6 million in 2016, $27.4 million in 2015, and $10.7 million in 2014. The amount reported for 2015 was principally due to the $28.6 million deferred tax benefit related to the elimination of the value of the Company’s investment in its Germany subsidiary. Cash paid for income taxes was $23.4 million, $18.4 million, and $17.6 million in 2016, 2015, and 2014, respectively.</w:t>
      </w:r>
    </w:p>
    <w:p>
      <w:pPr>
        <w:spacing w:after="0" w:line="189" w:lineRule="exact"/>
        <w:rPr>
          <w:sz w:val="20"/>
          <w:szCs w:val="20"/>
          <w:color w:val="auto"/>
        </w:rPr>
      </w:pPr>
    </w:p>
    <w:p>
      <w:pPr>
        <w:ind w:right="100" w:firstLine="648"/>
        <w:spacing w:after="0" w:line="237" w:lineRule="auto"/>
        <w:rPr>
          <w:sz w:val="20"/>
          <w:szCs w:val="20"/>
          <w:color w:val="auto"/>
        </w:rPr>
      </w:pPr>
      <w:r>
        <w:rPr>
          <w:rFonts w:ascii="Arial" w:cs="Arial" w:eastAsia="Arial" w:hAnsi="Arial"/>
          <w:sz w:val="18"/>
          <w:szCs w:val="18"/>
          <w:color w:val="auto"/>
        </w:rPr>
        <w:t>At December 31, 2016, the Company had $181.7 million of cash and cash equivalents, of which $134.4 million was held by subsidiaries outside of the United States. As disclosed in Note 7 of the Notes to Consolidated Financial Statements in Item 8, which is incorporated herein by reference, we determined that all but $24.9 million of this amount (which represents the amount of cumulative earnings expected to be repatriated to the United States at some point in the future) is intended to be utilized by these non-U.S. operations for an indefinite period of time. Our current plans do not anticipate that we will need funds generated from foreign operations to fund our domestic operations or satisfy debt obligations in the United States. In the event that such funds were to be needed to fund operations in the U.S., and if associated accruals for U.S. tax have not already been provided, we would be required to record additional tax expense.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93" w:lineRule="exact"/>
        <w:rPr>
          <w:sz w:val="20"/>
          <w:szCs w:val="20"/>
          <w:color w:val="auto"/>
        </w:rPr>
      </w:pPr>
    </w:p>
    <w:p>
      <w:pPr>
        <w:ind w:right="40" w:firstLine="648"/>
        <w:spacing w:after="0" w:line="238" w:lineRule="auto"/>
        <w:rPr>
          <w:sz w:val="20"/>
          <w:szCs w:val="20"/>
          <w:color w:val="auto"/>
        </w:rPr>
      </w:pPr>
      <w:r>
        <w:rPr>
          <w:rFonts w:ascii="Arial" w:cs="Arial" w:eastAsia="Arial" w:hAnsi="Arial"/>
          <w:sz w:val="18"/>
          <w:szCs w:val="18"/>
          <w:color w:val="auto"/>
        </w:rPr>
        <w:t>On April 8, 2016, the Company acquired the outstanding shares of Harris Corporation’s composite aerostructures business for $187 million in cash, plus the assumption of certain liabilities. Total capital expenditures for continuing operations, including purchased software, were $ 78.5 million in 2016, compared to $ 50.6 million in 2015, and $ 58.9 million in 2014. In the AEC segment, capital expenditures were $54.7 million in 2016, compared to $30.4 million in 2015, and $32.1 million in 2014. We currently estimate full-year spending in 2017 to be $95 million to $105 million.</w:t>
      </w:r>
    </w:p>
    <w:p>
      <w:pPr>
        <w:spacing w:after="0" w:line="203" w:lineRule="exact"/>
        <w:rPr>
          <w:sz w:val="20"/>
          <w:szCs w:val="20"/>
          <w:color w:val="auto"/>
        </w:rPr>
      </w:pPr>
    </w:p>
    <w:p>
      <w:pPr>
        <w:ind w:left="11220"/>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Financing Activities and Capital Resources</w:t>
      </w:r>
    </w:p>
    <w:p>
      <w:pPr>
        <w:spacing w:after="0" w:line="192" w:lineRule="exact"/>
        <w:rPr>
          <w:sz w:val="20"/>
          <w:szCs w:val="20"/>
          <w:color w:val="auto"/>
        </w:rPr>
      </w:pPr>
    </w:p>
    <w:p>
      <w:pPr>
        <w:ind w:right="180" w:firstLine="648"/>
        <w:spacing w:after="0" w:line="238" w:lineRule="auto"/>
        <w:rPr>
          <w:sz w:val="20"/>
          <w:szCs w:val="20"/>
          <w:color w:val="auto"/>
        </w:rPr>
      </w:pPr>
      <w:r>
        <w:rPr>
          <w:rFonts w:ascii="Arial" w:cs="Arial" w:eastAsia="Arial" w:hAnsi="Arial"/>
          <w:sz w:val="18"/>
          <w:szCs w:val="18"/>
          <w:color w:val="auto"/>
        </w:rPr>
        <w:t>We finance our business activities primarily with cash generated from operations and borrowings, largely through our revolving credit agreement as discussed below. Our subsidiaries outside of the United States may also maintain working capital lines with local banks, but borrowings under such local facilities tend not to be significant. The majority of our cash balance at December 31, 2016 was held by non-U.S. subsidiaries. Based on cash on hand and credit facilities, we anticipate that the Company has sufficient capital resources to operate for the foreseeable future. We were in compliance with all debt covenants as of December 31, 2016.</w:t>
      </w:r>
    </w:p>
    <w:p>
      <w:pPr>
        <w:spacing w:after="0" w:line="176" w:lineRule="exact"/>
        <w:rPr>
          <w:sz w:val="20"/>
          <w:szCs w:val="20"/>
          <w:color w:val="auto"/>
        </w:rPr>
      </w:pPr>
    </w:p>
    <w:p>
      <w:pPr>
        <w:ind w:right="40" w:firstLine="648"/>
        <w:spacing w:after="0" w:line="234" w:lineRule="auto"/>
        <w:rPr>
          <w:sz w:val="20"/>
          <w:szCs w:val="20"/>
          <w:color w:val="auto"/>
        </w:rPr>
      </w:pPr>
      <w:r>
        <w:rPr>
          <w:rFonts w:ascii="Arial" w:cs="Arial" w:eastAsia="Arial" w:hAnsi="Arial"/>
          <w:sz w:val="18"/>
          <w:szCs w:val="18"/>
          <w:color w:val="auto"/>
        </w:rPr>
        <w:t>On April 8, 2016, we entered into a $550 million unsecured Five -Year Revolving Credit Facility Agreement (the “Credit Agreement”) which amended and restated the prior $400 million Agreement, entered into on June 18, 2015 (the “Prior Agreement”). Under the Credit Agreement, $418 million of borrowings were outstanding as of December 31, 2016. The applicable interest rate for borrowings was LIBOR plus a spread, based on our leverage ratio at the time of borrowing. At the time of the last borrowing on December 16, 2016, the spread was</w:t>
      </w:r>
    </w:p>
    <w:p>
      <w:pPr>
        <w:spacing w:after="0" w:line="3"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1.500%. The spread was based on a pricing grid, which ranged from 1.250% to 1.750%, based on our leverage ratio. Based on our maximum leverage ratio and our Consolidated EBITDA, and without modification to any other credit agreements, as of December 31, 2016, we would have been able to borrow an additional $132 million under the Agreement.</w:t>
      </w:r>
    </w:p>
    <w:p>
      <w:pPr>
        <w:spacing w:after="0" w:line="162"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As of December 31, 2016, our leverage ratio was 2.30 to 1.00 and our interest coverage ratio was 11.52 to 1.00. We may purchase our Common Stock or pay dividends to the extent our leverage ratio remains at or below 3.50 to 1.00, and may make acquisitions with cash provided our leverage ratio would not exceed 3.50 to 1.00 after giving pro forma effect to the acquisition.</w:t>
      </w:r>
    </w:p>
    <w:p>
      <w:pPr>
        <w:spacing w:after="0" w:line="162" w:lineRule="exact"/>
        <w:rPr>
          <w:sz w:val="20"/>
          <w:szCs w:val="20"/>
          <w:color w:val="auto"/>
        </w:rPr>
      </w:pPr>
    </w:p>
    <w:p>
      <w:pPr>
        <w:ind w:right="200" w:firstLine="648"/>
        <w:spacing w:after="0" w:line="238" w:lineRule="auto"/>
        <w:rPr>
          <w:sz w:val="20"/>
          <w:szCs w:val="20"/>
          <w:color w:val="auto"/>
        </w:rPr>
      </w:pPr>
      <w:r>
        <w:rPr>
          <w:rFonts w:ascii="Arial" w:cs="Arial" w:eastAsia="Arial" w:hAnsi="Arial"/>
          <w:sz w:val="18"/>
          <w:szCs w:val="18"/>
          <w:color w:val="auto"/>
        </w:rPr>
        <w:t>On May 9, 2016, we entered into interest rate hedges for the period May 16, 2016 through March 16, 2021. These transactions have the effect of fixing the LIBOR portion of the effective interest rate (before addition of the spread) on $300 million of indebtedness drawn under the Credit Agreement at the rate of 1.245% during the period. Under the terms of these transactions, we pay the fixed rate of 1.245% and the counterparties pay a floating rate based on the one-month LIBOR rate at each monthly calculation date, which on December 16, 2016 was 0.710%, plus the applicable spread, during the swap period. On December 16, 2016, the all-in-rate on the $300 million of debt was 2.745%.</w:t>
      </w:r>
    </w:p>
    <w:p>
      <w:pPr>
        <w:spacing w:after="0" w:line="176" w:lineRule="exact"/>
        <w:rPr>
          <w:sz w:val="20"/>
          <w:szCs w:val="20"/>
          <w:color w:val="auto"/>
        </w:rPr>
      </w:pPr>
    </w:p>
    <w:p>
      <w:pPr>
        <w:ind w:right="80" w:firstLine="648"/>
        <w:spacing w:after="0" w:line="238" w:lineRule="auto"/>
        <w:rPr>
          <w:sz w:val="20"/>
          <w:szCs w:val="20"/>
          <w:color w:val="auto"/>
        </w:rPr>
      </w:pPr>
      <w:r>
        <w:rPr>
          <w:rFonts w:ascii="Arial" w:cs="Arial" w:eastAsia="Arial" w:hAnsi="Arial"/>
          <w:sz w:val="18"/>
          <w:szCs w:val="18"/>
          <w:color w:val="auto"/>
        </w:rPr>
        <w:t>Dividends have been declared each quarter since the fourth quarter of 2001. Decisions with respect to whether a dividend will be paid, and the amount of the dividend, are made by the Board of Directors each quarter. Cash dividends paid were $21.8 million, $21.1 million, and $19.7 million, in 2016, 2015, and 2014, respectively. To the extent the Board declares cash dividends in the future, we expect to pay such dividends out of operating cash flows. Future cash dividends will also depend on debt covenants and on the Board’s assessment of our ability to generate sufficient cash flows.</w:t>
      </w:r>
    </w:p>
    <w:p>
      <w:pPr>
        <w:spacing w:after="0" w:line="162" w:lineRule="exact"/>
        <w:rPr>
          <w:sz w:val="20"/>
          <w:szCs w:val="20"/>
          <w:color w:val="auto"/>
        </w:rPr>
      </w:pPr>
    </w:p>
    <w:p>
      <w:pPr>
        <w:ind w:right="140" w:firstLine="648"/>
        <w:spacing w:after="0"/>
        <w:rPr>
          <w:sz w:val="20"/>
          <w:szCs w:val="20"/>
          <w:color w:val="auto"/>
        </w:rPr>
      </w:pPr>
      <w:r>
        <w:rPr>
          <w:rFonts w:ascii="Arial" w:cs="Arial" w:eastAsia="Arial" w:hAnsi="Arial"/>
          <w:sz w:val="18"/>
          <w:szCs w:val="18"/>
          <w:color w:val="auto"/>
        </w:rPr>
        <w:t>On May 6, 2016, we terminated our interest rate swap agreements that had effectively fixed the interest rate on up to $120 million of revolving credit borrowings, in order to enter into a new interest rate swap with a greater notional amount, and the same maturity as the Credit Agreement. We paid $5.2 million to terminate the swap agreements and that cost will be amortized into interest expense through June 2020.</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07" w:lineRule="exact"/>
        <w:rPr>
          <w:sz w:val="20"/>
          <w:szCs w:val="20"/>
          <w:color w:val="auto"/>
        </w:rPr>
      </w:pPr>
    </w:p>
    <w:p>
      <w:pPr>
        <w:ind w:right="820" w:firstLine="648"/>
        <w:spacing w:after="0" w:line="246" w:lineRule="auto"/>
        <w:rPr>
          <w:sz w:val="20"/>
          <w:szCs w:val="20"/>
          <w:color w:val="auto"/>
        </w:rPr>
      </w:pPr>
      <w:r>
        <w:rPr>
          <w:rFonts w:ascii="Arial" w:cs="Arial" w:eastAsia="Arial" w:hAnsi="Arial"/>
          <w:sz w:val="18"/>
          <w:szCs w:val="18"/>
          <w:color w:val="auto"/>
        </w:rPr>
        <w:t>As of December 31, 2016, we have no off-balance sheet arrangements required to be disclosed pursuant to Item 303(a)(4) of Regulation S-K.</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Contractual Obligations</w:t>
      </w:r>
    </w:p>
    <w:p>
      <w:pPr>
        <w:spacing w:after="0" w:line="192"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Contractual obligations for debt and operating leases increased due to the acquisition in April 2016. As of December 31, 2016, we have the following cash flow obligations: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spacing w:after="0"/>
              <w:rPr>
                <w:sz w:val="18"/>
                <w:szCs w:val="18"/>
                <w:color w:val="auto"/>
              </w:rPr>
            </w:pPr>
          </w:p>
        </w:tc>
        <w:tc>
          <w:tcPr>
            <w:tcW w:w="2680" w:type="dxa"/>
            <w:vAlign w:val="bottom"/>
            <w:tcBorders>
              <w:top w:val="single" w:sz="8" w:color="auto"/>
              <w:bottom w:val="single" w:sz="8" w:color="auto"/>
            </w:tcBorders>
            <w:gridSpan w:val="2"/>
          </w:tcPr>
          <w:p>
            <w:pPr>
              <w:jc w:val="right"/>
              <w:ind w:right="190"/>
              <w:spacing w:after="0"/>
              <w:rPr>
                <w:sz w:val="20"/>
                <w:szCs w:val="20"/>
                <w:color w:val="auto"/>
              </w:rPr>
            </w:pPr>
            <w:r>
              <w:rPr>
                <w:rFonts w:ascii="Arial" w:cs="Arial" w:eastAsia="Arial" w:hAnsi="Arial"/>
                <w:sz w:val="18"/>
                <w:szCs w:val="18"/>
                <w:b w:val="1"/>
                <w:bCs w:val="1"/>
                <w:color w:val="auto"/>
              </w:rPr>
              <w:t>Payments Due by Period</w:t>
            </w:r>
          </w:p>
        </w:tc>
        <w:tc>
          <w:tcPr>
            <w:tcW w:w="1300" w:type="dxa"/>
            <w:vAlign w:val="bottom"/>
            <w:tcBorders>
              <w:top w:val="single" w:sz="8" w:color="auto"/>
              <w:bottom w:val="single" w:sz="8" w:color="auto"/>
            </w:tcBorders>
          </w:tcPr>
          <w:p>
            <w:pPr>
              <w:spacing w:after="0"/>
              <w:rPr>
                <w:sz w:val="18"/>
                <w:szCs w:val="18"/>
                <w:color w:val="auto"/>
              </w:rPr>
            </w:pPr>
          </w:p>
        </w:tc>
      </w:tr>
      <w:tr>
        <w:trPr>
          <w:trHeight w:val="173"/>
        </w:trPr>
        <w:tc>
          <w:tcPr>
            <w:tcW w:w="39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0" w:type="dxa"/>
            <w:vAlign w:val="bottom"/>
          </w:tcPr>
          <w:p>
            <w:pPr>
              <w:ind w:left="320"/>
              <w:spacing w:after="0" w:line="173" w:lineRule="exact"/>
              <w:rPr>
                <w:sz w:val="20"/>
                <w:szCs w:val="20"/>
                <w:color w:val="auto"/>
              </w:rPr>
            </w:pPr>
            <w:r>
              <w:rPr>
                <w:rFonts w:ascii="Arial" w:cs="Arial" w:eastAsia="Arial" w:hAnsi="Arial"/>
                <w:sz w:val="18"/>
                <w:szCs w:val="18"/>
                <w:b w:val="1"/>
                <w:bCs w:val="1"/>
                <w:color w:val="auto"/>
              </w:rPr>
              <w:t>One to</w:t>
            </w:r>
          </w:p>
        </w:tc>
        <w:tc>
          <w:tcPr>
            <w:tcW w:w="14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03"/>
        </w:trPr>
        <w:tc>
          <w:tcPr>
            <w:tcW w:w="39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36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Less than</w:t>
            </w:r>
          </w:p>
        </w:tc>
        <w:tc>
          <w:tcPr>
            <w:tcW w:w="120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rPr>
              <w:t>three</w:t>
            </w:r>
          </w:p>
        </w:tc>
        <w:tc>
          <w:tcPr>
            <w:tcW w:w="148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Three to</w:t>
            </w:r>
          </w:p>
        </w:tc>
        <w:tc>
          <w:tcPr>
            <w:tcW w:w="130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After</w:t>
            </w:r>
          </w:p>
        </w:tc>
      </w:tr>
      <w:tr>
        <w:trPr>
          <w:trHeight w:val="225"/>
        </w:trPr>
        <w:tc>
          <w:tcPr>
            <w:tcW w:w="39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(in millions)</w:t>
            </w:r>
          </w:p>
        </w:tc>
        <w:tc>
          <w:tcPr>
            <w:tcW w:w="2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Total</w:t>
            </w:r>
          </w:p>
        </w:tc>
        <w:tc>
          <w:tcPr>
            <w:tcW w:w="13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one year</w:t>
            </w:r>
          </w:p>
        </w:tc>
        <w:tc>
          <w:tcPr>
            <w:tcW w:w="120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years</w:t>
            </w:r>
          </w:p>
        </w:tc>
        <w:tc>
          <w:tcPr>
            <w:tcW w:w="14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five years</w:t>
            </w:r>
          </w:p>
        </w:tc>
        <w:tc>
          <w:tcPr>
            <w:tcW w:w="1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five years</w:t>
            </w:r>
          </w:p>
        </w:tc>
      </w:tr>
      <w:tr>
        <w:trPr>
          <w:trHeight w:val="195"/>
        </w:trPr>
        <w:tc>
          <w:tcPr>
            <w:tcW w:w="3920" w:type="dxa"/>
            <w:vAlign w:val="bottom"/>
          </w:tcPr>
          <w:p>
            <w:pPr>
              <w:ind w:left="160"/>
              <w:spacing w:after="0" w:line="195" w:lineRule="exact"/>
              <w:rPr>
                <w:sz w:val="20"/>
                <w:szCs w:val="20"/>
                <w:color w:val="auto"/>
              </w:rPr>
            </w:pPr>
            <w:r>
              <w:rPr>
                <w:rFonts w:ascii="Arial" w:cs="Arial" w:eastAsia="Arial" w:hAnsi="Arial"/>
                <w:sz w:val="18"/>
                <w:szCs w:val="18"/>
                <w:color w:val="auto"/>
              </w:rPr>
              <w:t>Total debt</w:t>
            </w:r>
          </w:p>
        </w:tc>
        <w:tc>
          <w:tcPr>
            <w:tcW w:w="2160" w:type="dxa"/>
            <w:vAlign w:val="bottom"/>
          </w:tcPr>
          <w:p>
            <w:pPr>
              <w:jc w:val="right"/>
              <w:ind w:right="370"/>
              <w:spacing w:after="0" w:line="195" w:lineRule="exact"/>
              <w:rPr>
                <w:sz w:val="20"/>
                <w:szCs w:val="20"/>
                <w:color w:val="auto"/>
              </w:rPr>
            </w:pPr>
            <w:r>
              <w:rPr>
                <w:rFonts w:ascii="Arial" w:cs="Arial" w:eastAsia="Arial" w:hAnsi="Arial"/>
                <w:sz w:val="18"/>
                <w:szCs w:val="18"/>
                <w:color w:val="auto"/>
              </w:rPr>
              <w:t>$484.9</w:t>
            </w:r>
          </w:p>
        </w:tc>
        <w:tc>
          <w:tcPr>
            <w:tcW w:w="1360" w:type="dxa"/>
            <w:vAlign w:val="bottom"/>
          </w:tcPr>
          <w:p>
            <w:pPr>
              <w:jc w:val="right"/>
              <w:ind w:right="350"/>
              <w:spacing w:after="0" w:line="195" w:lineRule="exact"/>
              <w:rPr>
                <w:sz w:val="20"/>
                <w:szCs w:val="20"/>
                <w:color w:val="auto"/>
              </w:rPr>
            </w:pPr>
            <w:r>
              <w:rPr>
                <w:rFonts w:ascii="Arial" w:cs="Arial" w:eastAsia="Arial" w:hAnsi="Arial"/>
                <w:sz w:val="18"/>
                <w:szCs w:val="18"/>
                <w:color w:val="auto"/>
              </w:rPr>
              <w:t>$52.0</w:t>
            </w:r>
          </w:p>
        </w:tc>
        <w:tc>
          <w:tcPr>
            <w:tcW w:w="120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$3.7</w:t>
            </w:r>
          </w:p>
        </w:tc>
        <w:tc>
          <w:tcPr>
            <w:tcW w:w="1480" w:type="dxa"/>
            <w:vAlign w:val="bottom"/>
          </w:tcPr>
          <w:p>
            <w:pPr>
              <w:jc w:val="right"/>
              <w:ind w:right="170"/>
              <w:spacing w:after="0" w:line="195" w:lineRule="exact"/>
              <w:rPr>
                <w:sz w:val="20"/>
                <w:szCs w:val="20"/>
                <w:color w:val="auto"/>
              </w:rPr>
            </w:pPr>
            <w:r>
              <w:rPr>
                <w:rFonts w:ascii="Arial" w:cs="Arial" w:eastAsia="Arial" w:hAnsi="Arial"/>
                <w:sz w:val="18"/>
                <w:szCs w:val="18"/>
                <w:color w:val="auto"/>
              </w:rPr>
              <w:t>$422.2</w:t>
            </w:r>
          </w:p>
        </w:tc>
        <w:tc>
          <w:tcPr>
            <w:tcW w:w="1300" w:type="dxa"/>
            <w:vAlign w:val="bottom"/>
          </w:tcPr>
          <w:p>
            <w:pPr>
              <w:jc w:val="right"/>
              <w:ind w:right="10"/>
              <w:spacing w:after="0" w:line="195" w:lineRule="exact"/>
              <w:rPr>
                <w:sz w:val="20"/>
                <w:szCs w:val="20"/>
                <w:color w:val="auto"/>
              </w:rPr>
            </w:pPr>
            <w:r>
              <w:rPr>
                <w:rFonts w:ascii="Arial" w:cs="Arial" w:eastAsia="Arial" w:hAnsi="Arial"/>
                <w:sz w:val="18"/>
                <w:szCs w:val="18"/>
                <w:color w:val="auto"/>
              </w:rPr>
              <w:t>$7.0</w:t>
            </w:r>
          </w:p>
        </w:tc>
      </w:tr>
      <w:tr>
        <w:trPr>
          <w:trHeight w:val="203"/>
        </w:trPr>
        <w:tc>
          <w:tcPr>
            <w:tcW w:w="3920" w:type="dxa"/>
            <w:vAlign w:val="bottom"/>
          </w:tcPr>
          <w:p>
            <w:pPr>
              <w:ind w:left="160"/>
              <w:spacing w:after="0" w:line="202" w:lineRule="exact"/>
              <w:rPr>
                <w:sz w:val="20"/>
                <w:szCs w:val="20"/>
                <w:color w:val="auto"/>
              </w:rPr>
            </w:pPr>
            <w:r>
              <w:rPr>
                <w:rFonts w:ascii="Arial" w:cs="Arial" w:eastAsia="Arial" w:hAnsi="Arial"/>
                <w:sz w:val="18"/>
                <w:szCs w:val="18"/>
                <w:color w:val="auto"/>
              </w:rPr>
              <w:t>Interest payments (a)</w:t>
            </w:r>
          </w:p>
        </w:tc>
        <w:tc>
          <w:tcPr>
            <w:tcW w:w="216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56.1</w:t>
            </w:r>
          </w:p>
        </w:tc>
        <w:tc>
          <w:tcPr>
            <w:tcW w:w="136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14.5</w:t>
            </w:r>
          </w:p>
        </w:tc>
        <w:tc>
          <w:tcPr>
            <w:tcW w:w="12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25.5</w:t>
            </w:r>
          </w:p>
        </w:tc>
        <w:tc>
          <w:tcPr>
            <w:tcW w:w="148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15.8</w:t>
            </w:r>
          </w:p>
        </w:tc>
        <w:tc>
          <w:tcPr>
            <w:tcW w:w="13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0.3</w:t>
            </w:r>
          </w:p>
        </w:tc>
      </w:tr>
      <w:tr>
        <w:trPr>
          <w:trHeight w:val="203"/>
        </w:trPr>
        <w:tc>
          <w:tcPr>
            <w:tcW w:w="3920" w:type="dxa"/>
            <w:vAlign w:val="bottom"/>
          </w:tcPr>
          <w:p>
            <w:pPr>
              <w:ind w:left="160"/>
              <w:spacing w:after="0" w:line="202" w:lineRule="exact"/>
              <w:rPr>
                <w:sz w:val="20"/>
                <w:szCs w:val="20"/>
                <w:color w:val="auto"/>
              </w:rPr>
            </w:pPr>
            <w:r>
              <w:rPr>
                <w:rFonts w:ascii="Arial" w:cs="Arial" w:eastAsia="Arial" w:hAnsi="Arial"/>
                <w:sz w:val="18"/>
                <w:szCs w:val="18"/>
                <w:color w:val="auto"/>
              </w:rPr>
              <w:t>Pension plan contributions (b)</w:t>
            </w:r>
          </w:p>
        </w:tc>
        <w:tc>
          <w:tcPr>
            <w:tcW w:w="216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3.7</w:t>
            </w:r>
          </w:p>
        </w:tc>
        <w:tc>
          <w:tcPr>
            <w:tcW w:w="136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3.7</w:t>
            </w:r>
          </w:p>
        </w:tc>
        <w:tc>
          <w:tcPr>
            <w:tcW w:w="12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3920" w:type="dxa"/>
            <w:vAlign w:val="bottom"/>
          </w:tcPr>
          <w:p>
            <w:pPr>
              <w:ind w:left="160"/>
              <w:spacing w:after="0" w:line="202" w:lineRule="exact"/>
              <w:rPr>
                <w:sz w:val="20"/>
                <w:szCs w:val="20"/>
                <w:color w:val="auto"/>
              </w:rPr>
            </w:pPr>
            <w:r>
              <w:rPr>
                <w:rFonts w:ascii="Arial" w:cs="Arial" w:eastAsia="Arial" w:hAnsi="Arial"/>
                <w:sz w:val="18"/>
                <w:szCs w:val="18"/>
                <w:color w:val="auto"/>
              </w:rPr>
              <w:t>Other postretirement benefits (c)</w:t>
            </w:r>
          </w:p>
        </w:tc>
        <w:tc>
          <w:tcPr>
            <w:tcW w:w="216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57.5</w:t>
            </w:r>
          </w:p>
        </w:tc>
        <w:tc>
          <w:tcPr>
            <w:tcW w:w="136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4.2</w:t>
            </w:r>
          </w:p>
        </w:tc>
        <w:tc>
          <w:tcPr>
            <w:tcW w:w="12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8.0</w:t>
            </w:r>
          </w:p>
        </w:tc>
        <w:tc>
          <w:tcPr>
            <w:tcW w:w="148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7.6</w:t>
            </w:r>
          </w:p>
        </w:tc>
        <w:tc>
          <w:tcPr>
            <w:tcW w:w="13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37.7</w:t>
            </w:r>
          </w:p>
        </w:tc>
      </w:tr>
      <w:tr>
        <w:trPr>
          <w:trHeight w:val="203"/>
        </w:trPr>
        <w:tc>
          <w:tcPr>
            <w:tcW w:w="3920" w:type="dxa"/>
            <w:vAlign w:val="bottom"/>
          </w:tcPr>
          <w:p>
            <w:pPr>
              <w:ind w:left="160"/>
              <w:spacing w:after="0" w:line="202" w:lineRule="exact"/>
              <w:rPr>
                <w:sz w:val="20"/>
                <w:szCs w:val="20"/>
                <w:color w:val="auto"/>
              </w:rPr>
            </w:pPr>
            <w:r>
              <w:rPr>
                <w:rFonts w:ascii="Arial" w:cs="Arial" w:eastAsia="Arial" w:hAnsi="Arial"/>
                <w:sz w:val="18"/>
                <w:szCs w:val="18"/>
                <w:color w:val="auto"/>
              </w:rPr>
              <w:t>Restructuring accruals</w:t>
            </w:r>
          </w:p>
        </w:tc>
        <w:tc>
          <w:tcPr>
            <w:tcW w:w="216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5.6</w:t>
            </w:r>
          </w:p>
        </w:tc>
        <w:tc>
          <w:tcPr>
            <w:tcW w:w="136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4.7</w:t>
            </w:r>
          </w:p>
        </w:tc>
        <w:tc>
          <w:tcPr>
            <w:tcW w:w="12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0.9</w:t>
            </w:r>
          </w:p>
        </w:tc>
        <w:tc>
          <w:tcPr>
            <w:tcW w:w="148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3920" w:type="dxa"/>
            <w:vAlign w:val="bottom"/>
          </w:tcPr>
          <w:p>
            <w:pPr>
              <w:ind w:left="160"/>
              <w:spacing w:after="0" w:line="202" w:lineRule="exact"/>
              <w:rPr>
                <w:sz w:val="20"/>
                <w:szCs w:val="20"/>
                <w:color w:val="auto"/>
              </w:rPr>
            </w:pPr>
            <w:r>
              <w:rPr>
                <w:rFonts w:ascii="Arial" w:cs="Arial" w:eastAsia="Arial" w:hAnsi="Arial"/>
                <w:sz w:val="18"/>
                <w:szCs w:val="18"/>
                <w:color w:val="auto"/>
              </w:rPr>
              <w:t>Other noncurrent liabilities (d)</w:t>
            </w:r>
          </w:p>
        </w:tc>
        <w:tc>
          <w:tcPr>
            <w:tcW w:w="216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3920" w:type="dxa"/>
            <w:vAlign w:val="bottom"/>
            <w:tcBorders>
              <w:bottom w:val="single" w:sz="8" w:color="auto"/>
            </w:tcBorders>
          </w:tcPr>
          <w:p>
            <w:pPr>
              <w:ind w:left="160"/>
              <w:spacing w:after="0" w:line="203" w:lineRule="exact"/>
              <w:rPr>
                <w:sz w:val="20"/>
                <w:szCs w:val="20"/>
                <w:color w:val="auto"/>
              </w:rPr>
            </w:pPr>
            <w:r>
              <w:rPr>
                <w:rFonts w:ascii="Arial" w:cs="Arial" w:eastAsia="Arial" w:hAnsi="Arial"/>
                <w:sz w:val="18"/>
                <w:szCs w:val="18"/>
                <w:color w:val="auto"/>
              </w:rPr>
              <w:t>Operating leases</w:t>
            </w:r>
          </w:p>
        </w:tc>
        <w:tc>
          <w:tcPr>
            <w:tcW w:w="2160" w:type="dxa"/>
            <w:vAlign w:val="bottom"/>
            <w:tcBorders>
              <w:bottom w:val="single" w:sz="8" w:color="auto"/>
            </w:tcBorders>
          </w:tcPr>
          <w:p>
            <w:pPr>
              <w:jc w:val="right"/>
              <w:ind w:right="370"/>
              <w:spacing w:after="0" w:line="203" w:lineRule="exact"/>
              <w:rPr>
                <w:sz w:val="20"/>
                <w:szCs w:val="20"/>
                <w:color w:val="auto"/>
              </w:rPr>
            </w:pPr>
            <w:r>
              <w:rPr>
                <w:rFonts w:ascii="Arial" w:cs="Arial" w:eastAsia="Arial" w:hAnsi="Arial"/>
                <w:sz w:val="18"/>
                <w:szCs w:val="18"/>
                <w:color w:val="auto"/>
              </w:rPr>
              <w:t>11.8</w:t>
            </w:r>
          </w:p>
        </w:tc>
        <w:tc>
          <w:tcPr>
            <w:tcW w:w="1360" w:type="dxa"/>
            <w:vAlign w:val="bottom"/>
            <w:tcBorders>
              <w:bottom w:val="single" w:sz="8" w:color="auto"/>
            </w:tcBorders>
          </w:tcPr>
          <w:p>
            <w:pPr>
              <w:jc w:val="right"/>
              <w:ind w:right="350"/>
              <w:spacing w:after="0" w:line="203" w:lineRule="exact"/>
              <w:rPr>
                <w:sz w:val="20"/>
                <w:szCs w:val="20"/>
                <w:color w:val="auto"/>
              </w:rPr>
            </w:pPr>
            <w:r>
              <w:rPr>
                <w:rFonts w:ascii="Arial" w:cs="Arial" w:eastAsia="Arial" w:hAnsi="Arial"/>
                <w:sz w:val="18"/>
                <w:szCs w:val="18"/>
                <w:color w:val="auto"/>
              </w:rPr>
              <w:t>5.6</w:t>
            </w:r>
          </w:p>
        </w:tc>
        <w:tc>
          <w:tcPr>
            <w:tcW w:w="120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5.0</w:t>
            </w:r>
          </w:p>
        </w:tc>
        <w:tc>
          <w:tcPr>
            <w:tcW w:w="148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rPr>
              <w:t>1.1</w:t>
            </w:r>
          </w:p>
        </w:tc>
        <w:tc>
          <w:tcPr>
            <w:tcW w:w="13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0.1</w:t>
            </w:r>
          </w:p>
        </w:tc>
      </w:tr>
      <w:tr>
        <w:trPr>
          <w:trHeight w:val="196"/>
        </w:trPr>
        <w:tc>
          <w:tcPr>
            <w:tcW w:w="3920" w:type="dxa"/>
            <w:vAlign w:val="bottom"/>
            <w:tcBorders>
              <w:bottom w:val="single" w:sz="8" w:color="auto"/>
            </w:tcBorders>
          </w:tcPr>
          <w:p>
            <w:pPr>
              <w:ind w:left="160"/>
              <w:spacing w:after="0" w:line="196" w:lineRule="exact"/>
              <w:rPr>
                <w:sz w:val="20"/>
                <w:szCs w:val="20"/>
                <w:color w:val="auto"/>
              </w:rPr>
            </w:pPr>
            <w:r>
              <w:rPr>
                <w:rFonts w:ascii="Arial" w:cs="Arial" w:eastAsia="Arial" w:hAnsi="Arial"/>
                <w:sz w:val="18"/>
                <w:szCs w:val="18"/>
                <w:color w:val="auto"/>
              </w:rPr>
              <w:t>Totals</w:t>
            </w:r>
          </w:p>
        </w:tc>
        <w:tc>
          <w:tcPr>
            <w:tcW w:w="216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color w:val="auto"/>
              </w:rPr>
              <w:t>$619.6</w:t>
            </w:r>
          </w:p>
        </w:tc>
        <w:tc>
          <w:tcPr>
            <w:tcW w:w="136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rPr>
              <w:t>$84.7</w:t>
            </w:r>
          </w:p>
        </w:tc>
        <w:tc>
          <w:tcPr>
            <w:tcW w:w="120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$43.1</w:t>
            </w:r>
          </w:p>
        </w:tc>
        <w:tc>
          <w:tcPr>
            <w:tcW w:w="148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$446.7</w:t>
            </w:r>
          </w:p>
        </w:tc>
        <w:tc>
          <w:tcPr>
            <w:tcW w:w="13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$45.1</w:t>
            </w:r>
          </w:p>
        </w:tc>
      </w:tr>
    </w:tbl>
    <w:p>
      <w:pPr>
        <w:spacing w:after="0" w:line="377" w:lineRule="exact"/>
        <w:rPr>
          <w:sz w:val="20"/>
          <w:szCs w:val="20"/>
          <w:color w:val="auto"/>
        </w:rPr>
      </w:pPr>
    </w:p>
    <w:p>
      <w:pPr>
        <w:ind w:left="1040" w:right="160" w:hanging="384"/>
        <w:spacing w:after="0" w:line="234"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terms of variable-rate debt arrangements, including interest rates and maturities, are included in Note 14 of Notes to Consolidated Financial Statements. The interest payments are based on the assumption that we maintain $168.0 million of variable rate debt until the April 2016 Credit Agreement matures on April 8, 2021, and the rate as of December 31, 2016 (2.58%) continues until March 16, 2021, then continues at 2.21% until maturity. Both rates include the effects of interest rate hedging transactions.</w:t>
      </w:r>
    </w:p>
    <w:p>
      <w:pPr>
        <w:spacing w:after="0" w:line="3" w:lineRule="exact"/>
        <w:rPr>
          <w:rFonts w:ascii="Arial" w:cs="Arial" w:eastAsia="Arial" w:hAnsi="Arial"/>
          <w:sz w:val="18"/>
          <w:szCs w:val="18"/>
          <w:color w:val="auto"/>
        </w:rPr>
      </w:pPr>
    </w:p>
    <w:p>
      <w:pPr>
        <w:ind w:left="1060" w:right="20" w:hanging="404"/>
        <w:spacing w:after="0" w:line="234"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estimate pension benefits to be paid directly by the Company in 2017 to be $3.7 million, however, that estimate is subject to revision based on many factors. The Company may also make contributions to pension trusts that exists in certain countries. The amount of contributions after 2017 is subject to many variables, including return of pension plan assets, interest rates, and tax and employee benefit laws. Therefore, contributions beyond 2017 are not included in this schedule.</w:t>
      </w:r>
    </w:p>
    <w:p>
      <w:pPr>
        <w:spacing w:after="0" w:line="3" w:lineRule="exact"/>
        <w:rPr>
          <w:rFonts w:ascii="Arial" w:cs="Arial" w:eastAsia="Arial" w:hAnsi="Arial"/>
          <w:sz w:val="18"/>
          <w:szCs w:val="18"/>
          <w:color w:val="auto"/>
        </w:rPr>
      </w:pPr>
    </w:p>
    <w:p>
      <w:pPr>
        <w:ind w:left="1060" w:right="140" w:hanging="404"/>
        <w:spacing w:after="0" w:line="234"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Estimated cash outflow for other postretirement benefits is consistent with the expected benefit payments as presented in Note 4 of Notes to Consolidated Financial Statements in Item 8. Estimated payments beyond five years are subject to many variables, therefore no estimate is included in the table above.</w:t>
      </w:r>
    </w:p>
    <w:p>
      <w:pPr>
        <w:spacing w:after="0" w:line="2" w:lineRule="exact"/>
        <w:rPr>
          <w:rFonts w:ascii="Arial" w:cs="Arial" w:eastAsia="Arial" w:hAnsi="Arial"/>
          <w:sz w:val="18"/>
          <w:szCs w:val="18"/>
          <w:color w:val="auto"/>
        </w:rPr>
      </w:pPr>
    </w:p>
    <w:p>
      <w:pPr>
        <w:ind w:left="1060" w:right="40" w:hanging="404"/>
        <w:spacing w:after="0" w:line="239"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Estimated payments for deferred compensation, interest rate swap agreements, and other noncurrent liabilities are not included in this table due to the uncertain timing of the ultimate cash settlement. Also, this table does not reflect unrecognized tax benefits, the timing of which is uncertain. Refer to Note 7 of the Consolidated Financial Statements in Item 8, which is incorporated herein by reference, for additional discussion on unrecognized tax benefits.</w:t>
      </w:r>
    </w:p>
    <w:p>
      <w:pPr>
        <w:spacing w:after="0" w:line="161"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The foregoing table should not be deemed to represent all of our future cash requirements, which will vary based on our future needs. While the cash required to satisfy the obligations set forth in the table is reasonably determinable in advance, many other cash needs, such as raw materials costs, payroll, and taxes, are dependent on future events and are harder to predict. In addition, while the contingencies described in Note 17 of Notes to Consolidated Financial Statements are not currently anticipated to have a material adverse effect on our Company, there can be no assurance that this may not change. Subject to the foregoing, we currently expect that cash from operations and the other sources of liquidity described above will be sufficient to enable us to meet the foregoing cash obligations, as well as to meet our other cash requirements.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4" w:lineRule="exact"/>
        <w:rPr>
          <w:sz w:val="20"/>
          <w:szCs w:val="20"/>
          <w:color w:val="auto"/>
        </w:rPr>
      </w:pPr>
    </w:p>
    <w:p>
      <w:pPr>
        <w:ind w:right="880" w:firstLine="648"/>
        <w:spacing w:after="0" w:line="246" w:lineRule="auto"/>
        <w:rPr>
          <w:sz w:val="20"/>
          <w:szCs w:val="20"/>
          <w:color w:val="auto"/>
        </w:rPr>
      </w:pPr>
      <w:r>
        <w:rPr>
          <w:rFonts w:ascii="Arial" w:cs="Arial" w:eastAsia="Arial" w:hAnsi="Arial"/>
          <w:sz w:val="18"/>
          <w:szCs w:val="18"/>
          <w:color w:val="auto"/>
        </w:rPr>
        <w:t>The information set forth above may be found under Item 8. Financial Statements and Supplementary Data, Note 1, which is incorporated herein by reference.</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Estimates</w:t>
      </w:r>
    </w:p>
    <w:p>
      <w:pPr>
        <w:spacing w:after="0" w:line="193" w:lineRule="exact"/>
        <w:rPr>
          <w:sz w:val="20"/>
          <w:szCs w:val="20"/>
          <w:color w:val="auto"/>
        </w:rPr>
      </w:pPr>
    </w:p>
    <w:p>
      <w:pPr>
        <w:ind w:right="40" w:firstLine="648"/>
        <w:spacing w:after="0" w:line="246" w:lineRule="auto"/>
        <w:rPr>
          <w:sz w:val="20"/>
          <w:szCs w:val="20"/>
          <w:color w:val="auto"/>
        </w:rPr>
      </w:pPr>
      <w:r>
        <w:rPr>
          <w:rFonts w:ascii="Arial" w:cs="Arial" w:eastAsia="Arial" w:hAnsi="Arial"/>
          <w:sz w:val="18"/>
          <w:szCs w:val="18"/>
          <w:color w:val="auto"/>
        </w:rPr>
        <w:t>For the discussion of our accounting policies, see Item 8. Financial Statements and Supplementary Data, Note 1, which is incorporated herein by reference. The preparation of financial statements in conformity with</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9" w:name="page40"/>
    <w:bookmarkEnd w:id="39"/>
    <w:p>
      <w:pPr>
        <w:jc w:val="both"/>
        <w:ind w:right="560"/>
        <w:spacing w:after="0" w:line="234" w:lineRule="auto"/>
        <w:rPr>
          <w:sz w:val="20"/>
          <w:szCs w:val="20"/>
          <w:color w:val="auto"/>
        </w:rPr>
      </w:pPr>
      <w:r>
        <w:rPr>
          <w:rFonts w:ascii="Arial" w:cs="Arial" w:eastAsia="Arial" w:hAnsi="Arial"/>
          <w:sz w:val="18"/>
          <w:szCs w:val="18"/>
          <w:color w:val="auto"/>
        </w:rPr>
        <w:t>accounting principles generally accepted in the United States of America requires management to make assumptions and estimates that directly affect the amounts reported in the Consolidated Financial Statements. Each of these assumptions is subject to uncertainties and changes in those assumptions or judgments can affect our results of operations. In addition to the accounting policies stated in Item 8.</w:t>
      </w:r>
    </w:p>
    <w:p>
      <w:pPr>
        <w:spacing w:after="0" w:line="1"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color w:val="auto"/>
        </w:rPr>
        <w:t>Financial Statements and Supplementary Data, Note 1, financial statement amounts and disclosures are significantly influenced by market factors, judgments and estimates as described below.</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07"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Products and services provided under long-term contracts represent a significant portion of sales in the Albany Engineered Composites segment. We have a contract with a major customer for which revenue is recognized under a cost plus fixed fee arrangement. We also have fixed price long-term contracts, for which we use the percentage of completion (actual cost to estimated cost) method. That method requires significant judgment and estimation, which could be considerably different if the underlying circumstances were to change. When adjustments in estimated contract revenues or costs are required, any changes from prior estimates are included in earnings in the period the change occurs. For contracts with anticipated losses at completion, a provision for the entire amount of the estimated remaining loss is charged against income in the period in which the loss becomes known. Contract losses are determined considering all direct and indirect contract costs, exclusive of any selling, general or administrative cost allocations that are treated as period expenses.</w:t>
      </w:r>
    </w:p>
    <w:p>
      <w:pPr>
        <w:spacing w:after="0" w:line="168" w:lineRule="exact"/>
        <w:rPr>
          <w:sz w:val="20"/>
          <w:szCs w:val="20"/>
          <w:color w:val="auto"/>
        </w:rPr>
      </w:pPr>
    </w:p>
    <w:p>
      <w:pPr>
        <w:ind w:right="60" w:firstLine="648"/>
        <w:spacing w:after="0" w:line="237" w:lineRule="auto"/>
        <w:rPr>
          <w:sz w:val="20"/>
          <w:szCs w:val="20"/>
          <w:color w:val="auto"/>
        </w:rPr>
      </w:pPr>
      <w:r>
        <w:rPr>
          <w:rFonts w:ascii="Arial" w:cs="Arial" w:eastAsia="Arial" w:hAnsi="Arial"/>
          <w:sz w:val="18"/>
          <w:szCs w:val="18"/>
          <w:color w:val="auto"/>
        </w:rPr>
        <w:t xml:space="preserve">The Albany Engineered Composites segment also has some long-term aerospace contracts under which there are two phases: a phase during which the production part is designed and tested, and a phase of supplying production parts. Certain costs are capitalized during the first phase, such as costs for engineering, equipment, and inventory, where recovery is probable. Revenue will be recognized during the second phase using a percentage of completion (units of delivery) method. Accumulated capitalized costs are written-off when those costs are determined to be unrecoverable. Also, refer to information under </w:t>
      </w:r>
      <w:r>
        <w:rPr>
          <w:rFonts w:ascii="Arial" w:cs="Arial" w:eastAsia="Arial" w:hAnsi="Arial"/>
          <w:sz w:val="18"/>
          <w:szCs w:val="18"/>
          <w:i w:val="1"/>
          <w:iCs w:val="1"/>
          <w:color w:val="auto"/>
        </w:rPr>
        <w:t>Long-term Contracts</w:t>
      </w:r>
      <w:r>
        <w:rPr>
          <w:rFonts w:ascii="Arial" w:cs="Arial" w:eastAsia="Arial" w:hAnsi="Arial"/>
          <w:sz w:val="18"/>
          <w:szCs w:val="18"/>
          <w:color w:val="auto"/>
        </w:rPr>
        <w:t xml:space="preserve"> in Item 7, </w:t>
      </w:r>
      <w:r>
        <w:rPr>
          <w:rFonts w:ascii="Arial" w:cs="Arial" w:eastAsia="Arial" w:hAnsi="Arial"/>
          <w:sz w:val="18"/>
          <w:szCs w:val="18"/>
          <w:i w:val="1"/>
          <w:iCs w:val="1"/>
          <w:color w:val="auto"/>
        </w:rPr>
        <w:t>Management’s Discussion and Analysis</w:t>
      </w:r>
      <w:r>
        <w:rPr>
          <w:rFonts w:ascii="Arial" w:cs="Arial" w:eastAsia="Arial" w:hAnsi="Arial"/>
          <w:sz w:val="18"/>
          <w:szCs w:val="18"/>
          <w:color w:val="auto"/>
        </w:rPr>
        <w:t xml:space="preserve"> of this Form 10-K, which is incorporated herein by reference.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 Care Liabilities</w:t>
      </w:r>
    </w:p>
    <w:p>
      <w:pPr>
        <w:spacing w:after="0" w:line="207" w:lineRule="exact"/>
        <w:rPr>
          <w:sz w:val="20"/>
          <w:szCs w:val="20"/>
          <w:color w:val="auto"/>
        </w:rPr>
      </w:pPr>
    </w:p>
    <w:p>
      <w:pPr>
        <w:ind w:right="60" w:firstLine="648"/>
        <w:spacing w:after="0" w:line="237" w:lineRule="auto"/>
        <w:rPr>
          <w:sz w:val="20"/>
          <w:szCs w:val="20"/>
          <w:color w:val="auto"/>
        </w:rPr>
      </w:pPr>
      <w:r>
        <w:rPr>
          <w:rFonts w:ascii="Arial" w:cs="Arial" w:eastAsia="Arial" w:hAnsi="Arial"/>
          <w:sz w:val="18"/>
          <w:szCs w:val="18"/>
          <w:color w:val="auto"/>
        </w:rPr>
        <w:t>The Company is self-insured for some employee and business risks, including health care and workers’ compensation programs in the United States. Expenses under all of these programs are accrued based on estimates of the ultimate liability for claims reported and an estimate of claims incurred but not reported, with assistance from third-party actuaries and service providers. However, these liabilities are difficult to assess and estimate due to unknown factors, including the severity of an illness or injury and the number of incidents not reported. The accruals are based upon known facts and historical trends, and management believes such accruals to be adequate. If actual results significantly differ from estimates used to calculate the liability, the Company’s financial condition, results of operations and cash flows could be materially impacted by expenses for these programs, as well as higher stop-loss premiums in future periods.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and Postretirement Liabilities</w:t>
      </w:r>
    </w:p>
    <w:p>
      <w:pPr>
        <w:spacing w:after="0" w:line="193" w:lineRule="exact"/>
        <w:rPr>
          <w:sz w:val="20"/>
          <w:szCs w:val="20"/>
          <w:color w:val="auto"/>
        </w:rPr>
      </w:pPr>
    </w:p>
    <w:p>
      <w:pPr>
        <w:ind w:right="60" w:firstLine="648"/>
        <w:spacing w:after="0" w:line="237" w:lineRule="auto"/>
        <w:rPr>
          <w:sz w:val="20"/>
          <w:szCs w:val="20"/>
          <w:color w:val="auto"/>
        </w:rPr>
      </w:pPr>
      <w:r>
        <w:rPr>
          <w:rFonts w:ascii="Arial" w:cs="Arial" w:eastAsia="Arial" w:hAnsi="Arial"/>
          <w:sz w:val="18"/>
          <w:szCs w:val="18"/>
          <w:color w:val="auto"/>
        </w:rPr>
        <w:t>The Company has pension and postretirement benefit costs and liabilities that are developed from actuarial valuations. Inherent in these valuations are key assumptions, including discount rates and expected return on plan assets, which are updated on an annual basis. As of December 31, 2016, total liabilities under our defined benefit pension plans (including unfunded plans) exceeded plan assets by $30.2 million, of which $17.2 million was for plans outside of the U.S. Additionally, at December 31, 2016, other postretirement liabilities totaled $57.5 million, substantially all of which related to our U.S. plan. As of December 31, 2016, we have unrecognized pretax net losses of $73.0 million for pension plans and $3.9 million for other postretirement benefit plans that may be amortized into earnings in future periods.</w:t>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40" w:name="page41"/>
    <w:bookmarkEnd w:id="40"/>
    <w:p>
      <w:pPr>
        <w:ind w:right="80" w:firstLine="648"/>
        <w:spacing w:after="0" w:line="237" w:lineRule="auto"/>
        <w:rPr>
          <w:sz w:val="20"/>
          <w:szCs w:val="20"/>
          <w:color w:val="auto"/>
        </w:rPr>
      </w:pPr>
      <w:r>
        <w:rPr>
          <w:rFonts w:ascii="Arial" w:cs="Arial" w:eastAsia="Arial" w:hAnsi="Arial"/>
          <w:sz w:val="18"/>
          <w:szCs w:val="18"/>
          <w:color w:val="auto"/>
        </w:rPr>
        <w:t>We are required to consider current market conditions, including changes in interest rates, in making these assumptions. For 2017, we anticipate pension contributions and direct payments to retirees to total $3.7 million, and payments for other postretirement benefit plans to be $4.2 million. Changes in the related pension and other postretirement benefit costs or credits may occur in the future due to changes in the assumptions. The amount of annual pension plan funding and annual expense is subject to many variables, including the investment return on pension plan assets and interest rates, and actual contributions could vary significantly. Assumptions used for determining pension plan liabilities and expenses are evaluated and updated at least annually.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07" w:lineRule="exact"/>
        <w:rPr>
          <w:sz w:val="20"/>
          <w:szCs w:val="20"/>
          <w:color w:val="auto"/>
        </w:rPr>
      </w:pPr>
    </w:p>
    <w:p>
      <w:pPr>
        <w:ind w:right="100" w:firstLine="648"/>
        <w:spacing w:after="0" w:line="237" w:lineRule="auto"/>
        <w:rPr>
          <w:sz w:val="20"/>
          <w:szCs w:val="20"/>
          <w:color w:val="auto"/>
        </w:rPr>
      </w:pPr>
      <w:r>
        <w:rPr>
          <w:rFonts w:ascii="Arial" w:cs="Arial" w:eastAsia="Arial" w:hAnsi="Arial"/>
          <w:sz w:val="18"/>
          <w:szCs w:val="18"/>
          <w:color w:val="auto"/>
        </w:rPr>
        <w:t>In the ordinary course of business there is inherent uncertainty in determining assets and liabilities related to income tax balances. We exercise significant judgment in order to estimate taxes payable or receivable in future periods. Tax-related balances may also be impacted by organizational changes or changes in the tax laws of any country in which we operate. We assess our income tax positions and record tax assets and liabilities for all years subject to examination based upon management's evaluation of the facts, circumstances, and information available at the reporting date. For those tax positions where it is more likely than not that a tax benefit will be sustained, we have determined the amount of the tax benefit to be recognized by estimating the largest amount of tax benefit that has a greater than 50% likelihood of being realized upon ultimate settlement with a taxing authority that has full knowledge of all relevant information.</w:t>
      </w:r>
    </w:p>
    <w:p>
      <w:pPr>
        <w:spacing w:after="0" w:line="163"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Deferred tax assets are expected to be realized through the reversal of existing temporary differences and future taxable income. A valuation allowance is established, as needed, to reduce net deferred tax assets to the amount expected to be realized. In the event it becomes more likely than not that some or all of the deferred tax asset allowances will not be needed, the valuation allowance will be adjusted.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07"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We have contingent liabilities for litigation, claims, and assessments that result from the ordinary course of business. These matters are more fully described in Note 17 of the Consolidated Financial Statements in Item 8.</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Assets and Liabilities</w:t>
      </w:r>
    </w:p>
    <w:p>
      <w:pPr>
        <w:spacing w:after="0" w:line="193" w:lineRule="exact"/>
        <w:rPr>
          <w:sz w:val="20"/>
          <w:szCs w:val="20"/>
          <w:color w:val="auto"/>
        </w:rPr>
      </w:pPr>
    </w:p>
    <w:p>
      <w:pPr>
        <w:ind w:right="60" w:firstLine="648"/>
        <w:spacing w:after="0" w:line="238" w:lineRule="auto"/>
        <w:rPr>
          <w:sz w:val="20"/>
          <w:szCs w:val="20"/>
          <w:color w:val="auto"/>
        </w:rPr>
      </w:pPr>
      <w:r>
        <w:rPr>
          <w:rFonts w:ascii="Arial" w:cs="Arial" w:eastAsia="Arial" w:hAnsi="Arial"/>
          <w:sz w:val="18"/>
          <w:szCs w:val="18"/>
          <w:color w:val="auto"/>
        </w:rPr>
        <w:t>We have certain financial assets and liabilities that are measured at fair value on a recurring basis, in accordance with the applicable accounting guidance. Fair values are based on assumptions that market participants would use in pricing an asset or liability, which include review of observable inputs, market quotes, and assumptions of expected cash flows. In certain cases this determination of value may require some level of valuation analysis, interpretation of information, and judgment. As these key observable inputs and assumptions change in future periods, the Company will update its valuation to reflect market conditions.</w:t>
      </w:r>
    </w:p>
    <w:p>
      <w:pPr>
        <w:spacing w:after="0" w:line="176" w:lineRule="exact"/>
        <w:rPr>
          <w:sz w:val="20"/>
          <w:szCs w:val="20"/>
          <w:color w:val="auto"/>
        </w:rPr>
      </w:pPr>
    </w:p>
    <w:p>
      <w:pPr>
        <w:ind w:right="80" w:firstLine="648"/>
        <w:spacing w:after="0" w:line="253" w:lineRule="auto"/>
        <w:rPr>
          <w:sz w:val="20"/>
          <w:szCs w:val="20"/>
          <w:color w:val="auto"/>
        </w:rPr>
      </w:pPr>
      <w:r>
        <w:rPr>
          <w:rFonts w:ascii="Arial" w:cs="Arial" w:eastAsia="Arial" w:hAnsi="Arial"/>
          <w:sz w:val="17"/>
          <w:szCs w:val="17"/>
          <w:color w:val="auto"/>
        </w:rPr>
        <w:t>We may enter into hedging transactions from time to time in order to mitigate volatility in cash flows, which can be caused by changes in interest rates or currency exchange rates. To qualify for hedge accounting under the applicable accounting guidance, the hedging relationship between the hedging instrument and the hedged item must be effective in achieving the offset of changes that are attributable to the hedged risk, both at the inception of the hedge and on a continuing basis until maturity or settlement of the hedging instrument. Hedge effectiveness, which would be tested by the Company periodically, is dependent upon market factors and changes in currency exchange rates, which are unpredictable. Any gains or losses related to the ineffective portion of the hedge will be recognized in the current period in earnings.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193" w:lineRule="exact"/>
        <w:rPr>
          <w:sz w:val="20"/>
          <w:szCs w:val="20"/>
          <w:color w:val="auto"/>
        </w:rPr>
      </w:pPr>
    </w:p>
    <w:p>
      <w:pPr>
        <w:ind w:right="200" w:firstLine="648"/>
        <w:spacing w:after="0" w:line="246" w:lineRule="auto"/>
        <w:rPr>
          <w:sz w:val="20"/>
          <w:szCs w:val="20"/>
          <w:color w:val="auto"/>
        </w:rPr>
      </w:pPr>
      <w:r>
        <w:rPr>
          <w:rFonts w:ascii="Arial" w:cs="Arial" w:eastAsia="Arial" w:hAnsi="Arial"/>
          <w:sz w:val="18"/>
          <w:szCs w:val="18"/>
          <w:color w:val="auto"/>
        </w:rPr>
        <w:t>Goodwill is not amortized, but is tested for impairment at least annually. Estimating the fair value of reporting units requires the use of estimates and significant</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41" w:name="page42"/>
    <w:bookmarkEnd w:id="41"/>
    <w:p>
      <w:pPr>
        <w:ind w:right="400"/>
        <w:spacing w:after="0" w:line="245" w:lineRule="auto"/>
        <w:rPr>
          <w:sz w:val="20"/>
          <w:szCs w:val="20"/>
          <w:color w:val="auto"/>
        </w:rPr>
      </w:pPr>
      <w:r>
        <w:rPr>
          <w:rFonts w:ascii="Arial" w:cs="Arial" w:eastAsia="Arial" w:hAnsi="Arial"/>
          <w:sz w:val="18"/>
          <w:szCs w:val="18"/>
          <w:color w:val="auto"/>
        </w:rPr>
        <w:t>judgments that are based on a number of factors including actual operating results. It is possible that these judgments and estimates could change in future periods.</w:t>
      </w:r>
    </w:p>
    <w:p>
      <w:pPr>
        <w:spacing w:after="0" w:line="157" w:lineRule="exact"/>
        <w:rPr>
          <w:sz w:val="20"/>
          <w:szCs w:val="20"/>
          <w:color w:val="auto"/>
        </w:rPr>
      </w:pPr>
    </w:p>
    <w:p>
      <w:pPr>
        <w:ind w:right="300" w:firstLine="648"/>
        <w:spacing w:after="0" w:line="239" w:lineRule="auto"/>
        <w:rPr>
          <w:sz w:val="20"/>
          <w:szCs w:val="20"/>
          <w:color w:val="auto"/>
        </w:rPr>
      </w:pPr>
      <w:r>
        <w:rPr>
          <w:rFonts w:ascii="Arial" w:cs="Arial" w:eastAsia="Arial" w:hAnsi="Arial"/>
          <w:sz w:val="18"/>
          <w:szCs w:val="18"/>
          <w:color w:val="auto"/>
        </w:rPr>
        <w:t>The determination of the fair value of intangible assets and liabilities acquired in a business acquisition, including the Company’s acquisition in 2016, is subject to many estimates and assumptions. We review amortizable intangible asset groups for impairment whenever events or changes in circumstances indicate that the related carrying amounts may not be recoverable. Determining whether an impairment loss occurred requires comparing the carrying amount to the sum of undiscounted cash flows expected to be generated by the asset.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93" w:lineRule="exact"/>
        <w:rPr>
          <w:sz w:val="20"/>
          <w:szCs w:val="20"/>
          <w:color w:val="auto"/>
        </w:rPr>
      </w:pPr>
    </w:p>
    <w:p>
      <w:pPr>
        <w:ind w:right="200" w:firstLine="648"/>
        <w:spacing w:after="0" w:line="238" w:lineRule="auto"/>
        <w:rPr>
          <w:sz w:val="20"/>
          <w:szCs w:val="20"/>
          <w:color w:val="auto"/>
        </w:rPr>
      </w:pPr>
      <w:r>
        <w:rPr>
          <w:rFonts w:ascii="Arial" w:cs="Arial" w:eastAsia="Arial" w:hAnsi="Arial"/>
          <w:sz w:val="18"/>
          <w:szCs w:val="18"/>
          <w:color w:val="auto"/>
        </w:rPr>
        <w:t>This Form 10-K contains certain non-GAAP metrics, including: percent change in net sales excluding currency rate effects (for each segment and the Company as a whole); EBITDA and Adjusted EBITDA (for each segment and the Company as a whole); net debt; and net income per share attributable to the Company, excluding adjustments. Such items are provided because management believes that, when presented together with the GAAP items to which they relate, they provide additional useful information to investors regarding the Company’s operational performance.</w:t>
      </w:r>
    </w:p>
    <w:p>
      <w:pPr>
        <w:spacing w:after="0" w:line="162" w:lineRule="exact"/>
        <w:rPr>
          <w:sz w:val="20"/>
          <w:szCs w:val="20"/>
          <w:color w:val="auto"/>
        </w:rPr>
      </w:pPr>
    </w:p>
    <w:p>
      <w:pPr>
        <w:ind w:right="40" w:firstLine="648"/>
        <w:spacing w:after="0" w:line="236" w:lineRule="auto"/>
        <w:rPr>
          <w:sz w:val="20"/>
          <w:szCs w:val="20"/>
          <w:color w:val="auto"/>
        </w:rPr>
      </w:pPr>
      <w:r>
        <w:rPr>
          <w:rFonts w:ascii="Arial" w:cs="Arial" w:eastAsia="Arial" w:hAnsi="Arial"/>
          <w:sz w:val="18"/>
          <w:szCs w:val="18"/>
          <w:color w:val="auto"/>
        </w:rPr>
        <w:t>Presenting increases or decreases in sales, after currency effects are excluded, can give management and investors insight into underlying sales trends. EBITDA, or net income with interest, taxes, depreciation, and amortization added back, is a common indicator of financial performance used, among other things, to analyze and compare core profitability between companies and industries because it eliminates effects due to differences in financing, asset bases and taxes. An understanding of the impact in a particular period of specific restructuring costs, acquisition expenses, currency revaluation, or other gains and losses, on net income (absolute as well as on a per-share basis), operating income or EBITDA can give management and investors additional insight into core financial performance, especially when compared to periods in which such items had a greater or lesser effect, or no effect. Restructuring expenses in the MC segment, while frequent in recent years, are reflective of significant reductions in manufacturing capacity and associated headcount in response to shifting markets, and not of the profitability of the business going forward as restructured. Net debt is, in the opinion of the Company, helpful to investors wishing to understand what the Company’s debt position would be if all available cash were applied to pay down indebtedness. EBITDA, Adjusted EBITDA, and net income per share attributable to the Company, excluding adjustments, are performance measures that relate to the Company’s continuing operations.</w:t>
      </w:r>
    </w:p>
    <w:p>
      <w:pPr>
        <w:spacing w:after="0" w:line="191" w:lineRule="exact"/>
        <w:rPr>
          <w:sz w:val="20"/>
          <w:szCs w:val="20"/>
          <w:color w:val="auto"/>
        </w:rPr>
      </w:pPr>
    </w:p>
    <w:p>
      <w:pPr>
        <w:ind w:right="60" w:firstLine="648"/>
        <w:spacing w:after="0" w:line="236" w:lineRule="auto"/>
        <w:rPr>
          <w:sz w:val="20"/>
          <w:szCs w:val="20"/>
          <w:color w:val="auto"/>
        </w:rPr>
      </w:pPr>
      <w:r>
        <w:rPr>
          <w:rFonts w:ascii="Arial" w:cs="Arial" w:eastAsia="Arial" w:hAnsi="Arial"/>
          <w:sz w:val="18"/>
          <w:szCs w:val="18"/>
          <w:color w:val="auto"/>
        </w:rPr>
        <w:t>Percent changes in net sales, excluding currency rate effects, are calculated by converting amounts reported in local currencies into U.S. dollars at the exchange rate of a prior period. That amount is then compared to the U.S. dollar amount reported in the current period. The Company calculates EBITDA by removing the following from Net income: Interest expense net, Income tax expense, and Depreciation and amortization. Adjusted EBITDA is calculated by: adding to EBITDA costs associated with restructuring and pension settlement charges; adding (or subtracting) revaluation losses (or gains); subtracting (or adding) gains (or losses) from the sale of buildings or investments; subtracting insurance recovery gains; subtracting (or adding) Income (or loss) attributable to the non-controlling interest in Albany Safran Composites (ASC); and adding expenses related to the Company’s acquisition of Harris Corporation’s composite aerostructures division. Net income per share attributable to the Company, excluding adjustments, is calculated by adding to (or subtracting from) net income attributable to the Company per share, on an after-tax basis: restructuring charges; discrete tax charges (or gains) and the effect of changes in the income tax rate; foreign currency revaluation losses (or gains); acquisition expenses; and losses (or gains) from the sale of investments.</w:t>
      </w:r>
    </w:p>
    <w:p>
      <w:pPr>
        <w:spacing w:after="0" w:line="193" w:lineRule="exact"/>
        <w:rPr>
          <w:sz w:val="20"/>
          <w:szCs w:val="20"/>
          <w:color w:val="auto"/>
        </w:rPr>
      </w:pPr>
    </w:p>
    <w:p>
      <w:pPr>
        <w:ind w:right="20" w:firstLine="648"/>
        <w:spacing w:after="0" w:line="246" w:lineRule="auto"/>
        <w:rPr>
          <w:sz w:val="20"/>
          <w:szCs w:val="20"/>
          <w:color w:val="auto"/>
        </w:rPr>
      </w:pPr>
      <w:r>
        <w:rPr>
          <w:rFonts w:ascii="Arial" w:cs="Arial" w:eastAsia="Arial" w:hAnsi="Arial"/>
          <w:sz w:val="18"/>
          <w:szCs w:val="18"/>
          <w:color w:val="auto"/>
        </w:rPr>
        <w:t>EBITDA, Adjusted EBITDA, and net income per share attributable to the Company, excluding adjustments, as defined by the Company, may not be similar to EBITDA measures for other companies. Such</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42" w:name="page43"/>
    <w:bookmarkEnd w:id="42"/>
    <w:p>
      <w:pPr>
        <w:ind w:right="40"/>
        <w:spacing w:after="0" w:line="245" w:lineRule="auto"/>
        <w:rPr>
          <w:sz w:val="20"/>
          <w:szCs w:val="20"/>
          <w:color w:val="auto"/>
        </w:rPr>
      </w:pPr>
      <w:r>
        <w:rPr>
          <w:rFonts w:ascii="Arial" w:cs="Arial" w:eastAsia="Arial" w:hAnsi="Arial"/>
          <w:sz w:val="18"/>
          <w:szCs w:val="18"/>
          <w:color w:val="auto"/>
        </w:rPr>
        <w:t>measures are not considered measurements under GAAP, and should be considered in addition to, but not as substitutes for, the information in the Company’s Consolidated Statements of Income.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show the calculation of EBITDA and Adjusted EBITDA: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3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Consolidated results</w:t>
            </w:r>
          </w:p>
        </w:tc>
        <w:tc>
          <w:tcPr>
            <w:tcW w:w="188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2"/>
          </w:tcPr>
          <w:p>
            <w:pPr>
              <w:jc w:val="right"/>
              <w:ind w:right="730"/>
              <w:spacing w:after="0"/>
              <w:rPr>
                <w:sz w:val="20"/>
                <w:szCs w:val="20"/>
                <w:color w:val="auto"/>
              </w:rPr>
            </w:pPr>
            <w:r>
              <w:rPr>
                <w:rFonts w:ascii="Arial" w:cs="Arial" w:eastAsia="Arial" w:hAnsi="Arial"/>
                <w:sz w:val="18"/>
                <w:szCs w:val="18"/>
                <w:b w:val="1"/>
                <w:bCs w:val="1"/>
                <w:color w:val="auto"/>
              </w:rPr>
              <w:t>(in thousands)</w:t>
            </w: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99"/>
        </w:trPr>
        <w:tc>
          <w:tcPr>
            <w:tcW w:w="53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Years ended December 31,</w:t>
            </w:r>
          </w:p>
        </w:tc>
        <w:tc>
          <w:tcPr>
            <w:tcW w:w="1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12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b w:val="1"/>
                <w:bCs w:val="1"/>
                <w:color w:val="auto"/>
              </w:rPr>
              <w:t>2015</w:t>
            </w:r>
          </w:p>
        </w:tc>
        <w:tc>
          <w:tcPr>
            <w:tcW w:w="12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173"/>
        </w:trPr>
        <w:tc>
          <w:tcPr>
            <w:tcW w:w="5340" w:type="dxa"/>
            <w:vAlign w:val="bottom"/>
          </w:tcPr>
          <w:p>
            <w:pPr>
              <w:ind w:left="100"/>
              <w:spacing w:after="0" w:line="173" w:lineRule="exact"/>
              <w:rPr>
                <w:sz w:val="20"/>
                <w:szCs w:val="20"/>
                <w:color w:val="auto"/>
              </w:rPr>
            </w:pPr>
            <w:r>
              <w:rPr>
                <w:rFonts w:ascii="Arial" w:cs="Arial" w:eastAsia="Arial" w:hAnsi="Arial"/>
                <w:sz w:val="18"/>
                <w:szCs w:val="18"/>
                <w:color w:val="auto"/>
              </w:rPr>
              <w:t>Operating income (GAAP)</w:t>
            </w:r>
          </w:p>
        </w:tc>
        <w:tc>
          <w:tcPr>
            <w:tcW w:w="1880" w:type="dxa"/>
            <w:vAlign w:val="bottom"/>
          </w:tcPr>
          <w:p>
            <w:pPr>
              <w:jc w:val="right"/>
              <w:spacing w:after="0" w:line="173" w:lineRule="exact"/>
              <w:rPr>
                <w:sz w:val="20"/>
                <w:szCs w:val="20"/>
                <w:color w:val="auto"/>
              </w:rPr>
            </w:pPr>
            <w:r>
              <w:rPr>
                <w:rFonts w:ascii="Arial" w:cs="Arial" w:eastAsia="Arial" w:hAnsi="Arial"/>
                <w:sz w:val="18"/>
                <w:szCs w:val="18"/>
                <w:b w:val="1"/>
                <w:bCs w:val="1"/>
                <w:color w:val="auto"/>
              </w:rPr>
              <w:t>$91,776</w:t>
            </w:r>
          </w:p>
        </w:tc>
        <w:tc>
          <w:tcPr>
            <w:tcW w:w="1200" w:type="dxa"/>
            <w:vAlign w:val="bottom"/>
          </w:tcPr>
          <w:p>
            <w:pPr>
              <w:spacing w:after="0"/>
              <w:rPr>
                <w:sz w:val="15"/>
                <w:szCs w:val="15"/>
                <w:color w:val="auto"/>
              </w:rPr>
            </w:pPr>
          </w:p>
        </w:tc>
        <w:tc>
          <w:tcPr>
            <w:tcW w:w="1760" w:type="dxa"/>
            <w:vAlign w:val="bottom"/>
          </w:tcPr>
          <w:p>
            <w:pPr>
              <w:jc w:val="right"/>
              <w:ind w:right="810"/>
              <w:spacing w:after="0" w:line="173" w:lineRule="exact"/>
              <w:rPr>
                <w:sz w:val="20"/>
                <w:szCs w:val="20"/>
                <w:color w:val="auto"/>
              </w:rPr>
            </w:pPr>
            <w:r>
              <w:rPr>
                <w:rFonts w:ascii="Arial" w:cs="Arial" w:eastAsia="Arial" w:hAnsi="Arial"/>
                <w:sz w:val="18"/>
                <w:szCs w:val="18"/>
                <w:color w:val="auto"/>
              </w:rPr>
              <w:t>$63,895</w:t>
            </w:r>
          </w:p>
        </w:tc>
        <w:tc>
          <w:tcPr>
            <w:tcW w:w="1240" w:type="dxa"/>
            <w:vAlign w:val="bottom"/>
          </w:tcPr>
          <w:p>
            <w:pPr>
              <w:jc w:val="right"/>
              <w:ind w:right="10"/>
              <w:spacing w:after="0" w:line="173" w:lineRule="exact"/>
              <w:rPr>
                <w:sz w:val="20"/>
                <w:szCs w:val="20"/>
                <w:color w:val="auto"/>
              </w:rPr>
            </w:pPr>
            <w:r>
              <w:rPr>
                <w:rFonts w:ascii="Arial" w:cs="Arial" w:eastAsia="Arial" w:hAnsi="Arial"/>
                <w:sz w:val="18"/>
                <w:szCs w:val="18"/>
                <w:color w:val="auto"/>
              </w:rPr>
              <w:t>$71,360</w:t>
            </w:r>
          </w:p>
        </w:tc>
        <w:tc>
          <w:tcPr>
            <w:tcW w:w="0" w:type="dxa"/>
            <w:vAlign w:val="bottom"/>
          </w:tcPr>
          <w:p>
            <w:pPr>
              <w:spacing w:after="0"/>
              <w:rPr>
                <w:sz w:val="1"/>
                <w:szCs w:val="1"/>
                <w:color w:val="auto"/>
              </w:rPr>
            </w:pPr>
          </w:p>
        </w:tc>
      </w:tr>
      <w:tr>
        <w:trPr>
          <w:trHeight w:val="225"/>
        </w:trPr>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Interest, taxes, other income/expense</w:t>
            </w:r>
          </w:p>
        </w:tc>
        <w:tc>
          <w:tcPr>
            <w:tcW w:w="3080" w:type="dxa"/>
            <w:vAlign w:val="bottom"/>
            <w:tcBorders>
              <w:bottom w:val="single" w:sz="8" w:color="auto"/>
            </w:tcBorders>
            <w:gridSpan w:val="2"/>
          </w:tcPr>
          <w:p>
            <w:pPr>
              <w:jc w:val="right"/>
              <w:ind w:right="1050"/>
              <w:spacing w:after="0"/>
              <w:rPr>
                <w:sz w:val="20"/>
                <w:szCs w:val="20"/>
                <w:color w:val="auto"/>
              </w:rPr>
            </w:pPr>
            <w:r>
              <w:rPr>
                <w:rFonts w:ascii="Arial" w:cs="Arial" w:eastAsia="Arial" w:hAnsi="Arial"/>
                <w:sz w:val="18"/>
                <w:szCs w:val="18"/>
                <w:b w:val="1"/>
                <w:bCs w:val="1"/>
                <w:color w:val="auto"/>
              </w:rPr>
              <w:t>(38,964)</w:t>
            </w:r>
          </w:p>
        </w:tc>
        <w:tc>
          <w:tcPr>
            <w:tcW w:w="17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(6,630)</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(29,611)</w:t>
            </w:r>
          </w:p>
        </w:tc>
        <w:tc>
          <w:tcPr>
            <w:tcW w:w="0" w:type="dxa"/>
            <w:vAlign w:val="bottom"/>
          </w:tcPr>
          <w:p>
            <w:pPr>
              <w:spacing w:after="0"/>
              <w:rPr>
                <w:sz w:val="1"/>
                <w:szCs w:val="1"/>
                <w:color w:val="auto"/>
              </w:rPr>
            </w:pPr>
          </w:p>
        </w:tc>
      </w:tr>
      <w:tr>
        <w:trPr>
          <w:trHeight w:val="173"/>
        </w:trPr>
        <w:tc>
          <w:tcPr>
            <w:tcW w:w="5340" w:type="dxa"/>
            <w:vAlign w:val="bottom"/>
          </w:tcPr>
          <w:p>
            <w:pPr>
              <w:ind w:left="100"/>
              <w:spacing w:after="0" w:line="173" w:lineRule="exact"/>
              <w:rPr>
                <w:sz w:val="20"/>
                <w:szCs w:val="20"/>
                <w:color w:val="auto"/>
              </w:rPr>
            </w:pPr>
            <w:r>
              <w:rPr>
                <w:rFonts w:ascii="Arial" w:cs="Arial" w:eastAsia="Arial" w:hAnsi="Arial"/>
                <w:sz w:val="18"/>
                <w:szCs w:val="18"/>
                <w:color w:val="auto"/>
              </w:rPr>
              <w:t>Net income (GAAP)</w:t>
            </w:r>
          </w:p>
        </w:tc>
        <w:tc>
          <w:tcPr>
            <w:tcW w:w="1880" w:type="dxa"/>
            <w:vAlign w:val="bottom"/>
          </w:tcPr>
          <w:p>
            <w:pPr>
              <w:jc w:val="right"/>
              <w:spacing w:after="0" w:line="173" w:lineRule="exact"/>
              <w:rPr>
                <w:sz w:val="20"/>
                <w:szCs w:val="20"/>
                <w:color w:val="auto"/>
              </w:rPr>
            </w:pPr>
            <w:r>
              <w:rPr>
                <w:rFonts w:ascii="Arial" w:cs="Arial" w:eastAsia="Arial" w:hAnsi="Arial"/>
                <w:sz w:val="18"/>
                <w:szCs w:val="18"/>
                <w:b w:val="1"/>
                <w:bCs w:val="1"/>
                <w:color w:val="auto"/>
              </w:rPr>
              <w:t>52,812</w:t>
            </w:r>
          </w:p>
        </w:tc>
        <w:tc>
          <w:tcPr>
            <w:tcW w:w="1200" w:type="dxa"/>
            <w:vAlign w:val="bottom"/>
          </w:tcPr>
          <w:p>
            <w:pPr>
              <w:spacing w:after="0"/>
              <w:rPr>
                <w:sz w:val="15"/>
                <w:szCs w:val="15"/>
                <w:color w:val="auto"/>
              </w:rPr>
            </w:pPr>
          </w:p>
        </w:tc>
        <w:tc>
          <w:tcPr>
            <w:tcW w:w="1760" w:type="dxa"/>
            <w:vAlign w:val="bottom"/>
          </w:tcPr>
          <w:p>
            <w:pPr>
              <w:jc w:val="right"/>
              <w:ind w:right="810"/>
              <w:spacing w:after="0" w:line="173" w:lineRule="exact"/>
              <w:rPr>
                <w:sz w:val="20"/>
                <w:szCs w:val="20"/>
                <w:color w:val="auto"/>
              </w:rPr>
            </w:pPr>
            <w:r>
              <w:rPr>
                <w:rFonts w:ascii="Arial" w:cs="Arial" w:eastAsia="Arial" w:hAnsi="Arial"/>
                <w:sz w:val="18"/>
                <w:szCs w:val="18"/>
                <w:color w:val="auto"/>
              </w:rPr>
              <w:t>57,265</w:t>
            </w:r>
          </w:p>
        </w:tc>
        <w:tc>
          <w:tcPr>
            <w:tcW w:w="1240" w:type="dxa"/>
            <w:vAlign w:val="bottom"/>
          </w:tcPr>
          <w:p>
            <w:pPr>
              <w:jc w:val="right"/>
              <w:ind w:right="10"/>
              <w:spacing w:after="0" w:line="173" w:lineRule="exact"/>
              <w:rPr>
                <w:sz w:val="20"/>
                <w:szCs w:val="20"/>
                <w:color w:val="auto"/>
              </w:rPr>
            </w:pPr>
            <w:r>
              <w:rPr>
                <w:rFonts w:ascii="Arial" w:cs="Arial" w:eastAsia="Arial" w:hAnsi="Arial"/>
                <w:sz w:val="18"/>
                <w:szCs w:val="18"/>
                <w:color w:val="auto"/>
              </w:rPr>
              <w:t>41,749</w:t>
            </w:r>
          </w:p>
        </w:tc>
        <w:tc>
          <w:tcPr>
            <w:tcW w:w="0" w:type="dxa"/>
            <w:vAlign w:val="bottom"/>
          </w:tcPr>
          <w:p>
            <w:pPr>
              <w:spacing w:after="0"/>
              <w:rPr>
                <w:sz w:val="1"/>
                <w:szCs w:val="1"/>
                <w:color w:val="auto"/>
              </w:rPr>
            </w:pPr>
          </w:p>
        </w:tc>
      </w:tr>
      <w:tr>
        <w:trPr>
          <w:trHeight w:val="203"/>
        </w:trPr>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Interest expense, net</w:t>
            </w:r>
          </w:p>
        </w:tc>
        <w:tc>
          <w:tcPr>
            <w:tcW w:w="1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13,464</w:t>
            </w:r>
          </w:p>
        </w:tc>
        <w:tc>
          <w:tcPr>
            <w:tcW w:w="1200" w:type="dxa"/>
            <w:vAlign w:val="bottom"/>
          </w:tcPr>
          <w:p>
            <w:pPr>
              <w:spacing w:after="0"/>
              <w:rPr>
                <w:sz w:val="17"/>
                <w:szCs w:val="17"/>
                <w:color w:val="auto"/>
              </w:rPr>
            </w:pPr>
          </w:p>
        </w:tc>
        <w:tc>
          <w:tcPr>
            <w:tcW w:w="1760" w:type="dxa"/>
            <w:vAlign w:val="bottom"/>
          </w:tcPr>
          <w:p>
            <w:pPr>
              <w:jc w:val="right"/>
              <w:ind w:right="810"/>
              <w:spacing w:after="0" w:line="202" w:lineRule="exact"/>
              <w:rPr>
                <w:sz w:val="20"/>
                <w:szCs w:val="20"/>
                <w:color w:val="auto"/>
              </w:rPr>
            </w:pPr>
            <w:r>
              <w:rPr>
                <w:rFonts w:ascii="Arial" w:cs="Arial" w:eastAsia="Arial" w:hAnsi="Arial"/>
                <w:sz w:val="18"/>
                <w:szCs w:val="18"/>
                <w:color w:val="auto"/>
              </w:rPr>
              <w:t>9,984</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10,713</w:t>
            </w:r>
          </w:p>
        </w:tc>
        <w:tc>
          <w:tcPr>
            <w:tcW w:w="0" w:type="dxa"/>
            <w:vAlign w:val="bottom"/>
          </w:tcPr>
          <w:p>
            <w:pPr>
              <w:spacing w:after="0"/>
              <w:rPr>
                <w:sz w:val="1"/>
                <w:szCs w:val="1"/>
                <w:color w:val="auto"/>
              </w:rPr>
            </w:pPr>
          </w:p>
        </w:tc>
      </w:tr>
      <w:tr>
        <w:trPr>
          <w:trHeight w:val="203"/>
        </w:trPr>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Income tax expense/(benefit)</w:t>
            </w:r>
          </w:p>
        </w:tc>
        <w:tc>
          <w:tcPr>
            <w:tcW w:w="1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25,454</w:t>
            </w:r>
          </w:p>
        </w:tc>
        <w:tc>
          <w:tcPr>
            <w:tcW w:w="1200" w:type="dxa"/>
            <w:vAlign w:val="bottom"/>
          </w:tcPr>
          <w:p>
            <w:pPr>
              <w:spacing w:after="0"/>
              <w:rPr>
                <w:sz w:val="17"/>
                <w:szCs w:val="17"/>
                <w:color w:val="auto"/>
              </w:rPr>
            </w:pPr>
          </w:p>
        </w:tc>
        <w:tc>
          <w:tcPr>
            <w:tcW w:w="1760" w:type="dxa"/>
            <w:vAlign w:val="bottom"/>
          </w:tcPr>
          <w:p>
            <w:pPr>
              <w:jc w:val="right"/>
              <w:ind w:right="750"/>
              <w:spacing w:after="0" w:line="202" w:lineRule="exact"/>
              <w:rPr>
                <w:sz w:val="20"/>
                <w:szCs w:val="20"/>
                <w:color w:val="auto"/>
              </w:rPr>
            </w:pPr>
            <w:r>
              <w:rPr>
                <w:rFonts w:ascii="Arial" w:cs="Arial" w:eastAsia="Arial" w:hAnsi="Arial"/>
                <w:sz w:val="18"/>
                <w:szCs w:val="18"/>
                <w:color w:val="auto"/>
              </w:rPr>
              <w:t>(5,787)</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25,751</w:t>
            </w:r>
          </w:p>
        </w:tc>
        <w:tc>
          <w:tcPr>
            <w:tcW w:w="0" w:type="dxa"/>
            <w:vAlign w:val="bottom"/>
          </w:tcPr>
          <w:p>
            <w:pPr>
              <w:spacing w:after="0"/>
              <w:rPr>
                <w:sz w:val="1"/>
                <w:szCs w:val="1"/>
                <w:color w:val="auto"/>
              </w:rPr>
            </w:pPr>
          </w:p>
        </w:tc>
      </w:tr>
      <w:tr>
        <w:trPr>
          <w:trHeight w:val="225"/>
        </w:trPr>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Depreciation and amortization</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67,461</w:t>
            </w:r>
          </w:p>
        </w:tc>
        <w:tc>
          <w:tcPr>
            <w:tcW w:w="1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rPr>
              <w:t>60,114</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64,292</w:t>
            </w:r>
          </w:p>
        </w:tc>
        <w:tc>
          <w:tcPr>
            <w:tcW w:w="0" w:type="dxa"/>
            <w:vAlign w:val="bottom"/>
          </w:tcPr>
          <w:p>
            <w:pPr>
              <w:spacing w:after="0"/>
              <w:rPr>
                <w:sz w:val="1"/>
                <w:szCs w:val="1"/>
                <w:color w:val="auto"/>
              </w:rPr>
            </w:pPr>
          </w:p>
        </w:tc>
      </w:tr>
      <w:tr>
        <w:trPr>
          <w:trHeight w:val="173"/>
        </w:trPr>
        <w:tc>
          <w:tcPr>
            <w:tcW w:w="5340" w:type="dxa"/>
            <w:vAlign w:val="bottom"/>
          </w:tcPr>
          <w:p>
            <w:pPr>
              <w:ind w:left="100"/>
              <w:spacing w:after="0" w:line="173" w:lineRule="exact"/>
              <w:rPr>
                <w:sz w:val="20"/>
                <w:szCs w:val="20"/>
                <w:color w:val="auto"/>
              </w:rPr>
            </w:pPr>
            <w:r>
              <w:rPr>
                <w:rFonts w:ascii="Arial" w:cs="Arial" w:eastAsia="Arial" w:hAnsi="Arial"/>
                <w:sz w:val="18"/>
                <w:szCs w:val="18"/>
                <w:color w:val="auto"/>
              </w:rPr>
              <w:t>EBITDA (non-GAAP)</w:t>
            </w:r>
          </w:p>
        </w:tc>
        <w:tc>
          <w:tcPr>
            <w:tcW w:w="1880" w:type="dxa"/>
            <w:vAlign w:val="bottom"/>
          </w:tcPr>
          <w:p>
            <w:pPr>
              <w:jc w:val="right"/>
              <w:spacing w:after="0" w:line="173" w:lineRule="exact"/>
              <w:rPr>
                <w:sz w:val="20"/>
                <w:szCs w:val="20"/>
                <w:color w:val="auto"/>
              </w:rPr>
            </w:pPr>
            <w:r>
              <w:rPr>
                <w:rFonts w:ascii="Arial" w:cs="Arial" w:eastAsia="Arial" w:hAnsi="Arial"/>
                <w:sz w:val="18"/>
                <w:szCs w:val="18"/>
                <w:b w:val="1"/>
                <w:bCs w:val="1"/>
                <w:color w:val="auto"/>
              </w:rPr>
              <w:t>159,191</w:t>
            </w:r>
          </w:p>
        </w:tc>
        <w:tc>
          <w:tcPr>
            <w:tcW w:w="1200" w:type="dxa"/>
            <w:vAlign w:val="bottom"/>
          </w:tcPr>
          <w:p>
            <w:pPr>
              <w:spacing w:after="0"/>
              <w:rPr>
                <w:sz w:val="15"/>
                <w:szCs w:val="15"/>
                <w:color w:val="auto"/>
              </w:rPr>
            </w:pPr>
          </w:p>
        </w:tc>
        <w:tc>
          <w:tcPr>
            <w:tcW w:w="1760" w:type="dxa"/>
            <w:vAlign w:val="bottom"/>
          </w:tcPr>
          <w:p>
            <w:pPr>
              <w:jc w:val="right"/>
              <w:ind w:right="810"/>
              <w:spacing w:after="0" w:line="173" w:lineRule="exact"/>
              <w:rPr>
                <w:sz w:val="20"/>
                <w:szCs w:val="20"/>
                <w:color w:val="auto"/>
              </w:rPr>
            </w:pPr>
            <w:r>
              <w:rPr>
                <w:rFonts w:ascii="Arial" w:cs="Arial" w:eastAsia="Arial" w:hAnsi="Arial"/>
                <w:sz w:val="18"/>
                <w:szCs w:val="18"/>
                <w:color w:val="auto"/>
              </w:rPr>
              <w:t>121,576</w:t>
            </w:r>
          </w:p>
        </w:tc>
        <w:tc>
          <w:tcPr>
            <w:tcW w:w="1240" w:type="dxa"/>
            <w:vAlign w:val="bottom"/>
          </w:tcPr>
          <w:p>
            <w:pPr>
              <w:jc w:val="right"/>
              <w:ind w:right="10"/>
              <w:spacing w:after="0" w:line="173" w:lineRule="exact"/>
              <w:rPr>
                <w:sz w:val="20"/>
                <w:szCs w:val="20"/>
                <w:color w:val="auto"/>
              </w:rPr>
            </w:pPr>
            <w:r>
              <w:rPr>
                <w:rFonts w:ascii="Arial" w:cs="Arial" w:eastAsia="Arial" w:hAnsi="Arial"/>
                <w:sz w:val="18"/>
                <w:szCs w:val="18"/>
                <w:color w:val="auto"/>
              </w:rPr>
              <w:t>142,505</w:t>
            </w:r>
          </w:p>
        </w:tc>
        <w:tc>
          <w:tcPr>
            <w:tcW w:w="0" w:type="dxa"/>
            <w:vAlign w:val="bottom"/>
          </w:tcPr>
          <w:p>
            <w:pPr>
              <w:spacing w:after="0"/>
              <w:rPr>
                <w:sz w:val="1"/>
                <w:szCs w:val="1"/>
                <w:color w:val="auto"/>
              </w:rPr>
            </w:pPr>
          </w:p>
        </w:tc>
      </w:tr>
      <w:tr>
        <w:trPr>
          <w:trHeight w:val="203"/>
        </w:trPr>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Restructuring and other, net</w:t>
            </w:r>
          </w:p>
        </w:tc>
        <w:tc>
          <w:tcPr>
            <w:tcW w:w="1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8,376</w:t>
            </w:r>
          </w:p>
        </w:tc>
        <w:tc>
          <w:tcPr>
            <w:tcW w:w="1200" w:type="dxa"/>
            <w:vAlign w:val="bottom"/>
          </w:tcPr>
          <w:p>
            <w:pPr>
              <w:spacing w:after="0"/>
              <w:rPr>
                <w:sz w:val="17"/>
                <w:szCs w:val="17"/>
                <w:color w:val="auto"/>
              </w:rPr>
            </w:pPr>
          </w:p>
        </w:tc>
        <w:tc>
          <w:tcPr>
            <w:tcW w:w="1760" w:type="dxa"/>
            <w:vAlign w:val="bottom"/>
          </w:tcPr>
          <w:p>
            <w:pPr>
              <w:jc w:val="right"/>
              <w:ind w:right="810"/>
              <w:spacing w:after="0" w:line="202" w:lineRule="exact"/>
              <w:rPr>
                <w:sz w:val="20"/>
                <w:szCs w:val="20"/>
                <w:color w:val="auto"/>
              </w:rPr>
            </w:pPr>
            <w:r>
              <w:rPr>
                <w:rFonts w:ascii="Arial" w:cs="Arial" w:eastAsia="Arial" w:hAnsi="Arial"/>
                <w:sz w:val="18"/>
                <w:szCs w:val="18"/>
                <w:color w:val="auto"/>
              </w:rPr>
              <w:t>23,846</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5,759</w:t>
            </w:r>
          </w:p>
        </w:tc>
        <w:tc>
          <w:tcPr>
            <w:tcW w:w="0" w:type="dxa"/>
            <w:vAlign w:val="bottom"/>
          </w:tcPr>
          <w:p>
            <w:pPr>
              <w:spacing w:after="0"/>
              <w:rPr>
                <w:sz w:val="1"/>
                <w:szCs w:val="1"/>
                <w:color w:val="auto"/>
              </w:rPr>
            </w:pPr>
          </w:p>
        </w:tc>
      </w:tr>
      <w:tr>
        <w:trPr>
          <w:trHeight w:val="203"/>
        </w:trPr>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Foreign currency revaluation (gains)/losses</w:t>
            </w:r>
          </w:p>
        </w:tc>
        <w:tc>
          <w:tcPr>
            <w:tcW w:w="3080" w:type="dxa"/>
            <w:vAlign w:val="bottom"/>
            <w:gridSpan w:val="2"/>
          </w:tcPr>
          <w:p>
            <w:pPr>
              <w:jc w:val="right"/>
              <w:ind w:right="1050"/>
              <w:spacing w:after="0" w:line="202" w:lineRule="exact"/>
              <w:rPr>
                <w:sz w:val="20"/>
                <w:szCs w:val="20"/>
                <w:color w:val="auto"/>
              </w:rPr>
            </w:pPr>
            <w:r>
              <w:rPr>
                <w:rFonts w:ascii="Arial" w:cs="Arial" w:eastAsia="Arial" w:hAnsi="Arial"/>
                <w:sz w:val="18"/>
                <w:szCs w:val="18"/>
                <w:b w:val="1"/>
                <w:bCs w:val="1"/>
                <w:color w:val="auto"/>
              </w:rPr>
              <w:t>(3,913)</w:t>
            </w:r>
          </w:p>
        </w:tc>
        <w:tc>
          <w:tcPr>
            <w:tcW w:w="1760" w:type="dxa"/>
            <w:vAlign w:val="bottom"/>
          </w:tcPr>
          <w:p>
            <w:pPr>
              <w:jc w:val="right"/>
              <w:ind w:right="750"/>
              <w:spacing w:after="0" w:line="202" w:lineRule="exact"/>
              <w:rPr>
                <w:sz w:val="20"/>
                <w:szCs w:val="20"/>
                <w:color w:val="auto"/>
              </w:rPr>
            </w:pPr>
            <w:r>
              <w:rPr>
                <w:rFonts w:ascii="Arial" w:cs="Arial" w:eastAsia="Arial" w:hAnsi="Arial"/>
                <w:sz w:val="18"/>
                <w:szCs w:val="18"/>
                <w:color w:val="auto"/>
              </w:rPr>
              <w:t>(3,594)</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(10,310)</w:t>
            </w:r>
          </w:p>
        </w:tc>
        <w:tc>
          <w:tcPr>
            <w:tcW w:w="0" w:type="dxa"/>
            <w:vAlign w:val="bottom"/>
          </w:tcPr>
          <w:p>
            <w:pPr>
              <w:spacing w:after="0"/>
              <w:rPr>
                <w:sz w:val="1"/>
                <w:szCs w:val="1"/>
                <w:color w:val="auto"/>
              </w:rPr>
            </w:pPr>
          </w:p>
        </w:tc>
      </w:tr>
      <w:tr>
        <w:trPr>
          <w:trHeight w:val="203"/>
        </w:trPr>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Acquisition expenses</w:t>
            </w:r>
          </w:p>
        </w:tc>
        <w:tc>
          <w:tcPr>
            <w:tcW w:w="1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5,367</w:t>
            </w:r>
          </w:p>
        </w:tc>
        <w:tc>
          <w:tcPr>
            <w:tcW w:w="1200" w:type="dxa"/>
            <w:vAlign w:val="bottom"/>
          </w:tcPr>
          <w:p>
            <w:pPr>
              <w:spacing w:after="0"/>
              <w:rPr>
                <w:sz w:val="17"/>
                <w:szCs w:val="17"/>
                <w:color w:val="auto"/>
              </w:rPr>
            </w:pPr>
          </w:p>
        </w:tc>
        <w:tc>
          <w:tcPr>
            <w:tcW w:w="1760" w:type="dxa"/>
            <w:vAlign w:val="bottom"/>
          </w:tcPr>
          <w:p>
            <w:pPr>
              <w:jc w:val="right"/>
              <w:ind w:right="81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Gain on insurance recovery</w:t>
            </w:r>
          </w:p>
        </w:tc>
        <w:tc>
          <w:tcPr>
            <w:tcW w:w="1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200" w:type="dxa"/>
            <w:vAlign w:val="bottom"/>
          </w:tcPr>
          <w:p>
            <w:pPr>
              <w:spacing w:after="0"/>
              <w:rPr>
                <w:sz w:val="17"/>
                <w:szCs w:val="17"/>
                <w:color w:val="auto"/>
              </w:rPr>
            </w:pPr>
          </w:p>
        </w:tc>
        <w:tc>
          <w:tcPr>
            <w:tcW w:w="1760" w:type="dxa"/>
            <w:vAlign w:val="bottom"/>
          </w:tcPr>
          <w:p>
            <w:pPr>
              <w:jc w:val="right"/>
              <w:ind w:right="81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r>
        <w:trPr>
          <w:trHeight w:val="203"/>
        </w:trPr>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Gain on sale of investment</w:t>
            </w:r>
          </w:p>
        </w:tc>
        <w:tc>
          <w:tcPr>
            <w:tcW w:w="1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200" w:type="dxa"/>
            <w:vAlign w:val="bottom"/>
          </w:tcPr>
          <w:p>
            <w:pPr>
              <w:spacing w:after="0"/>
              <w:rPr>
                <w:sz w:val="17"/>
                <w:szCs w:val="17"/>
                <w:color w:val="auto"/>
              </w:rPr>
            </w:pPr>
          </w:p>
        </w:tc>
        <w:tc>
          <w:tcPr>
            <w:tcW w:w="1760" w:type="dxa"/>
            <w:vAlign w:val="bottom"/>
          </w:tcPr>
          <w:p>
            <w:pPr>
              <w:jc w:val="right"/>
              <w:ind w:right="750"/>
              <w:spacing w:after="0" w:line="202" w:lineRule="exact"/>
              <w:rPr>
                <w:sz w:val="20"/>
                <w:szCs w:val="20"/>
                <w:color w:val="auto"/>
              </w:rPr>
            </w:pPr>
            <w:r>
              <w:rPr>
                <w:rFonts w:ascii="Arial" w:cs="Arial" w:eastAsia="Arial" w:hAnsi="Arial"/>
                <w:sz w:val="18"/>
                <w:szCs w:val="18"/>
                <w:color w:val="auto"/>
              </w:rPr>
              <w:t>(872)</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340" w:type="dxa"/>
            <w:vAlign w:val="bottom"/>
          </w:tcPr>
          <w:p>
            <w:pPr>
              <w:ind w:left="100"/>
              <w:spacing w:after="0"/>
              <w:rPr>
                <w:sz w:val="20"/>
                <w:szCs w:val="20"/>
                <w:color w:val="auto"/>
              </w:rPr>
            </w:pPr>
            <w:r>
              <w:rPr>
                <w:rFonts w:ascii="Arial" w:cs="Arial" w:eastAsia="Arial" w:hAnsi="Arial"/>
                <w:sz w:val="18"/>
                <w:szCs w:val="18"/>
                <w:color w:val="auto"/>
              </w:rPr>
              <w:t>Pension settlement charge</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spacing w:after="0"/>
              <w:rPr>
                <w:sz w:val="19"/>
                <w:szCs w:val="19"/>
                <w:color w:val="auto"/>
              </w:rPr>
            </w:pPr>
          </w:p>
        </w:tc>
        <w:tc>
          <w:tcPr>
            <w:tcW w:w="1760" w:type="dxa"/>
            <w:vAlign w:val="bottom"/>
          </w:tcPr>
          <w:p>
            <w:pPr>
              <w:jc w:val="right"/>
              <w:ind w:right="8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8,190</w:t>
            </w:r>
          </w:p>
        </w:tc>
        <w:tc>
          <w:tcPr>
            <w:tcW w:w="0" w:type="dxa"/>
            <w:vAlign w:val="bottom"/>
          </w:tcPr>
          <w:p>
            <w:pPr>
              <w:spacing w:after="0"/>
              <w:rPr>
                <w:sz w:val="1"/>
                <w:szCs w:val="1"/>
                <w:color w:val="auto"/>
              </w:rPr>
            </w:pPr>
          </w:p>
        </w:tc>
      </w:tr>
      <w:tr>
        <w:trPr>
          <w:trHeight w:val="203"/>
        </w:trPr>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Pretax (income)/loss attributable to noncontrolling interest in</w:t>
            </w:r>
          </w:p>
        </w:tc>
        <w:tc>
          <w:tcPr>
            <w:tcW w:w="3080" w:type="dxa"/>
            <w:vAlign w:val="bottom"/>
            <w:gridSpan w:val="2"/>
            <w:vMerge w:val="restart"/>
          </w:tcPr>
          <w:p>
            <w:pPr>
              <w:jc w:val="right"/>
              <w:ind w:right="1050"/>
              <w:spacing w:after="0"/>
              <w:rPr>
                <w:sz w:val="20"/>
                <w:szCs w:val="20"/>
                <w:color w:val="auto"/>
              </w:rPr>
            </w:pPr>
            <w:r>
              <w:rPr>
                <w:rFonts w:ascii="Arial" w:cs="Arial" w:eastAsia="Arial" w:hAnsi="Arial"/>
                <w:sz w:val="18"/>
                <w:szCs w:val="18"/>
                <w:b w:val="1"/>
                <w:bCs w:val="1"/>
                <w:color w:val="auto"/>
              </w:rPr>
              <w:t>(125)</w:t>
            </w:r>
          </w:p>
        </w:tc>
        <w:tc>
          <w:tcPr>
            <w:tcW w:w="17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40" w:type="dxa"/>
            <w:vAlign w:val="bottom"/>
            <w:tcBorders>
              <w:bottom w:val="single" w:sz="8" w:color="auto"/>
            </w:tcBorders>
          </w:tcPr>
          <w:p>
            <w:pPr>
              <w:ind w:left="100"/>
              <w:spacing w:after="0" w:line="203" w:lineRule="exact"/>
              <w:rPr>
                <w:sz w:val="20"/>
                <w:szCs w:val="20"/>
                <w:color w:val="auto"/>
              </w:rPr>
            </w:pPr>
            <w:r>
              <w:rPr>
                <w:rFonts w:ascii="Arial" w:cs="Arial" w:eastAsia="Arial" w:hAnsi="Arial"/>
                <w:sz w:val="18"/>
                <w:szCs w:val="18"/>
                <w:color w:val="auto"/>
              </w:rPr>
              <w:t>ASC</w:t>
            </w:r>
          </w:p>
        </w:tc>
        <w:tc>
          <w:tcPr>
            <w:tcW w:w="3080" w:type="dxa"/>
            <w:vAlign w:val="bottom"/>
            <w:tcBorders>
              <w:bottom w:val="single" w:sz="8" w:color="auto"/>
            </w:tcBorders>
            <w:gridSpan w:val="2"/>
            <w:vMerge w:val="continue"/>
          </w:tcPr>
          <w:p>
            <w:pPr>
              <w:spacing w:after="0"/>
              <w:rPr>
                <w:sz w:val="17"/>
                <w:szCs w:val="17"/>
                <w:color w:val="auto"/>
              </w:rPr>
            </w:pPr>
          </w:p>
        </w:tc>
        <w:tc>
          <w:tcPr>
            <w:tcW w:w="1760" w:type="dxa"/>
            <w:vAlign w:val="bottom"/>
            <w:tcBorders>
              <w:bottom w:val="single" w:sz="8" w:color="auto"/>
            </w:tcBorders>
          </w:tcPr>
          <w:p>
            <w:pPr>
              <w:jc w:val="right"/>
              <w:ind w:right="810"/>
              <w:spacing w:after="0" w:line="203" w:lineRule="exact"/>
              <w:rPr>
                <w:sz w:val="20"/>
                <w:szCs w:val="20"/>
                <w:color w:val="auto"/>
              </w:rPr>
            </w:pPr>
            <w:r>
              <w:rPr>
                <w:rFonts w:ascii="Arial" w:cs="Arial" w:eastAsia="Arial" w:hAnsi="Arial"/>
                <w:sz w:val="18"/>
                <w:szCs w:val="18"/>
                <w:color w:val="auto"/>
              </w:rPr>
              <w:t>20</w:t>
            </w: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196"/>
        </w:trPr>
        <w:tc>
          <w:tcPr>
            <w:tcW w:w="534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Adjusted EBITDA (non-GAAP)</w:t>
            </w:r>
          </w:p>
        </w:tc>
        <w:tc>
          <w:tcPr>
            <w:tcW w:w="1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$168,896</w:t>
            </w:r>
          </w:p>
        </w:tc>
        <w:tc>
          <w:tcPr>
            <w:tcW w:w="12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810"/>
              <w:spacing w:after="0" w:line="196" w:lineRule="exact"/>
              <w:rPr>
                <w:sz w:val="20"/>
                <w:szCs w:val="20"/>
                <w:color w:val="auto"/>
              </w:rPr>
            </w:pPr>
            <w:r>
              <w:rPr>
                <w:rFonts w:ascii="Arial" w:cs="Arial" w:eastAsia="Arial" w:hAnsi="Arial"/>
                <w:sz w:val="18"/>
                <w:szCs w:val="18"/>
                <w:color w:val="auto"/>
              </w:rPr>
              <w:t>$140,976</w:t>
            </w:r>
          </w:p>
        </w:tc>
        <w:tc>
          <w:tcPr>
            <w:tcW w:w="12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$144,807</w:t>
            </w:r>
          </w:p>
        </w:tc>
        <w:tc>
          <w:tcPr>
            <w:tcW w:w="0" w:type="dxa"/>
            <w:vAlign w:val="bottom"/>
          </w:tcPr>
          <w:p>
            <w:pPr>
              <w:spacing w:after="0"/>
              <w:rPr>
                <w:sz w:val="1"/>
                <w:szCs w:val="1"/>
                <w:color w:val="auto"/>
              </w:rPr>
            </w:pPr>
          </w:p>
        </w:tc>
      </w:tr>
      <w:tr>
        <w:trPr>
          <w:trHeight w:val="399"/>
        </w:trPr>
        <w:tc>
          <w:tcPr>
            <w:tcW w:w="53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2"/>
          </w:tcPr>
          <w:p>
            <w:pPr>
              <w:jc w:val="right"/>
              <w:ind w:right="850"/>
              <w:spacing w:after="0"/>
              <w:rPr>
                <w:sz w:val="20"/>
                <w:szCs w:val="20"/>
                <w:color w:val="auto"/>
              </w:rPr>
            </w:pPr>
            <w:r>
              <w:rPr>
                <w:rFonts w:ascii="Arial" w:cs="Arial" w:eastAsia="Arial" w:hAnsi="Arial"/>
                <w:sz w:val="18"/>
                <w:szCs w:val="18"/>
                <w:b w:val="1"/>
                <w:bCs w:val="1"/>
                <w:color w:val="auto"/>
              </w:rPr>
              <w:t>(in thousands)</w:t>
            </w: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53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Albany</w:t>
            </w:r>
          </w:p>
        </w:tc>
        <w:tc>
          <w:tcPr>
            <w:tcW w:w="1760" w:type="dxa"/>
            <w:vAlign w:val="bottom"/>
          </w:tcPr>
          <w:p>
            <w:pPr>
              <w:jc w:val="right"/>
              <w:ind w:right="270"/>
              <w:spacing w:after="0"/>
              <w:rPr>
                <w:sz w:val="20"/>
                <w:szCs w:val="20"/>
                <w:color w:val="auto"/>
              </w:rPr>
            </w:pPr>
            <w:r>
              <w:rPr>
                <w:rFonts w:ascii="Arial" w:cs="Arial" w:eastAsia="Arial" w:hAnsi="Arial"/>
                <w:sz w:val="18"/>
                <w:szCs w:val="18"/>
                <w:b w:val="1"/>
                <w:bCs w:val="1"/>
                <w:color w:val="auto"/>
              </w:rPr>
              <w:t>Corporate</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340" w:type="dxa"/>
            <w:vAlign w:val="bottom"/>
          </w:tcPr>
          <w:p>
            <w:pPr>
              <w:spacing w:after="0"/>
              <w:rPr>
                <w:sz w:val="17"/>
                <w:szCs w:val="17"/>
                <w:color w:val="auto"/>
              </w:rPr>
            </w:pPr>
          </w:p>
        </w:tc>
        <w:tc>
          <w:tcPr>
            <w:tcW w:w="1880" w:type="dxa"/>
            <w:vAlign w:val="bottom"/>
          </w:tcPr>
          <w:p>
            <w:pPr>
              <w:jc w:val="right"/>
              <w:ind w:right="590"/>
              <w:spacing w:after="0" w:line="202" w:lineRule="exact"/>
              <w:rPr>
                <w:sz w:val="20"/>
                <w:szCs w:val="20"/>
                <w:color w:val="auto"/>
              </w:rPr>
            </w:pPr>
            <w:r>
              <w:rPr>
                <w:rFonts w:ascii="Arial" w:cs="Arial" w:eastAsia="Arial" w:hAnsi="Arial"/>
                <w:sz w:val="18"/>
                <w:szCs w:val="18"/>
                <w:b w:val="1"/>
                <w:bCs w:val="1"/>
                <w:color w:val="auto"/>
              </w:rPr>
              <w:t>Machine</w:t>
            </w:r>
          </w:p>
        </w:tc>
        <w:tc>
          <w:tcPr>
            <w:tcW w:w="120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9"/>
              </w:rPr>
              <w:t>Engineered</w:t>
            </w:r>
          </w:p>
        </w:tc>
        <w:tc>
          <w:tcPr>
            <w:tcW w:w="1760" w:type="dxa"/>
            <w:vAlign w:val="bottom"/>
          </w:tcPr>
          <w:p>
            <w:pPr>
              <w:jc w:val="right"/>
              <w:ind w:right="290"/>
              <w:spacing w:after="0" w:line="202" w:lineRule="exact"/>
              <w:rPr>
                <w:sz w:val="20"/>
                <w:szCs w:val="20"/>
                <w:color w:val="auto"/>
              </w:rPr>
            </w:pPr>
            <w:r>
              <w:rPr>
                <w:rFonts w:ascii="Arial" w:cs="Arial" w:eastAsia="Arial" w:hAnsi="Arial"/>
                <w:sz w:val="18"/>
                <w:szCs w:val="18"/>
                <w:b w:val="1"/>
                <w:bCs w:val="1"/>
                <w:color w:val="auto"/>
              </w:rPr>
              <w:t>expenses</w:t>
            </w:r>
          </w:p>
        </w:tc>
        <w:tc>
          <w:tcPr>
            <w:tcW w:w="124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5"/>
        </w:trPr>
        <w:tc>
          <w:tcPr>
            <w:tcW w:w="53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Year ended December 31, 2016</w:t>
            </w:r>
          </w:p>
        </w:tc>
        <w:tc>
          <w:tcPr>
            <w:tcW w:w="18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Clothing</w:t>
            </w:r>
          </w:p>
        </w:tc>
        <w:tc>
          <w:tcPr>
            <w:tcW w:w="12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8"/>
              </w:rPr>
              <w:t>Composites</w:t>
            </w:r>
          </w:p>
        </w:tc>
        <w:tc>
          <w:tcPr>
            <w:tcW w:w="1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and other</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Company</w:t>
            </w:r>
          </w:p>
        </w:tc>
        <w:tc>
          <w:tcPr>
            <w:tcW w:w="0" w:type="dxa"/>
            <w:vAlign w:val="bottom"/>
          </w:tcPr>
          <w:p>
            <w:pPr>
              <w:spacing w:after="0"/>
              <w:rPr>
                <w:sz w:val="1"/>
                <w:szCs w:val="1"/>
                <w:color w:val="auto"/>
              </w:rPr>
            </w:pPr>
          </w:p>
        </w:tc>
      </w:tr>
      <w:tr>
        <w:trPr>
          <w:trHeight w:val="195"/>
        </w:trPr>
        <w:tc>
          <w:tcPr>
            <w:tcW w:w="5340" w:type="dxa"/>
            <w:vAlign w:val="bottom"/>
          </w:tcPr>
          <w:p>
            <w:pPr>
              <w:ind w:left="40"/>
              <w:spacing w:after="0" w:line="195" w:lineRule="exact"/>
              <w:rPr>
                <w:sz w:val="20"/>
                <w:szCs w:val="20"/>
                <w:color w:val="auto"/>
              </w:rPr>
            </w:pPr>
            <w:r>
              <w:rPr>
                <w:rFonts w:ascii="Arial" w:cs="Arial" w:eastAsia="Arial" w:hAnsi="Arial"/>
                <w:sz w:val="18"/>
                <w:szCs w:val="18"/>
                <w:color w:val="auto"/>
              </w:rPr>
              <w:t>Operating income/(loss) (GAAP)</w:t>
            </w:r>
          </w:p>
        </w:tc>
        <w:tc>
          <w:tcPr>
            <w:tcW w:w="1880" w:type="dxa"/>
            <w:vAlign w:val="bottom"/>
          </w:tcPr>
          <w:p>
            <w:pPr>
              <w:jc w:val="right"/>
              <w:ind w:right="570"/>
              <w:spacing w:after="0" w:line="195" w:lineRule="exact"/>
              <w:rPr>
                <w:sz w:val="20"/>
                <w:szCs w:val="20"/>
                <w:color w:val="auto"/>
              </w:rPr>
            </w:pPr>
            <w:r>
              <w:rPr>
                <w:rFonts w:ascii="Arial" w:cs="Arial" w:eastAsia="Arial" w:hAnsi="Arial"/>
                <w:sz w:val="18"/>
                <w:szCs w:val="18"/>
                <w:color w:val="auto"/>
              </w:rPr>
              <w:t>$152,529</w:t>
            </w:r>
          </w:p>
        </w:tc>
        <w:tc>
          <w:tcPr>
            <w:tcW w:w="1200" w:type="dxa"/>
            <w:vAlign w:val="bottom"/>
          </w:tcPr>
          <w:p>
            <w:pPr>
              <w:jc w:val="right"/>
              <w:spacing w:after="0" w:line="195" w:lineRule="exact"/>
              <w:rPr>
                <w:sz w:val="20"/>
                <w:szCs w:val="20"/>
                <w:color w:val="auto"/>
              </w:rPr>
            </w:pPr>
            <w:r>
              <w:rPr>
                <w:rFonts w:ascii="Arial" w:cs="Arial" w:eastAsia="Arial" w:hAnsi="Arial"/>
                <w:sz w:val="18"/>
                <w:szCs w:val="18"/>
                <w:color w:val="auto"/>
              </w:rPr>
              <w:t>($15,363)</w:t>
            </w:r>
          </w:p>
        </w:tc>
        <w:tc>
          <w:tcPr>
            <w:tcW w:w="176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($45,390)</w:t>
            </w:r>
          </w:p>
        </w:tc>
        <w:tc>
          <w:tcPr>
            <w:tcW w:w="12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$91,776</w:t>
            </w:r>
          </w:p>
        </w:tc>
        <w:tc>
          <w:tcPr>
            <w:tcW w:w="0" w:type="dxa"/>
            <w:vAlign w:val="bottom"/>
          </w:tcPr>
          <w:p>
            <w:pPr>
              <w:spacing w:after="0"/>
              <w:rPr>
                <w:sz w:val="1"/>
                <w:szCs w:val="1"/>
                <w:color w:val="auto"/>
              </w:rPr>
            </w:pPr>
          </w:p>
        </w:tc>
      </w:tr>
      <w:tr>
        <w:trPr>
          <w:trHeight w:val="203"/>
        </w:trPr>
        <w:tc>
          <w:tcPr>
            <w:tcW w:w="5340" w:type="dxa"/>
            <w:vAlign w:val="bottom"/>
            <w:tcBorders>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Interest, taxes, other income/expense</w:t>
            </w:r>
          </w:p>
        </w:tc>
        <w:tc>
          <w:tcPr>
            <w:tcW w:w="18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rPr>
              <w:t>(38,964)</w:t>
            </w: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(38,964)</w:t>
            </w:r>
          </w:p>
        </w:tc>
        <w:tc>
          <w:tcPr>
            <w:tcW w:w="0" w:type="dxa"/>
            <w:vAlign w:val="bottom"/>
          </w:tcPr>
          <w:p>
            <w:pPr>
              <w:spacing w:after="0"/>
              <w:rPr>
                <w:sz w:val="1"/>
                <w:szCs w:val="1"/>
                <w:color w:val="auto"/>
              </w:rPr>
            </w:pPr>
          </w:p>
        </w:tc>
      </w:tr>
      <w:tr>
        <w:trPr>
          <w:trHeight w:val="195"/>
        </w:trPr>
        <w:tc>
          <w:tcPr>
            <w:tcW w:w="5340" w:type="dxa"/>
            <w:vAlign w:val="bottom"/>
          </w:tcPr>
          <w:p>
            <w:pPr>
              <w:ind w:left="40"/>
              <w:spacing w:after="0" w:line="195" w:lineRule="exact"/>
              <w:rPr>
                <w:sz w:val="20"/>
                <w:szCs w:val="20"/>
                <w:color w:val="auto"/>
              </w:rPr>
            </w:pPr>
            <w:r>
              <w:rPr>
                <w:rFonts w:ascii="Arial" w:cs="Arial" w:eastAsia="Arial" w:hAnsi="Arial"/>
                <w:sz w:val="18"/>
                <w:szCs w:val="18"/>
                <w:color w:val="auto"/>
              </w:rPr>
              <w:t>Net income (GAAP)</w:t>
            </w:r>
          </w:p>
        </w:tc>
        <w:tc>
          <w:tcPr>
            <w:tcW w:w="1880" w:type="dxa"/>
            <w:vAlign w:val="bottom"/>
          </w:tcPr>
          <w:p>
            <w:pPr>
              <w:jc w:val="right"/>
              <w:ind w:right="570"/>
              <w:spacing w:after="0" w:line="195" w:lineRule="exact"/>
              <w:rPr>
                <w:sz w:val="20"/>
                <w:szCs w:val="20"/>
                <w:color w:val="auto"/>
              </w:rPr>
            </w:pPr>
            <w:r>
              <w:rPr>
                <w:rFonts w:ascii="Arial" w:cs="Arial" w:eastAsia="Arial" w:hAnsi="Arial"/>
                <w:sz w:val="18"/>
                <w:szCs w:val="18"/>
                <w:color w:val="auto"/>
              </w:rPr>
              <w:t>152,529</w:t>
            </w:r>
          </w:p>
        </w:tc>
        <w:tc>
          <w:tcPr>
            <w:tcW w:w="1200" w:type="dxa"/>
            <w:vAlign w:val="bottom"/>
          </w:tcPr>
          <w:p>
            <w:pPr>
              <w:jc w:val="right"/>
              <w:spacing w:after="0" w:line="195" w:lineRule="exact"/>
              <w:rPr>
                <w:sz w:val="20"/>
                <w:szCs w:val="20"/>
                <w:color w:val="auto"/>
              </w:rPr>
            </w:pPr>
            <w:r>
              <w:rPr>
                <w:rFonts w:ascii="Arial" w:cs="Arial" w:eastAsia="Arial" w:hAnsi="Arial"/>
                <w:sz w:val="18"/>
                <w:szCs w:val="18"/>
                <w:color w:val="auto"/>
              </w:rPr>
              <w:t>(15,363)</w:t>
            </w:r>
          </w:p>
        </w:tc>
        <w:tc>
          <w:tcPr>
            <w:tcW w:w="176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(84,354)</w:t>
            </w:r>
          </w:p>
        </w:tc>
        <w:tc>
          <w:tcPr>
            <w:tcW w:w="12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52,812</w:t>
            </w:r>
          </w:p>
        </w:tc>
        <w:tc>
          <w:tcPr>
            <w:tcW w:w="0" w:type="dxa"/>
            <w:vAlign w:val="bottom"/>
          </w:tcPr>
          <w:p>
            <w:pPr>
              <w:spacing w:after="0"/>
              <w:rPr>
                <w:sz w:val="1"/>
                <w:szCs w:val="1"/>
                <w:color w:val="auto"/>
              </w:rPr>
            </w:pPr>
          </w:p>
        </w:tc>
      </w:tr>
      <w:tr>
        <w:trPr>
          <w:trHeight w:val="203"/>
        </w:trPr>
        <w:tc>
          <w:tcPr>
            <w:tcW w:w="5340" w:type="dxa"/>
            <w:vAlign w:val="bottom"/>
          </w:tcPr>
          <w:p>
            <w:pPr>
              <w:ind w:left="40"/>
              <w:spacing w:after="0" w:line="202" w:lineRule="exact"/>
              <w:rPr>
                <w:sz w:val="20"/>
                <w:szCs w:val="20"/>
                <w:color w:val="auto"/>
              </w:rPr>
            </w:pPr>
            <w:r>
              <w:rPr>
                <w:rFonts w:ascii="Arial" w:cs="Arial" w:eastAsia="Arial" w:hAnsi="Arial"/>
                <w:sz w:val="18"/>
                <w:szCs w:val="18"/>
                <w:color w:val="auto"/>
              </w:rPr>
              <w:t>Interest expense, net</w:t>
            </w:r>
          </w:p>
        </w:tc>
        <w:tc>
          <w:tcPr>
            <w:tcW w:w="1880" w:type="dxa"/>
            <w:vAlign w:val="bottom"/>
          </w:tcPr>
          <w:p>
            <w:pPr>
              <w:jc w:val="right"/>
              <w:ind w:right="57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76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13,464</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13,464</w:t>
            </w:r>
          </w:p>
        </w:tc>
        <w:tc>
          <w:tcPr>
            <w:tcW w:w="0" w:type="dxa"/>
            <w:vAlign w:val="bottom"/>
          </w:tcPr>
          <w:p>
            <w:pPr>
              <w:spacing w:after="0"/>
              <w:rPr>
                <w:sz w:val="1"/>
                <w:szCs w:val="1"/>
                <w:color w:val="auto"/>
              </w:rPr>
            </w:pPr>
          </w:p>
        </w:tc>
      </w:tr>
      <w:tr>
        <w:trPr>
          <w:trHeight w:val="203"/>
        </w:trPr>
        <w:tc>
          <w:tcPr>
            <w:tcW w:w="5340" w:type="dxa"/>
            <w:vAlign w:val="bottom"/>
          </w:tcPr>
          <w:p>
            <w:pPr>
              <w:ind w:left="40"/>
              <w:spacing w:after="0" w:line="202" w:lineRule="exact"/>
              <w:rPr>
                <w:sz w:val="20"/>
                <w:szCs w:val="20"/>
                <w:color w:val="auto"/>
              </w:rPr>
            </w:pPr>
            <w:r>
              <w:rPr>
                <w:rFonts w:ascii="Arial" w:cs="Arial" w:eastAsia="Arial" w:hAnsi="Arial"/>
                <w:sz w:val="18"/>
                <w:szCs w:val="18"/>
                <w:color w:val="auto"/>
              </w:rPr>
              <w:t>Income tax expense</w:t>
            </w:r>
          </w:p>
        </w:tc>
        <w:tc>
          <w:tcPr>
            <w:tcW w:w="1880" w:type="dxa"/>
            <w:vAlign w:val="bottom"/>
          </w:tcPr>
          <w:p>
            <w:pPr>
              <w:jc w:val="right"/>
              <w:ind w:right="57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76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25,454</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25,454</w:t>
            </w:r>
          </w:p>
        </w:tc>
        <w:tc>
          <w:tcPr>
            <w:tcW w:w="0" w:type="dxa"/>
            <w:vAlign w:val="bottom"/>
          </w:tcPr>
          <w:p>
            <w:pPr>
              <w:spacing w:after="0"/>
              <w:rPr>
                <w:sz w:val="1"/>
                <w:szCs w:val="1"/>
                <w:color w:val="auto"/>
              </w:rPr>
            </w:pPr>
          </w:p>
        </w:tc>
      </w:tr>
      <w:tr>
        <w:trPr>
          <w:trHeight w:val="203"/>
        </w:trPr>
        <w:tc>
          <w:tcPr>
            <w:tcW w:w="5340" w:type="dxa"/>
            <w:vAlign w:val="bottom"/>
            <w:tcBorders>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Depreciation and amortization</w:t>
            </w:r>
          </w:p>
        </w:tc>
        <w:tc>
          <w:tcPr>
            <w:tcW w:w="1880" w:type="dxa"/>
            <w:vAlign w:val="bottom"/>
            <w:tcBorders>
              <w:bottom w:val="single" w:sz="8" w:color="auto"/>
            </w:tcBorders>
          </w:tcPr>
          <w:p>
            <w:pPr>
              <w:jc w:val="right"/>
              <w:ind w:right="570"/>
              <w:spacing w:after="0" w:line="203" w:lineRule="exact"/>
              <w:rPr>
                <w:sz w:val="20"/>
                <w:szCs w:val="20"/>
                <w:color w:val="auto"/>
              </w:rPr>
            </w:pPr>
            <w:r>
              <w:rPr>
                <w:rFonts w:ascii="Arial" w:cs="Arial" w:eastAsia="Arial" w:hAnsi="Arial"/>
                <w:sz w:val="18"/>
                <w:szCs w:val="18"/>
                <w:color w:val="auto"/>
              </w:rPr>
              <w:t>36,428</w:t>
            </w:r>
          </w:p>
        </w:tc>
        <w:tc>
          <w:tcPr>
            <w:tcW w:w="120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24,211</w:t>
            </w:r>
          </w:p>
        </w:tc>
        <w:tc>
          <w:tcPr>
            <w:tcW w:w="176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rPr>
              <w:t>6,822</w:t>
            </w:r>
          </w:p>
        </w:tc>
        <w:tc>
          <w:tcPr>
            <w:tcW w:w="12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67,461</w:t>
            </w:r>
          </w:p>
        </w:tc>
        <w:tc>
          <w:tcPr>
            <w:tcW w:w="0" w:type="dxa"/>
            <w:vAlign w:val="bottom"/>
          </w:tcPr>
          <w:p>
            <w:pPr>
              <w:spacing w:after="0"/>
              <w:rPr>
                <w:sz w:val="1"/>
                <w:szCs w:val="1"/>
                <w:color w:val="auto"/>
              </w:rPr>
            </w:pPr>
          </w:p>
        </w:tc>
      </w:tr>
      <w:tr>
        <w:trPr>
          <w:trHeight w:val="195"/>
        </w:trPr>
        <w:tc>
          <w:tcPr>
            <w:tcW w:w="5340" w:type="dxa"/>
            <w:vAlign w:val="bottom"/>
          </w:tcPr>
          <w:p>
            <w:pPr>
              <w:ind w:left="40"/>
              <w:spacing w:after="0" w:line="195" w:lineRule="exact"/>
              <w:rPr>
                <w:sz w:val="20"/>
                <w:szCs w:val="20"/>
                <w:color w:val="auto"/>
              </w:rPr>
            </w:pPr>
            <w:r>
              <w:rPr>
                <w:rFonts w:ascii="Arial" w:cs="Arial" w:eastAsia="Arial" w:hAnsi="Arial"/>
                <w:sz w:val="18"/>
                <w:szCs w:val="18"/>
                <w:color w:val="auto"/>
              </w:rPr>
              <w:t>EBITDA (non-GAAP)</w:t>
            </w:r>
          </w:p>
        </w:tc>
        <w:tc>
          <w:tcPr>
            <w:tcW w:w="1880" w:type="dxa"/>
            <w:vAlign w:val="bottom"/>
          </w:tcPr>
          <w:p>
            <w:pPr>
              <w:jc w:val="right"/>
              <w:ind w:right="570"/>
              <w:spacing w:after="0" w:line="195" w:lineRule="exact"/>
              <w:rPr>
                <w:sz w:val="20"/>
                <w:szCs w:val="20"/>
                <w:color w:val="auto"/>
              </w:rPr>
            </w:pPr>
            <w:r>
              <w:rPr>
                <w:rFonts w:ascii="Arial" w:cs="Arial" w:eastAsia="Arial" w:hAnsi="Arial"/>
                <w:sz w:val="18"/>
                <w:szCs w:val="18"/>
                <w:color w:val="auto"/>
              </w:rPr>
              <w:t>188,957</w:t>
            </w:r>
          </w:p>
        </w:tc>
        <w:tc>
          <w:tcPr>
            <w:tcW w:w="1200" w:type="dxa"/>
            <w:vAlign w:val="bottom"/>
          </w:tcPr>
          <w:p>
            <w:pPr>
              <w:jc w:val="right"/>
              <w:ind w:right="50"/>
              <w:spacing w:after="0" w:line="195" w:lineRule="exact"/>
              <w:rPr>
                <w:sz w:val="20"/>
                <w:szCs w:val="20"/>
                <w:color w:val="auto"/>
              </w:rPr>
            </w:pPr>
            <w:r>
              <w:rPr>
                <w:rFonts w:ascii="Arial" w:cs="Arial" w:eastAsia="Arial" w:hAnsi="Arial"/>
                <w:sz w:val="18"/>
                <w:szCs w:val="18"/>
                <w:color w:val="auto"/>
              </w:rPr>
              <w:t>8,848</w:t>
            </w:r>
          </w:p>
        </w:tc>
        <w:tc>
          <w:tcPr>
            <w:tcW w:w="176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(38,614)</w:t>
            </w:r>
          </w:p>
        </w:tc>
        <w:tc>
          <w:tcPr>
            <w:tcW w:w="12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159,191</w:t>
            </w:r>
          </w:p>
        </w:tc>
        <w:tc>
          <w:tcPr>
            <w:tcW w:w="0" w:type="dxa"/>
            <w:vAlign w:val="bottom"/>
          </w:tcPr>
          <w:p>
            <w:pPr>
              <w:spacing w:after="0"/>
              <w:rPr>
                <w:sz w:val="1"/>
                <w:szCs w:val="1"/>
                <w:color w:val="auto"/>
              </w:rPr>
            </w:pPr>
          </w:p>
        </w:tc>
      </w:tr>
      <w:tr>
        <w:trPr>
          <w:trHeight w:val="203"/>
        </w:trPr>
        <w:tc>
          <w:tcPr>
            <w:tcW w:w="5340" w:type="dxa"/>
            <w:vAlign w:val="bottom"/>
          </w:tcPr>
          <w:p>
            <w:pPr>
              <w:ind w:left="40"/>
              <w:spacing w:after="0" w:line="202" w:lineRule="exact"/>
              <w:rPr>
                <w:sz w:val="20"/>
                <w:szCs w:val="20"/>
                <w:color w:val="auto"/>
              </w:rPr>
            </w:pPr>
            <w:r>
              <w:rPr>
                <w:rFonts w:ascii="Arial" w:cs="Arial" w:eastAsia="Arial" w:hAnsi="Arial"/>
                <w:sz w:val="18"/>
                <w:szCs w:val="18"/>
                <w:color w:val="auto"/>
              </w:rPr>
              <w:t>Restructuring and other, net</w:t>
            </w:r>
          </w:p>
        </w:tc>
        <w:tc>
          <w:tcPr>
            <w:tcW w:w="1880" w:type="dxa"/>
            <w:vAlign w:val="bottom"/>
          </w:tcPr>
          <w:p>
            <w:pPr>
              <w:jc w:val="right"/>
              <w:ind w:right="570"/>
              <w:spacing w:after="0" w:line="202" w:lineRule="exact"/>
              <w:rPr>
                <w:sz w:val="20"/>
                <w:szCs w:val="20"/>
                <w:color w:val="auto"/>
              </w:rPr>
            </w:pPr>
            <w:r>
              <w:rPr>
                <w:rFonts w:ascii="Arial" w:cs="Arial" w:eastAsia="Arial" w:hAnsi="Arial"/>
                <w:sz w:val="18"/>
                <w:szCs w:val="18"/>
                <w:color w:val="auto"/>
              </w:rPr>
              <w:t>6,069</w:t>
            </w:r>
          </w:p>
        </w:tc>
        <w:tc>
          <w:tcPr>
            <w:tcW w:w="12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2,314</w:t>
            </w:r>
          </w:p>
        </w:tc>
        <w:tc>
          <w:tcPr>
            <w:tcW w:w="17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(7)</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8,376</w:t>
            </w:r>
          </w:p>
        </w:tc>
        <w:tc>
          <w:tcPr>
            <w:tcW w:w="0" w:type="dxa"/>
            <w:vAlign w:val="bottom"/>
          </w:tcPr>
          <w:p>
            <w:pPr>
              <w:spacing w:after="0"/>
              <w:rPr>
                <w:sz w:val="1"/>
                <w:szCs w:val="1"/>
                <w:color w:val="auto"/>
              </w:rPr>
            </w:pPr>
          </w:p>
        </w:tc>
      </w:tr>
      <w:tr>
        <w:trPr>
          <w:trHeight w:val="203"/>
        </w:trPr>
        <w:tc>
          <w:tcPr>
            <w:tcW w:w="5340" w:type="dxa"/>
            <w:vAlign w:val="bottom"/>
          </w:tcPr>
          <w:p>
            <w:pPr>
              <w:ind w:left="40"/>
              <w:spacing w:after="0" w:line="202" w:lineRule="exact"/>
              <w:rPr>
                <w:sz w:val="20"/>
                <w:szCs w:val="20"/>
                <w:color w:val="auto"/>
              </w:rPr>
            </w:pPr>
            <w:r>
              <w:rPr>
                <w:rFonts w:ascii="Arial" w:cs="Arial" w:eastAsia="Arial" w:hAnsi="Arial"/>
                <w:sz w:val="18"/>
                <w:szCs w:val="18"/>
                <w:color w:val="auto"/>
              </w:rPr>
              <w:t>Foreign currency revaluation (gains)/losses</w:t>
            </w:r>
          </w:p>
        </w:tc>
        <w:tc>
          <w:tcPr>
            <w:tcW w:w="1880" w:type="dxa"/>
            <w:vAlign w:val="bottom"/>
          </w:tcPr>
          <w:p>
            <w:pPr>
              <w:jc w:val="right"/>
              <w:ind w:right="510"/>
              <w:spacing w:after="0" w:line="202" w:lineRule="exact"/>
              <w:rPr>
                <w:sz w:val="20"/>
                <w:szCs w:val="20"/>
                <w:color w:val="auto"/>
              </w:rPr>
            </w:pPr>
            <w:r>
              <w:rPr>
                <w:rFonts w:ascii="Arial" w:cs="Arial" w:eastAsia="Arial" w:hAnsi="Arial"/>
                <w:sz w:val="18"/>
                <w:szCs w:val="18"/>
                <w:color w:val="auto"/>
              </w:rPr>
              <w:t>(404)</w:t>
            </w:r>
          </w:p>
        </w:tc>
        <w:tc>
          <w:tcPr>
            <w:tcW w:w="12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16</w:t>
            </w:r>
          </w:p>
        </w:tc>
        <w:tc>
          <w:tcPr>
            <w:tcW w:w="17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(3,525)</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(3,913)</w:t>
            </w:r>
          </w:p>
        </w:tc>
        <w:tc>
          <w:tcPr>
            <w:tcW w:w="0" w:type="dxa"/>
            <w:vAlign w:val="bottom"/>
          </w:tcPr>
          <w:p>
            <w:pPr>
              <w:spacing w:after="0"/>
              <w:rPr>
                <w:sz w:val="1"/>
                <w:szCs w:val="1"/>
                <w:color w:val="auto"/>
              </w:rPr>
            </w:pPr>
          </w:p>
        </w:tc>
      </w:tr>
      <w:tr>
        <w:trPr>
          <w:trHeight w:val="203"/>
        </w:trPr>
        <w:tc>
          <w:tcPr>
            <w:tcW w:w="5340" w:type="dxa"/>
            <w:vAlign w:val="bottom"/>
          </w:tcPr>
          <w:p>
            <w:pPr>
              <w:ind w:left="40"/>
              <w:spacing w:after="0" w:line="202" w:lineRule="exact"/>
              <w:rPr>
                <w:sz w:val="20"/>
                <w:szCs w:val="20"/>
                <w:color w:val="auto"/>
              </w:rPr>
            </w:pPr>
            <w:r>
              <w:rPr>
                <w:rFonts w:ascii="Arial" w:cs="Arial" w:eastAsia="Arial" w:hAnsi="Arial"/>
                <w:sz w:val="18"/>
                <w:szCs w:val="18"/>
                <w:color w:val="auto"/>
              </w:rPr>
              <w:t>Acquisition expenses</w:t>
            </w:r>
          </w:p>
        </w:tc>
        <w:tc>
          <w:tcPr>
            <w:tcW w:w="1880" w:type="dxa"/>
            <w:vAlign w:val="bottom"/>
          </w:tcPr>
          <w:p>
            <w:pPr>
              <w:jc w:val="right"/>
              <w:ind w:right="57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5,367</w:t>
            </w:r>
          </w:p>
        </w:tc>
        <w:tc>
          <w:tcPr>
            <w:tcW w:w="176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5,367</w:t>
            </w:r>
          </w:p>
        </w:tc>
        <w:tc>
          <w:tcPr>
            <w:tcW w:w="0" w:type="dxa"/>
            <w:vAlign w:val="bottom"/>
          </w:tcPr>
          <w:p>
            <w:pPr>
              <w:spacing w:after="0"/>
              <w:rPr>
                <w:sz w:val="1"/>
                <w:szCs w:val="1"/>
                <w:color w:val="auto"/>
              </w:rPr>
            </w:pPr>
          </w:p>
        </w:tc>
      </w:tr>
      <w:tr>
        <w:trPr>
          <w:trHeight w:val="203"/>
        </w:trPr>
        <w:tc>
          <w:tcPr>
            <w:tcW w:w="5340" w:type="dxa"/>
            <w:vAlign w:val="bottom"/>
            <w:tcBorders>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Pretax income attributable to noncontrolling interest in ASC</w:t>
            </w:r>
          </w:p>
        </w:tc>
        <w:tc>
          <w:tcPr>
            <w:tcW w:w="1880" w:type="dxa"/>
            <w:vAlign w:val="bottom"/>
            <w:tcBorders>
              <w:bottom w:val="single" w:sz="8" w:color="auto"/>
            </w:tcBorders>
          </w:tcPr>
          <w:p>
            <w:pPr>
              <w:jc w:val="right"/>
              <w:ind w:right="570"/>
              <w:spacing w:after="0" w:line="203"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(125)</w:t>
            </w:r>
          </w:p>
        </w:tc>
        <w:tc>
          <w:tcPr>
            <w:tcW w:w="176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196"/>
        </w:trPr>
        <w:tc>
          <w:tcPr>
            <w:tcW w:w="534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Adjusted EBITDA (non-GAAP)</w:t>
            </w:r>
          </w:p>
        </w:tc>
        <w:tc>
          <w:tcPr>
            <w:tcW w:w="1880" w:type="dxa"/>
            <w:vAlign w:val="bottom"/>
            <w:tcBorders>
              <w:bottom w:val="single" w:sz="8" w:color="auto"/>
            </w:tcBorders>
          </w:tcPr>
          <w:p>
            <w:pPr>
              <w:jc w:val="right"/>
              <w:ind w:right="570"/>
              <w:spacing w:after="0" w:line="196" w:lineRule="exact"/>
              <w:rPr>
                <w:sz w:val="20"/>
                <w:szCs w:val="20"/>
                <w:color w:val="auto"/>
              </w:rPr>
            </w:pPr>
            <w:r>
              <w:rPr>
                <w:rFonts w:ascii="Arial" w:cs="Arial" w:eastAsia="Arial" w:hAnsi="Arial"/>
                <w:sz w:val="18"/>
                <w:szCs w:val="18"/>
                <w:color w:val="auto"/>
              </w:rPr>
              <w:t>$194,622</w:t>
            </w:r>
          </w:p>
        </w:tc>
        <w:tc>
          <w:tcPr>
            <w:tcW w:w="120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$16,420</w:t>
            </w:r>
          </w:p>
        </w:tc>
        <w:tc>
          <w:tcPr>
            <w:tcW w:w="176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($42,146)</w:t>
            </w:r>
          </w:p>
        </w:tc>
        <w:tc>
          <w:tcPr>
            <w:tcW w:w="12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$168,896</w:t>
            </w:r>
          </w:p>
        </w:tc>
        <w:tc>
          <w:tcPr>
            <w:tcW w:w="0" w:type="dxa"/>
            <w:vAlign w:val="bottom"/>
          </w:tcPr>
          <w:p>
            <w:pPr>
              <w:spacing w:after="0"/>
              <w:rPr>
                <w:sz w:val="1"/>
                <w:szCs w:val="1"/>
                <w:color w:val="auto"/>
              </w:rPr>
            </w:pPr>
          </w:p>
        </w:tc>
      </w:tr>
      <w:tr>
        <w:trPr>
          <w:trHeight w:val="628"/>
        </w:trPr>
        <w:tc>
          <w:tcPr>
            <w:tcW w:w="53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29"/>
        </w:trPr>
        <w:tc>
          <w:tcPr>
            <w:tcW w:w="534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1440" w:gutter="0" w:footer="0" w:header="0"/>
        </w:sectPr>
      </w:pPr>
    </w:p>
    <w:bookmarkStart w:id="43" w:name="page44"/>
    <w:bookmarkEnd w:id="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30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gridSpan w:val="2"/>
          </w:tcPr>
          <w:p>
            <w:pPr>
              <w:jc w:val="right"/>
              <w:ind w:right="950"/>
              <w:spacing w:after="0"/>
              <w:rPr>
                <w:sz w:val="20"/>
                <w:szCs w:val="20"/>
                <w:color w:val="auto"/>
              </w:rPr>
            </w:pPr>
            <w:r>
              <w:rPr>
                <w:rFonts w:ascii="Arial" w:cs="Arial" w:eastAsia="Arial" w:hAnsi="Arial"/>
                <w:sz w:val="18"/>
                <w:szCs w:val="18"/>
                <w:b w:val="1"/>
                <w:bCs w:val="1"/>
                <w:color w:val="auto"/>
              </w:rPr>
              <w:t>(in thousands)</w:t>
            </w:r>
          </w:p>
        </w:tc>
        <w:tc>
          <w:tcPr>
            <w:tcW w:w="15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376"/>
        </w:trPr>
        <w:tc>
          <w:tcPr>
            <w:tcW w:w="5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20" w:type="dxa"/>
            <w:vAlign w:val="bottom"/>
          </w:tcPr>
          <w:p>
            <w:pPr>
              <w:jc w:val="center"/>
              <w:ind w:right="250"/>
              <w:spacing w:after="0"/>
              <w:rPr>
                <w:sz w:val="20"/>
                <w:szCs w:val="20"/>
                <w:color w:val="auto"/>
              </w:rPr>
            </w:pPr>
            <w:r>
              <w:rPr>
                <w:rFonts w:ascii="Arial" w:cs="Arial" w:eastAsia="Arial" w:hAnsi="Arial"/>
                <w:sz w:val="18"/>
                <w:szCs w:val="18"/>
                <w:b w:val="1"/>
                <w:bCs w:val="1"/>
                <w:color w:val="auto"/>
                <w:w w:val="99"/>
              </w:rPr>
              <w:t>Albany</w:t>
            </w:r>
          </w:p>
        </w:tc>
        <w:tc>
          <w:tcPr>
            <w:tcW w:w="1520" w:type="dxa"/>
            <w:vAlign w:val="bottom"/>
          </w:tcPr>
          <w:p>
            <w:pPr>
              <w:ind w:left="300"/>
              <w:spacing w:after="0"/>
              <w:rPr>
                <w:sz w:val="20"/>
                <w:szCs w:val="20"/>
                <w:color w:val="auto"/>
              </w:rPr>
            </w:pPr>
            <w:r>
              <w:rPr>
                <w:rFonts w:ascii="Arial" w:cs="Arial" w:eastAsia="Arial" w:hAnsi="Arial"/>
                <w:sz w:val="18"/>
                <w:szCs w:val="18"/>
                <w:b w:val="1"/>
                <w:bCs w:val="1"/>
                <w:color w:val="auto"/>
              </w:rPr>
              <w:t>Corporate</w:t>
            </w:r>
          </w:p>
        </w:tc>
        <w:tc>
          <w:tcPr>
            <w:tcW w:w="1240" w:type="dxa"/>
            <w:vAlign w:val="bottom"/>
          </w:tcPr>
          <w:p>
            <w:pPr>
              <w:spacing w:after="0"/>
              <w:rPr>
                <w:sz w:val="24"/>
                <w:szCs w:val="24"/>
                <w:color w:val="auto"/>
              </w:rPr>
            </w:pPr>
          </w:p>
        </w:tc>
      </w:tr>
      <w:tr>
        <w:trPr>
          <w:trHeight w:val="203"/>
        </w:trPr>
        <w:tc>
          <w:tcPr>
            <w:tcW w:w="5300" w:type="dxa"/>
            <w:vAlign w:val="bottom"/>
          </w:tcPr>
          <w:p>
            <w:pPr>
              <w:spacing w:after="0"/>
              <w:rPr>
                <w:sz w:val="17"/>
                <w:szCs w:val="17"/>
                <w:color w:val="auto"/>
              </w:rPr>
            </w:pPr>
          </w:p>
        </w:tc>
        <w:tc>
          <w:tcPr>
            <w:tcW w:w="1540" w:type="dxa"/>
            <w:vAlign w:val="bottom"/>
          </w:tcPr>
          <w:p>
            <w:pPr>
              <w:jc w:val="right"/>
              <w:ind w:right="390"/>
              <w:spacing w:after="0" w:line="202" w:lineRule="exact"/>
              <w:rPr>
                <w:sz w:val="20"/>
                <w:szCs w:val="20"/>
                <w:color w:val="auto"/>
              </w:rPr>
            </w:pPr>
            <w:r>
              <w:rPr>
                <w:rFonts w:ascii="Arial" w:cs="Arial" w:eastAsia="Arial" w:hAnsi="Arial"/>
                <w:sz w:val="18"/>
                <w:szCs w:val="18"/>
                <w:b w:val="1"/>
                <w:bCs w:val="1"/>
                <w:color w:val="auto"/>
              </w:rPr>
              <w:t>Machine</w:t>
            </w:r>
          </w:p>
        </w:tc>
        <w:tc>
          <w:tcPr>
            <w:tcW w:w="1820" w:type="dxa"/>
            <w:vAlign w:val="bottom"/>
          </w:tcPr>
          <w:p>
            <w:pPr>
              <w:jc w:val="center"/>
              <w:ind w:right="270"/>
              <w:spacing w:after="0" w:line="202" w:lineRule="exact"/>
              <w:rPr>
                <w:sz w:val="20"/>
                <w:szCs w:val="20"/>
                <w:color w:val="auto"/>
              </w:rPr>
            </w:pPr>
            <w:r>
              <w:rPr>
                <w:rFonts w:ascii="Arial" w:cs="Arial" w:eastAsia="Arial" w:hAnsi="Arial"/>
                <w:sz w:val="18"/>
                <w:szCs w:val="18"/>
                <w:b w:val="1"/>
                <w:bCs w:val="1"/>
                <w:color w:val="auto"/>
                <w:w w:val="99"/>
              </w:rPr>
              <w:t>Engineered</w:t>
            </w:r>
          </w:p>
        </w:tc>
        <w:tc>
          <w:tcPr>
            <w:tcW w:w="1520" w:type="dxa"/>
            <w:vAlign w:val="bottom"/>
          </w:tcPr>
          <w:p>
            <w:pPr>
              <w:ind w:left="320"/>
              <w:spacing w:after="0" w:line="202" w:lineRule="exact"/>
              <w:rPr>
                <w:sz w:val="20"/>
                <w:szCs w:val="20"/>
                <w:color w:val="auto"/>
              </w:rPr>
            </w:pPr>
            <w:r>
              <w:rPr>
                <w:rFonts w:ascii="Arial" w:cs="Arial" w:eastAsia="Arial" w:hAnsi="Arial"/>
                <w:sz w:val="18"/>
                <w:szCs w:val="18"/>
                <w:b w:val="1"/>
                <w:bCs w:val="1"/>
                <w:color w:val="auto"/>
              </w:rPr>
              <w:t>expenses</w:t>
            </w:r>
          </w:p>
        </w:tc>
        <w:tc>
          <w:tcPr>
            <w:tcW w:w="1240" w:type="dxa"/>
            <w:vAlign w:val="bottom"/>
          </w:tcPr>
          <w:p>
            <w:pPr>
              <w:jc w:val="center"/>
              <w:ind w:left="110"/>
              <w:spacing w:after="0" w:line="202" w:lineRule="exact"/>
              <w:rPr>
                <w:sz w:val="20"/>
                <w:szCs w:val="20"/>
                <w:color w:val="auto"/>
              </w:rPr>
            </w:pPr>
            <w:r>
              <w:rPr>
                <w:rFonts w:ascii="Arial" w:cs="Arial" w:eastAsia="Arial" w:hAnsi="Arial"/>
                <w:sz w:val="18"/>
                <w:szCs w:val="18"/>
                <w:b w:val="1"/>
                <w:bCs w:val="1"/>
                <w:color w:val="auto"/>
                <w:w w:val="92"/>
              </w:rPr>
              <w:t>Total</w:t>
            </w:r>
          </w:p>
        </w:tc>
      </w:tr>
      <w:tr>
        <w:trPr>
          <w:trHeight w:val="225"/>
        </w:trPr>
        <w:tc>
          <w:tcPr>
            <w:tcW w:w="53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Year ended December 31, 2015</w:t>
            </w:r>
          </w:p>
        </w:tc>
        <w:tc>
          <w:tcPr>
            <w:tcW w:w="15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Clothing</w:t>
            </w:r>
          </w:p>
        </w:tc>
        <w:tc>
          <w:tcPr>
            <w:tcW w:w="182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rPr>
              <w:t>Composites</w:t>
            </w:r>
          </w:p>
        </w:tc>
        <w:tc>
          <w:tcPr>
            <w:tcW w:w="152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and other</w:t>
            </w:r>
          </w:p>
        </w:tc>
        <w:tc>
          <w:tcPr>
            <w:tcW w:w="124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b w:val="1"/>
                <w:bCs w:val="1"/>
                <w:color w:val="auto"/>
                <w:w w:val="99"/>
              </w:rPr>
              <w:t>Company</w:t>
            </w:r>
          </w:p>
        </w:tc>
      </w:tr>
      <w:tr>
        <w:trPr>
          <w:trHeight w:val="195"/>
        </w:trPr>
        <w:tc>
          <w:tcPr>
            <w:tcW w:w="5300" w:type="dxa"/>
            <w:vAlign w:val="bottom"/>
          </w:tcPr>
          <w:p>
            <w:pPr>
              <w:ind w:left="40"/>
              <w:spacing w:after="0" w:line="195" w:lineRule="exact"/>
              <w:rPr>
                <w:sz w:val="20"/>
                <w:szCs w:val="20"/>
                <w:color w:val="auto"/>
              </w:rPr>
            </w:pPr>
            <w:r>
              <w:rPr>
                <w:rFonts w:ascii="Arial" w:cs="Arial" w:eastAsia="Arial" w:hAnsi="Arial"/>
                <w:sz w:val="18"/>
                <w:szCs w:val="18"/>
                <w:color w:val="auto"/>
              </w:rPr>
              <w:t>Operating income/(loss) (GAAP)</w:t>
            </w:r>
          </w:p>
        </w:tc>
        <w:tc>
          <w:tcPr>
            <w:tcW w:w="1540" w:type="dxa"/>
            <w:vAlign w:val="bottom"/>
          </w:tcPr>
          <w:p>
            <w:pPr>
              <w:jc w:val="right"/>
              <w:ind w:right="370"/>
              <w:spacing w:after="0" w:line="195" w:lineRule="exact"/>
              <w:rPr>
                <w:sz w:val="20"/>
                <w:szCs w:val="20"/>
                <w:color w:val="auto"/>
              </w:rPr>
            </w:pPr>
            <w:r>
              <w:rPr>
                <w:rFonts w:ascii="Arial" w:cs="Arial" w:eastAsia="Arial" w:hAnsi="Arial"/>
                <w:sz w:val="18"/>
                <w:szCs w:val="18"/>
                <w:color w:val="auto"/>
              </w:rPr>
              <w:t>$141,311</w:t>
            </w:r>
          </w:p>
        </w:tc>
        <w:tc>
          <w:tcPr>
            <w:tcW w:w="1820" w:type="dxa"/>
            <w:vAlign w:val="bottom"/>
          </w:tcPr>
          <w:p>
            <w:pPr>
              <w:jc w:val="right"/>
              <w:ind w:right="190"/>
              <w:spacing w:after="0" w:line="195" w:lineRule="exact"/>
              <w:rPr>
                <w:sz w:val="20"/>
                <w:szCs w:val="20"/>
                <w:color w:val="auto"/>
              </w:rPr>
            </w:pPr>
            <w:r>
              <w:rPr>
                <w:rFonts w:ascii="Arial" w:cs="Arial" w:eastAsia="Arial" w:hAnsi="Arial"/>
                <w:sz w:val="18"/>
                <w:szCs w:val="18"/>
                <w:color w:val="auto"/>
              </w:rPr>
              <w:t>($28,478)(a)</w:t>
            </w:r>
          </w:p>
        </w:tc>
        <w:tc>
          <w:tcPr>
            <w:tcW w:w="152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($48,938)</w:t>
            </w:r>
          </w:p>
        </w:tc>
        <w:tc>
          <w:tcPr>
            <w:tcW w:w="12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$63,895</w:t>
            </w:r>
          </w:p>
        </w:tc>
      </w:tr>
      <w:tr>
        <w:trPr>
          <w:trHeight w:val="203"/>
        </w:trPr>
        <w:tc>
          <w:tcPr>
            <w:tcW w:w="5300" w:type="dxa"/>
            <w:vAlign w:val="bottom"/>
            <w:tcBorders>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Interest, taxes, other income/expense</w:t>
            </w:r>
          </w:p>
        </w:tc>
        <w:tc>
          <w:tcPr>
            <w:tcW w:w="1540" w:type="dxa"/>
            <w:vAlign w:val="bottom"/>
            <w:tcBorders>
              <w:bottom w:val="single" w:sz="8" w:color="auto"/>
            </w:tcBorders>
          </w:tcPr>
          <w:p>
            <w:pPr>
              <w:jc w:val="right"/>
              <w:ind w:right="370"/>
              <w:spacing w:after="0" w:line="203" w:lineRule="exact"/>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tcPr>
          <w:p>
            <w:pPr>
              <w:jc w:val="right"/>
              <w:ind w:right="470"/>
              <w:spacing w:after="0" w:line="203" w:lineRule="exact"/>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rPr>
              <w:t>(6,630)</w:t>
            </w: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(6,630)</w:t>
            </w:r>
          </w:p>
        </w:tc>
      </w:tr>
      <w:tr>
        <w:trPr>
          <w:trHeight w:val="195"/>
        </w:trPr>
        <w:tc>
          <w:tcPr>
            <w:tcW w:w="5300" w:type="dxa"/>
            <w:vAlign w:val="bottom"/>
          </w:tcPr>
          <w:p>
            <w:pPr>
              <w:ind w:left="40"/>
              <w:spacing w:after="0" w:line="195" w:lineRule="exact"/>
              <w:rPr>
                <w:sz w:val="20"/>
                <w:szCs w:val="20"/>
                <w:color w:val="auto"/>
              </w:rPr>
            </w:pPr>
            <w:r>
              <w:rPr>
                <w:rFonts w:ascii="Arial" w:cs="Arial" w:eastAsia="Arial" w:hAnsi="Arial"/>
                <w:sz w:val="18"/>
                <w:szCs w:val="18"/>
                <w:color w:val="auto"/>
              </w:rPr>
              <w:t>Net income (GAAP)</w:t>
            </w:r>
          </w:p>
        </w:tc>
        <w:tc>
          <w:tcPr>
            <w:tcW w:w="1540" w:type="dxa"/>
            <w:vAlign w:val="bottom"/>
          </w:tcPr>
          <w:p>
            <w:pPr>
              <w:jc w:val="right"/>
              <w:ind w:right="370"/>
              <w:spacing w:after="0" w:line="195" w:lineRule="exact"/>
              <w:rPr>
                <w:sz w:val="20"/>
                <w:szCs w:val="20"/>
                <w:color w:val="auto"/>
              </w:rPr>
            </w:pPr>
            <w:r>
              <w:rPr>
                <w:rFonts w:ascii="Arial" w:cs="Arial" w:eastAsia="Arial" w:hAnsi="Arial"/>
                <w:sz w:val="18"/>
                <w:szCs w:val="18"/>
                <w:color w:val="auto"/>
              </w:rPr>
              <w:t>141,311</w:t>
            </w:r>
          </w:p>
        </w:tc>
        <w:tc>
          <w:tcPr>
            <w:tcW w:w="1820" w:type="dxa"/>
            <w:vAlign w:val="bottom"/>
          </w:tcPr>
          <w:p>
            <w:pPr>
              <w:jc w:val="right"/>
              <w:ind w:right="410"/>
              <w:spacing w:after="0" w:line="195" w:lineRule="exact"/>
              <w:rPr>
                <w:sz w:val="20"/>
                <w:szCs w:val="20"/>
                <w:color w:val="auto"/>
              </w:rPr>
            </w:pPr>
            <w:r>
              <w:rPr>
                <w:rFonts w:ascii="Arial" w:cs="Arial" w:eastAsia="Arial" w:hAnsi="Arial"/>
                <w:sz w:val="18"/>
                <w:szCs w:val="18"/>
                <w:color w:val="auto"/>
              </w:rPr>
              <w:t>(28,478)</w:t>
            </w:r>
          </w:p>
        </w:tc>
        <w:tc>
          <w:tcPr>
            <w:tcW w:w="152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(55,568)</w:t>
            </w:r>
          </w:p>
        </w:tc>
        <w:tc>
          <w:tcPr>
            <w:tcW w:w="12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57,265</w:t>
            </w:r>
          </w:p>
        </w:tc>
      </w:tr>
      <w:tr>
        <w:trPr>
          <w:trHeight w:val="203"/>
        </w:trPr>
        <w:tc>
          <w:tcPr>
            <w:tcW w:w="5300" w:type="dxa"/>
            <w:vAlign w:val="bottom"/>
          </w:tcPr>
          <w:p>
            <w:pPr>
              <w:ind w:left="40"/>
              <w:spacing w:after="0" w:line="202" w:lineRule="exact"/>
              <w:rPr>
                <w:sz w:val="20"/>
                <w:szCs w:val="20"/>
                <w:color w:val="auto"/>
              </w:rPr>
            </w:pPr>
            <w:r>
              <w:rPr>
                <w:rFonts w:ascii="Arial" w:cs="Arial" w:eastAsia="Arial" w:hAnsi="Arial"/>
                <w:sz w:val="18"/>
                <w:szCs w:val="18"/>
                <w:color w:val="auto"/>
              </w:rPr>
              <w:t>Interest expense, net</w:t>
            </w:r>
          </w:p>
        </w:tc>
        <w:tc>
          <w:tcPr>
            <w:tcW w:w="154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w:t>
            </w:r>
          </w:p>
        </w:tc>
        <w:tc>
          <w:tcPr>
            <w:tcW w:w="182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9,984</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9,984</w:t>
            </w:r>
          </w:p>
        </w:tc>
      </w:tr>
      <w:tr>
        <w:trPr>
          <w:trHeight w:val="203"/>
        </w:trPr>
        <w:tc>
          <w:tcPr>
            <w:tcW w:w="5300" w:type="dxa"/>
            <w:vAlign w:val="bottom"/>
          </w:tcPr>
          <w:p>
            <w:pPr>
              <w:ind w:left="40"/>
              <w:spacing w:after="0" w:line="202" w:lineRule="exact"/>
              <w:rPr>
                <w:sz w:val="20"/>
                <w:szCs w:val="20"/>
                <w:color w:val="auto"/>
              </w:rPr>
            </w:pPr>
            <w:r>
              <w:rPr>
                <w:rFonts w:ascii="Arial" w:cs="Arial" w:eastAsia="Arial" w:hAnsi="Arial"/>
                <w:sz w:val="18"/>
                <w:szCs w:val="18"/>
                <w:color w:val="auto"/>
              </w:rPr>
              <w:t>Income tax benefit</w:t>
            </w:r>
          </w:p>
        </w:tc>
        <w:tc>
          <w:tcPr>
            <w:tcW w:w="154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w:t>
            </w:r>
          </w:p>
        </w:tc>
        <w:tc>
          <w:tcPr>
            <w:tcW w:w="182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(5,787)</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(5,787)</w:t>
            </w:r>
          </w:p>
        </w:tc>
      </w:tr>
      <w:tr>
        <w:trPr>
          <w:trHeight w:val="203"/>
        </w:trPr>
        <w:tc>
          <w:tcPr>
            <w:tcW w:w="5300" w:type="dxa"/>
            <w:vAlign w:val="bottom"/>
            <w:tcBorders>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Depreciation and amortization</w:t>
            </w:r>
          </w:p>
        </w:tc>
        <w:tc>
          <w:tcPr>
            <w:tcW w:w="1540" w:type="dxa"/>
            <w:vAlign w:val="bottom"/>
            <w:tcBorders>
              <w:bottom w:val="single" w:sz="8" w:color="auto"/>
            </w:tcBorders>
          </w:tcPr>
          <w:p>
            <w:pPr>
              <w:jc w:val="right"/>
              <w:ind w:right="370"/>
              <w:spacing w:after="0" w:line="203" w:lineRule="exact"/>
              <w:rPr>
                <w:sz w:val="20"/>
                <w:szCs w:val="20"/>
                <w:color w:val="auto"/>
              </w:rPr>
            </w:pPr>
            <w:r>
              <w:rPr>
                <w:rFonts w:ascii="Arial" w:cs="Arial" w:eastAsia="Arial" w:hAnsi="Arial"/>
                <w:sz w:val="18"/>
                <w:szCs w:val="18"/>
                <w:color w:val="auto"/>
              </w:rPr>
              <w:t>39,503</w:t>
            </w:r>
          </w:p>
        </w:tc>
        <w:tc>
          <w:tcPr>
            <w:tcW w:w="1820" w:type="dxa"/>
            <w:vAlign w:val="bottom"/>
            <w:tcBorders>
              <w:bottom w:val="single" w:sz="8" w:color="auto"/>
            </w:tcBorders>
          </w:tcPr>
          <w:p>
            <w:pPr>
              <w:jc w:val="right"/>
              <w:ind w:right="470"/>
              <w:spacing w:after="0" w:line="203" w:lineRule="exact"/>
              <w:rPr>
                <w:sz w:val="20"/>
                <w:szCs w:val="20"/>
                <w:color w:val="auto"/>
              </w:rPr>
            </w:pPr>
            <w:r>
              <w:rPr>
                <w:rFonts w:ascii="Arial" w:cs="Arial" w:eastAsia="Arial" w:hAnsi="Arial"/>
                <w:sz w:val="18"/>
                <w:szCs w:val="18"/>
                <w:color w:val="auto"/>
              </w:rPr>
              <w:t>12,140</w:t>
            </w:r>
          </w:p>
        </w:tc>
        <w:tc>
          <w:tcPr>
            <w:tcW w:w="152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rPr>
              <w:t>8,471</w:t>
            </w:r>
          </w:p>
        </w:tc>
        <w:tc>
          <w:tcPr>
            <w:tcW w:w="12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60,114</w:t>
            </w:r>
          </w:p>
        </w:tc>
      </w:tr>
      <w:tr>
        <w:trPr>
          <w:trHeight w:val="195"/>
        </w:trPr>
        <w:tc>
          <w:tcPr>
            <w:tcW w:w="5300" w:type="dxa"/>
            <w:vAlign w:val="bottom"/>
          </w:tcPr>
          <w:p>
            <w:pPr>
              <w:ind w:left="40"/>
              <w:spacing w:after="0" w:line="195" w:lineRule="exact"/>
              <w:rPr>
                <w:sz w:val="20"/>
                <w:szCs w:val="20"/>
                <w:color w:val="auto"/>
              </w:rPr>
            </w:pPr>
            <w:r>
              <w:rPr>
                <w:rFonts w:ascii="Arial" w:cs="Arial" w:eastAsia="Arial" w:hAnsi="Arial"/>
                <w:sz w:val="18"/>
                <w:szCs w:val="18"/>
                <w:color w:val="auto"/>
              </w:rPr>
              <w:t>EBITDA (non-GAAP)</w:t>
            </w:r>
          </w:p>
        </w:tc>
        <w:tc>
          <w:tcPr>
            <w:tcW w:w="1540" w:type="dxa"/>
            <w:vAlign w:val="bottom"/>
          </w:tcPr>
          <w:p>
            <w:pPr>
              <w:jc w:val="right"/>
              <w:ind w:right="370"/>
              <w:spacing w:after="0" w:line="195" w:lineRule="exact"/>
              <w:rPr>
                <w:sz w:val="20"/>
                <w:szCs w:val="20"/>
                <w:color w:val="auto"/>
              </w:rPr>
            </w:pPr>
            <w:r>
              <w:rPr>
                <w:rFonts w:ascii="Arial" w:cs="Arial" w:eastAsia="Arial" w:hAnsi="Arial"/>
                <w:sz w:val="18"/>
                <w:szCs w:val="18"/>
                <w:color w:val="auto"/>
              </w:rPr>
              <w:t>180,814</w:t>
            </w:r>
          </w:p>
        </w:tc>
        <w:tc>
          <w:tcPr>
            <w:tcW w:w="1820" w:type="dxa"/>
            <w:vAlign w:val="bottom"/>
          </w:tcPr>
          <w:p>
            <w:pPr>
              <w:jc w:val="right"/>
              <w:ind w:right="410"/>
              <w:spacing w:after="0" w:line="195" w:lineRule="exact"/>
              <w:rPr>
                <w:sz w:val="20"/>
                <w:szCs w:val="20"/>
                <w:color w:val="auto"/>
              </w:rPr>
            </w:pPr>
            <w:r>
              <w:rPr>
                <w:rFonts w:ascii="Arial" w:cs="Arial" w:eastAsia="Arial" w:hAnsi="Arial"/>
                <w:sz w:val="18"/>
                <w:szCs w:val="18"/>
                <w:color w:val="auto"/>
              </w:rPr>
              <w:t>(16,338)</w:t>
            </w:r>
          </w:p>
        </w:tc>
        <w:tc>
          <w:tcPr>
            <w:tcW w:w="152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(42,900)</w:t>
            </w:r>
          </w:p>
        </w:tc>
        <w:tc>
          <w:tcPr>
            <w:tcW w:w="12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121,576</w:t>
            </w:r>
          </w:p>
        </w:tc>
      </w:tr>
      <w:tr>
        <w:trPr>
          <w:trHeight w:val="203"/>
        </w:trPr>
        <w:tc>
          <w:tcPr>
            <w:tcW w:w="5300" w:type="dxa"/>
            <w:vAlign w:val="bottom"/>
          </w:tcPr>
          <w:p>
            <w:pPr>
              <w:ind w:left="40"/>
              <w:spacing w:after="0" w:line="202" w:lineRule="exact"/>
              <w:rPr>
                <w:sz w:val="20"/>
                <w:szCs w:val="20"/>
                <w:color w:val="auto"/>
              </w:rPr>
            </w:pPr>
            <w:r>
              <w:rPr>
                <w:rFonts w:ascii="Arial" w:cs="Arial" w:eastAsia="Arial" w:hAnsi="Arial"/>
                <w:sz w:val="18"/>
                <w:szCs w:val="18"/>
                <w:color w:val="auto"/>
              </w:rPr>
              <w:t>Restructuring and other, net</w:t>
            </w:r>
          </w:p>
        </w:tc>
        <w:tc>
          <w:tcPr>
            <w:tcW w:w="154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22,211</w:t>
            </w:r>
          </w:p>
        </w:tc>
        <w:tc>
          <w:tcPr>
            <w:tcW w:w="182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1,635</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23,846</w:t>
            </w:r>
          </w:p>
        </w:tc>
      </w:tr>
      <w:tr>
        <w:trPr>
          <w:trHeight w:val="203"/>
        </w:trPr>
        <w:tc>
          <w:tcPr>
            <w:tcW w:w="5300" w:type="dxa"/>
            <w:vAlign w:val="bottom"/>
          </w:tcPr>
          <w:p>
            <w:pPr>
              <w:ind w:left="40"/>
              <w:spacing w:after="0" w:line="202" w:lineRule="exact"/>
              <w:rPr>
                <w:sz w:val="20"/>
                <w:szCs w:val="20"/>
                <w:color w:val="auto"/>
              </w:rPr>
            </w:pPr>
            <w:r>
              <w:rPr>
                <w:rFonts w:ascii="Arial" w:cs="Arial" w:eastAsia="Arial" w:hAnsi="Arial"/>
                <w:sz w:val="18"/>
                <w:szCs w:val="18"/>
                <w:color w:val="auto"/>
              </w:rPr>
              <w:t>Foreign currency revaluation (gains)/losses</w:t>
            </w:r>
          </w:p>
        </w:tc>
        <w:tc>
          <w:tcPr>
            <w:tcW w:w="154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(5,075)</w:t>
            </w:r>
          </w:p>
        </w:tc>
        <w:tc>
          <w:tcPr>
            <w:tcW w:w="182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(17)</w:t>
            </w:r>
          </w:p>
        </w:tc>
        <w:tc>
          <w:tcPr>
            <w:tcW w:w="15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1,498</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(3,594)</w:t>
            </w:r>
          </w:p>
        </w:tc>
      </w:tr>
      <w:tr>
        <w:trPr>
          <w:trHeight w:val="203"/>
        </w:trPr>
        <w:tc>
          <w:tcPr>
            <w:tcW w:w="5300" w:type="dxa"/>
            <w:vAlign w:val="bottom"/>
          </w:tcPr>
          <w:p>
            <w:pPr>
              <w:ind w:left="40"/>
              <w:spacing w:after="0" w:line="202" w:lineRule="exact"/>
              <w:rPr>
                <w:sz w:val="20"/>
                <w:szCs w:val="20"/>
                <w:color w:val="auto"/>
              </w:rPr>
            </w:pPr>
            <w:r>
              <w:rPr>
                <w:rFonts w:ascii="Arial" w:cs="Arial" w:eastAsia="Arial" w:hAnsi="Arial"/>
                <w:sz w:val="18"/>
                <w:szCs w:val="18"/>
                <w:color w:val="auto"/>
              </w:rPr>
              <w:t>Gain on sale of investment</w:t>
            </w:r>
          </w:p>
        </w:tc>
        <w:tc>
          <w:tcPr>
            <w:tcW w:w="154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w:t>
            </w:r>
          </w:p>
        </w:tc>
        <w:tc>
          <w:tcPr>
            <w:tcW w:w="182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(872)</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(872)</w:t>
            </w:r>
          </w:p>
        </w:tc>
      </w:tr>
      <w:tr>
        <w:trPr>
          <w:trHeight w:val="203"/>
        </w:trPr>
        <w:tc>
          <w:tcPr>
            <w:tcW w:w="5300" w:type="dxa"/>
            <w:vAlign w:val="bottom"/>
            <w:tcBorders>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Pretax loss attributable to noncontrolling interest in ASC</w:t>
            </w:r>
          </w:p>
        </w:tc>
        <w:tc>
          <w:tcPr>
            <w:tcW w:w="1540" w:type="dxa"/>
            <w:vAlign w:val="bottom"/>
            <w:tcBorders>
              <w:bottom w:val="single" w:sz="8" w:color="auto"/>
            </w:tcBorders>
          </w:tcPr>
          <w:p>
            <w:pPr>
              <w:jc w:val="right"/>
              <w:ind w:right="370"/>
              <w:spacing w:after="0" w:line="203" w:lineRule="exact"/>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tcPr>
          <w:p>
            <w:pPr>
              <w:jc w:val="right"/>
              <w:ind w:right="470"/>
              <w:spacing w:after="0" w:line="203" w:lineRule="exact"/>
              <w:rPr>
                <w:sz w:val="20"/>
                <w:szCs w:val="20"/>
                <w:color w:val="auto"/>
              </w:rPr>
            </w:pPr>
            <w:r>
              <w:rPr>
                <w:rFonts w:ascii="Arial" w:cs="Arial" w:eastAsia="Arial" w:hAnsi="Arial"/>
                <w:sz w:val="18"/>
                <w:szCs w:val="18"/>
                <w:color w:val="auto"/>
              </w:rPr>
              <w:t>20</w:t>
            </w:r>
          </w:p>
        </w:tc>
        <w:tc>
          <w:tcPr>
            <w:tcW w:w="152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w:t>
            </w:r>
          </w:p>
        </w:tc>
      </w:tr>
      <w:tr>
        <w:trPr>
          <w:trHeight w:val="196"/>
        </w:trPr>
        <w:tc>
          <w:tcPr>
            <w:tcW w:w="530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Adjusted EBITDA (non-GAAP)</w:t>
            </w:r>
          </w:p>
        </w:tc>
        <w:tc>
          <w:tcPr>
            <w:tcW w:w="154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color w:val="auto"/>
              </w:rPr>
              <w:t>$197,950</w:t>
            </w:r>
          </w:p>
        </w:tc>
        <w:tc>
          <w:tcPr>
            <w:tcW w:w="182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color w:val="auto"/>
              </w:rPr>
              <w:t>($16,335)</w:t>
            </w:r>
          </w:p>
        </w:tc>
        <w:tc>
          <w:tcPr>
            <w:tcW w:w="152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($40,639)</w:t>
            </w:r>
          </w:p>
        </w:tc>
        <w:tc>
          <w:tcPr>
            <w:tcW w:w="12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$140,976</w:t>
            </w:r>
          </w:p>
        </w:tc>
      </w:tr>
      <w:tr>
        <w:trPr>
          <w:trHeight w:val="412"/>
        </w:trPr>
        <w:tc>
          <w:tcPr>
            <w:tcW w:w="5300" w:type="dxa"/>
            <w:vAlign w:val="bottom"/>
          </w:tcPr>
          <w:p>
            <w:pPr>
              <w:spacing w:after="0"/>
              <w:rPr>
                <w:sz w:val="20"/>
                <w:szCs w:val="20"/>
                <w:color w:val="auto"/>
              </w:rPr>
            </w:pPr>
            <w:r>
              <w:rPr>
                <w:rFonts w:ascii="Arial" w:cs="Arial" w:eastAsia="Arial" w:hAnsi="Arial"/>
                <w:sz w:val="18"/>
                <w:szCs w:val="18"/>
                <w:color w:val="auto"/>
              </w:rPr>
              <w:t>(a) Includes charge of $14.0 million related to BR 725 program</w:t>
            </w:r>
          </w:p>
        </w:tc>
        <w:tc>
          <w:tcPr>
            <w:tcW w:w="15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567"/>
        </w:trPr>
        <w:tc>
          <w:tcPr>
            <w:tcW w:w="530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2"/>
          </w:tcPr>
          <w:p>
            <w:pPr>
              <w:jc w:val="right"/>
              <w:ind w:right="850"/>
              <w:spacing w:after="0"/>
              <w:rPr>
                <w:sz w:val="20"/>
                <w:szCs w:val="20"/>
                <w:color w:val="auto"/>
              </w:rPr>
            </w:pPr>
            <w:r>
              <w:rPr>
                <w:rFonts w:ascii="Arial" w:cs="Arial" w:eastAsia="Arial" w:hAnsi="Arial"/>
                <w:sz w:val="18"/>
                <w:szCs w:val="18"/>
                <w:b w:val="1"/>
                <w:bCs w:val="1"/>
                <w:color w:val="auto"/>
              </w:rPr>
              <w:t>(in thousands)</w:t>
            </w:r>
          </w:p>
        </w:tc>
        <w:tc>
          <w:tcPr>
            <w:tcW w:w="15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376"/>
        </w:trPr>
        <w:tc>
          <w:tcPr>
            <w:tcW w:w="5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9"/>
              </w:rPr>
              <w:t>Albany</w:t>
            </w:r>
          </w:p>
        </w:tc>
        <w:tc>
          <w:tcPr>
            <w:tcW w:w="1520" w:type="dxa"/>
            <w:vAlign w:val="bottom"/>
          </w:tcPr>
          <w:p>
            <w:pPr>
              <w:ind w:left="300"/>
              <w:spacing w:after="0"/>
              <w:rPr>
                <w:sz w:val="20"/>
                <w:szCs w:val="20"/>
                <w:color w:val="auto"/>
              </w:rPr>
            </w:pPr>
            <w:r>
              <w:rPr>
                <w:rFonts w:ascii="Arial" w:cs="Arial" w:eastAsia="Arial" w:hAnsi="Arial"/>
                <w:sz w:val="18"/>
                <w:szCs w:val="18"/>
                <w:b w:val="1"/>
                <w:bCs w:val="1"/>
                <w:color w:val="auto"/>
              </w:rPr>
              <w:t>Corporate</w:t>
            </w:r>
          </w:p>
        </w:tc>
        <w:tc>
          <w:tcPr>
            <w:tcW w:w="1240" w:type="dxa"/>
            <w:vAlign w:val="bottom"/>
          </w:tcPr>
          <w:p>
            <w:pPr>
              <w:spacing w:after="0"/>
              <w:rPr>
                <w:sz w:val="24"/>
                <w:szCs w:val="24"/>
                <w:color w:val="auto"/>
              </w:rPr>
            </w:pPr>
          </w:p>
        </w:tc>
      </w:tr>
      <w:tr>
        <w:trPr>
          <w:trHeight w:val="203"/>
        </w:trPr>
        <w:tc>
          <w:tcPr>
            <w:tcW w:w="5300" w:type="dxa"/>
            <w:vAlign w:val="bottom"/>
          </w:tcPr>
          <w:p>
            <w:pPr>
              <w:spacing w:after="0"/>
              <w:rPr>
                <w:sz w:val="17"/>
                <w:szCs w:val="17"/>
                <w:color w:val="auto"/>
              </w:rPr>
            </w:pPr>
          </w:p>
        </w:tc>
        <w:tc>
          <w:tcPr>
            <w:tcW w:w="154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Machine</w:t>
            </w:r>
          </w:p>
        </w:tc>
        <w:tc>
          <w:tcPr>
            <w:tcW w:w="18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Engineered</w:t>
            </w:r>
          </w:p>
        </w:tc>
        <w:tc>
          <w:tcPr>
            <w:tcW w:w="1520" w:type="dxa"/>
            <w:vAlign w:val="bottom"/>
          </w:tcPr>
          <w:p>
            <w:pPr>
              <w:ind w:left="320"/>
              <w:spacing w:after="0" w:line="202" w:lineRule="exact"/>
              <w:rPr>
                <w:sz w:val="20"/>
                <w:szCs w:val="20"/>
                <w:color w:val="auto"/>
              </w:rPr>
            </w:pPr>
            <w:r>
              <w:rPr>
                <w:rFonts w:ascii="Arial" w:cs="Arial" w:eastAsia="Arial" w:hAnsi="Arial"/>
                <w:sz w:val="18"/>
                <w:szCs w:val="18"/>
                <w:b w:val="1"/>
                <w:bCs w:val="1"/>
                <w:color w:val="auto"/>
              </w:rPr>
              <w:t>expenses</w:t>
            </w:r>
          </w:p>
        </w:tc>
        <w:tc>
          <w:tcPr>
            <w:tcW w:w="1240" w:type="dxa"/>
            <w:vAlign w:val="bottom"/>
          </w:tcPr>
          <w:p>
            <w:pPr>
              <w:jc w:val="center"/>
              <w:ind w:left="110"/>
              <w:spacing w:after="0" w:line="202" w:lineRule="exact"/>
              <w:rPr>
                <w:sz w:val="20"/>
                <w:szCs w:val="20"/>
                <w:color w:val="auto"/>
              </w:rPr>
            </w:pPr>
            <w:r>
              <w:rPr>
                <w:rFonts w:ascii="Arial" w:cs="Arial" w:eastAsia="Arial" w:hAnsi="Arial"/>
                <w:sz w:val="18"/>
                <w:szCs w:val="18"/>
                <w:b w:val="1"/>
                <w:bCs w:val="1"/>
                <w:color w:val="auto"/>
                <w:w w:val="92"/>
              </w:rPr>
              <w:t>Total</w:t>
            </w:r>
          </w:p>
        </w:tc>
      </w:tr>
      <w:tr>
        <w:trPr>
          <w:trHeight w:val="225"/>
        </w:trPr>
        <w:tc>
          <w:tcPr>
            <w:tcW w:w="53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Year ended December 31, 2014</w:t>
            </w:r>
          </w:p>
        </w:tc>
        <w:tc>
          <w:tcPr>
            <w:tcW w:w="15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Clothing</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Composites</w:t>
            </w:r>
          </w:p>
        </w:tc>
        <w:tc>
          <w:tcPr>
            <w:tcW w:w="152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and other</w:t>
            </w:r>
          </w:p>
        </w:tc>
        <w:tc>
          <w:tcPr>
            <w:tcW w:w="124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b w:val="1"/>
                <w:bCs w:val="1"/>
                <w:color w:val="auto"/>
                <w:w w:val="99"/>
              </w:rPr>
              <w:t>Company</w:t>
            </w:r>
          </w:p>
        </w:tc>
      </w:tr>
      <w:tr>
        <w:trPr>
          <w:trHeight w:val="195"/>
        </w:trPr>
        <w:tc>
          <w:tcPr>
            <w:tcW w:w="5300" w:type="dxa"/>
            <w:vAlign w:val="bottom"/>
          </w:tcPr>
          <w:p>
            <w:pPr>
              <w:ind w:left="40"/>
              <w:spacing w:after="0" w:line="195" w:lineRule="exact"/>
              <w:rPr>
                <w:sz w:val="20"/>
                <w:szCs w:val="20"/>
                <w:color w:val="auto"/>
              </w:rPr>
            </w:pPr>
            <w:r>
              <w:rPr>
                <w:rFonts w:ascii="Arial" w:cs="Arial" w:eastAsia="Arial" w:hAnsi="Arial"/>
                <w:sz w:val="18"/>
                <w:szCs w:val="18"/>
                <w:color w:val="auto"/>
              </w:rPr>
              <w:t>Operating income/(loss) (GAAP)</w:t>
            </w:r>
          </w:p>
        </w:tc>
        <w:tc>
          <w:tcPr>
            <w:tcW w:w="1540" w:type="dxa"/>
            <w:vAlign w:val="bottom"/>
          </w:tcPr>
          <w:p>
            <w:pPr>
              <w:jc w:val="right"/>
              <w:ind w:right="190"/>
              <w:spacing w:after="0" w:line="195" w:lineRule="exact"/>
              <w:rPr>
                <w:sz w:val="20"/>
                <w:szCs w:val="20"/>
                <w:color w:val="auto"/>
              </w:rPr>
            </w:pPr>
            <w:r>
              <w:rPr>
                <w:rFonts w:ascii="Arial" w:cs="Arial" w:eastAsia="Arial" w:hAnsi="Arial"/>
                <w:sz w:val="18"/>
                <w:szCs w:val="18"/>
                <w:color w:val="auto"/>
              </w:rPr>
              <w:t>$136,450</w:t>
            </w:r>
          </w:p>
        </w:tc>
        <w:tc>
          <w:tcPr>
            <w:tcW w:w="1820" w:type="dxa"/>
            <w:vAlign w:val="bottom"/>
          </w:tcPr>
          <w:p>
            <w:pPr>
              <w:jc w:val="right"/>
              <w:ind w:right="230"/>
              <w:spacing w:after="0" w:line="195" w:lineRule="exact"/>
              <w:rPr>
                <w:sz w:val="20"/>
                <w:szCs w:val="20"/>
                <w:color w:val="auto"/>
              </w:rPr>
            </w:pPr>
            <w:r>
              <w:rPr>
                <w:rFonts w:ascii="Arial" w:cs="Arial" w:eastAsia="Arial" w:hAnsi="Arial"/>
                <w:sz w:val="18"/>
                <w:szCs w:val="18"/>
                <w:color w:val="auto"/>
              </w:rPr>
              <w:t>($10,483)</w:t>
            </w:r>
          </w:p>
        </w:tc>
        <w:tc>
          <w:tcPr>
            <w:tcW w:w="152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($54,607)</w:t>
            </w:r>
          </w:p>
        </w:tc>
        <w:tc>
          <w:tcPr>
            <w:tcW w:w="12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$71,360</w:t>
            </w:r>
          </w:p>
        </w:tc>
      </w:tr>
      <w:tr>
        <w:trPr>
          <w:trHeight w:val="203"/>
        </w:trPr>
        <w:tc>
          <w:tcPr>
            <w:tcW w:w="5300" w:type="dxa"/>
            <w:vAlign w:val="bottom"/>
            <w:tcBorders>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Interest, taxes, other income/expense</w:t>
            </w:r>
          </w:p>
        </w:tc>
        <w:tc>
          <w:tcPr>
            <w:tcW w:w="154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rPr>
              <w:t>(29,611)</w:t>
            </w: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(29,611)</w:t>
            </w:r>
          </w:p>
        </w:tc>
      </w:tr>
      <w:tr>
        <w:trPr>
          <w:trHeight w:val="195"/>
        </w:trPr>
        <w:tc>
          <w:tcPr>
            <w:tcW w:w="5300" w:type="dxa"/>
            <w:vAlign w:val="bottom"/>
          </w:tcPr>
          <w:p>
            <w:pPr>
              <w:ind w:left="40"/>
              <w:spacing w:after="0" w:line="195" w:lineRule="exact"/>
              <w:rPr>
                <w:sz w:val="20"/>
                <w:szCs w:val="20"/>
                <w:color w:val="auto"/>
              </w:rPr>
            </w:pPr>
            <w:r>
              <w:rPr>
                <w:rFonts w:ascii="Arial" w:cs="Arial" w:eastAsia="Arial" w:hAnsi="Arial"/>
                <w:sz w:val="18"/>
                <w:szCs w:val="18"/>
                <w:color w:val="auto"/>
              </w:rPr>
              <w:t>Net income (GAAP)</w:t>
            </w:r>
          </w:p>
        </w:tc>
        <w:tc>
          <w:tcPr>
            <w:tcW w:w="1540" w:type="dxa"/>
            <w:vAlign w:val="bottom"/>
          </w:tcPr>
          <w:p>
            <w:pPr>
              <w:jc w:val="right"/>
              <w:ind w:right="190"/>
              <w:spacing w:after="0" w:line="195" w:lineRule="exact"/>
              <w:rPr>
                <w:sz w:val="20"/>
                <w:szCs w:val="20"/>
                <w:color w:val="auto"/>
              </w:rPr>
            </w:pPr>
            <w:r>
              <w:rPr>
                <w:rFonts w:ascii="Arial" w:cs="Arial" w:eastAsia="Arial" w:hAnsi="Arial"/>
                <w:sz w:val="18"/>
                <w:szCs w:val="18"/>
                <w:color w:val="auto"/>
              </w:rPr>
              <w:t>136,450</w:t>
            </w:r>
          </w:p>
        </w:tc>
        <w:tc>
          <w:tcPr>
            <w:tcW w:w="1820" w:type="dxa"/>
            <w:vAlign w:val="bottom"/>
          </w:tcPr>
          <w:p>
            <w:pPr>
              <w:jc w:val="right"/>
              <w:ind w:right="230"/>
              <w:spacing w:after="0" w:line="195" w:lineRule="exact"/>
              <w:rPr>
                <w:sz w:val="20"/>
                <w:szCs w:val="20"/>
                <w:color w:val="auto"/>
              </w:rPr>
            </w:pPr>
            <w:r>
              <w:rPr>
                <w:rFonts w:ascii="Arial" w:cs="Arial" w:eastAsia="Arial" w:hAnsi="Arial"/>
                <w:sz w:val="18"/>
                <w:szCs w:val="18"/>
                <w:color w:val="auto"/>
              </w:rPr>
              <w:t>(10,483)</w:t>
            </w:r>
          </w:p>
        </w:tc>
        <w:tc>
          <w:tcPr>
            <w:tcW w:w="152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(84,218)</w:t>
            </w:r>
          </w:p>
        </w:tc>
        <w:tc>
          <w:tcPr>
            <w:tcW w:w="12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41,749</w:t>
            </w:r>
          </w:p>
        </w:tc>
      </w:tr>
      <w:tr>
        <w:trPr>
          <w:trHeight w:val="203"/>
        </w:trPr>
        <w:tc>
          <w:tcPr>
            <w:tcW w:w="5300" w:type="dxa"/>
            <w:vAlign w:val="bottom"/>
          </w:tcPr>
          <w:p>
            <w:pPr>
              <w:ind w:left="40"/>
              <w:spacing w:after="0" w:line="202" w:lineRule="exact"/>
              <w:rPr>
                <w:sz w:val="20"/>
                <w:szCs w:val="20"/>
                <w:color w:val="auto"/>
              </w:rPr>
            </w:pPr>
            <w:r>
              <w:rPr>
                <w:rFonts w:ascii="Arial" w:cs="Arial" w:eastAsia="Arial" w:hAnsi="Arial"/>
                <w:sz w:val="18"/>
                <w:szCs w:val="18"/>
                <w:color w:val="auto"/>
              </w:rPr>
              <w:t>Interest expense, net</w:t>
            </w:r>
          </w:p>
        </w:tc>
        <w:tc>
          <w:tcPr>
            <w:tcW w:w="154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82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10,713</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10,713</w:t>
            </w:r>
          </w:p>
        </w:tc>
      </w:tr>
      <w:tr>
        <w:trPr>
          <w:trHeight w:val="203"/>
        </w:trPr>
        <w:tc>
          <w:tcPr>
            <w:tcW w:w="5300" w:type="dxa"/>
            <w:vAlign w:val="bottom"/>
          </w:tcPr>
          <w:p>
            <w:pPr>
              <w:ind w:left="40"/>
              <w:spacing w:after="0" w:line="202" w:lineRule="exact"/>
              <w:rPr>
                <w:sz w:val="20"/>
                <w:szCs w:val="20"/>
                <w:color w:val="auto"/>
              </w:rPr>
            </w:pPr>
            <w:r>
              <w:rPr>
                <w:rFonts w:ascii="Arial" w:cs="Arial" w:eastAsia="Arial" w:hAnsi="Arial"/>
                <w:sz w:val="18"/>
                <w:szCs w:val="18"/>
                <w:color w:val="auto"/>
              </w:rPr>
              <w:t>Income tax expense</w:t>
            </w:r>
          </w:p>
        </w:tc>
        <w:tc>
          <w:tcPr>
            <w:tcW w:w="154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82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25,751</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25,751</w:t>
            </w:r>
          </w:p>
        </w:tc>
      </w:tr>
      <w:tr>
        <w:trPr>
          <w:trHeight w:val="203"/>
        </w:trPr>
        <w:tc>
          <w:tcPr>
            <w:tcW w:w="5300" w:type="dxa"/>
            <w:vAlign w:val="bottom"/>
            <w:tcBorders>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Depreciation and amortization</w:t>
            </w:r>
          </w:p>
        </w:tc>
        <w:tc>
          <w:tcPr>
            <w:tcW w:w="154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45,066</w:t>
            </w:r>
          </w:p>
        </w:tc>
        <w:tc>
          <w:tcPr>
            <w:tcW w:w="182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10,880</w:t>
            </w:r>
          </w:p>
        </w:tc>
        <w:tc>
          <w:tcPr>
            <w:tcW w:w="152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rPr>
              <w:t>8,346</w:t>
            </w:r>
          </w:p>
        </w:tc>
        <w:tc>
          <w:tcPr>
            <w:tcW w:w="12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64,292</w:t>
            </w:r>
          </w:p>
        </w:tc>
      </w:tr>
      <w:tr>
        <w:trPr>
          <w:trHeight w:val="195"/>
        </w:trPr>
        <w:tc>
          <w:tcPr>
            <w:tcW w:w="5300" w:type="dxa"/>
            <w:vAlign w:val="bottom"/>
          </w:tcPr>
          <w:p>
            <w:pPr>
              <w:ind w:left="40"/>
              <w:spacing w:after="0" w:line="195" w:lineRule="exact"/>
              <w:rPr>
                <w:sz w:val="20"/>
                <w:szCs w:val="20"/>
                <w:color w:val="auto"/>
              </w:rPr>
            </w:pPr>
            <w:r>
              <w:rPr>
                <w:rFonts w:ascii="Arial" w:cs="Arial" w:eastAsia="Arial" w:hAnsi="Arial"/>
                <w:sz w:val="18"/>
                <w:szCs w:val="18"/>
                <w:color w:val="auto"/>
              </w:rPr>
              <w:t>EBITDA (non-GAAP)</w:t>
            </w:r>
          </w:p>
        </w:tc>
        <w:tc>
          <w:tcPr>
            <w:tcW w:w="1540" w:type="dxa"/>
            <w:vAlign w:val="bottom"/>
          </w:tcPr>
          <w:p>
            <w:pPr>
              <w:jc w:val="right"/>
              <w:ind w:right="190"/>
              <w:spacing w:after="0" w:line="195" w:lineRule="exact"/>
              <w:rPr>
                <w:sz w:val="20"/>
                <w:szCs w:val="20"/>
                <w:color w:val="auto"/>
              </w:rPr>
            </w:pPr>
            <w:r>
              <w:rPr>
                <w:rFonts w:ascii="Arial" w:cs="Arial" w:eastAsia="Arial" w:hAnsi="Arial"/>
                <w:sz w:val="18"/>
                <w:szCs w:val="18"/>
                <w:color w:val="auto"/>
              </w:rPr>
              <w:t>181,516</w:t>
            </w:r>
          </w:p>
        </w:tc>
        <w:tc>
          <w:tcPr>
            <w:tcW w:w="1820" w:type="dxa"/>
            <w:vAlign w:val="bottom"/>
          </w:tcPr>
          <w:p>
            <w:pPr>
              <w:jc w:val="right"/>
              <w:ind w:right="290"/>
              <w:spacing w:after="0" w:line="195" w:lineRule="exact"/>
              <w:rPr>
                <w:sz w:val="20"/>
                <w:szCs w:val="20"/>
                <w:color w:val="auto"/>
              </w:rPr>
            </w:pPr>
            <w:r>
              <w:rPr>
                <w:rFonts w:ascii="Arial" w:cs="Arial" w:eastAsia="Arial" w:hAnsi="Arial"/>
                <w:sz w:val="18"/>
                <w:szCs w:val="18"/>
                <w:color w:val="auto"/>
              </w:rPr>
              <w:t>397</w:t>
            </w:r>
          </w:p>
        </w:tc>
        <w:tc>
          <w:tcPr>
            <w:tcW w:w="152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(39,408)</w:t>
            </w:r>
          </w:p>
        </w:tc>
        <w:tc>
          <w:tcPr>
            <w:tcW w:w="12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142,505</w:t>
            </w:r>
          </w:p>
        </w:tc>
      </w:tr>
      <w:tr>
        <w:trPr>
          <w:trHeight w:val="203"/>
        </w:trPr>
        <w:tc>
          <w:tcPr>
            <w:tcW w:w="5300" w:type="dxa"/>
            <w:vAlign w:val="bottom"/>
          </w:tcPr>
          <w:p>
            <w:pPr>
              <w:ind w:left="40"/>
              <w:spacing w:after="0" w:line="202" w:lineRule="exact"/>
              <w:rPr>
                <w:sz w:val="20"/>
                <w:szCs w:val="20"/>
                <w:color w:val="auto"/>
              </w:rPr>
            </w:pPr>
            <w:r>
              <w:rPr>
                <w:rFonts w:ascii="Arial" w:cs="Arial" w:eastAsia="Arial" w:hAnsi="Arial"/>
                <w:sz w:val="18"/>
                <w:szCs w:val="18"/>
                <w:color w:val="auto"/>
              </w:rPr>
              <w:t>Restructuring and other, net</w:t>
            </w:r>
          </w:p>
        </w:tc>
        <w:tc>
          <w:tcPr>
            <w:tcW w:w="154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4,828</w:t>
            </w:r>
          </w:p>
        </w:tc>
        <w:tc>
          <w:tcPr>
            <w:tcW w:w="182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931</w:t>
            </w:r>
          </w:p>
        </w:tc>
        <w:tc>
          <w:tcPr>
            <w:tcW w:w="15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5,759</w:t>
            </w:r>
          </w:p>
        </w:tc>
      </w:tr>
      <w:tr>
        <w:trPr>
          <w:trHeight w:val="203"/>
        </w:trPr>
        <w:tc>
          <w:tcPr>
            <w:tcW w:w="5300" w:type="dxa"/>
            <w:vAlign w:val="bottom"/>
          </w:tcPr>
          <w:p>
            <w:pPr>
              <w:ind w:left="40"/>
              <w:spacing w:after="0" w:line="202" w:lineRule="exact"/>
              <w:rPr>
                <w:sz w:val="20"/>
                <w:szCs w:val="20"/>
                <w:color w:val="auto"/>
              </w:rPr>
            </w:pPr>
            <w:r>
              <w:rPr>
                <w:rFonts w:ascii="Arial" w:cs="Arial" w:eastAsia="Arial" w:hAnsi="Arial"/>
                <w:sz w:val="18"/>
                <w:szCs w:val="18"/>
                <w:color w:val="auto"/>
              </w:rPr>
              <w:t>Foreign currency revaluation gains</w:t>
            </w:r>
          </w:p>
        </w:tc>
        <w:tc>
          <w:tcPr>
            <w:tcW w:w="15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(3,921)</w:t>
            </w:r>
          </w:p>
        </w:tc>
        <w:tc>
          <w:tcPr>
            <w:tcW w:w="182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(15)</w:t>
            </w:r>
          </w:p>
        </w:tc>
        <w:tc>
          <w:tcPr>
            <w:tcW w:w="152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(6,374)</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(10,310)</w:t>
            </w:r>
          </w:p>
        </w:tc>
      </w:tr>
      <w:tr>
        <w:trPr>
          <w:trHeight w:val="203"/>
        </w:trPr>
        <w:tc>
          <w:tcPr>
            <w:tcW w:w="5300" w:type="dxa"/>
            <w:vAlign w:val="bottom"/>
          </w:tcPr>
          <w:p>
            <w:pPr>
              <w:ind w:left="40"/>
              <w:spacing w:after="0" w:line="202" w:lineRule="exact"/>
              <w:rPr>
                <w:sz w:val="20"/>
                <w:szCs w:val="20"/>
                <w:color w:val="auto"/>
              </w:rPr>
            </w:pPr>
            <w:r>
              <w:rPr>
                <w:rFonts w:ascii="Arial" w:cs="Arial" w:eastAsia="Arial" w:hAnsi="Arial"/>
                <w:sz w:val="18"/>
                <w:szCs w:val="18"/>
                <w:color w:val="auto"/>
              </w:rPr>
              <w:t>Gain on insurance recovery</w:t>
            </w:r>
          </w:p>
        </w:tc>
        <w:tc>
          <w:tcPr>
            <w:tcW w:w="154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82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(1,126)</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(1,126)</w:t>
            </w:r>
          </w:p>
        </w:tc>
      </w:tr>
      <w:tr>
        <w:trPr>
          <w:trHeight w:val="203"/>
        </w:trPr>
        <w:tc>
          <w:tcPr>
            <w:tcW w:w="5300" w:type="dxa"/>
            <w:vAlign w:val="bottom"/>
          </w:tcPr>
          <w:p>
            <w:pPr>
              <w:ind w:left="40"/>
              <w:spacing w:after="0" w:line="202" w:lineRule="exact"/>
              <w:rPr>
                <w:sz w:val="20"/>
                <w:szCs w:val="20"/>
                <w:color w:val="auto"/>
              </w:rPr>
            </w:pPr>
            <w:r>
              <w:rPr>
                <w:rFonts w:ascii="Arial" w:cs="Arial" w:eastAsia="Arial" w:hAnsi="Arial"/>
                <w:sz w:val="18"/>
                <w:szCs w:val="18"/>
                <w:color w:val="auto"/>
              </w:rPr>
              <w:t>Pension settlement charge</w:t>
            </w:r>
          </w:p>
        </w:tc>
        <w:tc>
          <w:tcPr>
            <w:tcW w:w="154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82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8,190</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8,190</w:t>
            </w:r>
          </w:p>
        </w:tc>
      </w:tr>
      <w:tr>
        <w:trPr>
          <w:trHeight w:val="203"/>
        </w:trPr>
        <w:tc>
          <w:tcPr>
            <w:tcW w:w="5300" w:type="dxa"/>
            <w:vAlign w:val="bottom"/>
            <w:tcBorders>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Pretax income attributable to noncontrolling interest in ASC</w:t>
            </w:r>
          </w:p>
        </w:tc>
        <w:tc>
          <w:tcPr>
            <w:tcW w:w="154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rPr>
              <w:t>(211)</w:t>
            </w:r>
          </w:p>
        </w:tc>
        <w:tc>
          <w:tcPr>
            <w:tcW w:w="152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(211)</w:t>
            </w:r>
          </w:p>
        </w:tc>
      </w:tr>
      <w:tr>
        <w:trPr>
          <w:trHeight w:val="196"/>
        </w:trPr>
        <w:tc>
          <w:tcPr>
            <w:tcW w:w="530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Adjusted EBITDA (non-GAAP)</w:t>
            </w:r>
          </w:p>
        </w:tc>
        <w:tc>
          <w:tcPr>
            <w:tcW w:w="154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$182,423</w:t>
            </w:r>
          </w:p>
        </w:tc>
        <w:tc>
          <w:tcPr>
            <w:tcW w:w="182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$1,102</w:t>
            </w:r>
          </w:p>
        </w:tc>
        <w:tc>
          <w:tcPr>
            <w:tcW w:w="152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($38,718)</w:t>
            </w:r>
          </w:p>
        </w:tc>
        <w:tc>
          <w:tcPr>
            <w:tcW w:w="12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$144,807</w:t>
            </w:r>
          </w:p>
        </w:tc>
      </w:tr>
    </w:tbl>
    <w:p>
      <w:pPr>
        <w:spacing w:after="0" w:line="391" w:lineRule="exact"/>
        <w:rPr>
          <w:sz w:val="20"/>
          <w:szCs w:val="20"/>
          <w:color w:val="auto"/>
        </w:rPr>
      </w:pPr>
    </w:p>
    <w:p>
      <w:pPr>
        <w:ind w:right="40" w:firstLine="648"/>
        <w:spacing w:after="0" w:line="238" w:lineRule="auto"/>
        <w:rPr>
          <w:sz w:val="20"/>
          <w:szCs w:val="20"/>
          <w:color w:val="auto"/>
        </w:rPr>
      </w:pPr>
      <w:r>
        <w:rPr>
          <w:rFonts w:ascii="Arial" w:cs="Arial" w:eastAsia="Arial" w:hAnsi="Arial"/>
          <w:sz w:val="18"/>
          <w:szCs w:val="18"/>
          <w:color w:val="auto"/>
        </w:rPr>
        <w:t>The Company discloses certain income and expense items on a per-share basis. The Company believes that such disclosures provide important insight into the underlying earnings and are financial performance metrics commonly used by investors. The Company calculates the per-share amount for items included in continuing operations by using the income tax rate based on income from continuing operations and the weighted-average number of shares outstanding for each period. Year-to-date earnings per-share effects were determined by adding the amounts calculated at each reporting period.</w:t>
      </w:r>
    </w:p>
    <w:p>
      <w:pPr>
        <w:spacing w:after="0" w:line="203" w:lineRule="exact"/>
        <w:rPr>
          <w:sz w:val="20"/>
          <w:szCs w:val="20"/>
          <w:color w:val="auto"/>
        </w:rPr>
      </w:pPr>
    </w:p>
    <w:p>
      <w:pPr>
        <w:ind w:left="11220"/>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4" w:name="page45"/>
    <w:bookmarkEnd w:id="44"/>
    <w:p>
      <w:pPr>
        <w:ind w:left="660"/>
        <w:spacing w:after="0"/>
        <w:rPr>
          <w:sz w:val="20"/>
          <w:szCs w:val="20"/>
          <w:color w:val="auto"/>
        </w:rPr>
      </w:pPr>
      <w:r>
        <w:rPr>
          <w:rFonts w:ascii="Arial" w:cs="Arial" w:eastAsia="Arial" w:hAnsi="Arial"/>
          <w:sz w:val="18"/>
          <w:szCs w:val="18"/>
          <w:color w:val="auto"/>
        </w:rPr>
        <w:t>The following tables show the earnings per share effect of certain income and expense items:</w:t>
      </w:r>
    </w:p>
    <w:p>
      <w:pPr>
        <w:spacing w:after="0" w:line="148"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20" w:type="dxa"/>
            <w:vAlign w:val="bottom"/>
            <w:tcBorders>
              <w:top w:val="single" w:sz="8" w:color="auto"/>
            </w:tcBorders>
          </w:tcPr>
          <w:p>
            <w:pPr>
              <w:spacing w:after="0"/>
              <w:rPr>
                <w:sz w:val="15"/>
                <w:szCs w:val="15"/>
                <w:color w:val="auto"/>
              </w:rPr>
            </w:pPr>
          </w:p>
        </w:tc>
        <w:tc>
          <w:tcPr>
            <w:tcW w:w="1760" w:type="dxa"/>
            <w:vAlign w:val="bottom"/>
            <w:tcBorders>
              <w:top w:val="single" w:sz="8" w:color="auto"/>
            </w:tcBorders>
          </w:tcPr>
          <w:p>
            <w:pPr>
              <w:jc w:val="right"/>
              <w:ind w:right="50"/>
              <w:spacing w:after="0" w:line="173" w:lineRule="exact"/>
              <w:rPr>
                <w:sz w:val="20"/>
                <w:szCs w:val="20"/>
                <w:color w:val="auto"/>
              </w:rPr>
            </w:pPr>
            <w:r>
              <w:rPr>
                <w:rFonts w:ascii="Arial" w:cs="Arial" w:eastAsia="Arial" w:hAnsi="Arial"/>
                <w:sz w:val="18"/>
                <w:szCs w:val="18"/>
                <w:b w:val="1"/>
                <w:bCs w:val="1"/>
                <w:color w:val="auto"/>
              </w:rPr>
              <w:t>Pre tax</w:t>
            </w:r>
          </w:p>
        </w:tc>
        <w:tc>
          <w:tcPr>
            <w:tcW w:w="1800" w:type="dxa"/>
            <w:vAlign w:val="bottom"/>
            <w:tcBorders>
              <w:top w:val="single" w:sz="8" w:color="auto"/>
            </w:tcBorders>
          </w:tcPr>
          <w:p>
            <w:pPr>
              <w:jc w:val="right"/>
              <w:ind w:right="410"/>
              <w:spacing w:after="0" w:line="173" w:lineRule="exact"/>
              <w:rPr>
                <w:sz w:val="20"/>
                <w:szCs w:val="20"/>
                <w:color w:val="auto"/>
              </w:rPr>
            </w:pPr>
            <w:r>
              <w:rPr>
                <w:rFonts w:ascii="Arial" w:cs="Arial" w:eastAsia="Arial" w:hAnsi="Arial"/>
                <w:sz w:val="18"/>
                <w:szCs w:val="18"/>
                <w:b w:val="1"/>
                <w:bCs w:val="1"/>
                <w:color w:val="auto"/>
              </w:rPr>
              <w:t>Tax</w:t>
            </w:r>
          </w:p>
        </w:tc>
        <w:tc>
          <w:tcPr>
            <w:tcW w:w="2020" w:type="dxa"/>
            <w:vAlign w:val="bottom"/>
            <w:tcBorders>
              <w:top w:val="single" w:sz="8" w:color="auto"/>
            </w:tcBorders>
          </w:tcPr>
          <w:p>
            <w:pPr>
              <w:jc w:val="right"/>
              <w:ind w:right="610"/>
              <w:spacing w:after="0" w:line="173" w:lineRule="exact"/>
              <w:rPr>
                <w:sz w:val="20"/>
                <w:szCs w:val="20"/>
                <w:color w:val="auto"/>
              </w:rPr>
            </w:pPr>
            <w:r>
              <w:rPr>
                <w:rFonts w:ascii="Arial" w:cs="Arial" w:eastAsia="Arial" w:hAnsi="Arial"/>
                <w:sz w:val="18"/>
                <w:szCs w:val="18"/>
                <w:b w:val="1"/>
                <w:bCs w:val="1"/>
                <w:color w:val="auto"/>
              </w:rPr>
              <w:t>After tax</w:t>
            </w:r>
          </w:p>
        </w:tc>
        <w:tc>
          <w:tcPr>
            <w:tcW w:w="1040" w:type="dxa"/>
            <w:vAlign w:val="bottom"/>
            <w:tcBorders>
              <w:top w:val="single" w:sz="8" w:color="auto"/>
            </w:tcBorders>
            <w:gridSpan w:val="2"/>
          </w:tcPr>
          <w:p>
            <w:pPr>
              <w:jc w:val="center"/>
              <w:ind w:left="70"/>
              <w:spacing w:after="0" w:line="173" w:lineRule="exact"/>
              <w:rPr>
                <w:sz w:val="20"/>
                <w:szCs w:val="20"/>
                <w:color w:val="auto"/>
              </w:rPr>
            </w:pPr>
            <w:r>
              <w:rPr>
                <w:rFonts w:ascii="Arial" w:cs="Arial" w:eastAsia="Arial" w:hAnsi="Arial"/>
                <w:sz w:val="18"/>
                <w:szCs w:val="18"/>
                <w:b w:val="1"/>
                <w:bCs w:val="1"/>
                <w:color w:val="auto"/>
                <w:w w:val="99"/>
              </w:rPr>
              <w:t>Per Share</w:t>
            </w:r>
          </w:p>
        </w:tc>
      </w:tr>
      <w:tr>
        <w:trPr>
          <w:trHeight w:val="225"/>
        </w:trPr>
        <w:tc>
          <w:tcPr>
            <w:tcW w:w="4820" w:type="dxa"/>
            <w:vAlign w:val="bottom"/>
          </w:tcPr>
          <w:p>
            <w:pPr>
              <w:spacing w:after="0"/>
              <w:rPr>
                <w:sz w:val="20"/>
                <w:szCs w:val="20"/>
                <w:color w:val="auto"/>
              </w:rPr>
            </w:pPr>
            <w:r>
              <w:rPr>
                <w:rFonts w:ascii="Arial" w:cs="Arial" w:eastAsia="Arial" w:hAnsi="Arial"/>
                <w:sz w:val="18"/>
                <w:szCs w:val="18"/>
                <w:b w:val="1"/>
                <w:bCs w:val="1"/>
                <w:color w:val="auto"/>
              </w:rPr>
              <w:t>Year ended December 31, 2016</w:t>
            </w:r>
          </w:p>
        </w:tc>
        <w:tc>
          <w:tcPr>
            <w:tcW w:w="1760" w:type="dxa"/>
            <w:vAlign w:val="bottom"/>
          </w:tcPr>
          <w:p>
            <w:pPr>
              <w:jc w:val="right"/>
              <w:spacing w:after="0"/>
              <w:rPr>
                <w:sz w:val="20"/>
                <w:szCs w:val="20"/>
                <w:color w:val="auto"/>
              </w:rPr>
            </w:pPr>
            <w:r>
              <w:rPr>
                <w:rFonts w:ascii="Arial" w:cs="Arial" w:eastAsia="Arial" w:hAnsi="Arial"/>
                <w:sz w:val="18"/>
                <w:szCs w:val="18"/>
                <w:b w:val="1"/>
                <w:bCs w:val="1"/>
                <w:color w:val="auto"/>
              </w:rPr>
              <w:t>Amounts</w:t>
            </w:r>
          </w:p>
        </w:tc>
        <w:tc>
          <w:tcPr>
            <w:tcW w:w="1800" w:type="dxa"/>
            <w:vAlign w:val="bottom"/>
          </w:tcPr>
          <w:p>
            <w:pPr>
              <w:jc w:val="right"/>
              <w:ind w:right="310"/>
              <w:spacing w:after="0"/>
              <w:rPr>
                <w:sz w:val="20"/>
                <w:szCs w:val="20"/>
                <w:color w:val="auto"/>
              </w:rPr>
            </w:pPr>
            <w:r>
              <w:rPr>
                <w:rFonts w:ascii="Arial" w:cs="Arial" w:eastAsia="Arial" w:hAnsi="Arial"/>
                <w:sz w:val="18"/>
                <w:szCs w:val="18"/>
                <w:b w:val="1"/>
                <w:bCs w:val="1"/>
                <w:color w:val="auto"/>
              </w:rPr>
              <w:t>Effect</w:t>
            </w:r>
          </w:p>
        </w:tc>
        <w:tc>
          <w:tcPr>
            <w:tcW w:w="2020" w:type="dxa"/>
            <w:vAlign w:val="bottom"/>
          </w:tcPr>
          <w:p>
            <w:pPr>
              <w:jc w:val="right"/>
              <w:ind w:right="730"/>
              <w:spacing w:after="0"/>
              <w:rPr>
                <w:sz w:val="20"/>
                <w:szCs w:val="20"/>
                <w:color w:val="auto"/>
              </w:rPr>
            </w:pPr>
            <w:r>
              <w:rPr>
                <w:rFonts w:ascii="Arial" w:cs="Arial" w:eastAsia="Arial" w:hAnsi="Arial"/>
                <w:sz w:val="18"/>
                <w:szCs w:val="18"/>
                <w:b w:val="1"/>
                <w:bCs w:val="1"/>
                <w:color w:val="auto"/>
              </w:rPr>
              <w:t>Effect</w:t>
            </w:r>
          </w:p>
        </w:tc>
        <w:tc>
          <w:tcPr>
            <w:tcW w:w="104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99"/>
              </w:rPr>
              <w:t>Effect</w:t>
            </w:r>
          </w:p>
        </w:tc>
      </w:tr>
      <w:tr>
        <w:trPr>
          <w:trHeight w:val="173"/>
        </w:trPr>
        <w:tc>
          <w:tcPr>
            <w:tcW w:w="4820" w:type="dxa"/>
            <w:vAlign w:val="bottom"/>
            <w:tcBorders>
              <w:top w:val="single" w:sz="8" w:color="auto"/>
            </w:tcBorders>
          </w:tcPr>
          <w:p>
            <w:pPr>
              <w:ind w:left="100"/>
              <w:spacing w:after="0" w:line="173" w:lineRule="exact"/>
              <w:rPr>
                <w:sz w:val="20"/>
                <w:szCs w:val="20"/>
                <w:color w:val="auto"/>
              </w:rPr>
            </w:pPr>
            <w:r>
              <w:rPr>
                <w:rFonts w:ascii="Arial" w:cs="Arial" w:eastAsia="Arial" w:hAnsi="Arial"/>
                <w:sz w:val="18"/>
                <w:szCs w:val="18"/>
                <w:color w:val="auto"/>
              </w:rPr>
              <w:t>Restructuring and other, net</w:t>
            </w:r>
          </w:p>
        </w:tc>
        <w:tc>
          <w:tcPr>
            <w:tcW w:w="1760" w:type="dxa"/>
            <w:vAlign w:val="bottom"/>
            <w:tcBorders>
              <w:top w:val="single" w:sz="8" w:color="auto"/>
            </w:tcBorders>
          </w:tcPr>
          <w:p>
            <w:pPr>
              <w:jc w:val="right"/>
              <w:ind w:right="270"/>
              <w:spacing w:after="0" w:line="173" w:lineRule="exact"/>
              <w:rPr>
                <w:sz w:val="20"/>
                <w:szCs w:val="20"/>
                <w:color w:val="auto"/>
              </w:rPr>
            </w:pPr>
            <w:r>
              <w:rPr>
                <w:rFonts w:ascii="Arial" w:cs="Arial" w:eastAsia="Arial" w:hAnsi="Arial"/>
                <w:sz w:val="18"/>
                <w:szCs w:val="18"/>
                <w:b w:val="1"/>
                <w:bCs w:val="1"/>
                <w:color w:val="auto"/>
              </w:rPr>
              <w:t>$8,376</w:t>
            </w:r>
          </w:p>
        </w:tc>
        <w:tc>
          <w:tcPr>
            <w:tcW w:w="1800" w:type="dxa"/>
            <w:vAlign w:val="bottom"/>
            <w:tcBorders>
              <w:top w:val="single" w:sz="8" w:color="auto"/>
            </w:tcBorders>
          </w:tcPr>
          <w:p>
            <w:pPr>
              <w:jc w:val="right"/>
              <w:ind w:right="330"/>
              <w:spacing w:after="0" w:line="173" w:lineRule="exact"/>
              <w:rPr>
                <w:sz w:val="20"/>
                <w:szCs w:val="20"/>
                <w:color w:val="auto"/>
              </w:rPr>
            </w:pPr>
            <w:r>
              <w:rPr>
                <w:rFonts w:ascii="Arial" w:cs="Arial" w:eastAsia="Arial" w:hAnsi="Arial"/>
                <w:sz w:val="18"/>
                <w:szCs w:val="18"/>
                <w:b w:val="1"/>
                <w:bCs w:val="1"/>
                <w:color w:val="auto"/>
              </w:rPr>
              <w:t>$3,220</w:t>
            </w:r>
          </w:p>
        </w:tc>
        <w:tc>
          <w:tcPr>
            <w:tcW w:w="2020" w:type="dxa"/>
            <w:vAlign w:val="bottom"/>
            <w:tcBorders>
              <w:top w:val="single" w:sz="8" w:color="auto"/>
            </w:tcBorders>
          </w:tcPr>
          <w:p>
            <w:pPr>
              <w:jc w:val="right"/>
              <w:ind w:right="890"/>
              <w:spacing w:after="0" w:line="173" w:lineRule="exact"/>
              <w:rPr>
                <w:sz w:val="20"/>
                <w:szCs w:val="20"/>
                <w:color w:val="auto"/>
              </w:rPr>
            </w:pPr>
            <w:r>
              <w:rPr>
                <w:rFonts w:ascii="Arial" w:cs="Arial" w:eastAsia="Arial" w:hAnsi="Arial"/>
                <w:sz w:val="18"/>
                <w:szCs w:val="18"/>
                <w:b w:val="1"/>
                <w:bCs w:val="1"/>
                <w:color w:val="auto"/>
              </w:rPr>
              <w:t>$5,156</w:t>
            </w:r>
          </w:p>
        </w:tc>
        <w:tc>
          <w:tcPr>
            <w:tcW w:w="1020" w:type="dxa"/>
            <w:vAlign w:val="bottom"/>
            <w:tcBorders>
              <w:top w:val="single" w:sz="8" w:color="auto"/>
            </w:tcBorders>
          </w:tcPr>
          <w:p>
            <w:pPr>
              <w:jc w:val="right"/>
              <w:ind w:right="110"/>
              <w:spacing w:after="0" w:line="173" w:lineRule="exact"/>
              <w:rPr>
                <w:sz w:val="20"/>
                <w:szCs w:val="20"/>
                <w:color w:val="auto"/>
              </w:rPr>
            </w:pPr>
            <w:r>
              <w:rPr>
                <w:rFonts w:ascii="Arial" w:cs="Arial" w:eastAsia="Arial" w:hAnsi="Arial"/>
                <w:sz w:val="18"/>
                <w:szCs w:val="18"/>
                <w:b w:val="1"/>
                <w:bCs w:val="1"/>
                <w:color w:val="auto"/>
              </w:rPr>
              <w:t>$0.16</w:t>
            </w:r>
          </w:p>
        </w:tc>
        <w:tc>
          <w:tcPr>
            <w:tcW w:w="20" w:type="dxa"/>
            <w:vAlign w:val="bottom"/>
          </w:tcPr>
          <w:p>
            <w:pPr>
              <w:spacing w:after="0"/>
              <w:rPr>
                <w:sz w:val="15"/>
                <w:szCs w:val="15"/>
                <w:color w:val="auto"/>
              </w:rPr>
            </w:pPr>
          </w:p>
        </w:tc>
      </w:tr>
      <w:tr>
        <w:trPr>
          <w:trHeight w:val="203"/>
        </w:trPr>
        <w:tc>
          <w:tcPr>
            <w:tcW w:w="4820" w:type="dxa"/>
            <w:vAlign w:val="bottom"/>
          </w:tcPr>
          <w:p>
            <w:pPr>
              <w:ind w:left="100"/>
              <w:spacing w:after="0" w:line="202" w:lineRule="exact"/>
              <w:rPr>
                <w:sz w:val="20"/>
                <w:szCs w:val="20"/>
                <w:color w:val="auto"/>
              </w:rPr>
            </w:pPr>
            <w:r>
              <w:rPr>
                <w:rFonts w:ascii="Arial" w:cs="Arial" w:eastAsia="Arial" w:hAnsi="Arial"/>
                <w:sz w:val="18"/>
                <w:szCs w:val="18"/>
                <w:color w:val="auto"/>
              </w:rPr>
              <w:t>Foreign currency revaluation gains</w:t>
            </w:r>
          </w:p>
        </w:tc>
        <w:tc>
          <w:tcPr>
            <w:tcW w:w="1760" w:type="dxa"/>
            <w:vAlign w:val="bottom"/>
          </w:tcPr>
          <w:p>
            <w:pPr>
              <w:jc w:val="right"/>
              <w:ind w:right="270"/>
              <w:spacing w:after="0" w:line="202" w:lineRule="exact"/>
              <w:rPr>
                <w:sz w:val="20"/>
                <w:szCs w:val="20"/>
                <w:color w:val="auto"/>
              </w:rPr>
            </w:pPr>
            <w:r>
              <w:rPr>
                <w:rFonts w:ascii="Arial" w:cs="Arial" w:eastAsia="Arial" w:hAnsi="Arial"/>
                <w:sz w:val="18"/>
                <w:szCs w:val="18"/>
                <w:b w:val="1"/>
                <w:bCs w:val="1"/>
                <w:color w:val="auto"/>
              </w:rPr>
              <w:t>3,913</w:t>
            </w:r>
          </w:p>
        </w:tc>
        <w:tc>
          <w:tcPr>
            <w:tcW w:w="180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1,389</w:t>
            </w:r>
          </w:p>
        </w:tc>
        <w:tc>
          <w:tcPr>
            <w:tcW w:w="2020" w:type="dxa"/>
            <w:vAlign w:val="bottom"/>
          </w:tcPr>
          <w:p>
            <w:pPr>
              <w:jc w:val="right"/>
              <w:ind w:right="890"/>
              <w:spacing w:after="0" w:line="202" w:lineRule="exact"/>
              <w:rPr>
                <w:sz w:val="20"/>
                <w:szCs w:val="20"/>
                <w:color w:val="auto"/>
              </w:rPr>
            </w:pPr>
            <w:r>
              <w:rPr>
                <w:rFonts w:ascii="Arial" w:cs="Arial" w:eastAsia="Arial" w:hAnsi="Arial"/>
                <w:sz w:val="18"/>
                <w:szCs w:val="18"/>
                <w:b w:val="1"/>
                <w:bCs w:val="1"/>
                <w:color w:val="auto"/>
              </w:rPr>
              <w:t>2,524</w:t>
            </w:r>
          </w:p>
        </w:tc>
        <w:tc>
          <w:tcPr>
            <w:tcW w:w="102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0.07</w:t>
            </w:r>
          </w:p>
        </w:tc>
        <w:tc>
          <w:tcPr>
            <w:tcW w:w="20" w:type="dxa"/>
            <w:vAlign w:val="bottom"/>
          </w:tcPr>
          <w:p>
            <w:pPr>
              <w:spacing w:after="0"/>
              <w:rPr>
                <w:sz w:val="17"/>
                <w:szCs w:val="17"/>
                <w:color w:val="auto"/>
              </w:rPr>
            </w:pPr>
          </w:p>
        </w:tc>
      </w:tr>
      <w:tr>
        <w:trPr>
          <w:trHeight w:val="203"/>
        </w:trPr>
        <w:tc>
          <w:tcPr>
            <w:tcW w:w="4820" w:type="dxa"/>
            <w:vAlign w:val="bottom"/>
          </w:tcPr>
          <w:p>
            <w:pPr>
              <w:ind w:left="100"/>
              <w:spacing w:after="0" w:line="202" w:lineRule="exact"/>
              <w:rPr>
                <w:sz w:val="20"/>
                <w:szCs w:val="20"/>
                <w:color w:val="auto"/>
              </w:rPr>
            </w:pPr>
            <w:r>
              <w:rPr>
                <w:rFonts w:ascii="Arial" w:cs="Arial" w:eastAsia="Arial" w:hAnsi="Arial"/>
                <w:sz w:val="18"/>
                <w:szCs w:val="18"/>
                <w:color w:val="auto"/>
              </w:rPr>
              <w:t>Acquisition expenses</w:t>
            </w:r>
          </w:p>
        </w:tc>
        <w:tc>
          <w:tcPr>
            <w:tcW w:w="1760" w:type="dxa"/>
            <w:vAlign w:val="bottom"/>
          </w:tcPr>
          <w:p>
            <w:pPr>
              <w:jc w:val="right"/>
              <w:ind w:right="270"/>
              <w:spacing w:after="0" w:line="202" w:lineRule="exact"/>
              <w:rPr>
                <w:sz w:val="20"/>
                <w:szCs w:val="20"/>
                <w:color w:val="auto"/>
              </w:rPr>
            </w:pPr>
            <w:r>
              <w:rPr>
                <w:rFonts w:ascii="Arial" w:cs="Arial" w:eastAsia="Arial" w:hAnsi="Arial"/>
                <w:sz w:val="18"/>
                <w:szCs w:val="18"/>
                <w:b w:val="1"/>
                <w:bCs w:val="1"/>
                <w:color w:val="auto"/>
              </w:rPr>
              <w:t>5,367</w:t>
            </w:r>
          </w:p>
        </w:tc>
        <w:tc>
          <w:tcPr>
            <w:tcW w:w="180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1,933</w:t>
            </w:r>
          </w:p>
        </w:tc>
        <w:tc>
          <w:tcPr>
            <w:tcW w:w="2020" w:type="dxa"/>
            <w:vAlign w:val="bottom"/>
          </w:tcPr>
          <w:p>
            <w:pPr>
              <w:jc w:val="right"/>
              <w:ind w:right="890"/>
              <w:spacing w:after="0" w:line="202" w:lineRule="exact"/>
              <w:rPr>
                <w:sz w:val="20"/>
                <w:szCs w:val="20"/>
                <w:color w:val="auto"/>
              </w:rPr>
            </w:pPr>
            <w:r>
              <w:rPr>
                <w:rFonts w:ascii="Arial" w:cs="Arial" w:eastAsia="Arial" w:hAnsi="Arial"/>
                <w:sz w:val="18"/>
                <w:szCs w:val="18"/>
                <w:b w:val="1"/>
                <w:bCs w:val="1"/>
                <w:color w:val="auto"/>
              </w:rPr>
              <w:t>3,434</w:t>
            </w:r>
          </w:p>
        </w:tc>
        <w:tc>
          <w:tcPr>
            <w:tcW w:w="102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0.11</w:t>
            </w:r>
          </w:p>
        </w:tc>
        <w:tc>
          <w:tcPr>
            <w:tcW w:w="20" w:type="dxa"/>
            <w:vAlign w:val="bottom"/>
          </w:tcPr>
          <w:p>
            <w:pPr>
              <w:spacing w:after="0"/>
              <w:rPr>
                <w:sz w:val="17"/>
                <w:szCs w:val="17"/>
                <w:color w:val="auto"/>
              </w:rPr>
            </w:pPr>
          </w:p>
        </w:tc>
      </w:tr>
      <w:tr>
        <w:trPr>
          <w:trHeight w:val="203"/>
        </w:trPr>
        <w:tc>
          <w:tcPr>
            <w:tcW w:w="4820" w:type="dxa"/>
            <w:vAlign w:val="bottom"/>
          </w:tcPr>
          <w:p>
            <w:pPr>
              <w:ind w:left="100"/>
              <w:spacing w:after="0" w:line="202" w:lineRule="exact"/>
              <w:rPr>
                <w:sz w:val="20"/>
                <w:szCs w:val="20"/>
                <w:color w:val="auto"/>
              </w:rPr>
            </w:pPr>
            <w:r>
              <w:rPr>
                <w:rFonts w:ascii="Arial" w:cs="Arial" w:eastAsia="Arial" w:hAnsi="Arial"/>
                <w:sz w:val="18"/>
                <w:szCs w:val="18"/>
                <w:color w:val="auto"/>
              </w:rPr>
              <w:t>Loss due to theft</w:t>
            </w:r>
          </w:p>
        </w:tc>
        <w:tc>
          <w:tcPr>
            <w:tcW w:w="1760" w:type="dxa"/>
            <w:vAlign w:val="bottom"/>
          </w:tcPr>
          <w:p>
            <w:pPr>
              <w:jc w:val="right"/>
              <w:ind w:right="270"/>
              <w:spacing w:after="0" w:line="202" w:lineRule="exact"/>
              <w:rPr>
                <w:sz w:val="20"/>
                <w:szCs w:val="20"/>
                <w:color w:val="auto"/>
              </w:rPr>
            </w:pPr>
            <w:r>
              <w:rPr>
                <w:rFonts w:ascii="Arial" w:cs="Arial" w:eastAsia="Arial" w:hAnsi="Arial"/>
                <w:sz w:val="18"/>
                <w:szCs w:val="18"/>
                <w:b w:val="1"/>
                <w:bCs w:val="1"/>
                <w:color w:val="auto"/>
              </w:rPr>
              <w:t>2,506</w:t>
            </w:r>
          </w:p>
        </w:tc>
        <w:tc>
          <w:tcPr>
            <w:tcW w:w="180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877</w:t>
            </w:r>
          </w:p>
        </w:tc>
        <w:tc>
          <w:tcPr>
            <w:tcW w:w="2020" w:type="dxa"/>
            <w:vAlign w:val="bottom"/>
          </w:tcPr>
          <w:p>
            <w:pPr>
              <w:jc w:val="right"/>
              <w:ind w:right="890"/>
              <w:spacing w:after="0" w:line="202" w:lineRule="exact"/>
              <w:rPr>
                <w:sz w:val="20"/>
                <w:szCs w:val="20"/>
                <w:color w:val="auto"/>
              </w:rPr>
            </w:pPr>
            <w:r>
              <w:rPr>
                <w:rFonts w:ascii="Arial" w:cs="Arial" w:eastAsia="Arial" w:hAnsi="Arial"/>
                <w:sz w:val="18"/>
                <w:szCs w:val="18"/>
                <w:b w:val="1"/>
                <w:bCs w:val="1"/>
                <w:color w:val="auto"/>
              </w:rPr>
              <w:t>1,629</w:t>
            </w:r>
          </w:p>
        </w:tc>
        <w:tc>
          <w:tcPr>
            <w:tcW w:w="102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0.05</w:t>
            </w:r>
          </w:p>
        </w:tc>
        <w:tc>
          <w:tcPr>
            <w:tcW w:w="20" w:type="dxa"/>
            <w:vAlign w:val="bottom"/>
          </w:tcPr>
          <w:p>
            <w:pPr>
              <w:spacing w:after="0"/>
              <w:rPr>
                <w:sz w:val="17"/>
                <w:szCs w:val="17"/>
                <w:color w:val="auto"/>
              </w:rPr>
            </w:pPr>
          </w:p>
        </w:tc>
      </w:tr>
      <w:tr>
        <w:trPr>
          <w:trHeight w:val="225"/>
        </w:trPr>
        <w:tc>
          <w:tcPr>
            <w:tcW w:w="48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Net discrete income tax benefit</w:t>
            </w:r>
          </w:p>
        </w:tc>
        <w:tc>
          <w:tcPr>
            <w:tcW w:w="17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18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2,175</w:t>
            </w:r>
          </w:p>
        </w:tc>
        <w:tc>
          <w:tcPr>
            <w:tcW w:w="202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2,175</w:t>
            </w: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0.07</w:t>
            </w:r>
          </w:p>
        </w:tc>
        <w:tc>
          <w:tcPr>
            <w:tcW w:w="20" w:type="dxa"/>
            <w:vAlign w:val="bottom"/>
          </w:tcPr>
          <w:p>
            <w:pPr>
              <w:spacing w:after="0"/>
              <w:rPr>
                <w:sz w:val="19"/>
                <w:szCs w:val="19"/>
                <w:color w:val="auto"/>
              </w:rPr>
            </w:pPr>
          </w:p>
        </w:tc>
      </w:tr>
      <w:tr>
        <w:trPr>
          <w:trHeight w:val="588"/>
        </w:trPr>
        <w:tc>
          <w:tcPr>
            <w:tcW w:w="48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rPr>
              <w:t>(in thousands, except per share amounts)</w:t>
            </w: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73"/>
        </w:trPr>
        <w:tc>
          <w:tcPr>
            <w:tcW w:w="4820" w:type="dxa"/>
            <w:vAlign w:val="bottom"/>
          </w:tcPr>
          <w:p>
            <w:pPr>
              <w:spacing w:after="0"/>
              <w:rPr>
                <w:sz w:val="15"/>
                <w:szCs w:val="15"/>
                <w:color w:val="auto"/>
              </w:rPr>
            </w:pPr>
          </w:p>
        </w:tc>
        <w:tc>
          <w:tcPr>
            <w:tcW w:w="1760" w:type="dxa"/>
            <w:vAlign w:val="bottom"/>
          </w:tcPr>
          <w:p>
            <w:pPr>
              <w:jc w:val="right"/>
              <w:ind w:right="230"/>
              <w:spacing w:after="0" w:line="173" w:lineRule="exact"/>
              <w:rPr>
                <w:sz w:val="20"/>
                <w:szCs w:val="20"/>
                <w:color w:val="auto"/>
              </w:rPr>
            </w:pPr>
            <w:r>
              <w:rPr>
                <w:rFonts w:ascii="Arial" w:cs="Arial" w:eastAsia="Arial" w:hAnsi="Arial"/>
                <w:sz w:val="18"/>
                <w:szCs w:val="18"/>
                <w:b w:val="1"/>
                <w:bCs w:val="1"/>
                <w:color w:val="auto"/>
              </w:rPr>
              <w:t>Pre tax</w:t>
            </w:r>
          </w:p>
        </w:tc>
        <w:tc>
          <w:tcPr>
            <w:tcW w:w="1800" w:type="dxa"/>
            <w:vAlign w:val="bottom"/>
          </w:tcPr>
          <w:p>
            <w:pPr>
              <w:jc w:val="right"/>
              <w:ind w:right="530"/>
              <w:spacing w:after="0" w:line="173" w:lineRule="exact"/>
              <w:rPr>
                <w:sz w:val="20"/>
                <w:szCs w:val="20"/>
                <w:color w:val="auto"/>
              </w:rPr>
            </w:pPr>
            <w:r>
              <w:rPr>
                <w:rFonts w:ascii="Arial" w:cs="Arial" w:eastAsia="Arial" w:hAnsi="Arial"/>
                <w:sz w:val="18"/>
                <w:szCs w:val="18"/>
                <w:b w:val="1"/>
                <w:bCs w:val="1"/>
                <w:color w:val="auto"/>
              </w:rPr>
              <w:t>Tax</w:t>
            </w:r>
          </w:p>
        </w:tc>
        <w:tc>
          <w:tcPr>
            <w:tcW w:w="2020" w:type="dxa"/>
            <w:vAlign w:val="bottom"/>
          </w:tcPr>
          <w:p>
            <w:pPr>
              <w:jc w:val="right"/>
              <w:ind w:right="690"/>
              <w:spacing w:after="0" w:line="173" w:lineRule="exact"/>
              <w:rPr>
                <w:sz w:val="20"/>
                <w:szCs w:val="20"/>
                <w:color w:val="auto"/>
              </w:rPr>
            </w:pPr>
            <w:r>
              <w:rPr>
                <w:rFonts w:ascii="Arial" w:cs="Arial" w:eastAsia="Arial" w:hAnsi="Arial"/>
                <w:sz w:val="18"/>
                <w:szCs w:val="18"/>
                <w:b w:val="1"/>
                <w:bCs w:val="1"/>
                <w:color w:val="auto"/>
              </w:rPr>
              <w:t>After tax</w:t>
            </w:r>
          </w:p>
        </w:tc>
        <w:tc>
          <w:tcPr>
            <w:tcW w:w="1020" w:type="dxa"/>
            <w:vAlign w:val="bottom"/>
          </w:tcPr>
          <w:p>
            <w:pPr>
              <w:jc w:val="center"/>
              <w:ind w:left="90"/>
              <w:spacing w:after="0" w:line="173" w:lineRule="exact"/>
              <w:rPr>
                <w:sz w:val="20"/>
                <w:szCs w:val="20"/>
                <w:color w:val="auto"/>
              </w:rPr>
            </w:pPr>
            <w:r>
              <w:rPr>
                <w:rFonts w:ascii="Arial" w:cs="Arial" w:eastAsia="Arial" w:hAnsi="Arial"/>
                <w:sz w:val="18"/>
                <w:szCs w:val="18"/>
                <w:b w:val="1"/>
                <w:bCs w:val="1"/>
                <w:color w:val="auto"/>
                <w:w w:val="99"/>
              </w:rPr>
              <w:t>Per Share</w:t>
            </w:r>
          </w:p>
        </w:tc>
        <w:tc>
          <w:tcPr>
            <w:tcW w:w="20" w:type="dxa"/>
            <w:vAlign w:val="bottom"/>
          </w:tcPr>
          <w:p>
            <w:pPr>
              <w:spacing w:after="0"/>
              <w:rPr>
                <w:sz w:val="15"/>
                <w:szCs w:val="15"/>
                <w:color w:val="auto"/>
              </w:rPr>
            </w:pPr>
          </w:p>
        </w:tc>
      </w:tr>
      <w:tr>
        <w:trPr>
          <w:trHeight w:val="225"/>
        </w:trPr>
        <w:tc>
          <w:tcPr>
            <w:tcW w:w="4820" w:type="dxa"/>
            <w:vAlign w:val="bottom"/>
          </w:tcPr>
          <w:p>
            <w:pPr>
              <w:spacing w:after="0"/>
              <w:rPr>
                <w:sz w:val="20"/>
                <w:szCs w:val="20"/>
                <w:color w:val="auto"/>
              </w:rPr>
            </w:pPr>
            <w:r>
              <w:rPr>
                <w:rFonts w:ascii="Arial" w:cs="Arial" w:eastAsia="Arial" w:hAnsi="Arial"/>
                <w:sz w:val="18"/>
                <w:szCs w:val="18"/>
                <w:b w:val="1"/>
                <w:bCs w:val="1"/>
                <w:color w:val="auto"/>
              </w:rPr>
              <w:t>Year ended December 31, 2015</w:t>
            </w:r>
          </w:p>
        </w:tc>
        <w:tc>
          <w:tcPr>
            <w:tcW w:w="1760" w:type="dxa"/>
            <w:vAlign w:val="bottom"/>
          </w:tcPr>
          <w:p>
            <w:pPr>
              <w:jc w:val="right"/>
              <w:ind w:right="130"/>
              <w:spacing w:after="0"/>
              <w:rPr>
                <w:sz w:val="20"/>
                <w:szCs w:val="20"/>
                <w:color w:val="auto"/>
              </w:rPr>
            </w:pPr>
            <w:r>
              <w:rPr>
                <w:rFonts w:ascii="Arial" w:cs="Arial" w:eastAsia="Arial" w:hAnsi="Arial"/>
                <w:sz w:val="18"/>
                <w:szCs w:val="18"/>
                <w:b w:val="1"/>
                <w:bCs w:val="1"/>
                <w:color w:val="auto"/>
              </w:rPr>
              <w:t>Amounts</w:t>
            </w:r>
          </w:p>
        </w:tc>
        <w:tc>
          <w:tcPr>
            <w:tcW w:w="1800" w:type="dxa"/>
            <w:vAlign w:val="bottom"/>
          </w:tcPr>
          <w:p>
            <w:pPr>
              <w:jc w:val="right"/>
              <w:ind w:right="430"/>
              <w:spacing w:after="0"/>
              <w:rPr>
                <w:sz w:val="20"/>
                <w:szCs w:val="20"/>
                <w:color w:val="auto"/>
              </w:rPr>
            </w:pPr>
            <w:r>
              <w:rPr>
                <w:rFonts w:ascii="Arial" w:cs="Arial" w:eastAsia="Arial" w:hAnsi="Arial"/>
                <w:sz w:val="18"/>
                <w:szCs w:val="18"/>
                <w:b w:val="1"/>
                <w:bCs w:val="1"/>
                <w:color w:val="auto"/>
              </w:rPr>
              <w:t>Effect</w:t>
            </w:r>
          </w:p>
        </w:tc>
        <w:tc>
          <w:tcPr>
            <w:tcW w:w="2020" w:type="dxa"/>
            <w:vAlign w:val="bottom"/>
          </w:tcPr>
          <w:p>
            <w:pPr>
              <w:jc w:val="right"/>
              <w:ind w:right="810"/>
              <w:spacing w:after="0"/>
              <w:rPr>
                <w:sz w:val="20"/>
                <w:szCs w:val="20"/>
                <w:color w:val="auto"/>
              </w:rPr>
            </w:pPr>
            <w:r>
              <w:rPr>
                <w:rFonts w:ascii="Arial" w:cs="Arial" w:eastAsia="Arial" w:hAnsi="Arial"/>
                <w:sz w:val="18"/>
                <w:szCs w:val="18"/>
                <w:b w:val="1"/>
                <w:bCs w:val="1"/>
                <w:color w:val="auto"/>
              </w:rPr>
              <w:t>Effect</w:t>
            </w:r>
          </w:p>
        </w:tc>
        <w:tc>
          <w:tcPr>
            <w:tcW w:w="104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99"/>
              </w:rPr>
              <w:t>Effect</w:t>
            </w:r>
          </w:p>
        </w:tc>
      </w:tr>
      <w:tr>
        <w:trPr>
          <w:trHeight w:val="195"/>
        </w:trPr>
        <w:tc>
          <w:tcPr>
            <w:tcW w:w="482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Restructuring and other, net</w:t>
            </w:r>
          </w:p>
        </w:tc>
        <w:tc>
          <w:tcPr>
            <w:tcW w:w="1760" w:type="dxa"/>
            <w:vAlign w:val="bottom"/>
            <w:tcBorders>
              <w:top w:val="single" w:sz="8" w:color="auto"/>
            </w:tcBorders>
          </w:tcPr>
          <w:p>
            <w:pPr>
              <w:jc w:val="right"/>
              <w:ind w:right="390"/>
              <w:spacing w:after="0" w:line="195" w:lineRule="exact"/>
              <w:rPr>
                <w:sz w:val="20"/>
                <w:szCs w:val="20"/>
                <w:color w:val="auto"/>
              </w:rPr>
            </w:pPr>
            <w:r>
              <w:rPr>
                <w:rFonts w:ascii="Arial" w:cs="Arial" w:eastAsia="Arial" w:hAnsi="Arial"/>
                <w:sz w:val="18"/>
                <w:szCs w:val="18"/>
                <w:color w:val="auto"/>
              </w:rPr>
              <w:t>$23,846</w:t>
            </w:r>
          </w:p>
        </w:tc>
        <w:tc>
          <w:tcPr>
            <w:tcW w:w="1800" w:type="dxa"/>
            <w:vAlign w:val="bottom"/>
            <w:tcBorders>
              <w:top w:val="single" w:sz="8" w:color="auto"/>
            </w:tcBorders>
          </w:tcPr>
          <w:p>
            <w:pPr>
              <w:jc w:val="right"/>
              <w:ind w:right="450"/>
              <w:spacing w:after="0" w:line="195" w:lineRule="exact"/>
              <w:rPr>
                <w:sz w:val="20"/>
                <w:szCs w:val="20"/>
                <w:color w:val="auto"/>
              </w:rPr>
            </w:pPr>
            <w:r>
              <w:rPr>
                <w:rFonts w:ascii="Arial" w:cs="Arial" w:eastAsia="Arial" w:hAnsi="Arial"/>
                <w:sz w:val="18"/>
                <w:szCs w:val="18"/>
                <w:color w:val="auto"/>
              </w:rPr>
              <w:t>$8,434</w:t>
            </w:r>
          </w:p>
        </w:tc>
        <w:tc>
          <w:tcPr>
            <w:tcW w:w="2020" w:type="dxa"/>
            <w:vAlign w:val="bottom"/>
            <w:tcBorders>
              <w:top w:val="single" w:sz="8" w:color="auto"/>
            </w:tcBorders>
          </w:tcPr>
          <w:p>
            <w:pPr>
              <w:jc w:val="right"/>
              <w:ind w:right="910"/>
              <w:spacing w:after="0" w:line="195" w:lineRule="exact"/>
              <w:rPr>
                <w:sz w:val="20"/>
                <w:szCs w:val="20"/>
                <w:color w:val="auto"/>
              </w:rPr>
            </w:pPr>
            <w:r>
              <w:rPr>
                <w:rFonts w:ascii="Arial" w:cs="Arial" w:eastAsia="Arial" w:hAnsi="Arial"/>
                <w:sz w:val="18"/>
                <w:szCs w:val="18"/>
                <w:color w:val="auto"/>
              </w:rPr>
              <w:t>$15,412</w:t>
            </w:r>
          </w:p>
        </w:tc>
        <w:tc>
          <w:tcPr>
            <w:tcW w:w="1020" w:type="dxa"/>
            <w:vAlign w:val="bottom"/>
            <w:tcBorders>
              <w:top w:val="single" w:sz="8" w:color="auto"/>
            </w:tcBorders>
          </w:tcPr>
          <w:p>
            <w:pPr>
              <w:jc w:val="right"/>
              <w:ind w:right="190"/>
              <w:spacing w:after="0" w:line="195" w:lineRule="exact"/>
              <w:rPr>
                <w:sz w:val="20"/>
                <w:szCs w:val="20"/>
                <w:color w:val="auto"/>
              </w:rPr>
            </w:pPr>
            <w:r>
              <w:rPr>
                <w:rFonts w:ascii="Arial" w:cs="Arial" w:eastAsia="Arial" w:hAnsi="Arial"/>
                <w:sz w:val="18"/>
                <w:szCs w:val="18"/>
                <w:color w:val="auto"/>
              </w:rPr>
              <w:t>$0.48</w:t>
            </w:r>
          </w:p>
        </w:tc>
        <w:tc>
          <w:tcPr>
            <w:tcW w:w="20" w:type="dxa"/>
            <w:vAlign w:val="bottom"/>
          </w:tcPr>
          <w:p>
            <w:pPr>
              <w:spacing w:after="0"/>
              <w:rPr>
                <w:sz w:val="16"/>
                <w:szCs w:val="16"/>
                <w:color w:val="auto"/>
              </w:rPr>
            </w:pPr>
          </w:p>
        </w:tc>
      </w:tr>
      <w:tr>
        <w:trPr>
          <w:trHeight w:val="203"/>
        </w:trPr>
        <w:tc>
          <w:tcPr>
            <w:tcW w:w="4820" w:type="dxa"/>
            <w:vAlign w:val="bottom"/>
          </w:tcPr>
          <w:p>
            <w:pPr>
              <w:ind w:left="40"/>
              <w:spacing w:after="0" w:line="202" w:lineRule="exact"/>
              <w:rPr>
                <w:sz w:val="20"/>
                <w:szCs w:val="20"/>
                <w:color w:val="auto"/>
              </w:rPr>
            </w:pPr>
            <w:r>
              <w:rPr>
                <w:rFonts w:ascii="Arial" w:cs="Arial" w:eastAsia="Arial" w:hAnsi="Arial"/>
                <w:sz w:val="18"/>
                <w:szCs w:val="18"/>
                <w:color w:val="auto"/>
              </w:rPr>
              <w:t>Foreign currency revaluation gains</w:t>
            </w:r>
          </w:p>
        </w:tc>
        <w:tc>
          <w:tcPr>
            <w:tcW w:w="176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3,594</w:t>
            </w:r>
          </w:p>
        </w:tc>
        <w:tc>
          <w:tcPr>
            <w:tcW w:w="180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1,422</w:t>
            </w:r>
          </w:p>
        </w:tc>
        <w:tc>
          <w:tcPr>
            <w:tcW w:w="2020" w:type="dxa"/>
            <w:vAlign w:val="bottom"/>
          </w:tcPr>
          <w:p>
            <w:pPr>
              <w:jc w:val="right"/>
              <w:ind w:right="910"/>
              <w:spacing w:after="0" w:line="202" w:lineRule="exact"/>
              <w:rPr>
                <w:sz w:val="20"/>
                <w:szCs w:val="20"/>
                <w:color w:val="auto"/>
              </w:rPr>
            </w:pPr>
            <w:r>
              <w:rPr>
                <w:rFonts w:ascii="Arial" w:cs="Arial" w:eastAsia="Arial" w:hAnsi="Arial"/>
                <w:sz w:val="18"/>
                <w:szCs w:val="18"/>
                <w:color w:val="auto"/>
              </w:rPr>
              <w:t>2,172</w:t>
            </w:r>
          </w:p>
        </w:tc>
        <w:tc>
          <w:tcPr>
            <w:tcW w:w="102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0.07</w:t>
            </w:r>
          </w:p>
        </w:tc>
        <w:tc>
          <w:tcPr>
            <w:tcW w:w="20" w:type="dxa"/>
            <w:vAlign w:val="bottom"/>
          </w:tcPr>
          <w:p>
            <w:pPr>
              <w:spacing w:after="0"/>
              <w:rPr>
                <w:sz w:val="17"/>
                <w:szCs w:val="17"/>
                <w:color w:val="auto"/>
              </w:rPr>
            </w:pPr>
          </w:p>
        </w:tc>
      </w:tr>
      <w:tr>
        <w:trPr>
          <w:trHeight w:val="203"/>
        </w:trPr>
        <w:tc>
          <w:tcPr>
            <w:tcW w:w="4820" w:type="dxa"/>
            <w:vAlign w:val="bottom"/>
          </w:tcPr>
          <w:p>
            <w:pPr>
              <w:ind w:left="40"/>
              <w:spacing w:after="0" w:line="202" w:lineRule="exact"/>
              <w:rPr>
                <w:sz w:val="20"/>
                <w:szCs w:val="20"/>
                <w:color w:val="auto"/>
              </w:rPr>
            </w:pPr>
            <w:r>
              <w:rPr>
                <w:rFonts w:ascii="Arial" w:cs="Arial" w:eastAsia="Arial" w:hAnsi="Arial"/>
                <w:sz w:val="18"/>
                <w:szCs w:val="18"/>
                <w:color w:val="auto"/>
              </w:rPr>
              <w:t>Gain on sale of investment</w:t>
            </w:r>
          </w:p>
        </w:tc>
        <w:tc>
          <w:tcPr>
            <w:tcW w:w="176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872</w:t>
            </w:r>
          </w:p>
        </w:tc>
        <w:tc>
          <w:tcPr>
            <w:tcW w:w="180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331</w:t>
            </w:r>
          </w:p>
        </w:tc>
        <w:tc>
          <w:tcPr>
            <w:tcW w:w="2020" w:type="dxa"/>
            <w:vAlign w:val="bottom"/>
          </w:tcPr>
          <w:p>
            <w:pPr>
              <w:jc w:val="right"/>
              <w:ind w:right="910"/>
              <w:spacing w:after="0" w:line="202" w:lineRule="exact"/>
              <w:rPr>
                <w:sz w:val="20"/>
                <w:szCs w:val="20"/>
                <w:color w:val="auto"/>
              </w:rPr>
            </w:pPr>
            <w:r>
              <w:rPr>
                <w:rFonts w:ascii="Arial" w:cs="Arial" w:eastAsia="Arial" w:hAnsi="Arial"/>
                <w:sz w:val="18"/>
                <w:szCs w:val="18"/>
                <w:color w:val="auto"/>
              </w:rPr>
              <w:t>541</w:t>
            </w:r>
          </w:p>
        </w:tc>
        <w:tc>
          <w:tcPr>
            <w:tcW w:w="102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0.02</w:t>
            </w:r>
          </w:p>
        </w:tc>
        <w:tc>
          <w:tcPr>
            <w:tcW w:w="20" w:type="dxa"/>
            <w:vAlign w:val="bottom"/>
          </w:tcPr>
          <w:p>
            <w:pPr>
              <w:spacing w:after="0"/>
              <w:rPr>
                <w:sz w:val="17"/>
                <w:szCs w:val="17"/>
                <w:color w:val="auto"/>
              </w:rPr>
            </w:pPr>
          </w:p>
        </w:tc>
      </w:tr>
      <w:tr>
        <w:trPr>
          <w:trHeight w:val="203"/>
        </w:trPr>
        <w:tc>
          <w:tcPr>
            <w:tcW w:w="4820" w:type="dxa"/>
            <w:vAlign w:val="bottom"/>
          </w:tcPr>
          <w:p>
            <w:pPr>
              <w:ind w:left="40"/>
              <w:spacing w:after="0" w:line="202" w:lineRule="exact"/>
              <w:rPr>
                <w:sz w:val="20"/>
                <w:szCs w:val="20"/>
                <w:color w:val="auto"/>
              </w:rPr>
            </w:pPr>
            <w:r>
              <w:rPr>
                <w:rFonts w:ascii="Arial" w:cs="Arial" w:eastAsia="Arial" w:hAnsi="Arial"/>
                <w:sz w:val="18"/>
                <w:szCs w:val="18"/>
                <w:color w:val="auto"/>
              </w:rPr>
              <w:t>Net discrete income tax benefit</w:t>
            </w:r>
          </w:p>
        </w:tc>
        <w:tc>
          <w:tcPr>
            <w:tcW w:w="176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w:t>
            </w:r>
          </w:p>
        </w:tc>
        <w:tc>
          <w:tcPr>
            <w:tcW w:w="180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22,174</w:t>
            </w:r>
          </w:p>
        </w:tc>
        <w:tc>
          <w:tcPr>
            <w:tcW w:w="2020" w:type="dxa"/>
            <w:vAlign w:val="bottom"/>
          </w:tcPr>
          <w:p>
            <w:pPr>
              <w:jc w:val="right"/>
              <w:ind w:right="910"/>
              <w:spacing w:after="0" w:line="202" w:lineRule="exact"/>
              <w:rPr>
                <w:sz w:val="20"/>
                <w:szCs w:val="20"/>
                <w:color w:val="auto"/>
              </w:rPr>
            </w:pPr>
            <w:r>
              <w:rPr>
                <w:rFonts w:ascii="Arial" w:cs="Arial" w:eastAsia="Arial" w:hAnsi="Arial"/>
                <w:sz w:val="18"/>
                <w:szCs w:val="18"/>
                <w:color w:val="auto"/>
              </w:rPr>
              <w:t>22,174</w:t>
            </w:r>
          </w:p>
        </w:tc>
        <w:tc>
          <w:tcPr>
            <w:tcW w:w="102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0.69</w:t>
            </w:r>
          </w:p>
        </w:tc>
        <w:tc>
          <w:tcPr>
            <w:tcW w:w="20" w:type="dxa"/>
            <w:vAlign w:val="bottom"/>
          </w:tcPr>
          <w:p>
            <w:pPr>
              <w:spacing w:after="0"/>
              <w:rPr>
                <w:sz w:val="17"/>
                <w:szCs w:val="17"/>
                <w:color w:val="auto"/>
              </w:rPr>
            </w:pPr>
          </w:p>
        </w:tc>
      </w:tr>
      <w:tr>
        <w:trPr>
          <w:trHeight w:val="203"/>
        </w:trPr>
        <w:tc>
          <w:tcPr>
            <w:tcW w:w="4820" w:type="dxa"/>
            <w:vAlign w:val="bottom"/>
            <w:tcBorders>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Charge for revision in estimated contract profitability</w:t>
            </w:r>
          </w:p>
        </w:tc>
        <w:tc>
          <w:tcPr>
            <w:tcW w:w="1760" w:type="dxa"/>
            <w:vAlign w:val="bottom"/>
            <w:tcBorders>
              <w:bottom w:val="single" w:sz="8" w:color="auto"/>
            </w:tcBorders>
          </w:tcPr>
          <w:p>
            <w:pPr>
              <w:jc w:val="right"/>
              <w:ind w:right="390"/>
              <w:spacing w:after="0" w:line="203" w:lineRule="exact"/>
              <w:rPr>
                <w:sz w:val="20"/>
                <w:szCs w:val="20"/>
                <w:color w:val="auto"/>
              </w:rPr>
            </w:pPr>
            <w:r>
              <w:rPr>
                <w:rFonts w:ascii="Arial" w:cs="Arial" w:eastAsia="Arial" w:hAnsi="Arial"/>
                <w:sz w:val="18"/>
                <w:szCs w:val="18"/>
                <w:color w:val="auto"/>
              </w:rPr>
              <w:t>14,000</w:t>
            </w:r>
          </w:p>
        </w:tc>
        <w:tc>
          <w:tcPr>
            <w:tcW w:w="1800" w:type="dxa"/>
            <w:vAlign w:val="bottom"/>
            <w:tcBorders>
              <w:bottom w:val="single" w:sz="8" w:color="auto"/>
            </w:tcBorders>
          </w:tcPr>
          <w:p>
            <w:pPr>
              <w:jc w:val="right"/>
              <w:ind w:right="450"/>
              <w:spacing w:after="0" w:line="203" w:lineRule="exact"/>
              <w:rPr>
                <w:sz w:val="20"/>
                <w:szCs w:val="20"/>
                <w:color w:val="auto"/>
              </w:rPr>
            </w:pPr>
            <w:r>
              <w:rPr>
                <w:rFonts w:ascii="Arial" w:cs="Arial" w:eastAsia="Arial" w:hAnsi="Arial"/>
                <w:sz w:val="18"/>
                <w:szCs w:val="18"/>
                <w:color w:val="auto"/>
              </w:rPr>
              <w:t>5,180</w:t>
            </w:r>
          </w:p>
        </w:tc>
        <w:tc>
          <w:tcPr>
            <w:tcW w:w="2020" w:type="dxa"/>
            <w:vAlign w:val="bottom"/>
            <w:tcBorders>
              <w:bottom w:val="single" w:sz="8" w:color="auto"/>
            </w:tcBorders>
          </w:tcPr>
          <w:p>
            <w:pPr>
              <w:jc w:val="right"/>
              <w:ind w:right="910"/>
              <w:spacing w:after="0" w:line="203" w:lineRule="exact"/>
              <w:rPr>
                <w:sz w:val="20"/>
                <w:szCs w:val="20"/>
                <w:color w:val="auto"/>
              </w:rPr>
            </w:pPr>
            <w:r>
              <w:rPr>
                <w:rFonts w:ascii="Arial" w:cs="Arial" w:eastAsia="Arial" w:hAnsi="Arial"/>
                <w:sz w:val="18"/>
                <w:szCs w:val="18"/>
                <w:color w:val="auto"/>
              </w:rPr>
              <w:t>8,820</w:t>
            </w:r>
          </w:p>
        </w:tc>
        <w:tc>
          <w:tcPr>
            <w:tcW w:w="102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0.28</w:t>
            </w:r>
          </w:p>
        </w:tc>
        <w:tc>
          <w:tcPr>
            <w:tcW w:w="20" w:type="dxa"/>
            <w:vAlign w:val="bottom"/>
          </w:tcPr>
          <w:p>
            <w:pPr>
              <w:spacing w:after="0"/>
              <w:rPr>
                <w:sz w:val="17"/>
                <w:szCs w:val="17"/>
                <w:color w:val="auto"/>
              </w:rPr>
            </w:pPr>
          </w:p>
        </w:tc>
      </w:tr>
    </w:tbl>
    <w:p>
      <w:pPr>
        <w:spacing w:after="0" w:line="200" w:lineRule="exact"/>
        <w:rPr>
          <w:sz w:val="20"/>
          <w:szCs w:val="20"/>
          <w:color w:val="auto"/>
        </w:rPr>
      </w:pPr>
    </w:p>
    <w:p>
      <w:pPr>
        <w:spacing w:after="0" w:line="398" w:lineRule="exact"/>
        <w:rPr>
          <w:sz w:val="20"/>
          <w:szCs w:val="20"/>
          <w:color w:val="auto"/>
        </w:rPr>
      </w:pPr>
    </w:p>
    <w:p>
      <w:pPr>
        <w:ind w:left="696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540" w:type="dxa"/>
            <w:vAlign w:val="bottom"/>
          </w:tcPr>
          <w:p>
            <w:pPr>
              <w:spacing w:after="0"/>
              <w:rPr>
                <w:sz w:val="20"/>
                <w:szCs w:val="20"/>
                <w:color w:val="auto"/>
              </w:rPr>
            </w:pPr>
          </w:p>
        </w:tc>
        <w:tc>
          <w:tcPr>
            <w:tcW w:w="3040" w:type="dxa"/>
            <w:vAlign w:val="bottom"/>
          </w:tcPr>
          <w:p>
            <w:pPr>
              <w:jc w:val="right"/>
              <w:ind w:right="490"/>
              <w:spacing w:after="0"/>
              <w:rPr>
                <w:sz w:val="20"/>
                <w:szCs w:val="20"/>
                <w:color w:val="auto"/>
              </w:rPr>
            </w:pPr>
            <w:r>
              <w:rPr>
                <w:rFonts w:ascii="Arial" w:cs="Arial" w:eastAsia="Arial" w:hAnsi="Arial"/>
                <w:sz w:val="18"/>
                <w:szCs w:val="18"/>
                <w:b w:val="1"/>
                <w:bCs w:val="1"/>
                <w:color w:val="auto"/>
              </w:rPr>
              <w:t>Pre tax</w:t>
            </w: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Tax</w:t>
            </w:r>
          </w:p>
        </w:tc>
        <w:tc>
          <w:tcPr>
            <w:tcW w:w="1320" w:type="dxa"/>
            <w:vAlign w:val="bottom"/>
          </w:tcPr>
          <w:p>
            <w:pPr>
              <w:jc w:val="right"/>
              <w:ind w:right="310"/>
              <w:spacing w:after="0"/>
              <w:rPr>
                <w:sz w:val="20"/>
                <w:szCs w:val="20"/>
                <w:color w:val="auto"/>
              </w:rPr>
            </w:pPr>
            <w:r>
              <w:rPr>
                <w:rFonts w:ascii="Arial" w:cs="Arial" w:eastAsia="Arial" w:hAnsi="Arial"/>
                <w:sz w:val="18"/>
                <w:szCs w:val="18"/>
                <w:b w:val="1"/>
                <w:bCs w:val="1"/>
                <w:color w:val="auto"/>
              </w:rPr>
              <w:t>After tax</w:t>
            </w:r>
          </w:p>
        </w:tc>
        <w:tc>
          <w:tcPr>
            <w:tcW w:w="1200" w:type="dxa"/>
            <w:vAlign w:val="bottom"/>
          </w:tcPr>
          <w:p>
            <w:pPr>
              <w:jc w:val="right"/>
              <w:ind w:right="110"/>
              <w:spacing w:after="0"/>
              <w:rPr>
                <w:sz w:val="20"/>
                <w:szCs w:val="20"/>
                <w:color w:val="auto"/>
              </w:rPr>
            </w:pPr>
            <w:r>
              <w:rPr>
                <w:rFonts w:ascii="Arial" w:cs="Arial" w:eastAsia="Arial" w:hAnsi="Arial"/>
                <w:sz w:val="18"/>
                <w:szCs w:val="18"/>
                <w:b w:val="1"/>
                <w:bCs w:val="1"/>
                <w:color w:val="auto"/>
              </w:rPr>
              <w:t>Per Share</w:t>
            </w:r>
          </w:p>
        </w:tc>
      </w:tr>
      <w:tr>
        <w:trPr>
          <w:trHeight w:val="230"/>
        </w:trPr>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 ended December 31, 2014</w:t>
            </w:r>
          </w:p>
        </w:tc>
        <w:tc>
          <w:tcPr>
            <w:tcW w:w="3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Amounts</w:t>
            </w:r>
          </w:p>
        </w:tc>
        <w:tc>
          <w:tcPr>
            <w:tcW w:w="13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Effect</w:t>
            </w:r>
          </w:p>
        </w:tc>
        <w:tc>
          <w:tcPr>
            <w:tcW w:w="13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Effect</w:t>
            </w:r>
          </w:p>
        </w:tc>
        <w:tc>
          <w:tcPr>
            <w:tcW w:w="12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Effect</w:t>
            </w:r>
          </w:p>
        </w:tc>
      </w:tr>
      <w:tr>
        <w:trPr>
          <w:trHeight w:val="236"/>
        </w:trPr>
        <w:tc>
          <w:tcPr>
            <w:tcW w:w="4540" w:type="dxa"/>
            <w:vAlign w:val="bottom"/>
          </w:tcPr>
          <w:p>
            <w:pPr>
              <w:spacing w:after="0"/>
              <w:rPr>
                <w:sz w:val="20"/>
                <w:szCs w:val="20"/>
                <w:color w:val="auto"/>
              </w:rPr>
            </w:pPr>
            <w:r>
              <w:rPr>
                <w:rFonts w:ascii="Arial" w:cs="Arial" w:eastAsia="Arial" w:hAnsi="Arial"/>
                <w:sz w:val="18"/>
                <w:szCs w:val="18"/>
                <w:color w:val="auto"/>
              </w:rPr>
              <w:t>Restructuring and other, net</w:t>
            </w:r>
          </w:p>
        </w:tc>
        <w:tc>
          <w:tcPr>
            <w:tcW w:w="3040" w:type="dxa"/>
            <w:vAlign w:val="bottom"/>
          </w:tcPr>
          <w:p>
            <w:pPr>
              <w:jc w:val="right"/>
              <w:ind w:right="170"/>
              <w:spacing w:after="0"/>
              <w:rPr>
                <w:sz w:val="20"/>
                <w:szCs w:val="20"/>
                <w:color w:val="auto"/>
              </w:rPr>
            </w:pPr>
            <w:r>
              <w:rPr>
                <w:rFonts w:ascii="Arial" w:cs="Arial" w:eastAsia="Arial" w:hAnsi="Arial"/>
                <w:sz w:val="18"/>
                <w:szCs w:val="18"/>
                <w:color w:val="auto"/>
              </w:rPr>
              <w:t>$5,759</w:t>
            </w: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$2,015</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$3,744</w:t>
            </w:r>
          </w:p>
        </w:tc>
        <w:tc>
          <w:tcPr>
            <w:tcW w:w="1200" w:type="dxa"/>
            <w:vAlign w:val="bottom"/>
          </w:tcPr>
          <w:p>
            <w:pPr>
              <w:jc w:val="right"/>
              <w:spacing w:after="0"/>
              <w:rPr>
                <w:sz w:val="20"/>
                <w:szCs w:val="20"/>
                <w:color w:val="auto"/>
              </w:rPr>
            </w:pPr>
            <w:r>
              <w:rPr>
                <w:rFonts w:ascii="Arial" w:cs="Arial" w:eastAsia="Arial" w:hAnsi="Arial"/>
                <w:sz w:val="18"/>
                <w:szCs w:val="18"/>
                <w:color w:val="auto"/>
              </w:rPr>
              <w:t>$0.12</w:t>
            </w:r>
          </w:p>
        </w:tc>
      </w:tr>
      <w:tr>
        <w:trPr>
          <w:trHeight w:val="243"/>
        </w:trPr>
        <w:tc>
          <w:tcPr>
            <w:tcW w:w="4540" w:type="dxa"/>
            <w:vAlign w:val="bottom"/>
          </w:tcPr>
          <w:p>
            <w:pPr>
              <w:spacing w:after="0"/>
              <w:rPr>
                <w:sz w:val="20"/>
                <w:szCs w:val="20"/>
                <w:color w:val="auto"/>
              </w:rPr>
            </w:pPr>
            <w:r>
              <w:rPr>
                <w:rFonts w:ascii="Arial" w:cs="Arial" w:eastAsia="Arial" w:hAnsi="Arial"/>
                <w:sz w:val="18"/>
                <w:szCs w:val="18"/>
                <w:color w:val="auto"/>
              </w:rPr>
              <w:t>Foreign currency revaluation gains</w:t>
            </w:r>
          </w:p>
        </w:tc>
        <w:tc>
          <w:tcPr>
            <w:tcW w:w="3040" w:type="dxa"/>
            <w:vAlign w:val="bottom"/>
          </w:tcPr>
          <w:p>
            <w:pPr>
              <w:jc w:val="right"/>
              <w:ind w:right="170"/>
              <w:spacing w:after="0"/>
              <w:rPr>
                <w:sz w:val="20"/>
                <w:szCs w:val="20"/>
                <w:color w:val="auto"/>
              </w:rPr>
            </w:pPr>
            <w:r>
              <w:rPr>
                <w:rFonts w:ascii="Arial" w:cs="Arial" w:eastAsia="Arial" w:hAnsi="Arial"/>
                <w:sz w:val="18"/>
                <w:szCs w:val="18"/>
                <w:color w:val="auto"/>
              </w:rPr>
              <w:t>10,310</w:t>
            </w: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3,535</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6,775</w:t>
            </w:r>
          </w:p>
        </w:tc>
        <w:tc>
          <w:tcPr>
            <w:tcW w:w="1200" w:type="dxa"/>
            <w:vAlign w:val="bottom"/>
          </w:tcPr>
          <w:p>
            <w:pPr>
              <w:jc w:val="right"/>
              <w:spacing w:after="0"/>
              <w:rPr>
                <w:sz w:val="20"/>
                <w:szCs w:val="20"/>
                <w:color w:val="auto"/>
              </w:rPr>
            </w:pPr>
            <w:r>
              <w:rPr>
                <w:rFonts w:ascii="Arial" w:cs="Arial" w:eastAsia="Arial" w:hAnsi="Arial"/>
                <w:sz w:val="18"/>
                <w:szCs w:val="18"/>
                <w:color w:val="auto"/>
              </w:rPr>
              <w:t>0.21</w:t>
            </w:r>
          </w:p>
        </w:tc>
      </w:tr>
      <w:tr>
        <w:trPr>
          <w:trHeight w:val="243"/>
        </w:trPr>
        <w:tc>
          <w:tcPr>
            <w:tcW w:w="4540" w:type="dxa"/>
            <w:vAlign w:val="bottom"/>
          </w:tcPr>
          <w:p>
            <w:pPr>
              <w:spacing w:after="0"/>
              <w:rPr>
                <w:sz w:val="20"/>
                <w:szCs w:val="20"/>
                <w:color w:val="auto"/>
              </w:rPr>
            </w:pPr>
            <w:r>
              <w:rPr>
                <w:rFonts w:ascii="Arial" w:cs="Arial" w:eastAsia="Arial" w:hAnsi="Arial"/>
                <w:sz w:val="18"/>
                <w:szCs w:val="18"/>
                <w:color w:val="auto"/>
              </w:rPr>
              <w:t>Gain on insurance recovery</w:t>
            </w:r>
          </w:p>
        </w:tc>
        <w:tc>
          <w:tcPr>
            <w:tcW w:w="3040" w:type="dxa"/>
            <w:vAlign w:val="bottom"/>
          </w:tcPr>
          <w:p>
            <w:pPr>
              <w:jc w:val="right"/>
              <w:ind w:right="170"/>
              <w:spacing w:after="0"/>
              <w:rPr>
                <w:sz w:val="20"/>
                <w:szCs w:val="20"/>
                <w:color w:val="auto"/>
              </w:rPr>
            </w:pPr>
            <w:r>
              <w:rPr>
                <w:rFonts w:ascii="Arial" w:cs="Arial" w:eastAsia="Arial" w:hAnsi="Arial"/>
                <w:sz w:val="18"/>
                <w:szCs w:val="18"/>
                <w:color w:val="auto"/>
              </w:rPr>
              <w:t>1,126</w:t>
            </w: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1,126</w:t>
            </w:r>
          </w:p>
        </w:tc>
        <w:tc>
          <w:tcPr>
            <w:tcW w:w="1200" w:type="dxa"/>
            <w:vAlign w:val="bottom"/>
          </w:tcPr>
          <w:p>
            <w:pPr>
              <w:jc w:val="right"/>
              <w:spacing w:after="0"/>
              <w:rPr>
                <w:sz w:val="20"/>
                <w:szCs w:val="20"/>
                <w:color w:val="auto"/>
              </w:rPr>
            </w:pPr>
            <w:r>
              <w:rPr>
                <w:rFonts w:ascii="Arial" w:cs="Arial" w:eastAsia="Arial" w:hAnsi="Arial"/>
                <w:sz w:val="18"/>
                <w:szCs w:val="18"/>
                <w:color w:val="auto"/>
              </w:rPr>
              <w:t>0.04</w:t>
            </w:r>
          </w:p>
        </w:tc>
      </w:tr>
      <w:tr>
        <w:trPr>
          <w:trHeight w:val="243"/>
        </w:trPr>
        <w:tc>
          <w:tcPr>
            <w:tcW w:w="4540" w:type="dxa"/>
            <w:vAlign w:val="bottom"/>
          </w:tcPr>
          <w:p>
            <w:pPr>
              <w:spacing w:after="0"/>
              <w:rPr>
                <w:sz w:val="20"/>
                <w:szCs w:val="20"/>
                <w:color w:val="auto"/>
              </w:rPr>
            </w:pPr>
            <w:r>
              <w:rPr>
                <w:rFonts w:ascii="Arial" w:cs="Arial" w:eastAsia="Arial" w:hAnsi="Arial"/>
                <w:sz w:val="18"/>
                <w:szCs w:val="18"/>
                <w:color w:val="auto"/>
              </w:rPr>
              <w:t>Pension settlement charge</w:t>
            </w:r>
          </w:p>
        </w:tc>
        <w:tc>
          <w:tcPr>
            <w:tcW w:w="3040" w:type="dxa"/>
            <w:vAlign w:val="bottom"/>
          </w:tcPr>
          <w:p>
            <w:pPr>
              <w:jc w:val="right"/>
              <w:ind w:right="170"/>
              <w:spacing w:after="0"/>
              <w:rPr>
                <w:sz w:val="20"/>
                <w:szCs w:val="20"/>
                <w:color w:val="auto"/>
              </w:rPr>
            </w:pPr>
            <w:r>
              <w:rPr>
                <w:rFonts w:ascii="Arial" w:cs="Arial" w:eastAsia="Arial" w:hAnsi="Arial"/>
                <w:sz w:val="18"/>
                <w:szCs w:val="18"/>
                <w:color w:val="auto"/>
              </w:rPr>
              <w:t>8,190</w:t>
            </w: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3,194</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4,996</w:t>
            </w:r>
          </w:p>
        </w:tc>
        <w:tc>
          <w:tcPr>
            <w:tcW w:w="1200" w:type="dxa"/>
            <w:vAlign w:val="bottom"/>
          </w:tcPr>
          <w:p>
            <w:pPr>
              <w:jc w:val="right"/>
              <w:spacing w:after="0"/>
              <w:rPr>
                <w:sz w:val="20"/>
                <w:szCs w:val="20"/>
                <w:color w:val="auto"/>
              </w:rPr>
            </w:pPr>
            <w:r>
              <w:rPr>
                <w:rFonts w:ascii="Arial" w:cs="Arial" w:eastAsia="Arial" w:hAnsi="Arial"/>
                <w:sz w:val="18"/>
                <w:szCs w:val="18"/>
                <w:color w:val="auto"/>
              </w:rPr>
              <w:t>0.16</w:t>
            </w:r>
          </w:p>
        </w:tc>
      </w:tr>
      <w:tr>
        <w:trPr>
          <w:trHeight w:val="244"/>
        </w:trPr>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discrete income tax charges</w:t>
            </w:r>
          </w:p>
        </w:tc>
        <w:tc>
          <w:tcPr>
            <w:tcW w:w="30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3,242</w:t>
            </w:r>
          </w:p>
        </w:tc>
        <w:tc>
          <w:tcPr>
            <w:tcW w:w="1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3,242</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r>
    </w:tbl>
    <w:p>
      <w:pPr>
        <w:spacing w:after="0" w:line="3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contains the calculation of net income per share attributable to the Company, excluding adjustments: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700" w:type="dxa"/>
            <w:vAlign w:val="bottom"/>
            <w:tcBorders>
              <w:top w:val="single" w:sz="8" w:color="auto"/>
            </w:tcBorders>
          </w:tcPr>
          <w:p>
            <w:pPr>
              <w:spacing w:after="0"/>
              <w:rPr>
                <w:sz w:val="16"/>
                <w:szCs w:val="16"/>
                <w:color w:val="auto"/>
              </w:rPr>
            </w:pPr>
          </w:p>
        </w:tc>
        <w:tc>
          <w:tcPr>
            <w:tcW w:w="4720" w:type="dxa"/>
            <w:vAlign w:val="bottom"/>
            <w:tcBorders>
              <w:top w:val="single" w:sz="8" w:color="auto"/>
            </w:tcBorders>
            <w:gridSpan w:val="3"/>
          </w:tcPr>
          <w:p>
            <w:pPr>
              <w:jc w:val="right"/>
              <w:ind w:right="370"/>
              <w:spacing w:after="0" w:line="194" w:lineRule="exact"/>
              <w:rPr>
                <w:sz w:val="20"/>
                <w:szCs w:val="20"/>
                <w:color w:val="auto"/>
              </w:rPr>
            </w:pPr>
            <w:r>
              <w:rPr>
                <w:rFonts w:ascii="Arial" w:cs="Arial" w:eastAsia="Arial" w:hAnsi="Arial"/>
                <w:sz w:val="18"/>
                <w:szCs w:val="18"/>
                <w:b w:val="1"/>
                <w:bCs w:val="1"/>
                <w:color w:val="auto"/>
              </w:rPr>
              <w:t>Per share amounts (Basic)</w:t>
            </w:r>
          </w:p>
        </w:tc>
        <w:tc>
          <w:tcPr>
            <w:tcW w:w="0" w:type="dxa"/>
            <w:vAlign w:val="bottom"/>
          </w:tcPr>
          <w:p>
            <w:pPr>
              <w:spacing w:after="0"/>
              <w:rPr>
                <w:sz w:val="1"/>
                <w:szCs w:val="1"/>
                <w:color w:val="auto"/>
              </w:rPr>
            </w:pPr>
          </w:p>
        </w:tc>
      </w:tr>
      <w:tr>
        <w:trPr>
          <w:trHeight w:val="225"/>
        </w:trPr>
        <w:tc>
          <w:tcPr>
            <w:tcW w:w="67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Years ended December 31,</w:t>
            </w:r>
          </w:p>
        </w:tc>
        <w:tc>
          <w:tcPr>
            <w:tcW w:w="24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3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2015</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195"/>
        </w:trPr>
        <w:tc>
          <w:tcPr>
            <w:tcW w:w="6700" w:type="dxa"/>
            <w:vAlign w:val="bottom"/>
          </w:tcPr>
          <w:p>
            <w:pPr>
              <w:ind w:left="100"/>
              <w:spacing w:after="0" w:line="195" w:lineRule="exact"/>
              <w:rPr>
                <w:sz w:val="20"/>
                <w:szCs w:val="20"/>
                <w:color w:val="auto"/>
              </w:rPr>
            </w:pPr>
            <w:r>
              <w:rPr>
                <w:rFonts w:ascii="Arial" w:cs="Arial" w:eastAsia="Arial" w:hAnsi="Arial"/>
                <w:sz w:val="18"/>
                <w:szCs w:val="18"/>
                <w:color w:val="auto"/>
              </w:rPr>
              <w:t>Net income attributable to the Company</w:t>
            </w:r>
          </w:p>
        </w:tc>
        <w:tc>
          <w:tcPr>
            <w:tcW w:w="2440" w:type="dxa"/>
            <w:vAlign w:val="bottom"/>
          </w:tcPr>
          <w:p>
            <w:pPr>
              <w:jc w:val="right"/>
              <w:ind w:right="350"/>
              <w:spacing w:after="0" w:line="195" w:lineRule="exact"/>
              <w:rPr>
                <w:sz w:val="20"/>
                <w:szCs w:val="20"/>
                <w:color w:val="auto"/>
              </w:rPr>
            </w:pPr>
            <w:r>
              <w:rPr>
                <w:rFonts w:ascii="Arial" w:cs="Arial" w:eastAsia="Arial" w:hAnsi="Arial"/>
                <w:sz w:val="18"/>
                <w:szCs w:val="18"/>
                <w:b w:val="1"/>
                <w:bCs w:val="1"/>
                <w:color w:val="auto"/>
              </w:rPr>
              <w:t>$1.64</w:t>
            </w:r>
          </w:p>
        </w:tc>
        <w:tc>
          <w:tcPr>
            <w:tcW w:w="1380" w:type="dxa"/>
            <w:vAlign w:val="bottom"/>
          </w:tcPr>
          <w:p>
            <w:pPr>
              <w:jc w:val="right"/>
              <w:ind w:right="270"/>
              <w:spacing w:after="0" w:line="195" w:lineRule="exact"/>
              <w:rPr>
                <w:sz w:val="20"/>
                <w:szCs w:val="20"/>
                <w:color w:val="auto"/>
              </w:rPr>
            </w:pPr>
            <w:r>
              <w:rPr>
                <w:rFonts w:ascii="Arial" w:cs="Arial" w:eastAsia="Arial" w:hAnsi="Arial"/>
                <w:sz w:val="18"/>
                <w:szCs w:val="18"/>
                <w:color w:val="auto"/>
              </w:rPr>
              <w:t>$1.79(a)</w:t>
            </w:r>
          </w:p>
        </w:tc>
        <w:tc>
          <w:tcPr>
            <w:tcW w:w="900" w:type="dxa"/>
            <w:vAlign w:val="bottom"/>
          </w:tcPr>
          <w:p>
            <w:pPr>
              <w:jc w:val="right"/>
              <w:ind w:right="10"/>
              <w:spacing w:after="0" w:line="195" w:lineRule="exact"/>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3"/>
        </w:trPr>
        <w:tc>
          <w:tcPr>
            <w:tcW w:w="6700" w:type="dxa"/>
            <w:vAlign w:val="bottom"/>
          </w:tcPr>
          <w:p>
            <w:pPr>
              <w:ind w:left="100"/>
              <w:spacing w:after="0" w:line="202" w:lineRule="exact"/>
              <w:rPr>
                <w:sz w:val="20"/>
                <w:szCs w:val="20"/>
                <w:color w:val="auto"/>
              </w:rPr>
            </w:pPr>
            <w:r>
              <w:rPr>
                <w:rFonts w:ascii="Arial" w:cs="Arial" w:eastAsia="Arial" w:hAnsi="Arial"/>
                <w:sz w:val="18"/>
                <w:szCs w:val="18"/>
                <w:color w:val="auto"/>
              </w:rPr>
              <w:t>Adjustments:</w:t>
            </w:r>
          </w:p>
        </w:tc>
        <w:tc>
          <w:tcPr>
            <w:tcW w:w="244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0.16</w:t>
            </w:r>
          </w:p>
        </w:tc>
        <w:tc>
          <w:tcPr>
            <w:tcW w:w="1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700" w:type="dxa"/>
            <w:vAlign w:val="bottom"/>
          </w:tcPr>
          <w:p>
            <w:pPr>
              <w:ind w:left="100"/>
              <w:spacing w:after="0" w:line="181" w:lineRule="exact"/>
              <w:rPr>
                <w:sz w:val="20"/>
                <w:szCs w:val="20"/>
                <w:color w:val="auto"/>
              </w:rPr>
            </w:pPr>
            <w:r>
              <w:rPr>
                <w:rFonts w:ascii="Arial" w:cs="Arial" w:eastAsia="Arial" w:hAnsi="Arial"/>
                <w:sz w:val="18"/>
                <w:szCs w:val="18"/>
                <w:color w:val="auto"/>
              </w:rPr>
              <w:t>Restructuring expenses, net</w:t>
            </w:r>
          </w:p>
        </w:tc>
        <w:tc>
          <w:tcPr>
            <w:tcW w:w="2440" w:type="dxa"/>
            <w:vAlign w:val="bottom"/>
            <w:vMerge w:val="continue"/>
          </w:tcPr>
          <w:p>
            <w:pPr>
              <w:spacing w:after="0"/>
              <w:rPr>
                <w:sz w:val="15"/>
                <w:szCs w:val="15"/>
                <w:color w:val="auto"/>
              </w:rPr>
            </w:pPr>
          </w:p>
        </w:tc>
        <w:tc>
          <w:tcPr>
            <w:tcW w:w="1380" w:type="dxa"/>
            <w:vAlign w:val="bottom"/>
          </w:tcPr>
          <w:p>
            <w:pPr>
              <w:jc w:val="right"/>
              <w:ind w:right="490"/>
              <w:spacing w:after="0" w:line="181" w:lineRule="exact"/>
              <w:rPr>
                <w:sz w:val="20"/>
                <w:szCs w:val="20"/>
                <w:color w:val="auto"/>
              </w:rPr>
            </w:pPr>
            <w:r>
              <w:rPr>
                <w:rFonts w:ascii="Arial" w:cs="Arial" w:eastAsia="Arial" w:hAnsi="Arial"/>
                <w:sz w:val="18"/>
                <w:szCs w:val="18"/>
                <w:color w:val="auto"/>
              </w:rPr>
              <w:t>0.48</w:t>
            </w:r>
          </w:p>
        </w:tc>
        <w:tc>
          <w:tcPr>
            <w:tcW w:w="900" w:type="dxa"/>
            <w:vAlign w:val="bottom"/>
          </w:tcPr>
          <w:p>
            <w:pPr>
              <w:jc w:val="right"/>
              <w:ind w:right="10"/>
              <w:spacing w:after="0" w:line="181" w:lineRule="exact"/>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3"/>
        </w:trPr>
        <w:tc>
          <w:tcPr>
            <w:tcW w:w="6700" w:type="dxa"/>
            <w:vAlign w:val="bottom"/>
          </w:tcPr>
          <w:p>
            <w:pPr>
              <w:ind w:left="100"/>
              <w:spacing w:after="0" w:line="202" w:lineRule="exact"/>
              <w:rPr>
                <w:sz w:val="20"/>
                <w:szCs w:val="20"/>
                <w:color w:val="auto"/>
              </w:rPr>
            </w:pPr>
            <w:r>
              <w:rPr>
                <w:rFonts w:ascii="Arial" w:cs="Arial" w:eastAsia="Arial" w:hAnsi="Arial"/>
                <w:sz w:val="18"/>
                <w:szCs w:val="18"/>
                <w:color w:val="auto"/>
              </w:rPr>
              <w:t>Discrete tax (benefits)/charges</w:t>
            </w:r>
          </w:p>
        </w:tc>
        <w:tc>
          <w:tcPr>
            <w:tcW w:w="2440" w:type="dxa"/>
            <w:vAlign w:val="bottom"/>
          </w:tcPr>
          <w:p>
            <w:pPr>
              <w:jc w:val="right"/>
              <w:ind w:right="290"/>
              <w:spacing w:after="0" w:line="202" w:lineRule="exact"/>
              <w:rPr>
                <w:sz w:val="20"/>
                <w:szCs w:val="20"/>
                <w:color w:val="auto"/>
              </w:rPr>
            </w:pPr>
            <w:r>
              <w:rPr>
                <w:rFonts w:ascii="Arial" w:cs="Arial" w:eastAsia="Arial" w:hAnsi="Arial"/>
                <w:sz w:val="18"/>
                <w:szCs w:val="18"/>
                <w:b w:val="1"/>
                <w:bCs w:val="1"/>
                <w:color w:val="auto"/>
              </w:rPr>
              <w:t>(0.07)</w:t>
            </w:r>
          </w:p>
        </w:tc>
        <w:tc>
          <w:tcPr>
            <w:tcW w:w="138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(0.69)</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03"/>
        </w:trPr>
        <w:tc>
          <w:tcPr>
            <w:tcW w:w="6700" w:type="dxa"/>
            <w:vAlign w:val="bottom"/>
          </w:tcPr>
          <w:p>
            <w:pPr>
              <w:ind w:left="100"/>
              <w:spacing w:after="0" w:line="202" w:lineRule="exact"/>
              <w:rPr>
                <w:sz w:val="20"/>
                <w:szCs w:val="20"/>
                <w:color w:val="auto"/>
              </w:rPr>
            </w:pPr>
            <w:r>
              <w:rPr>
                <w:rFonts w:ascii="Arial" w:cs="Arial" w:eastAsia="Arial" w:hAnsi="Arial"/>
                <w:sz w:val="18"/>
                <w:szCs w:val="18"/>
                <w:color w:val="auto"/>
              </w:rPr>
              <w:t>Foreign currency revaluation (gains)/losses</w:t>
            </w:r>
          </w:p>
        </w:tc>
        <w:tc>
          <w:tcPr>
            <w:tcW w:w="2440" w:type="dxa"/>
            <w:vAlign w:val="bottom"/>
          </w:tcPr>
          <w:p>
            <w:pPr>
              <w:jc w:val="right"/>
              <w:ind w:right="290"/>
              <w:spacing w:after="0" w:line="202" w:lineRule="exact"/>
              <w:rPr>
                <w:sz w:val="20"/>
                <w:szCs w:val="20"/>
                <w:color w:val="auto"/>
              </w:rPr>
            </w:pPr>
            <w:r>
              <w:rPr>
                <w:rFonts w:ascii="Arial" w:cs="Arial" w:eastAsia="Arial" w:hAnsi="Arial"/>
                <w:sz w:val="18"/>
                <w:szCs w:val="18"/>
                <w:b w:val="1"/>
                <w:bCs w:val="1"/>
                <w:color w:val="auto"/>
              </w:rPr>
              <w:t>(0.07)</w:t>
            </w:r>
          </w:p>
        </w:tc>
        <w:tc>
          <w:tcPr>
            <w:tcW w:w="138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(0.07)</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25"/>
        </w:trPr>
        <w:tc>
          <w:tcPr>
            <w:tcW w:w="6700" w:type="dxa"/>
            <w:vAlign w:val="bottom"/>
          </w:tcPr>
          <w:p>
            <w:pPr>
              <w:ind w:left="100"/>
              <w:spacing w:after="0"/>
              <w:rPr>
                <w:sz w:val="20"/>
                <w:szCs w:val="20"/>
                <w:color w:val="auto"/>
              </w:rPr>
            </w:pPr>
            <w:r>
              <w:rPr>
                <w:rFonts w:ascii="Arial" w:cs="Arial" w:eastAsia="Arial" w:hAnsi="Arial"/>
                <w:sz w:val="18"/>
                <w:szCs w:val="18"/>
                <w:color w:val="auto"/>
              </w:rPr>
              <w:t>Gain on insurance recovery</w:t>
            </w:r>
          </w:p>
        </w:tc>
        <w:tc>
          <w:tcPr>
            <w:tcW w:w="244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3"/>
        </w:trPr>
        <w:tc>
          <w:tcPr>
            <w:tcW w:w="6700" w:type="dxa"/>
            <w:vAlign w:val="bottom"/>
          </w:tcPr>
          <w:p>
            <w:pPr>
              <w:ind w:left="100"/>
              <w:spacing w:after="0" w:line="202" w:lineRule="exact"/>
              <w:rPr>
                <w:sz w:val="20"/>
                <w:szCs w:val="20"/>
                <w:color w:val="auto"/>
              </w:rPr>
            </w:pPr>
            <w:r>
              <w:rPr>
                <w:rFonts w:ascii="Arial" w:cs="Arial" w:eastAsia="Arial" w:hAnsi="Arial"/>
                <w:sz w:val="18"/>
                <w:szCs w:val="18"/>
                <w:color w:val="auto"/>
              </w:rPr>
              <w:t>Gain on sale of investment</w:t>
            </w:r>
          </w:p>
        </w:tc>
        <w:tc>
          <w:tcPr>
            <w:tcW w:w="244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(0.02)</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1"/>
        </w:trPr>
        <w:tc>
          <w:tcPr>
            <w:tcW w:w="6700" w:type="dxa"/>
            <w:vAlign w:val="bottom"/>
          </w:tcPr>
          <w:p>
            <w:pPr>
              <w:ind w:left="100"/>
              <w:spacing w:after="0" w:line="181" w:lineRule="exact"/>
              <w:rPr>
                <w:sz w:val="20"/>
                <w:szCs w:val="20"/>
                <w:color w:val="auto"/>
              </w:rPr>
            </w:pPr>
            <w:r>
              <w:rPr>
                <w:rFonts w:ascii="Arial" w:cs="Arial" w:eastAsia="Arial" w:hAnsi="Arial"/>
                <w:sz w:val="18"/>
                <w:szCs w:val="18"/>
                <w:color w:val="auto"/>
              </w:rPr>
              <w:t>Pension settlement charge</w:t>
            </w:r>
          </w:p>
        </w:tc>
        <w:tc>
          <w:tcPr>
            <w:tcW w:w="2440" w:type="dxa"/>
            <w:vAlign w:val="bottom"/>
            <w:vMerge w:val="continue"/>
          </w:tcPr>
          <w:p>
            <w:pPr>
              <w:spacing w:after="0"/>
              <w:rPr>
                <w:sz w:val="15"/>
                <w:szCs w:val="15"/>
                <w:color w:val="auto"/>
              </w:rPr>
            </w:pPr>
          </w:p>
        </w:tc>
        <w:tc>
          <w:tcPr>
            <w:tcW w:w="1380" w:type="dxa"/>
            <w:vAlign w:val="bottom"/>
          </w:tcPr>
          <w:p>
            <w:pPr>
              <w:jc w:val="right"/>
              <w:ind w:right="490"/>
              <w:spacing w:after="0" w:line="181"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line="181" w:lineRule="exact"/>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25"/>
        </w:trPr>
        <w:tc>
          <w:tcPr>
            <w:tcW w:w="67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Acquisition expenses</w:t>
            </w:r>
          </w:p>
        </w:tc>
        <w:tc>
          <w:tcPr>
            <w:tcW w:w="24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0.11</w:t>
            </w:r>
          </w:p>
        </w:tc>
        <w:tc>
          <w:tcPr>
            <w:tcW w:w="13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670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Net income attributable to the Company, excluding adjustments</w:t>
            </w:r>
          </w:p>
        </w:tc>
        <w:tc>
          <w:tcPr>
            <w:tcW w:w="244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$1.77</w:t>
            </w:r>
          </w:p>
        </w:tc>
        <w:tc>
          <w:tcPr>
            <w:tcW w:w="138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color w:val="auto"/>
              </w:rPr>
              <w:t>$1.49</w:t>
            </w:r>
          </w:p>
        </w:tc>
        <w:tc>
          <w:tcPr>
            <w:tcW w:w="9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 includes charge of $0.28 related to BR 725 program</w:t>
      </w:r>
    </w:p>
    <w:p>
      <w:pPr>
        <w:spacing w:after="0" w:line="212" w:lineRule="exact"/>
        <w:rPr>
          <w:sz w:val="20"/>
          <w:szCs w:val="20"/>
          <w:color w:val="auto"/>
        </w:rPr>
      </w:pPr>
    </w:p>
    <w:p>
      <w:pPr>
        <w:ind w:left="11220"/>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45" w:name="page46"/>
    <w:bookmarkEnd w:id="45"/>
    <w:p>
      <w:pPr>
        <w:ind w:left="660"/>
        <w:spacing w:after="0"/>
        <w:rPr>
          <w:sz w:val="20"/>
          <w:szCs w:val="20"/>
          <w:color w:val="auto"/>
        </w:rPr>
      </w:pPr>
      <w:r>
        <w:rPr>
          <w:rFonts w:ascii="Arial" w:cs="Arial" w:eastAsia="Arial" w:hAnsi="Arial"/>
          <w:sz w:val="18"/>
          <w:szCs w:val="18"/>
          <w:color w:val="auto"/>
        </w:rPr>
        <w:t>The following table contains the calculation of net debt: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280" w:type="dxa"/>
            <w:vAlign w:val="bottom"/>
            <w:tcBorders>
              <w:top w:val="single" w:sz="8" w:color="auto"/>
            </w:tcBorders>
          </w:tcPr>
          <w:p>
            <w:pPr>
              <w:spacing w:after="0"/>
              <w:rPr>
                <w:sz w:val="16"/>
                <w:szCs w:val="16"/>
                <w:color w:val="auto"/>
              </w:rPr>
            </w:pPr>
          </w:p>
        </w:tc>
        <w:tc>
          <w:tcPr>
            <w:tcW w:w="340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tcPr>
          <w:p>
            <w:pPr>
              <w:jc w:val="right"/>
              <w:ind w:right="170"/>
              <w:spacing w:after="0" w:line="194" w:lineRule="exact"/>
              <w:rPr>
                <w:sz w:val="20"/>
                <w:szCs w:val="20"/>
                <w:color w:val="auto"/>
              </w:rPr>
            </w:pPr>
            <w:r>
              <w:rPr>
                <w:rFonts w:ascii="Arial" w:cs="Arial" w:eastAsia="Arial" w:hAnsi="Arial"/>
                <w:sz w:val="18"/>
                <w:szCs w:val="18"/>
                <w:b w:val="1"/>
                <w:bCs w:val="1"/>
                <w:color w:val="auto"/>
              </w:rPr>
              <w:t>(in thousands)</w:t>
            </w:r>
          </w:p>
        </w:tc>
        <w:tc>
          <w:tcPr>
            <w:tcW w:w="1000" w:type="dxa"/>
            <w:vAlign w:val="bottom"/>
            <w:tcBorders>
              <w:top w:val="single" w:sz="8" w:color="auto"/>
            </w:tcBorders>
          </w:tcPr>
          <w:p>
            <w:pPr>
              <w:spacing w:after="0"/>
              <w:rPr>
                <w:sz w:val="16"/>
                <w:szCs w:val="16"/>
                <w:color w:val="auto"/>
              </w:rPr>
            </w:pPr>
          </w:p>
        </w:tc>
      </w:tr>
      <w:tr>
        <w:trPr>
          <w:trHeight w:val="225"/>
        </w:trPr>
        <w:tc>
          <w:tcPr>
            <w:tcW w:w="52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As of December 31,</w:t>
            </w:r>
          </w:p>
        </w:tc>
        <w:tc>
          <w:tcPr>
            <w:tcW w:w="34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7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2014</w:t>
            </w:r>
          </w:p>
        </w:tc>
      </w:tr>
      <w:tr>
        <w:trPr>
          <w:trHeight w:val="195"/>
        </w:trPr>
        <w:tc>
          <w:tcPr>
            <w:tcW w:w="5280" w:type="dxa"/>
            <w:vAlign w:val="bottom"/>
          </w:tcPr>
          <w:p>
            <w:pPr>
              <w:ind w:left="60"/>
              <w:spacing w:after="0" w:line="195" w:lineRule="exact"/>
              <w:rPr>
                <w:sz w:val="20"/>
                <w:szCs w:val="20"/>
                <w:color w:val="auto"/>
              </w:rPr>
            </w:pPr>
            <w:r>
              <w:rPr>
                <w:rFonts w:ascii="Arial" w:cs="Arial" w:eastAsia="Arial" w:hAnsi="Arial"/>
                <w:sz w:val="18"/>
                <w:szCs w:val="18"/>
                <w:color w:val="auto"/>
              </w:rPr>
              <w:t>Notes and loans payable</w:t>
            </w:r>
          </w:p>
        </w:tc>
        <w:tc>
          <w:tcPr>
            <w:tcW w:w="3400" w:type="dxa"/>
            <w:vAlign w:val="bottom"/>
          </w:tcPr>
          <w:p>
            <w:pPr>
              <w:jc w:val="right"/>
              <w:ind w:right="170"/>
              <w:spacing w:after="0" w:line="195" w:lineRule="exact"/>
              <w:rPr>
                <w:sz w:val="20"/>
                <w:szCs w:val="20"/>
                <w:color w:val="auto"/>
              </w:rPr>
            </w:pPr>
            <w:r>
              <w:rPr>
                <w:rFonts w:ascii="Arial" w:cs="Arial" w:eastAsia="Arial" w:hAnsi="Arial"/>
                <w:sz w:val="18"/>
                <w:szCs w:val="18"/>
                <w:b w:val="1"/>
                <w:bCs w:val="1"/>
                <w:color w:val="auto"/>
              </w:rPr>
              <w:t>$312</w:t>
            </w:r>
          </w:p>
        </w:tc>
        <w:tc>
          <w:tcPr>
            <w:tcW w:w="1740" w:type="dxa"/>
            <w:vAlign w:val="bottom"/>
          </w:tcPr>
          <w:p>
            <w:pPr>
              <w:jc w:val="right"/>
              <w:ind w:right="470"/>
              <w:spacing w:after="0" w:line="195" w:lineRule="exact"/>
              <w:rPr>
                <w:sz w:val="20"/>
                <w:szCs w:val="20"/>
                <w:color w:val="auto"/>
              </w:rPr>
            </w:pPr>
            <w:r>
              <w:rPr>
                <w:rFonts w:ascii="Arial" w:cs="Arial" w:eastAsia="Arial" w:hAnsi="Arial"/>
                <w:sz w:val="18"/>
                <w:szCs w:val="18"/>
                <w:color w:val="auto"/>
              </w:rPr>
              <w:t>$587</w:t>
            </w:r>
          </w:p>
        </w:tc>
        <w:tc>
          <w:tcPr>
            <w:tcW w:w="1000" w:type="dxa"/>
            <w:vAlign w:val="bottom"/>
          </w:tcPr>
          <w:p>
            <w:pPr>
              <w:jc w:val="right"/>
              <w:ind w:right="10"/>
              <w:spacing w:after="0" w:line="195" w:lineRule="exact"/>
              <w:rPr>
                <w:sz w:val="20"/>
                <w:szCs w:val="20"/>
                <w:color w:val="auto"/>
              </w:rPr>
            </w:pPr>
            <w:r>
              <w:rPr>
                <w:rFonts w:ascii="Arial" w:cs="Arial" w:eastAsia="Arial" w:hAnsi="Arial"/>
                <w:sz w:val="18"/>
                <w:szCs w:val="18"/>
                <w:color w:val="auto"/>
              </w:rPr>
              <w:t>$661</w:t>
            </w:r>
          </w:p>
        </w:tc>
      </w:tr>
      <w:tr>
        <w:trPr>
          <w:trHeight w:val="203"/>
        </w:trPr>
        <w:tc>
          <w:tcPr>
            <w:tcW w:w="5280" w:type="dxa"/>
            <w:vAlign w:val="bottom"/>
          </w:tcPr>
          <w:p>
            <w:pPr>
              <w:ind w:left="60"/>
              <w:spacing w:after="0" w:line="202" w:lineRule="exact"/>
              <w:rPr>
                <w:sz w:val="20"/>
                <w:szCs w:val="20"/>
                <w:color w:val="auto"/>
              </w:rPr>
            </w:pPr>
            <w:r>
              <w:rPr>
                <w:rFonts w:ascii="Arial" w:cs="Arial" w:eastAsia="Arial" w:hAnsi="Arial"/>
                <w:sz w:val="18"/>
                <w:szCs w:val="18"/>
                <w:color w:val="auto"/>
              </w:rPr>
              <w:t>Current maturities of long-term debt</w:t>
            </w:r>
          </w:p>
        </w:tc>
        <w:tc>
          <w:tcPr>
            <w:tcW w:w="340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51,666</w:t>
            </w:r>
          </w:p>
        </w:tc>
        <w:tc>
          <w:tcPr>
            <w:tcW w:w="174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16</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50,015</w:t>
            </w:r>
          </w:p>
        </w:tc>
      </w:tr>
      <w:tr>
        <w:trPr>
          <w:trHeight w:val="203"/>
        </w:trPr>
        <w:tc>
          <w:tcPr>
            <w:tcW w:w="5280" w:type="dxa"/>
            <w:vAlign w:val="bottom"/>
            <w:tcBorders>
              <w:bottom w:val="single" w:sz="8" w:color="auto"/>
            </w:tcBorders>
          </w:tcPr>
          <w:p>
            <w:pPr>
              <w:ind w:left="60"/>
              <w:spacing w:after="0" w:line="203" w:lineRule="exact"/>
              <w:rPr>
                <w:sz w:val="20"/>
                <w:szCs w:val="20"/>
                <w:color w:val="auto"/>
              </w:rPr>
            </w:pPr>
            <w:r>
              <w:rPr>
                <w:rFonts w:ascii="Arial" w:cs="Arial" w:eastAsia="Arial" w:hAnsi="Arial"/>
                <w:sz w:val="18"/>
                <w:szCs w:val="18"/>
                <w:color w:val="auto"/>
              </w:rPr>
              <w:t>Long-term debt</w:t>
            </w:r>
          </w:p>
        </w:tc>
        <w:tc>
          <w:tcPr>
            <w:tcW w:w="340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rPr>
              <w:t>432,918</w:t>
            </w:r>
          </w:p>
        </w:tc>
        <w:tc>
          <w:tcPr>
            <w:tcW w:w="1740" w:type="dxa"/>
            <w:vAlign w:val="bottom"/>
            <w:tcBorders>
              <w:bottom w:val="single" w:sz="8" w:color="auto"/>
            </w:tcBorders>
          </w:tcPr>
          <w:p>
            <w:pPr>
              <w:jc w:val="right"/>
              <w:ind w:right="470"/>
              <w:spacing w:after="0" w:line="203" w:lineRule="exact"/>
              <w:rPr>
                <w:sz w:val="20"/>
                <w:szCs w:val="20"/>
                <w:color w:val="auto"/>
              </w:rPr>
            </w:pPr>
            <w:r>
              <w:rPr>
                <w:rFonts w:ascii="Arial" w:cs="Arial" w:eastAsia="Arial" w:hAnsi="Arial"/>
                <w:sz w:val="18"/>
                <w:szCs w:val="18"/>
                <w:color w:val="auto"/>
              </w:rPr>
              <w:t>265,080</w:t>
            </w:r>
          </w:p>
        </w:tc>
        <w:tc>
          <w:tcPr>
            <w:tcW w:w="10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222,096</w:t>
            </w:r>
          </w:p>
        </w:tc>
      </w:tr>
      <w:tr>
        <w:trPr>
          <w:trHeight w:val="196"/>
        </w:trPr>
        <w:tc>
          <w:tcPr>
            <w:tcW w:w="528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b w:val="1"/>
                <w:bCs w:val="1"/>
                <w:color w:val="auto"/>
              </w:rPr>
              <w:t>Total debt</w:t>
            </w:r>
          </w:p>
        </w:tc>
        <w:tc>
          <w:tcPr>
            <w:tcW w:w="340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b w:val="1"/>
                <w:bCs w:val="1"/>
                <w:color w:val="auto"/>
              </w:rPr>
              <w:t>484,896</w:t>
            </w:r>
          </w:p>
        </w:tc>
        <w:tc>
          <w:tcPr>
            <w:tcW w:w="174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b w:val="1"/>
                <w:bCs w:val="1"/>
                <w:color w:val="auto"/>
              </w:rPr>
              <w:t>265,683</w:t>
            </w:r>
          </w:p>
        </w:tc>
        <w:tc>
          <w:tcPr>
            <w:tcW w:w="10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272,772</w:t>
            </w:r>
          </w:p>
        </w:tc>
      </w:tr>
      <w:tr>
        <w:trPr>
          <w:trHeight w:val="173"/>
        </w:trPr>
        <w:tc>
          <w:tcPr>
            <w:tcW w:w="5280" w:type="dxa"/>
            <w:vAlign w:val="bottom"/>
          </w:tcPr>
          <w:p>
            <w:pPr>
              <w:ind w:left="60"/>
              <w:spacing w:after="0" w:line="173" w:lineRule="exact"/>
              <w:rPr>
                <w:sz w:val="20"/>
                <w:szCs w:val="20"/>
                <w:color w:val="auto"/>
              </w:rPr>
            </w:pPr>
            <w:r>
              <w:rPr>
                <w:rFonts w:ascii="Arial" w:cs="Arial" w:eastAsia="Arial" w:hAnsi="Arial"/>
                <w:sz w:val="18"/>
                <w:szCs w:val="18"/>
                <w:color w:val="auto"/>
              </w:rPr>
              <w:t>Cash</w:t>
            </w:r>
          </w:p>
        </w:tc>
        <w:tc>
          <w:tcPr>
            <w:tcW w:w="3400" w:type="dxa"/>
            <w:vAlign w:val="bottom"/>
          </w:tcPr>
          <w:p>
            <w:pPr>
              <w:jc w:val="right"/>
              <w:ind w:right="170"/>
              <w:spacing w:after="0" w:line="173" w:lineRule="exact"/>
              <w:rPr>
                <w:sz w:val="20"/>
                <w:szCs w:val="20"/>
                <w:color w:val="auto"/>
              </w:rPr>
            </w:pPr>
            <w:r>
              <w:rPr>
                <w:rFonts w:ascii="Arial" w:cs="Arial" w:eastAsia="Arial" w:hAnsi="Arial"/>
                <w:sz w:val="18"/>
                <w:szCs w:val="18"/>
                <w:color w:val="auto"/>
              </w:rPr>
              <w:t>181,742</w:t>
            </w:r>
          </w:p>
        </w:tc>
        <w:tc>
          <w:tcPr>
            <w:tcW w:w="1740" w:type="dxa"/>
            <w:vAlign w:val="bottom"/>
          </w:tcPr>
          <w:p>
            <w:pPr>
              <w:jc w:val="right"/>
              <w:ind w:right="470"/>
              <w:spacing w:after="0" w:line="173" w:lineRule="exact"/>
              <w:rPr>
                <w:sz w:val="20"/>
                <w:szCs w:val="20"/>
                <w:color w:val="auto"/>
              </w:rPr>
            </w:pPr>
            <w:r>
              <w:rPr>
                <w:rFonts w:ascii="Arial" w:cs="Arial" w:eastAsia="Arial" w:hAnsi="Arial"/>
                <w:sz w:val="18"/>
                <w:szCs w:val="18"/>
                <w:color w:val="auto"/>
              </w:rPr>
              <w:t>185,113</w:t>
            </w:r>
          </w:p>
        </w:tc>
        <w:tc>
          <w:tcPr>
            <w:tcW w:w="1000" w:type="dxa"/>
            <w:vAlign w:val="bottom"/>
          </w:tcPr>
          <w:p>
            <w:pPr>
              <w:jc w:val="right"/>
              <w:ind w:right="10"/>
              <w:spacing w:after="0" w:line="173" w:lineRule="exact"/>
              <w:rPr>
                <w:sz w:val="20"/>
                <w:szCs w:val="20"/>
                <w:color w:val="auto"/>
              </w:rPr>
            </w:pPr>
            <w:r>
              <w:rPr>
                <w:rFonts w:ascii="Arial" w:cs="Arial" w:eastAsia="Arial" w:hAnsi="Arial"/>
                <w:sz w:val="18"/>
                <w:szCs w:val="18"/>
                <w:color w:val="auto"/>
              </w:rPr>
              <w:t>179,802</w:t>
            </w:r>
          </w:p>
        </w:tc>
      </w:tr>
      <w:tr>
        <w:trPr>
          <w:trHeight w:val="225"/>
        </w:trPr>
        <w:tc>
          <w:tcPr>
            <w:tcW w:w="52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Net debt</w:t>
            </w:r>
          </w:p>
        </w:tc>
        <w:tc>
          <w:tcPr>
            <w:tcW w:w="3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$303,154</w:t>
            </w:r>
          </w:p>
        </w:tc>
        <w:tc>
          <w:tcPr>
            <w:tcW w:w="17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$80,570</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$92,970</w:t>
            </w:r>
          </w:p>
        </w:tc>
      </w:tr>
    </w:tbl>
    <w:p>
      <w:pPr>
        <w:spacing w:after="0" w:line="369"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193" w:lineRule="exact"/>
        <w:rPr>
          <w:sz w:val="20"/>
          <w:szCs w:val="20"/>
          <w:color w:val="auto"/>
        </w:rPr>
      </w:pPr>
    </w:p>
    <w:p>
      <w:pPr>
        <w:ind w:right="360" w:firstLine="648"/>
        <w:spacing w:after="0" w:line="246" w:lineRule="auto"/>
        <w:rPr>
          <w:sz w:val="20"/>
          <w:szCs w:val="20"/>
          <w:color w:val="auto"/>
        </w:rPr>
      </w:pPr>
      <w:r>
        <w:rPr>
          <w:rFonts w:ascii="Arial" w:cs="Arial" w:eastAsia="Arial" w:hAnsi="Arial"/>
          <w:sz w:val="18"/>
          <w:szCs w:val="18"/>
          <w:color w:val="auto"/>
        </w:rPr>
        <w:t>We have market risk with respect to foreign currency exchange rates and interest rates. The market risk is the potential loss arising from adverse changes in these rates as discussed below.</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07" w:lineRule="exact"/>
        <w:rPr>
          <w:sz w:val="20"/>
          <w:szCs w:val="20"/>
          <w:color w:val="auto"/>
        </w:rPr>
      </w:pPr>
    </w:p>
    <w:p>
      <w:pPr>
        <w:ind w:right="40" w:firstLine="648"/>
        <w:spacing w:after="0" w:line="236" w:lineRule="auto"/>
        <w:rPr>
          <w:sz w:val="20"/>
          <w:szCs w:val="20"/>
          <w:color w:val="auto"/>
        </w:rPr>
      </w:pPr>
      <w:r>
        <w:rPr>
          <w:rFonts w:ascii="Arial" w:cs="Arial" w:eastAsia="Arial" w:hAnsi="Arial"/>
          <w:sz w:val="18"/>
          <w:szCs w:val="18"/>
          <w:color w:val="auto"/>
        </w:rPr>
        <w:t>We have manufacturing plants and sales transactions worldwide and therefore are subject to foreign currency risk. This risk is composed of both potential losses from the translation of foreign currency financial statements and the remeasurement of foreign currency transactions. To manage this risk, we periodically enter into forward exchange contracts either to hedge the net assets of a foreign investment or to provide an economic hedge against future cash flows. The total net assets of non-U.S. operations and long-term intercompany loans denominated in nonfunctional currencies subject to potential loss amount to approximately $406.9 million. The potential loss in fair value resulting from a hypothetical 10% adverse change in quoted foreign currency exchange rates amounts to $ 40.7 million. Furthermore, related to foreign currency transactions, we have exposure to various nonfunctional currency balances totaling $72.9 million. This amount includes, on an absolute basis, exposures to assets and liabilities held in currencies other than our local entity’s functional currency. On a net basis, we had $46.6 million of foreign currency assets as of December 31, 2016. As currency rates change, these nonfunctional currency balances are revalued, and the corresponding adjustment is recorded in the income statement. A hypothetical change of 10% in currency rates could result in an adjustment to the income statement of approximately $4.7 million. Actual results may differ.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exposed to interest rate fluctuations with respect to our variable rate debt, depending on general economic conditions.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December 31, 2016, we had the following variable rate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 thousands, except interest rates)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42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b w:val="1"/>
                <w:bCs w:val="1"/>
                <w:color w:val="auto"/>
              </w:rPr>
              <w:t>Short-term debt</w:t>
            </w:r>
          </w:p>
        </w:tc>
        <w:tc>
          <w:tcPr>
            <w:tcW w:w="2000" w:type="dxa"/>
            <w:vAlign w:val="bottom"/>
            <w:tcBorders>
              <w:top w:val="single" w:sz="8" w:color="auto"/>
            </w:tcBorders>
          </w:tcPr>
          <w:p>
            <w:pPr>
              <w:spacing w:after="0"/>
              <w:rPr>
                <w:sz w:val="16"/>
                <w:szCs w:val="16"/>
                <w:color w:val="auto"/>
              </w:rPr>
            </w:pPr>
          </w:p>
        </w:tc>
      </w:tr>
      <w:tr>
        <w:trPr>
          <w:trHeight w:val="181"/>
        </w:trPr>
        <w:tc>
          <w:tcPr>
            <w:tcW w:w="9420" w:type="dxa"/>
            <w:vAlign w:val="bottom"/>
          </w:tcPr>
          <w:p>
            <w:pPr>
              <w:ind w:left="60"/>
              <w:spacing w:after="0" w:line="181" w:lineRule="exact"/>
              <w:rPr>
                <w:sz w:val="20"/>
                <w:szCs w:val="20"/>
                <w:color w:val="auto"/>
              </w:rPr>
            </w:pPr>
            <w:r>
              <w:rPr>
                <w:rFonts w:ascii="Arial" w:cs="Arial" w:eastAsia="Arial" w:hAnsi="Arial"/>
                <w:sz w:val="18"/>
                <w:szCs w:val="18"/>
                <w:color w:val="auto"/>
              </w:rPr>
              <w:t>Notes payable, end of period interest rate of 1.590%</w:t>
            </w:r>
          </w:p>
        </w:tc>
        <w:tc>
          <w:tcPr>
            <w:tcW w:w="2000" w:type="dxa"/>
            <w:vAlign w:val="bottom"/>
          </w:tcPr>
          <w:p>
            <w:pPr>
              <w:jc w:val="right"/>
              <w:ind w:right="10"/>
              <w:spacing w:after="0" w:line="181" w:lineRule="exact"/>
              <w:rPr>
                <w:sz w:val="20"/>
                <w:szCs w:val="20"/>
                <w:color w:val="auto"/>
              </w:rPr>
            </w:pPr>
            <w:r>
              <w:rPr>
                <w:rFonts w:ascii="Arial" w:cs="Arial" w:eastAsia="Arial" w:hAnsi="Arial"/>
                <w:sz w:val="18"/>
                <w:szCs w:val="18"/>
                <w:color w:val="auto"/>
              </w:rPr>
              <w:t>$312</w:t>
            </w:r>
          </w:p>
        </w:tc>
      </w:tr>
      <w:tr>
        <w:trPr>
          <w:trHeight w:val="225"/>
        </w:trPr>
        <w:tc>
          <w:tcPr>
            <w:tcW w:w="9420" w:type="dxa"/>
            <w:vAlign w:val="bottom"/>
          </w:tcPr>
          <w:p>
            <w:pPr>
              <w:ind w:left="60"/>
              <w:spacing w:after="0"/>
              <w:rPr>
                <w:sz w:val="20"/>
                <w:szCs w:val="20"/>
                <w:color w:val="auto"/>
              </w:rPr>
            </w:pPr>
            <w:r>
              <w:rPr>
                <w:rFonts w:ascii="Arial" w:cs="Arial" w:eastAsia="Arial" w:hAnsi="Arial"/>
                <w:sz w:val="18"/>
                <w:szCs w:val="18"/>
                <w:b w:val="1"/>
                <w:bCs w:val="1"/>
                <w:color w:val="auto"/>
              </w:rPr>
              <w:t>Long-term debt</w:t>
            </w:r>
          </w:p>
        </w:tc>
        <w:tc>
          <w:tcPr>
            <w:tcW w:w="2000" w:type="dxa"/>
            <w:vAlign w:val="bottom"/>
          </w:tcPr>
          <w:p>
            <w:pPr>
              <w:spacing w:after="0"/>
              <w:rPr>
                <w:sz w:val="19"/>
                <w:szCs w:val="19"/>
                <w:color w:val="auto"/>
              </w:rPr>
            </w:pPr>
          </w:p>
        </w:tc>
      </w:tr>
      <w:tr>
        <w:trPr>
          <w:trHeight w:val="203"/>
        </w:trPr>
        <w:tc>
          <w:tcPr>
            <w:tcW w:w="9420" w:type="dxa"/>
            <w:vAlign w:val="bottom"/>
          </w:tcPr>
          <w:p>
            <w:pPr>
              <w:ind w:left="60"/>
              <w:spacing w:after="0" w:line="202" w:lineRule="exact"/>
              <w:rPr>
                <w:sz w:val="20"/>
                <w:szCs w:val="20"/>
                <w:color w:val="auto"/>
              </w:rPr>
            </w:pPr>
            <w:r>
              <w:rPr>
                <w:rFonts w:ascii="Arial" w:cs="Arial" w:eastAsia="Arial" w:hAnsi="Arial"/>
                <w:sz w:val="18"/>
                <w:szCs w:val="18"/>
                <w:color w:val="auto"/>
              </w:rPr>
              <w:t>Credit agreement with borrowings outstanding, net of fixed rate portion, at an end of period interest rate</w:t>
            </w:r>
          </w:p>
        </w:tc>
        <w:tc>
          <w:tcPr>
            <w:tcW w:w="2000" w:type="dxa"/>
            <w:vAlign w:val="bottom"/>
          </w:tcPr>
          <w:p>
            <w:pPr>
              <w:spacing w:after="0"/>
              <w:rPr>
                <w:sz w:val="17"/>
                <w:szCs w:val="17"/>
                <w:color w:val="auto"/>
              </w:rPr>
            </w:pPr>
          </w:p>
        </w:tc>
      </w:tr>
      <w:tr>
        <w:trPr>
          <w:trHeight w:val="203"/>
        </w:trPr>
        <w:tc>
          <w:tcPr>
            <w:tcW w:w="9420" w:type="dxa"/>
            <w:vAlign w:val="bottom"/>
            <w:tcBorders>
              <w:bottom w:val="single" w:sz="8" w:color="auto"/>
            </w:tcBorders>
          </w:tcPr>
          <w:p>
            <w:pPr>
              <w:ind w:left="60"/>
              <w:spacing w:after="0" w:line="203" w:lineRule="exact"/>
              <w:rPr>
                <w:sz w:val="20"/>
                <w:szCs w:val="20"/>
                <w:color w:val="auto"/>
              </w:rPr>
            </w:pPr>
            <w:r>
              <w:rPr>
                <w:rFonts w:ascii="Arial" w:cs="Arial" w:eastAsia="Arial" w:hAnsi="Arial"/>
                <w:sz w:val="18"/>
                <w:szCs w:val="18"/>
                <w:color w:val="auto"/>
              </w:rPr>
              <w:t>of 2.162% in 2016, due in 2021</w:t>
            </w:r>
          </w:p>
        </w:tc>
        <w:tc>
          <w:tcPr>
            <w:tcW w:w="20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118,000</w:t>
            </w:r>
          </w:p>
        </w:tc>
      </w:tr>
      <w:tr>
        <w:trPr>
          <w:trHeight w:val="399"/>
        </w:trPr>
        <w:tc>
          <w:tcPr>
            <w:tcW w:w="94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Total</w:t>
            </w:r>
          </w:p>
        </w:tc>
        <w:tc>
          <w:tcPr>
            <w:tcW w:w="2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$118,312</w:t>
            </w:r>
          </w:p>
        </w:tc>
      </w:tr>
    </w:tbl>
    <w:p>
      <w:pPr>
        <w:spacing w:after="0" w:line="202"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color w:val="auto"/>
        </w:rPr>
        <w:t>Assuming borrowings were outstanding for an entire year, an increase of one percentage point in weighted average interest rates would increase/decrease interest expense by $1.2 million. To manage interest rate risk, we may periodically enter into interest rate swap agreements to effectively fix the interest rates on variable debt to a specific rate for a period of time. (See Note 15 to the Consolidated Financial Statements in Item 8, which is incorporated herein by reference).</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Reports of Independent Registered Public Accounting Firm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Income for the years ended</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December 31, 2016, 2015, and 2014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Comprehensive Income/(Loss) for the years ended</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December 31, 2016, 2015, and 2014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 as of December 31, 2016 and 2015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Cash Flows for the years ended</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December 31, 2016, 2015, and 2014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0"/>
          <w:szCs w:val="20"/>
          <w:color w:val="auto"/>
        </w:rPr>
        <w:t>To the Board of Directors and Shareholders of Albany International Corp.:</w:t>
      </w:r>
    </w:p>
    <w:p>
      <w:pPr>
        <w:spacing w:after="0" w:line="324" w:lineRule="exact"/>
        <w:rPr>
          <w:sz w:val="20"/>
          <w:szCs w:val="20"/>
          <w:color w:val="auto"/>
        </w:rPr>
      </w:pPr>
    </w:p>
    <w:p>
      <w:pPr>
        <w:ind w:right="120"/>
        <w:spacing w:after="0" w:line="276" w:lineRule="auto"/>
        <w:rPr>
          <w:sz w:val="20"/>
          <w:szCs w:val="20"/>
          <w:color w:val="auto"/>
        </w:rPr>
      </w:pPr>
      <w:r>
        <w:rPr>
          <w:rFonts w:ascii="Arial" w:cs="Arial" w:eastAsia="Arial" w:hAnsi="Arial"/>
          <w:sz w:val="18"/>
          <w:szCs w:val="18"/>
          <w:color w:val="auto"/>
        </w:rPr>
        <w:t>We have audited the accompanying consolidated balance sheets of Albany International Corp. and subsidiaries (Albany International Corp.) as of December 31, 2016 and 2015, and the related consolidated statements of income, comprehensive income/(loss), and cash flows for each of the years in the three-year period ended December 31, 2016. In connection with our audits of the consolidated financial statements, we also have audited the financial statement schedule of valuation and qualifying accounts. These consolidated financial statements and financial statement schedule are the responsibility of Albany International Corp.’s management. Our responsibility is to express an opinion on these consolidated financial statements and financial statement schedule based on our audits.</w:t>
      </w:r>
    </w:p>
    <w:p>
      <w:pPr>
        <w:spacing w:after="0" w:line="125" w:lineRule="exact"/>
        <w:rPr>
          <w:sz w:val="20"/>
          <w:szCs w:val="20"/>
          <w:color w:val="auto"/>
        </w:rPr>
      </w:pPr>
    </w:p>
    <w:p>
      <w:pPr>
        <w:ind w:right="160"/>
        <w:spacing w:after="0" w:line="278"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38" w:lineRule="exact"/>
        <w:rPr>
          <w:sz w:val="20"/>
          <w:szCs w:val="20"/>
          <w:color w:val="auto"/>
        </w:rPr>
      </w:pPr>
    </w:p>
    <w:p>
      <w:pPr>
        <w:ind w:right="40"/>
        <w:spacing w:after="0" w:line="244" w:lineRule="auto"/>
        <w:rPr>
          <w:sz w:val="20"/>
          <w:szCs w:val="20"/>
          <w:color w:val="auto"/>
        </w:rPr>
      </w:pPr>
      <w:r>
        <w:rPr>
          <w:rFonts w:ascii="Arial" w:cs="Arial" w:eastAsia="Arial" w:hAnsi="Arial"/>
          <w:sz w:val="20"/>
          <w:szCs w:val="20"/>
          <w:color w:val="auto"/>
        </w:rPr>
        <w:t>In our opinion, the consolidated financial statements referred to above present fairly, in all material respects, the financial position of Albany International Corp. as of December 31, 2016 and 2015, and the results of their operations and their cash flows for each of the years in the three-year period ended December 31, 2016, in conformity with U.S. generally accepted accounting principles. Also, in our opinion, the related financial statement schedule, when considered in relation to the basic consolidated financial statements taken as a whole, presents fairly, in all material respects, the information set forth therein.</w:t>
      </w:r>
    </w:p>
    <w:p>
      <w:pPr>
        <w:spacing w:after="0" w:line="154" w:lineRule="exact"/>
        <w:rPr>
          <w:sz w:val="20"/>
          <w:szCs w:val="20"/>
          <w:color w:val="auto"/>
        </w:rPr>
      </w:pPr>
    </w:p>
    <w:p>
      <w:pPr>
        <w:ind w:right="380"/>
        <w:spacing w:after="0" w:line="244" w:lineRule="auto"/>
        <w:rPr>
          <w:sz w:val="20"/>
          <w:szCs w:val="20"/>
          <w:color w:val="auto"/>
        </w:rPr>
      </w:pPr>
      <w:r>
        <w:rPr>
          <w:rFonts w:ascii="Arial" w:cs="Arial" w:eastAsia="Arial" w:hAnsi="Arial"/>
          <w:sz w:val="20"/>
          <w:szCs w:val="20"/>
          <w:color w:val="auto"/>
        </w:rPr>
        <w:t xml:space="preserve">We also have audited, in accordance with the standards of the Public Company Accounting Oversight Board (United States), Albany International Corp.’s internal control over financial reporting as of December 31, 2016, based on criteria established in </w:t>
      </w:r>
      <w:r>
        <w:rPr>
          <w:rFonts w:ascii="Arial" w:cs="Arial" w:eastAsia="Arial" w:hAnsi="Arial"/>
          <w:sz w:val="20"/>
          <w:szCs w:val="20"/>
          <w:i w:val="1"/>
          <w:iCs w:val="1"/>
          <w:color w:val="auto"/>
        </w:rPr>
        <w:t>Internal Control –</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Integrated Framework (2013) </w:t>
      </w:r>
      <w:r>
        <w:rPr>
          <w:rFonts w:ascii="Arial" w:cs="Arial" w:eastAsia="Arial" w:hAnsi="Arial"/>
          <w:sz w:val="20"/>
          <w:szCs w:val="20"/>
          <w:color w:val="auto"/>
        </w:rPr>
        <w:t>issued by the Committee of Sponsoring Organizations of the Treadway Commission (COSO), and our report</w:t>
      </w:r>
      <w:r>
        <w:rPr>
          <w:rFonts w:ascii="Arial" w:cs="Arial" w:eastAsia="Arial" w:hAnsi="Arial"/>
          <w:sz w:val="20"/>
          <w:szCs w:val="20"/>
          <w:i w:val="1"/>
          <w:iCs w:val="1"/>
          <w:color w:val="auto"/>
        </w:rPr>
        <w:t xml:space="preserve"> </w:t>
      </w:r>
      <w:r>
        <w:rPr>
          <w:rFonts w:ascii="Arial" w:cs="Arial" w:eastAsia="Arial" w:hAnsi="Arial"/>
          <w:sz w:val="20"/>
          <w:szCs w:val="20"/>
          <w:color w:val="auto"/>
        </w:rPr>
        <w:t>dated March 1, 2017, expressed an adverse opinion on the effectiveness of Albany International Corp.’s internal control over financial reporting.</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KPMG LLP</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color w:val="auto"/>
        </w:rPr>
        <w:t>Albany, New York</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March 1, 2017</w:t>
      </w: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0"/>
          <w:szCs w:val="20"/>
          <w:color w:val="auto"/>
        </w:rPr>
        <w:t>The Board of Directors and Shareholders of Albany International Corp.:</w:t>
      </w:r>
    </w:p>
    <w:p>
      <w:pPr>
        <w:spacing w:after="0" w:line="200" w:lineRule="exact"/>
        <w:rPr>
          <w:sz w:val="20"/>
          <w:szCs w:val="20"/>
          <w:color w:val="auto"/>
        </w:rPr>
      </w:pPr>
    </w:p>
    <w:p>
      <w:pPr>
        <w:spacing w:after="0" w:line="245" w:lineRule="exact"/>
        <w:rPr>
          <w:sz w:val="20"/>
          <w:szCs w:val="20"/>
          <w:color w:val="auto"/>
        </w:rPr>
      </w:pPr>
    </w:p>
    <w:p>
      <w:pPr>
        <w:ind w:right="240"/>
        <w:spacing w:after="0" w:line="259" w:lineRule="auto"/>
        <w:rPr>
          <w:sz w:val="20"/>
          <w:szCs w:val="20"/>
          <w:color w:val="auto"/>
        </w:rPr>
      </w:pPr>
      <w:r>
        <w:rPr>
          <w:rFonts w:ascii="Arial" w:cs="Arial" w:eastAsia="Arial" w:hAnsi="Arial"/>
          <w:sz w:val="19"/>
          <w:szCs w:val="19"/>
          <w:color w:val="auto"/>
        </w:rPr>
        <w:t xml:space="preserve">We have audited Albany International Corp. and subsidiaries’ (Albany International Corp.) internal control over financial reporting as of December 31, 2016, based on criteria established in </w:t>
      </w:r>
      <w:r>
        <w:rPr>
          <w:rFonts w:ascii="Arial" w:cs="Arial" w:eastAsia="Arial" w:hAnsi="Arial"/>
          <w:sz w:val="19"/>
          <w:szCs w:val="19"/>
          <w:i w:val="1"/>
          <w:iCs w:val="1"/>
          <w:color w:val="auto"/>
        </w:rPr>
        <w:t>Internal Control - Integrated Framework (2013)</w:t>
      </w:r>
      <w:r>
        <w:rPr>
          <w:rFonts w:ascii="Arial" w:cs="Arial" w:eastAsia="Arial" w:hAnsi="Arial"/>
          <w:sz w:val="19"/>
          <w:szCs w:val="19"/>
          <w:color w:val="auto"/>
        </w:rPr>
        <w:t xml:space="preserve"> issued by the Committee of Sponsoring Organizations of the Treadway Commission (COSO). Albany International Corp.’s management is responsible for maintaining effective internal control over financial reporting and for its assessment of the effectiveness of internal control over financial reporting, included in the accompanying Management’s Report on Internal Control over Financial Reporting (Item 9A). Our responsibility is to express an opinion on Albany International Corp.’s internal control over financial reporting based on our audit.</w:t>
      </w:r>
    </w:p>
    <w:p>
      <w:pPr>
        <w:spacing w:after="0" w:line="71"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88" w:lineRule="exact"/>
        <w:rPr>
          <w:sz w:val="20"/>
          <w:szCs w:val="20"/>
          <w:color w:val="auto"/>
        </w:rPr>
      </w:pPr>
    </w:p>
    <w:p>
      <w:pPr>
        <w:ind w:right="20"/>
        <w:spacing w:after="0" w:line="273"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61" w:lineRule="exact"/>
        <w:rPr>
          <w:sz w:val="20"/>
          <w:szCs w:val="20"/>
          <w:color w:val="auto"/>
        </w:rPr>
      </w:pPr>
    </w:p>
    <w:p>
      <w:pPr>
        <w:jc w:val="both"/>
        <w:ind w:right="240"/>
        <w:spacing w:after="0" w:line="250" w:lineRule="auto"/>
        <w:rPr>
          <w:sz w:val="20"/>
          <w:szCs w:val="20"/>
          <w:color w:val="auto"/>
        </w:rPr>
      </w:pPr>
      <w:r>
        <w:rPr>
          <w:rFonts w:ascii="Arial" w:cs="Arial" w:eastAsia="Arial" w:hAnsi="Arial"/>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8" w:lineRule="exact"/>
        <w:rPr>
          <w:sz w:val="20"/>
          <w:szCs w:val="20"/>
          <w:color w:val="auto"/>
        </w:rPr>
      </w:pPr>
    </w:p>
    <w:p>
      <w:pPr>
        <w:ind w:right="40"/>
        <w:spacing w:after="0" w:line="263" w:lineRule="auto"/>
        <w:rPr>
          <w:sz w:val="20"/>
          <w:szCs w:val="20"/>
          <w:color w:val="auto"/>
        </w:rPr>
      </w:pPr>
      <w:r>
        <w:rPr>
          <w:rFonts w:ascii="Arial" w:cs="Arial" w:eastAsia="Arial" w:hAnsi="Arial"/>
          <w:sz w:val="19"/>
          <w:szCs w:val="19"/>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Material weaknesses related to ineffective controls associated with the establishment of reporting lines, appropriate authorities, responsibilities and monitoring activities for financial reporting processes and internal controls at a foreign</w:t>
      </w:r>
    </w:p>
    <w:p>
      <w:pPr>
        <w:spacing w:after="0" w:line="1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9" w:name="page50"/>
    <w:bookmarkEnd w:id="49"/>
    <w:p>
      <w:pPr>
        <w:ind w:right="40"/>
        <w:spacing w:after="0" w:line="244" w:lineRule="auto"/>
        <w:rPr>
          <w:sz w:val="20"/>
          <w:szCs w:val="20"/>
          <w:color w:val="auto"/>
        </w:rPr>
      </w:pPr>
      <w:r>
        <w:rPr>
          <w:rFonts w:ascii="Arial" w:cs="Arial" w:eastAsia="Arial" w:hAnsi="Arial"/>
          <w:sz w:val="20"/>
          <w:szCs w:val="20"/>
          <w:color w:val="auto"/>
        </w:rPr>
        <w:t>sales location and certain other foreign locations; ineffective controls associated with the assignment of banking signatory authorities, limits and responsibilities at a foreign sales location and certain other foreign locations; a lack of effective written entity and process level controls over initiation, authorization, processing and recording of transactions and safeguarding of assets managed by a third party service provider at a foreign sales location; and ineffective management review controls over the assessment of a potential reserve for a loss contract due to a failure to understand and document the design requirements and operation of an effective management review control have been identified and included in management’s assessment.</w:t>
      </w:r>
    </w:p>
    <w:p>
      <w:pPr>
        <w:spacing w:after="0" w:line="84" w:lineRule="exact"/>
        <w:rPr>
          <w:sz w:val="20"/>
          <w:szCs w:val="20"/>
          <w:color w:val="auto"/>
        </w:rPr>
      </w:pPr>
    </w:p>
    <w:p>
      <w:pPr>
        <w:ind w:right="200"/>
        <w:spacing w:after="0" w:line="243" w:lineRule="auto"/>
        <w:rPr>
          <w:sz w:val="20"/>
          <w:szCs w:val="20"/>
          <w:color w:val="auto"/>
        </w:rPr>
      </w:pPr>
      <w:r>
        <w:rPr>
          <w:rFonts w:ascii="Arial" w:cs="Arial" w:eastAsia="Arial" w:hAnsi="Arial"/>
          <w:sz w:val="20"/>
          <w:szCs w:val="20"/>
          <w:color w:val="auto"/>
        </w:rPr>
        <w:t>We also have audited, in accordance with the standards of the Public Company Accounting Oversight Board (United States), the consolidated balance sheets of Albany International Corp. as of December 31, 2016 and 2015, and the related consolidated statements of income, comprehensive income/(loss), and cash flows for each of the years in the three-year period ended December 31, 2016. These material weaknesses were considered in determining the nature, timing, and extent of audit tests applied in our audit of those consolidated financial statements, and this report does not affect our report dated March 1, 2017, which expressed an unqualified opinion on those consolidated financial statements.</w:t>
      </w:r>
    </w:p>
    <w:p>
      <w:pPr>
        <w:spacing w:after="0" w:line="88" w:lineRule="exact"/>
        <w:rPr>
          <w:sz w:val="20"/>
          <w:szCs w:val="20"/>
          <w:color w:val="auto"/>
        </w:rPr>
      </w:pPr>
    </w:p>
    <w:p>
      <w:pPr>
        <w:ind w:right="360"/>
        <w:spacing w:after="0" w:line="246" w:lineRule="auto"/>
        <w:rPr>
          <w:sz w:val="20"/>
          <w:szCs w:val="20"/>
          <w:color w:val="auto"/>
        </w:rPr>
      </w:pPr>
      <w:r>
        <w:rPr>
          <w:rFonts w:ascii="Arial" w:cs="Arial" w:eastAsia="Arial" w:hAnsi="Arial"/>
          <w:sz w:val="20"/>
          <w:szCs w:val="20"/>
          <w:color w:val="auto"/>
        </w:rPr>
        <w:t xml:space="preserve">In our opinion, because of the effect of the aforementioned material weaknesses on the achievement of the objectives of the control criteria, Albany International Corp. has not maintained effective internal control over financial reporting as of December 31, 2016, based on criteria established in </w:t>
      </w:r>
      <w:r>
        <w:rPr>
          <w:rFonts w:ascii="Arial" w:cs="Arial" w:eastAsia="Arial" w:hAnsi="Arial"/>
          <w:sz w:val="20"/>
          <w:szCs w:val="20"/>
          <w:i w:val="1"/>
          <w:iCs w:val="1"/>
          <w:color w:val="auto"/>
        </w:rPr>
        <w:t>Internal Control—Integrated Framework (2013)</w:t>
      </w:r>
      <w:r>
        <w:rPr>
          <w:rFonts w:ascii="Arial" w:cs="Arial" w:eastAsia="Arial" w:hAnsi="Arial"/>
          <w:sz w:val="20"/>
          <w:szCs w:val="20"/>
          <w:color w:val="auto"/>
        </w:rPr>
        <w:t xml:space="preserve"> issued by the Committee of Sponsoring Organizations of the Treadway Commission.</w:t>
      </w:r>
    </w:p>
    <w:p>
      <w:pPr>
        <w:spacing w:after="0" w:line="83"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Management excluded from its assessment of the effectiveness of Albany International Corp.’s internal control over financial reporting as of December 31, 2016 the internal control over financial reporting related to the acquired business of Albany Aerostructures Composites, LLC associated with total assets of $252.5 million (of which $137.5 million represents goodwill and intangibles included within the scope of the assessment) and total revenues of $67.0 million included in the consolidated financial statements of Albany International Corp. as of and for the year ended December 31, 2016. Our audit of internal control over financial reporting of Albany International Corp. also excluded an evaluation of the internal control over financial reporting of Albany Aerostructures Composites, LLC.</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KPMG LLP</w:t>
      </w:r>
    </w:p>
    <w:p>
      <w:pPr>
        <w:spacing w:after="0"/>
        <w:rPr>
          <w:sz w:val="20"/>
          <w:szCs w:val="20"/>
          <w:color w:val="auto"/>
        </w:rPr>
      </w:pPr>
      <w:r>
        <w:rPr>
          <w:rFonts w:ascii="Arial" w:cs="Arial" w:eastAsia="Arial" w:hAnsi="Arial"/>
          <w:sz w:val="20"/>
          <w:szCs w:val="20"/>
          <w:color w:val="auto"/>
        </w:rPr>
        <w:t>Albany, New York</w:t>
      </w:r>
    </w:p>
    <w:p>
      <w:pPr>
        <w:spacing w:after="0"/>
        <w:rPr>
          <w:sz w:val="20"/>
          <w:szCs w:val="20"/>
          <w:color w:val="auto"/>
        </w:rPr>
      </w:pPr>
      <w:r>
        <w:rPr>
          <w:rFonts w:ascii="Arial" w:cs="Arial" w:eastAsia="Arial" w:hAnsi="Arial"/>
          <w:sz w:val="20"/>
          <w:szCs w:val="20"/>
          <w:color w:val="auto"/>
        </w:rPr>
        <w:t>March 1, 2017</w:t>
      </w: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0000FF"/>
        </w:rPr>
        <w:t>Albany International Corp.</w:t>
      </w:r>
    </w:p>
    <w:p>
      <w:pPr>
        <w:spacing w:after="0" w:line="12"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Consolidated Statements of Income</w:t>
      </w:r>
    </w:p>
    <w:p>
      <w:pPr>
        <w:ind w:left="4240"/>
        <w:spacing w:after="0" w:line="234" w:lineRule="auto"/>
        <w:rPr>
          <w:sz w:val="20"/>
          <w:szCs w:val="20"/>
          <w:color w:val="auto"/>
        </w:rPr>
      </w:pPr>
      <w:r>
        <w:rPr>
          <w:rFonts w:ascii="Arial" w:cs="Arial" w:eastAsia="Arial" w:hAnsi="Arial"/>
          <w:sz w:val="18"/>
          <w:szCs w:val="18"/>
          <w:b w:val="1"/>
          <w:bCs w:val="1"/>
          <w:color w:val="auto"/>
        </w:rPr>
        <w:t>For the years ended December 31,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4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2016</w:t>
            </w:r>
          </w:p>
        </w:tc>
        <w:tc>
          <w:tcPr>
            <w:tcW w:w="12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2015</w:t>
            </w:r>
          </w:p>
        </w:tc>
        <w:tc>
          <w:tcPr>
            <w:tcW w:w="13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r>
      <w:tr>
        <w:trPr>
          <w:trHeight w:val="382"/>
        </w:trPr>
        <w:tc>
          <w:tcPr>
            <w:tcW w:w="6440" w:type="dxa"/>
            <w:vAlign w:val="bottom"/>
          </w:tcPr>
          <w:p>
            <w:pPr>
              <w:ind w:left="40"/>
              <w:spacing w:after="0"/>
              <w:rPr>
                <w:sz w:val="20"/>
                <w:szCs w:val="20"/>
                <w:color w:val="auto"/>
              </w:rPr>
            </w:pPr>
            <w:r>
              <w:rPr>
                <w:rFonts w:ascii="Arial" w:cs="Arial" w:eastAsia="Arial" w:hAnsi="Arial"/>
                <w:sz w:val="18"/>
                <w:szCs w:val="18"/>
                <w:color w:val="auto"/>
              </w:rPr>
              <w:t>Net sales</w:t>
            </w:r>
          </w:p>
        </w:tc>
        <w:tc>
          <w:tcPr>
            <w:tcW w:w="2380" w:type="dxa"/>
            <w:vAlign w:val="bottom"/>
          </w:tcPr>
          <w:p>
            <w:pPr>
              <w:jc w:val="right"/>
              <w:ind w:right="110"/>
              <w:spacing w:after="0"/>
              <w:rPr>
                <w:sz w:val="20"/>
                <w:szCs w:val="20"/>
                <w:color w:val="auto"/>
              </w:rPr>
            </w:pPr>
            <w:r>
              <w:rPr>
                <w:rFonts w:ascii="Arial" w:cs="Arial" w:eastAsia="Arial" w:hAnsi="Arial"/>
                <w:sz w:val="18"/>
                <w:szCs w:val="18"/>
                <w:b w:val="1"/>
                <w:bCs w:val="1"/>
                <w:color w:val="auto"/>
              </w:rPr>
              <w:t>$779,839</w:t>
            </w:r>
          </w:p>
        </w:tc>
        <w:tc>
          <w:tcPr>
            <w:tcW w:w="1280" w:type="dxa"/>
            <w:vAlign w:val="bottom"/>
          </w:tcPr>
          <w:p>
            <w:pPr>
              <w:jc w:val="right"/>
              <w:ind w:right="230"/>
              <w:spacing w:after="0"/>
              <w:rPr>
                <w:sz w:val="20"/>
                <w:szCs w:val="20"/>
                <w:color w:val="auto"/>
              </w:rPr>
            </w:pPr>
            <w:r>
              <w:rPr>
                <w:rFonts w:ascii="Arial" w:cs="Arial" w:eastAsia="Arial" w:hAnsi="Arial"/>
                <w:sz w:val="18"/>
                <w:szCs w:val="18"/>
                <w:color w:val="auto"/>
              </w:rPr>
              <w:t>$709,868</w:t>
            </w:r>
          </w:p>
        </w:tc>
        <w:tc>
          <w:tcPr>
            <w:tcW w:w="1320" w:type="dxa"/>
            <w:vAlign w:val="bottom"/>
          </w:tcPr>
          <w:p>
            <w:pPr>
              <w:jc w:val="right"/>
              <w:spacing w:after="0"/>
              <w:rPr>
                <w:sz w:val="20"/>
                <w:szCs w:val="20"/>
                <w:color w:val="auto"/>
              </w:rPr>
            </w:pPr>
            <w:r>
              <w:rPr>
                <w:rFonts w:ascii="Arial" w:cs="Arial" w:eastAsia="Arial" w:hAnsi="Arial"/>
                <w:sz w:val="18"/>
                <w:szCs w:val="18"/>
                <w:color w:val="auto"/>
              </w:rPr>
              <w:t>$745,345</w:t>
            </w:r>
          </w:p>
        </w:tc>
      </w:tr>
      <w:tr>
        <w:trPr>
          <w:trHeight w:val="225"/>
        </w:trPr>
        <w:tc>
          <w:tcPr>
            <w:tcW w:w="64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Cost of goods sold</w:t>
            </w:r>
          </w:p>
        </w:tc>
        <w:tc>
          <w:tcPr>
            <w:tcW w:w="2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479,271</w:t>
            </w:r>
          </w:p>
        </w:tc>
        <w:tc>
          <w:tcPr>
            <w:tcW w:w="12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431,182</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453,710</w:t>
            </w:r>
          </w:p>
        </w:tc>
      </w:tr>
      <w:tr>
        <w:trPr>
          <w:trHeight w:val="232"/>
        </w:trPr>
        <w:tc>
          <w:tcPr>
            <w:tcW w:w="6440" w:type="dxa"/>
            <w:vAlign w:val="bottom"/>
          </w:tcPr>
          <w:p>
            <w:pPr>
              <w:ind w:left="280"/>
              <w:spacing w:after="0"/>
              <w:rPr>
                <w:sz w:val="20"/>
                <w:szCs w:val="20"/>
                <w:color w:val="auto"/>
              </w:rPr>
            </w:pPr>
            <w:r>
              <w:rPr>
                <w:rFonts w:ascii="Arial" w:cs="Arial" w:eastAsia="Arial" w:hAnsi="Arial"/>
                <w:sz w:val="18"/>
                <w:szCs w:val="18"/>
                <w:color w:val="auto"/>
              </w:rPr>
              <w:t>Gross profit</w:t>
            </w:r>
          </w:p>
        </w:tc>
        <w:tc>
          <w:tcPr>
            <w:tcW w:w="2380" w:type="dxa"/>
            <w:vAlign w:val="bottom"/>
          </w:tcPr>
          <w:p>
            <w:pPr>
              <w:jc w:val="right"/>
              <w:ind w:right="110"/>
              <w:spacing w:after="0"/>
              <w:rPr>
                <w:sz w:val="20"/>
                <w:szCs w:val="20"/>
                <w:color w:val="auto"/>
              </w:rPr>
            </w:pPr>
            <w:r>
              <w:rPr>
                <w:rFonts w:ascii="Arial" w:cs="Arial" w:eastAsia="Arial" w:hAnsi="Arial"/>
                <w:sz w:val="18"/>
                <w:szCs w:val="18"/>
                <w:b w:val="1"/>
                <w:bCs w:val="1"/>
                <w:color w:val="auto"/>
              </w:rPr>
              <w:t>300,568</w:t>
            </w:r>
          </w:p>
        </w:tc>
        <w:tc>
          <w:tcPr>
            <w:tcW w:w="1280" w:type="dxa"/>
            <w:vAlign w:val="bottom"/>
          </w:tcPr>
          <w:p>
            <w:pPr>
              <w:jc w:val="right"/>
              <w:ind w:right="230"/>
              <w:spacing w:after="0"/>
              <w:rPr>
                <w:sz w:val="20"/>
                <w:szCs w:val="20"/>
                <w:color w:val="auto"/>
              </w:rPr>
            </w:pPr>
            <w:r>
              <w:rPr>
                <w:rFonts w:ascii="Arial" w:cs="Arial" w:eastAsia="Arial" w:hAnsi="Arial"/>
                <w:sz w:val="18"/>
                <w:szCs w:val="18"/>
                <w:color w:val="auto"/>
              </w:rPr>
              <w:t>278,686</w:t>
            </w:r>
          </w:p>
        </w:tc>
        <w:tc>
          <w:tcPr>
            <w:tcW w:w="1320" w:type="dxa"/>
            <w:vAlign w:val="bottom"/>
          </w:tcPr>
          <w:p>
            <w:pPr>
              <w:jc w:val="right"/>
              <w:spacing w:after="0"/>
              <w:rPr>
                <w:sz w:val="20"/>
                <w:szCs w:val="20"/>
                <w:color w:val="auto"/>
              </w:rPr>
            </w:pPr>
            <w:r>
              <w:rPr>
                <w:rFonts w:ascii="Arial" w:cs="Arial" w:eastAsia="Arial" w:hAnsi="Arial"/>
                <w:sz w:val="18"/>
                <w:szCs w:val="18"/>
                <w:color w:val="auto"/>
              </w:rPr>
              <w:t>291,635</w:t>
            </w:r>
          </w:p>
        </w:tc>
      </w:tr>
      <w:tr>
        <w:trPr>
          <w:trHeight w:val="346"/>
        </w:trPr>
        <w:tc>
          <w:tcPr>
            <w:tcW w:w="644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380" w:type="dxa"/>
            <w:vAlign w:val="bottom"/>
          </w:tcPr>
          <w:p>
            <w:pPr>
              <w:jc w:val="right"/>
              <w:ind w:right="110"/>
              <w:spacing w:after="0"/>
              <w:rPr>
                <w:sz w:val="20"/>
                <w:szCs w:val="20"/>
                <w:color w:val="auto"/>
              </w:rPr>
            </w:pPr>
            <w:r>
              <w:rPr>
                <w:rFonts w:ascii="Arial" w:cs="Arial" w:eastAsia="Arial" w:hAnsi="Arial"/>
                <w:sz w:val="18"/>
                <w:szCs w:val="18"/>
                <w:b w:val="1"/>
                <w:bCs w:val="1"/>
                <w:color w:val="auto"/>
              </w:rPr>
              <w:t>160,112</w:t>
            </w:r>
          </w:p>
        </w:tc>
        <w:tc>
          <w:tcPr>
            <w:tcW w:w="1280" w:type="dxa"/>
            <w:vAlign w:val="bottom"/>
          </w:tcPr>
          <w:p>
            <w:pPr>
              <w:jc w:val="right"/>
              <w:ind w:right="230"/>
              <w:spacing w:after="0"/>
              <w:rPr>
                <w:sz w:val="20"/>
                <w:szCs w:val="20"/>
                <w:color w:val="auto"/>
              </w:rPr>
            </w:pPr>
            <w:r>
              <w:rPr>
                <w:rFonts w:ascii="Arial" w:cs="Arial" w:eastAsia="Arial" w:hAnsi="Arial"/>
                <w:sz w:val="18"/>
                <w:szCs w:val="18"/>
                <w:color w:val="auto"/>
              </w:rPr>
              <w:t>146,192</w:t>
            </w:r>
          </w:p>
        </w:tc>
        <w:tc>
          <w:tcPr>
            <w:tcW w:w="1320" w:type="dxa"/>
            <w:vAlign w:val="bottom"/>
          </w:tcPr>
          <w:p>
            <w:pPr>
              <w:jc w:val="right"/>
              <w:spacing w:after="0"/>
              <w:rPr>
                <w:sz w:val="20"/>
                <w:szCs w:val="20"/>
                <w:color w:val="auto"/>
              </w:rPr>
            </w:pPr>
            <w:r>
              <w:rPr>
                <w:rFonts w:ascii="Arial" w:cs="Arial" w:eastAsia="Arial" w:hAnsi="Arial"/>
                <w:sz w:val="18"/>
                <w:szCs w:val="18"/>
                <w:color w:val="auto"/>
              </w:rPr>
              <w:t>147,198</w:t>
            </w:r>
          </w:p>
        </w:tc>
      </w:tr>
      <w:tr>
        <w:trPr>
          <w:trHeight w:val="203"/>
        </w:trPr>
        <w:tc>
          <w:tcPr>
            <w:tcW w:w="6440" w:type="dxa"/>
            <w:vAlign w:val="bottom"/>
          </w:tcPr>
          <w:p>
            <w:pPr>
              <w:ind w:left="40"/>
              <w:spacing w:after="0" w:line="202" w:lineRule="exact"/>
              <w:rPr>
                <w:sz w:val="20"/>
                <w:szCs w:val="20"/>
                <w:color w:val="auto"/>
              </w:rPr>
            </w:pPr>
            <w:r>
              <w:rPr>
                <w:rFonts w:ascii="Arial" w:cs="Arial" w:eastAsia="Arial" w:hAnsi="Arial"/>
                <w:sz w:val="18"/>
                <w:szCs w:val="18"/>
                <w:color w:val="auto"/>
              </w:rPr>
              <w:t>Technical, product engineering, and research expenses</w:t>
            </w:r>
          </w:p>
        </w:tc>
        <w:tc>
          <w:tcPr>
            <w:tcW w:w="238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40,304</w:t>
            </w:r>
          </w:p>
        </w:tc>
        <w:tc>
          <w:tcPr>
            <w:tcW w:w="12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44,753</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59,128</w:t>
            </w:r>
          </w:p>
        </w:tc>
      </w:tr>
      <w:tr>
        <w:trPr>
          <w:trHeight w:val="203"/>
        </w:trPr>
        <w:tc>
          <w:tcPr>
            <w:tcW w:w="6440" w:type="dxa"/>
            <w:vAlign w:val="bottom"/>
          </w:tcPr>
          <w:p>
            <w:pPr>
              <w:ind w:left="40"/>
              <w:spacing w:after="0" w:line="202" w:lineRule="exact"/>
              <w:rPr>
                <w:sz w:val="20"/>
                <w:szCs w:val="20"/>
                <w:color w:val="auto"/>
              </w:rPr>
            </w:pPr>
            <w:r>
              <w:rPr>
                <w:rFonts w:ascii="Arial" w:cs="Arial" w:eastAsia="Arial" w:hAnsi="Arial"/>
                <w:sz w:val="18"/>
                <w:szCs w:val="18"/>
                <w:color w:val="auto"/>
              </w:rPr>
              <w:t>Restructuring and other, net</w:t>
            </w:r>
          </w:p>
        </w:tc>
        <w:tc>
          <w:tcPr>
            <w:tcW w:w="238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8,376</w:t>
            </w:r>
          </w:p>
        </w:tc>
        <w:tc>
          <w:tcPr>
            <w:tcW w:w="128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23,846</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5,759</w:t>
            </w:r>
          </w:p>
        </w:tc>
      </w:tr>
      <w:tr>
        <w:trPr>
          <w:trHeight w:val="225"/>
        </w:trPr>
        <w:tc>
          <w:tcPr>
            <w:tcW w:w="64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Pension settlement expense</w:t>
            </w:r>
          </w:p>
        </w:tc>
        <w:tc>
          <w:tcPr>
            <w:tcW w:w="23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8,190</w:t>
            </w:r>
          </w:p>
        </w:tc>
      </w:tr>
      <w:tr>
        <w:trPr>
          <w:trHeight w:val="232"/>
        </w:trPr>
        <w:tc>
          <w:tcPr>
            <w:tcW w:w="6440" w:type="dxa"/>
            <w:vAlign w:val="bottom"/>
          </w:tcPr>
          <w:p>
            <w:pPr>
              <w:ind w:left="340"/>
              <w:spacing w:after="0"/>
              <w:rPr>
                <w:sz w:val="20"/>
                <w:szCs w:val="20"/>
                <w:color w:val="auto"/>
              </w:rPr>
            </w:pPr>
            <w:r>
              <w:rPr>
                <w:rFonts w:ascii="Arial" w:cs="Arial" w:eastAsia="Arial" w:hAnsi="Arial"/>
                <w:sz w:val="18"/>
                <w:szCs w:val="18"/>
                <w:color w:val="auto"/>
              </w:rPr>
              <w:t>Operating income</w:t>
            </w:r>
          </w:p>
        </w:tc>
        <w:tc>
          <w:tcPr>
            <w:tcW w:w="2380" w:type="dxa"/>
            <w:vAlign w:val="bottom"/>
          </w:tcPr>
          <w:p>
            <w:pPr>
              <w:jc w:val="right"/>
              <w:ind w:right="110"/>
              <w:spacing w:after="0"/>
              <w:rPr>
                <w:sz w:val="20"/>
                <w:szCs w:val="20"/>
                <w:color w:val="auto"/>
              </w:rPr>
            </w:pPr>
            <w:r>
              <w:rPr>
                <w:rFonts w:ascii="Arial" w:cs="Arial" w:eastAsia="Arial" w:hAnsi="Arial"/>
                <w:sz w:val="18"/>
                <w:szCs w:val="18"/>
                <w:b w:val="1"/>
                <w:bCs w:val="1"/>
                <w:color w:val="auto"/>
              </w:rPr>
              <w:t>91,776</w:t>
            </w:r>
          </w:p>
        </w:tc>
        <w:tc>
          <w:tcPr>
            <w:tcW w:w="1280" w:type="dxa"/>
            <w:vAlign w:val="bottom"/>
          </w:tcPr>
          <w:p>
            <w:pPr>
              <w:jc w:val="right"/>
              <w:ind w:right="230"/>
              <w:spacing w:after="0"/>
              <w:rPr>
                <w:sz w:val="20"/>
                <w:szCs w:val="20"/>
                <w:color w:val="auto"/>
              </w:rPr>
            </w:pPr>
            <w:r>
              <w:rPr>
                <w:rFonts w:ascii="Arial" w:cs="Arial" w:eastAsia="Arial" w:hAnsi="Arial"/>
                <w:sz w:val="18"/>
                <w:szCs w:val="18"/>
                <w:color w:val="auto"/>
              </w:rPr>
              <w:t>63,895</w:t>
            </w:r>
          </w:p>
        </w:tc>
        <w:tc>
          <w:tcPr>
            <w:tcW w:w="1320" w:type="dxa"/>
            <w:vAlign w:val="bottom"/>
          </w:tcPr>
          <w:p>
            <w:pPr>
              <w:jc w:val="right"/>
              <w:spacing w:after="0"/>
              <w:rPr>
                <w:sz w:val="20"/>
                <w:szCs w:val="20"/>
                <w:color w:val="auto"/>
              </w:rPr>
            </w:pPr>
            <w:r>
              <w:rPr>
                <w:rFonts w:ascii="Arial" w:cs="Arial" w:eastAsia="Arial" w:hAnsi="Arial"/>
                <w:sz w:val="18"/>
                <w:szCs w:val="18"/>
                <w:color w:val="auto"/>
              </w:rPr>
              <w:t>71,360</w:t>
            </w:r>
          </w:p>
        </w:tc>
      </w:tr>
      <w:tr>
        <w:trPr>
          <w:trHeight w:val="346"/>
        </w:trPr>
        <w:tc>
          <w:tcPr>
            <w:tcW w:w="644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380" w:type="dxa"/>
            <w:vAlign w:val="bottom"/>
          </w:tcPr>
          <w:p>
            <w:pPr>
              <w:jc w:val="right"/>
              <w:ind w:right="110"/>
              <w:spacing w:after="0"/>
              <w:rPr>
                <w:sz w:val="20"/>
                <w:szCs w:val="20"/>
                <w:color w:val="auto"/>
              </w:rPr>
            </w:pPr>
            <w:r>
              <w:rPr>
                <w:rFonts w:ascii="Arial" w:cs="Arial" w:eastAsia="Arial" w:hAnsi="Arial"/>
                <w:sz w:val="18"/>
                <w:szCs w:val="18"/>
                <w:b w:val="1"/>
                <w:bCs w:val="1"/>
                <w:color w:val="auto"/>
              </w:rPr>
              <w:t>(2,077)</w:t>
            </w:r>
          </w:p>
        </w:tc>
        <w:tc>
          <w:tcPr>
            <w:tcW w:w="1280" w:type="dxa"/>
            <w:vAlign w:val="bottom"/>
          </w:tcPr>
          <w:p>
            <w:pPr>
              <w:jc w:val="right"/>
              <w:ind w:right="230"/>
              <w:spacing w:after="0"/>
              <w:rPr>
                <w:sz w:val="20"/>
                <w:szCs w:val="20"/>
                <w:color w:val="auto"/>
              </w:rPr>
            </w:pPr>
            <w:r>
              <w:rPr>
                <w:rFonts w:ascii="Arial" w:cs="Arial" w:eastAsia="Arial" w:hAnsi="Arial"/>
                <w:sz w:val="18"/>
                <w:szCs w:val="18"/>
                <w:color w:val="auto"/>
              </w:rPr>
              <w:t>(1,857)</w:t>
            </w:r>
          </w:p>
        </w:tc>
        <w:tc>
          <w:tcPr>
            <w:tcW w:w="1320" w:type="dxa"/>
            <w:vAlign w:val="bottom"/>
          </w:tcPr>
          <w:p>
            <w:pPr>
              <w:jc w:val="right"/>
              <w:spacing w:after="0"/>
              <w:rPr>
                <w:sz w:val="20"/>
                <w:szCs w:val="20"/>
                <w:color w:val="auto"/>
              </w:rPr>
            </w:pPr>
            <w:r>
              <w:rPr>
                <w:rFonts w:ascii="Arial" w:cs="Arial" w:eastAsia="Arial" w:hAnsi="Arial"/>
                <w:sz w:val="18"/>
                <w:szCs w:val="18"/>
                <w:color w:val="auto"/>
              </w:rPr>
              <w:t>(1,541)</w:t>
            </w:r>
          </w:p>
        </w:tc>
      </w:tr>
      <w:tr>
        <w:trPr>
          <w:trHeight w:val="203"/>
        </w:trPr>
        <w:tc>
          <w:tcPr>
            <w:tcW w:w="6440" w:type="dxa"/>
            <w:vAlign w:val="bottom"/>
          </w:tcPr>
          <w:p>
            <w:pPr>
              <w:ind w:left="40"/>
              <w:spacing w:after="0" w:line="202" w:lineRule="exact"/>
              <w:rPr>
                <w:sz w:val="20"/>
                <w:szCs w:val="20"/>
                <w:color w:val="auto"/>
              </w:rPr>
            </w:pPr>
            <w:r>
              <w:rPr>
                <w:rFonts w:ascii="Arial" w:cs="Arial" w:eastAsia="Arial" w:hAnsi="Arial"/>
                <w:sz w:val="18"/>
                <w:szCs w:val="18"/>
                <w:color w:val="auto"/>
              </w:rPr>
              <w:t>Interest expense</w:t>
            </w:r>
          </w:p>
        </w:tc>
        <w:tc>
          <w:tcPr>
            <w:tcW w:w="238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15,541</w:t>
            </w:r>
          </w:p>
        </w:tc>
        <w:tc>
          <w:tcPr>
            <w:tcW w:w="12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11,841</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12,254</w:t>
            </w:r>
          </w:p>
        </w:tc>
      </w:tr>
      <w:tr>
        <w:trPr>
          <w:trHeight w:val="225"/>
        </w:trPr>
        <w:tc>
          <w:tcPr>
            <w:tcW w:w="64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Other expense/(income), net</w:t>
            </w:r>
          </w:p>
        </w:tc>
        <w:tc>
          <w:tcPr>
            <w:tcW w:w="2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46</w:t>
            </w:r>
          </w:p>
        </w:tc>
        <w:tc>
          <w:tcPr>
            <w:tcW w:w="12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2,433</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(6,853)</w:t>
            </w:r>
          </w:p>
        </w:tc>
      </w:tr>
      <w:tr>
        <w:trPr>
          <w:trHeight w:val="232"/>
        </w:trPr>
        <w:tc>
          <w:tcPr>
            <w:tcW w:w="6440" w:type="dxa"/>
            <w:vAlign w:val="bottom"/>
          </w:tcPr>
          <w:p>
            <w:pPr>
              <w:ind w:left="340"/>
              <w:spacing w:after="0"/>
              <w:rPr>
                <w:sz w:val="20"/>
                <w:szCs w:val="20"/>
                <w:color w:val="auto"/>
              </w:rPr>
            </w:pPr>
            <w:r>
              <w:rPr>
                <w:rFonts w:ascii="Arial" w:cs="Arial" w:eastAsia="Arial" w:hAnsi="Arial"/>
                <w:sz w:val="18"/>
                <w:szCs w:val="18"/>
                <w:color w:val="auto"/>
              </w:rPr>
              <w:t>Income before income taxes</w:t>
            </w:r>
          </w:p>
        </w:tc>
        <w:tc>
          <w:tcPr>
            <w:tcW w:w="2380" w:type="dxa"/>
            <w:vAlign w:val="bottom"/>
          </w:tcPr>
          <w:p>
            <w:pPr>
              <w:jc w:val="right"/>
              <w:ind w:right="110"/>
              <w:spacing w:after="0"/>
              <w:rPr>
                <w:sz w:val="20"/>
                <w:szCs w:val="20"/>
                <w:color w:val="auto"/>
              </w:rPr>
            </w:pPr>
            <w:r>
              <w:rPr>
                <w:rFonts w:ascii="Arial" w:cs="Arial" w:eastAsia="Arial" w:hAnsi="Arial"/>
                <w:sz w:val="18"/>
                <w:szCs w:val="18"/>
                <w:b w:val="1"/>
                <w:bCs w:val="1"/>
                <w:color w:val="auto"/>
              </w:rPr>
              <w:t>78,266</w:t>
            </w:r>
          </w:p>
        </w:tc>
        <w:tc>
          <w:tcPr>
            <w:tcW w:w="1280" w:type="dxa"/>
            <w:vAlign w:val="bottom"/>
          </w:tcPr>
          <w:p>
            <w:pPr>
              <w:jc w:val="right"/>
              <w:ind w:right="230"/>
              <w:spacing w:after="0"/>
              <w:rPr>
                <w:sz w:val="20"/>
                <w:szCs w:val="20"/>
                <w:color w:val="auto"/>
              </w:rPr>
            </w:pPr>
            <w:r>
              <w:rPr>
                <w:rFonts w:ascii="Arial" w:cs="Arial" w:eastAsia="Arial" w:hAnsi="Arial"/>
                <w:sz w:val="18"/>
                <w:szCs w:val="18"/>
                <w:color w:val="auto"/>
              </w:rPr>
              <w:t>51,478</w:t>
            </w:r>
          </w:p>
        </w:tc>
        <w:tc>
          <w:tcPr>
            <w:tcW w:w="1320" w:type="dxa"/>
            <w:vAlign w:val="bottom"/>
          </w:tcPr>
          <w:p>
            <w:pPr>
              <w:jc w:val="right"/>
              <w:spacing w:after="0"/>
              <w:rPr>
                <w:sz w:val="20"/>
                <w:szCs w:val="20"/>
                <w:color w:val="auto"/>
              </w:rPr>
            </w:pPr>
            <w:r>
              <w:rPr>
                <w:rFonts w:ascii="Arial" w:cs="Arial" w:eastAsia="Arial" w:hAnsi="Arial"/>
                <w:sz w:val="18"/>
                <w:szCs w:val="18"/>
                <w:color w:val="auto"/>
              </w:rPr>
              <w:t>67,500</w:t>
            </w:r>
          </w:p>
        </w:tc>
      </w:tr>
      <w:tr>
        <w:trPr>
          <w:trHeight w:val="369"/>
        </w:trPr>
        <w:tc>
          <w:tcPr>
            <w:tcW w:w="64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Income tax expense/(benefit)</w:t>
            </w:r>
          </w:p>
        </w:tc>
        <w:tc>
          <w:tcPr>
            <w:tcW w:w="2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25,454</w:t>
            </w:r>
          </w:p>
        </w:tc>
        <w:tc>
          <w:tcPr>
            <w:tcW w:w="12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(5,787)</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25,751</w:t>
            </w:r>
          </w:p>
        </w:tc>
      </w:tr>
      <w:tr>
        <w:trPr>
          <w:trHeight w:val="173"/>
        </w:trPr>
        <w:tc>
          <w:tcPr>
            <w:tcW w:w="6440" w:type="dxa"/>
            <w:vAlign w:val="bottom"/>
          </w:tcPr>
          <w:p>
            <w:pPr>
              <w:ind w:left="40"/>
              <w:spacing w:after="0" w:line="173" w:lineRule="exact"/>
              <w:rPr>
                <w:sz w:val="20"/>
                <w:szCs w:val="20"/>
                <w:color w:val="auto"/>
              </w:rPr>
            </w:pPr>
            <w:r>
              <w:rPr>
                <w:rFonts w:ascii="Arial" w:cs="Arial" w:eastAsia="Arial" w:hAnsi="Arial"/>
                <w:sz w:val="18"/>
                <w:szCs w:val="18"/>
                <w:color w:val="auto"/>
              </w:rPr>
              <w:t>Net income</w:t>
            </w:r>
          </w:p>
        </w:tc>
        <w:tc>
          <w:tcPr>
            <w:tcW w:w="2380" w:type="dxa"/>
            <w:vAlign w:val="bottom"/>
          </w:tcPr>
          <w:p>
            <w:pPr>
              <w:jc w:val="right"/>
              <w:ind w:right="110"/>
              <w:spacing w:after="0" w:line="173" w:lineRule="exact"/>
              <w:rPr>
                <w:sz w:val="20"/>
                <w:szCs w:val="20"/>
                <w:color w:val="auto"/>
              </w:rPr>
            </w:pPr>
            <w:r>
              <w:rPr>
                <w:rFonts w:ascii="Arial" w:cs="Arial" w:eastAsia="Arial" w:hAnsi="Arial"/>
                <w:sz w:val="18"/>
                <w:szCs w:val="18"/>
                <w:b w:val="1"/>
                <w:bCs w:val="1"/>
                <w:color w:val="auto"/>
              </w:rPr>
              <w:t>52,812</w:t>
            </w:r>
          </w:p>
        </w:tc>
        <w:tc>
          <w:tcPr>
            <w:tcW w:w="1280" w:type="dxa"/>
            <w:vAlign w:val="bottom"/>
          </w:tcPr>
          <w:p>
            <w:pPr>
              <w:jc w:val="right"/>
              <w:ind w:right="230"/>
              <w:spacing w:after="0" w:line="173" w:lineRule="exact"/>
              <w:rPr>
                <w:sz w:val="20"/>
                <w:szCs w:val="20"/>
                <w:color w:val="auto"/>
              </w:rPr>
            </w:pPr>
            <w:r>
              <w:rPr>
                <w:rFonts w:ascii="Arial" w:cs="Arial" w:eastAsia="Arial" w:hAnsi="Arial"/>
                <w:sz w:val="18"/>
                <w:szCs w:val="18"/>
                <w:color w:val="auto"/>
              </w:rPr>
              <w:t>57,265</w:t>
            </w:r>
          </w:p>
        </w:tc>
        <w:tc>
          <w:tcPr>
            <w:tcW w:w="1320" w:type="dxa"/>
            <w:vAlign w:val="bottom"/>
          </w:tcPr>
          <w:p>
            <w:pPr>
              <w:jc w:val="right"/>
              <w:spacing w:after="0" w:line="173" w:lineRule="exact"/>
              <w:rPr>
                <w:sz w:val="20"/>
                <w:szCs w:val="20"/>
                <w:color w:val="auto"/>
              </w:rPr>
            </w:pPr>
            <w:r>
              <w:rPr>
                <w:rFonts w:ascii="Arial" w:cs="Arial" w:eastAsia="Arial" w:hAnsi="Arial"/>
                <w:sz w:val="18"/>
                <w:szCs w:val="18"/>
                <w:color w:val="auto"/>
              </w:rPr>
              <w:t>41,749</w:t>
            </w:r>
          </w:p>
        </w:tc>
      </w:tr>
      <w:tr>
        <w:trPr>
          <w:trHeight w:val="225"/>
        </w:trPr>
        <w:tc>
          <w:tcPr>
            <w:tcW w:w="64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Net income/(loss) attributable to the noncontrolling interest</w:t>
            </w:r>
          </w:p>
        </w:tc>
        <w:tc>
          <w:tcPr>
            <w:tcW w:w="2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79</w:t>
            </w:r>
          </w:p>
        </w:tc>
        <w:tc>
          <w:tcPr>
            <w:tcW w:w="12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(14)</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r>
      <w:tr>
        <w:trPr>
          <w:trHeight w:val="203"/>
        </w:trPr>
        <w:tc>
          <w:tcPr>
            <w:tcW w:w="644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Net income attributable to the Company</w:t>
            </w:r>
          </w:p>
        </w:tc>
        <w:tc>
          <w:tcPr>
            <w:tcW w:w="238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$52,733</w:t>
            </w:r>
          </w:p>
        </w:tc>
        <w:tc>
          <w:tcPr>
            <w:tcW w:w="128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$57,279</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$41,569</w:t>
            </w:r>
          </w:p>
        </w:tc>
      </w:tr>
      <w:tr>
        <w:trPr>
          <w:trHeight w:val="621"/>
        </w:trPr>
        <w:tc>
          <w:tcPr>
            <w:tcW w:w="6440" w:type="dxa"/>
            <w:vAlign w:val="bottom"/>
          </w:tcPr>
          <w:p>
            <w:pPr>
              <w:ind w:left="40"/>
              <w:spacing w:after="0"/>
              <w:rPr>
                <w:sz w:val="20"/>
                <w:szCs w:val="20"/>
                <w:color w:val="auto"/>
              </w:rPr>
            </w:pPr>
            <w:r>
              <w:rPr>
                <w:rFonts w:ascii="Arial" w:cs="Arial" w:eastAsia="Arial" w:hAnsi="Arial"/>
                <w:sz w:val="18"/>
                <w:szCs w:val="18"/>
                <w:color w:val="auto"/>
              </w:rPr>
              <w:t>Earnings per share attributable to Company shareholders - Basic</w:t>
            </w:r>
          </w:p>
        </w:tc>
        <w:tc>
          <w:tcPr>
            <w:tcW w:w="2380" w:type="dxa"/>
            <w:vAlign w:val="bottom"/>
          </w:tcPr>
          <w:p>
            <w:pPr>
              <w:jc w:val="right"/>
              <w:ind w:right="110"/>
              <w:spacing w:after="0"/>
              <w:rPr>
                <w:sz w:val="20"/>
                <w:szCs w:val="20"/>
                <w:color w:val="auto"/>
              </w:rPr>
            </w:pPr>
            <w:r>
              <w:rPr>
                <w:rFonts w:ascii="Arial" w:cs="Arial" w:eastAsia="Arial" w:hAnsi="Arial"/>
                <w:sz w:val="18"/>
                <w:szCs w:val="18"/>
                <w:b w:val="1"/>
                <w:bCs w:val="1"/>
                <w:color w:val="auto"/>
              </w:rPr>
              <w:t>$1.64</w:t>
            </w:r>
          </w:p>
        </w:tc>
        <w:tc>
          <w:tcPr>
            <w:tcW w:w="1280" w:type="dxa"/>
            <w:vAlign w:val="bottom"/>
          </w:tcPr>
          <w:p>
            <w:pPr>
              <w:jc w:val="right"/>
              <w:ind w:right="230"/>
              <w:spacing w:after="0"/>
              <w:rPr>
                <w:sz w:val="20"/>
                <w:szCs w:val="20"/>
                <w:color w:val="auto"/>
              </w:rPr>
            </w:pPr>
            <w:r>
              <w:rPr>
                <w:rFonts w:ascii="Arial" w:cs="Arial" w:eastAsia="Arial" w:hAnsi="Arial"/>
                <w:sz w:val="18"/>
                <w:szCs w:val="18"/>
                <w:color w:val="auto"/>
              </w:rPr>
              <w:t>$1.79</w:t>
            </w:r>
          </w:p>
        </w:tc>
        <w:tc>
          <w:tcPr>
            <w:tcW w:w="132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405"/>
        </w:trPr>
        <w:tc>
          <w:tcPr>
            <w:tcW w:w="6440" w:type="dxa"/>
            <w:vAlign w:val="bottom"/>
          </w:tcPr>
          <w:p>
            <w:pPr>
              <w:ind w:left="40"/>
              <w:spacing w:after="0"/>
              <w:rPr>
                <w:sz w:val="20"/>
                <w:szCs w:val="20"/>
                <w:color w:val="auto"/>
              </w:rPr>
            </w:pPr>
            <w:r>
              <w:rPr>
                <w:rFonts w:ascii="Arial" w:cs="Arial" w:eastAsia="Arial" w:hAnsi="Arial"/>
                <w:sz w:val="18"/>
                <w:szCs w:val="18"/>
                <w:color w:val="auto"/>
              </w:rPr>
              <w:t>Earnings per share attributable to Company shareholders - Diluted</w:t>
            </w:r>
          </w:p>
        </w:tc>
        <w:tc>
          <w:tcPr>
            <w:tcW w:w="2380" w:type="dxa"/>
            <w:vAlign w:val="bottom"/>
          </w:tcPr>
          <w:p>
            <w:pPr>
              <w:jc w:val="right"/>
              <w:ind w:right="110"/>
              <w:spacing w:after="0"/>
              <w:rPr>
                <w:sz w:val="20"/>
                <w:szCs w:val="20"/>
                <w:color w:val="auto"/>
              </w:rPr>
            </w:pPr>
            <w:r>
              <w:rPr>
                <w:rFonts w:ascii="Arial" w:cs="Arial" w:eastAsia="Arial" w:hAnsi="Arial"/>
                <w:sz w:val="18"/>
                <w:szCs w:val="18"/>
                <w:b w:val="1"/>
                <w:bCs w:val="1"/>
                <w:color w:val="auto"/>
              </w:rPr>
              <w:t>$1.64</w:t>
            </w:r>
          </w:p>
        </w:tc>
        <w:tc>
          <w:tcPr>
            <w:tcW w:w="1280" w:type="dxa"/>
            <w:vAlign w:val="bottom"/>
          </w:tcPr>
          <w:p>
            <w:pPr>
              <w:jc w:val="right"/>
              <w:ind w:right="230"/>
              <w:spacing w:after="0"/>
              <w:rPr>
                <w:sz w:val="20"/>
                <w:szCs w:val="20"/>
                <w:color w:val="auto"/>
              </w:rPr>
            </w:pPr>
            <w:r>
              <w:rPr>
                <w:rFonts w:ascii="Arial" w:cs="Arial" w:eastAsia="Arial" w:hAnsi="Arial"/>
                <w:sz w:val="18"/>
                <w:szCs w:val="18"/>
                <w:color w:val="auto"/>
              </w:rPr>
              <w:t>$1.79</w:t>
            </w:r>
          </w:p>
        </w:tc>
        <w:tc>
          <w:tcPr>
            <w:tcW w:w="132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405"/>
        </w:trPr>
        <w:tc>
          <w:tcPr>
            <w:tcW w:w="6440" w:type="dxa"/>
            <w:vAlign w:val="bottom"/>
          </w:tcPr>
          <w:p>
            <w:pPr>
              <w:ind w:left="40"/>
              <w:spacing w:after="0"/>
              <w:rPr>
                <w:sz w:val="20"/>
                <w:szCs w:val="20"/>
                <w:color w:val="auto"/>
              </w:rPr>
            </w:pPr>
            <w:r>
              <w:rPr>
                <w:rFonts w:ascii="Arial" w:cs="Arial" w:eastAsia="Arial" w:hAnsi="Arial"/>
                <w:sz w:val="18"/>
                <w:szCs w:val="18"/>
                <w:color w:val="auto"/>
              </w:rPr>
              <w:t>Dividends declared per share, Class A and Class B</w:t>
            </w:r>
          </w:p>
        </w:tc>
        <w:tc>
          <w:tcPr>
            <w:tcW w:w="2380" w:type="dxa"/>
            <w:vAlign w:val="bottom"/>
          </w:tcPr>
          <w:p>
            <w:pPr>
              <w:jc w:val="right"/>
              <w:ind w:right="110"/>
              <w:spacing w:after="0"/>
              <w:rPr>
                <w:sz w:val="20"/>
                <w:szCs w:val="20"/>
                <w:color w:val="auto"/>
              </w:rPr>
            </w:pPr>
            <w:r>
              <w:rPr>
                <w:rFonts w:ascii="Arial" w:cs="Arial" w:eastAsia="Arial" w:hAnsi="Arial"/>
                <w:sz w:val="18"/>
                <w:szCs w:val="18"/>
                <w:b w:val="1"/>
                <w:bCs w:val="1"/>
                <w:color w:val="auto"/>
              </w:rPr>
              <w:t>$0.68</w:t>
            </w:r>
          </w:p>
        </w:tc>
        <w:tc>
          <w:tcPr>
            <w:tcW w:w="1280" w:type="dxa"/>
            <w:vAlign w:val="bottom"/>
          </w:tcPr>
          <w:p>
            <w:pPr>
              <w:jc w:val="right"/>
              <w:ind w:right="230"/>
              <w:spacing w:after="0"/>
              <w:rPr>
                <w:sz w:val="20"/>
                <w:szCs w:val="20"/>
                <w:color w:val="auto"/>
              </w:rPr>
            </w:pPr>
            <w:r>
              <w:rPr>
                <w:rFonts w:ascii="Arial" w:cs="Arial" w:eastAsia="Arial" w:hAnsi="Arial"/>
                <w:sz w:val="18"/>
                <w:szCs w:val="18"/>
                <w:color w:val="auto"/>
              </w:rPr>
              <w:t>$0.67</w:t>
            </w:r>
          </w:p>
        </w:tc>
        <w:tc>
          <w:tcPr>
            <w:tcW w:w="1320" w:type="dxa"/>
            <w:vAlign w:val="bottom"/>
          </w:tcPr>
          <w:p>
            <w:pPr>
              <w:jc w:val="right"/>
              <w:spacing w:after="0"/>
              <w:rPr>
                <w:sz w:val="20"/>
                <w:szCs w:val="20"/>
                <w:color w:val="auto"/>
              </w:rPr>
            </w:pPr>
            <w:r>
              <w:rPr>
                <w:rFonts w:ascii="Arial" w:cs="Arial" w:eastAsia="Arial" w:hAnsi="Arial"/>
                <w:sz w:val="18"/>
                <w:szCs w:val="18"/>
                <w:color w:val="auto"/>
              </w:rPr>
              <w:t>$0.63</w:t>
            </w:r>
          </w:p>
        </w:tc>
      </w:tr>
      <w:tr>
        <w:trPr>
          <w:trHeight w:val="196"/>
        </w:trPr>
        <w:tc>
          <w:tcPr>
            <w:tcW w:w="644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0000FF"/>
        </w:rPr>
        <w:t>Albany International Corp.</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Income/(Loss)</w:t>
      </w:r>
    </w:p>
    <w:p>
      <w:pPr>
        <w:jc w:val="center"/>
        <w:spacing w:after="0" w:line="234" w:lineRule="auto"/>
        <w:rPr>
          <w:sz w:val="20"/>
          <w:szCs w:val="20"/>
          <w:color w:val="auto"/>
        </w:rPr>
      </w:pPr>
      <w:r>
        <w:rPr>
          <w:rFonts w:ascii="Arial" w:cs="Arial" w:eastAsia="Arial" w:hAnsi="Arial"/>
          <w:sz w:val="18"/>
          <w:szCs w:val="18"/>
          <w:b w:val="1"/>
          <w:bCs w:val="1"/>
          <w:color w:val="auto"/>
        </w:rPr>
        <w:t>For the years ended December 31,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7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4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195"/>
        </w:trPr>
        <w:tc>
          <w:tcPr>
            <w:tcW w:w="6720" w:type="dxa"/>
            <w:vAlign w:val="bottom"/>
          </w:tcPr>
          <w:p>
            <w:pPr>
              <w:ind w:left="40"/>
              <w:spacing w:after="0" w:line="195" w:lineRule="exact"/>
              <w:rPr>
                <w:sz w:val="20"/>
                <w:szCs w:val="20"/>
                <w:color w:val="auto"/>
              </w:rPr>
            </w:pPr>
            <w:r>
              <w:rPr>
                <w:rFonts w:ascii="Arial" w:cs="Arial" w:eastAsia="Arial" w:hAnsi="Arial"/>
                <w:sz w:val="18"/>
                <w:szCs w:val="18"/>
                <w:color w:val="auto"/>
              </w:rPr>
              <w:t>Net income</w:t>
            </w:r>
          </w:p>
        </w:tc>
        <w:tc>
          <w:tcPr>
            <w:tcW w:w="2080" w:type="dxa"/>
            <w:vAlign w:val="bottom"/>
          </w:tcPr>
          <w:p>
            <w:pPr>
              <w:jc w:val="right"/>
              <w:ind w:right="350"/>
              <w:spacing w:after="0" w:line="195" w:lineRule="exact"/>
              <w:rPr>
                <w:sz w:val="20"/>
                <w:szCs w:val="20"/>
                <w:color w:val="auto"/>
              </w:rPr>
            </w:pPr>
            <w:r>
              <w:rPr>
                <w:rFonts w:ascii="Arial" w:cs="Arial" w:eastAsia="Arial" w:hAnsi="Arial"/>
                <w:sz w:val="18"/>
                <w:szCs w:val="18"/>
                <w:b w:val="1"/>
                <w:bCs w:val="1"/>
                <w:color w:val="auto"/>
              </w:rPr>
              <w:t>$52,812</w:t>
            </w:r>
          </w:p>
        </w:tc>
        <w:tc>
          <w:tcPr>
            <w:tcW w:w="1440" w:type="dxa"/>
            <w:vAlign w:val="bottom"/>
          </w:tcPr>
          <w:p>
            <w:pPr>
              <w:jc w:val="right"/>
              <w:ind w:right="330"/>
              <w:spacing w:after="0" w:line="195" w:lineRule="exact"/>
              <w:rPr>
                <w:sz w:val="20"/>
                <w:szCs w:val="20"/>
                <w:color w:val="auto"/>
              </w:rPr>
            </w:pPr>
            <w:r>
              <w:rPr>
                <w:rFonts w:ascii="Arial" w:cs="Arial" w:eastAsia="Arial" w:hAnsi="Arial"/>
                <w:sz w:val="18"/>
                <w:szCs w:val="18"/>
                <w:color w:val="auto"/>
              </w:rPr>
              <w:t>$57,265</w:t>
            </w:r>
          </w:p>
        </w:tc>
        <w:tc>
          <w:tcPr>
            <w:tcW w:w="11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$41,749</w:t>
            </w:r>
          </w:p>
        </w:tc>
        <w:tc>
          <w:tcPr>
            <w:tcW w:w="0" w:type="dxa"/>
            <w:vAlign w:val="bottom"/>
          </w:tcPr>
          <w:p>
            <w:pPr>
              <w:spacing w:after="0"/>
              <w:rPr>
                <w:sz w:val="1"/>
                <w:szCs w:val="1"/>
                <w:color w:val="auto"/>
              </w:rPr>
            </w:pPr>
          </w:p>
        </w:tc>
      </w:tr>
      <w:tr>
        <w:trPr>
          <w:trHeight w:val="203"/>
        </w:trPr>
        <w:tc>
          <w:tcPr>
            <w:tcW w:w="6720" w:type="dxa"/>
            <w:vAlign w:val="bottom"/>
          </w:tcPr>
          <w:p>
            <w:pPr>
              <w:ind w:left="80"/>
              <w:spacing w:after="0" w:line="202" w:lineRule="exact"/>
              <w:rPr>
                <w:sz w:val="20"/>
                <w:szCs w:val="20"/>
                <w:color w:val="auto"/>
              </w:rPr>
            </w:pPr>
            <w:r>
              <w:rPr>
                <w:rFonts w:ascii="Arial" w:cs="Arial" w:eastAsia="Arial" w:hAnsi="Arial"/>
                <w:sz w:val="18"/>
                <w:szCs w:val="18"/>
                <w:color w:val="auto"/>
              </w:rPr>
              <w:t>Other comprehensive income/(loss), before tax:</w:t>
            </w:r>
          </w:p>
        </w:tc>
        <w:tc>
          <w:tcPr>
            <w:tcW w:w="208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(23,967)</w:t>
            </w:r>
          </w:p>
        </w:tc>
        <w:tc>
          <w:tcPr>
            <w:tcW w:w="1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720" w:type="dxa"/>
            <w:vAlign w:val="bottom"/>
          </w:tcPr>
          <w:p>
            <w:pPr>
              <w:ind w:left="440"/>
              <w:spacing w:after="0" w:line="181" w:lineRule="exact"/>
              <w:rPr>
                <w:sz w:val="20"/>
                <w:szCs w:val="20"/>
                <w:color w:val="auto"/>
              </w:rPr>
            </w:pPr>
            <w:r>
              <w:rPr>
                <w:rFonts w:ascii="Arial" w:cs="Arial" w:eastAsia="Arial" w:hAnsi="Arial"/>
                <w:sz w:val="18"/>
                <w:szCs w:val="18"/>
                <w:color w:val="auto"/>
              </w:rPr>
              <w:t>Foreign currency translation adjustments</w:t>
            </w:r>
          </w:p>
        </w:tc>
        <w:tc>
          <w:tcPr>
            <w:tcW w:w="2080" w:type="dxa"/>
            <w:vAlign w:val="bottom"/>
            <w:vMerge w:val="continue"/>
          </w:tcPr>
          <w:p>
            <w:pPr>
              <w:spacing w:after="0"/>
              <w:rPr>
                <w:sz w:val="15"/>
                <w:szCs w:val="15"/>
                <w:color w:val="auto"/>
              </w:rPr>
            </w:pPr>
          </w:p>
        </w:tc>
        <w:tc>
          <w:tcPr>
            <w:tcW w:w="1440" w:type="dxa"/>
            <w:vAlign w:val="bottom"/>
          </w:tcPr>
          <w:p>
            <w:pPr>
              <w:jc w:val="right"/>
              <w:ind w:right="270"/>
              <w:spacing w:after="0" w:line="181" w:lineRule="exact"/>
              <w:rPr>
                <w:sz w:val="20"/>
                <w:szCs w:val="20"/>
                <w:color w:val="auto"/>
              </w:rPr>
            </w:pPr>
            <w:r>
              <w:rPr>
                <w:rFonts w:ascii="Arial" w:cs="Arial" w:eastAsia="Arial" w:hAnsi="Arial"/>
                <w:sz w:val="18"/>
                <w:szCs w:val="18"/>
                <w:color w:val="auto"/>
              </w:rPr>
              <w:t>(51,177)</w:t>
            </w:r>
          </w:p>
        </w:tc>
        <w:tc>
          <w:tcPr>
            <w:tcW w:w="1180" w:type="dxa"/>
            <w:vAlign w:val="bottom"/>
          </w:tcPr>
          <w:p>
            <w:pPr>
              <w:jc w:val="right"/>
              <w:spacing w:after="0" w:line="181" w:lineRule="exact"/>
              <w:rPr>
                <w:sz w:val="20"/>
                <w:szCs w:val="20"/>
                <w:color w:val="auto"/>
              </w:rPr>
            </w:pPr>
            <w:r>
              <w:rPr>
                <w:rFonts w:ascii="Arial" w:cs="Arial" w:eastAsia="Arial" w:hAnsi="Arial"/>
                <w:sz w:val="18"/>
                <w:szCs w:val="18"/>
                <w:color w:val="auto"/>
              </w:rPr>
              <w:t>(54,850)</w:t>
            </w:r>
          </w:p>
        </w:tc>
        <w:tc>
          <w:tcPr>
            <w:tcW w:w="0" w:type="dxa"/>
            <w:vAlign w:val="bottom"/>
          </w:tcPr>
          <w:p>
            <w:pPr>
              <w:spacing w:after="0"/>
              <w:rPr>
                <w:sz w:val="1"/>
                <w:szCs w:val="1"/>
                <w:color w:val="auto"/>
              </w:rPr>
            </w:pPr>
          </w:p>
        </w:tc>
      </w:tr>
      <w:tr>
        <w:trPr>
          <w:trHeight w:val="203"/>
        </w:trPr>
        <w:tc>
          <w:tcPr>
            <w:tcW w:w="6720" w:type="dxa"/>
            <w:vAlign w:val="bottom"/>
          </w:tcPr>
          <w:p>
            <w:pPr>
              <w:ind w:left="440"/>
              <w:spacing w:after="0" w:line="202" w:lineRule="exact"/>
              <w:rPr>
                <w:sz w:val="20"/>
                <w:szCs w:val="20"/>
                <w:color w:val="auto"/>
              </w:rPr>
            </w:pPr>
            <w:r>
              <w:rPr>
                <w:rFonts w:ascii="Arial" w:cs="Arial" w:eastAsia="Arial" w:hAnsi="Arial"/>
                <w:sz w:val="18"/>
                <w:szCs w:val="18"/>
                <w:color w:val="auto"/>
              </w:rPr>
              <w:t>Pension/postretirement settlements and curtailments</w:t>
            </w:r>
          </w:p>
        </w:tc>
        <w:tc>
          <w:tcPr>
            <w:tcW w:w="2080" w:type="dxa"/>
            <w:vAlign w:val="bottom"/>
          </w:tcPr>
          <w:p>
            <w:pPr>
              <w:jc w:val="right"/>
              <w:ind w:right="350"/>
              <w:spacing w:after="0" w:line="202" w:lineRule="exact"/>
              <w:rPr>
                <w:sz w:val="20"/>
                <w:szCs w:val="20"/>
                <w:color w:val="auto"/>
              </w:rPr>
            </w:pPr>
            <w:r>
              <w:rPr>
                <w:rFonts w:ascii="Arial" w:cs="Arial" w:eastAsia="Arial" w:hAnsi="Arial"/>
                <w:sz w:val="18"/>
                <w:szCs w:val="18"/>
                <w:b w:val="1"/>
                <w:bCs w:val="1"/>
                <w:color w:val="auto"/>
              </w:rPr>
              <w:t>51</w:t>
            </w:r>
          </w:p>
        </w:tc>
        <w:tc>
          <w:tcPr>
            <w:tcW w:w="144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103</w:t>
            </w:r>
          </w:p>
        </w:tc>
        <w:tc>
          <w:tcPr>
            <w:tcW w:w="11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8,377</w:t>
            </w:r>
          </w:p>
        </w:tc>
        <w:tc>
          <w:tcPr>
            <w:tcW w:w="0" w:type="dxa"/>
            <w:vAlign w:val="bottom"/>
          </w:tcPr>
          <w:p>
            <w:pPr>
              <w:spacing w:after="0"/>
              <w:rPr>
                <w:sz w:val="1"/>
                <w:szCs w:val="1"/>
                <w:color w:val="auto"/>
              </w:rPr>
            </w:pPr>
          </w:p>
        </w:tc>
      </w:tr>
      <w:tr>
        <w:trPr>
          <w:trHeight w:val="225"/>
        </w:trPr>
        <w:tc>
          <w:tcPr>
            <w:tcW w:w="6720" w:type="dxa"/>
            <w:vAlign w:val="bottom"/>
          </w:tcPr>
          <w:p>
            <w:pPr>
              <w:ind w:left="440"/>
              <w:spacing w:after="0"/>
              <w:rPr>
                <w:sz w:val="20"/>
                <w:szCs w:val="20"/>
                <w:color w:val="auto"/>
              </w:rPr>
            </w:pPr>
            <w:r>
              <w:rPr>
                <w:rFonts w:ascii="Arial" w:cs="Arial" w:eastAsia="Arial" w:hAnsi="Arial"/>
                <w:sz w:val="18"/>
                <w:szCs w:val="18"/>
                <w:color w:val="auto"/>
              </w:rPr>
              <w:t>Pension/postretirement plan remeasurement</w:t>
            </w:r>
          </w:p>
        </w:tc>
        <w:tc>
          <w:tcPr>
            <w:tcW w:w="2080" w:type="dxa"/>
            <w:vAlign w:val="bottom"/>
          </w:tcPr>
          <w:p>
            <w:pPr>
              <w:jc w:val="right"/>
              <w:ind w:right="290"/>
              <w:spacing w:after="0"/>
              <w:rPr>
                <w:sz w:val="20"/>
                <w:szCs w:val="20"/>
                <w:color w:val="auto"/>
              </w:rPr>
            </w:pPr>
            <w:r>
              <w:rPr>
                <w:rFonts w:ascii="Arial" w:cs="Arial" w:eastAsia="Arial" w:hAnsi="Arial"/>
                <w:sz w:val="18"/>
                <w:szCs w:val="18"/>
                <w:b w:val="1"/>
                <w:bCs w:val="1"/>
                <w:color w:val="auto"/>
              </w:rPr>
              <w:t>(5,498)</w:t>
            </w:r>
          </w:p>
        </w:tc>
        <w:tc>
          <w:tcPr>
            <w:tcW w:w="1440" w:type="dxa"/>
            <w:vAlign w:val="bottom"/>
          </w:tcPr>
          <w:p>
            <w:pPr>
              <w:jc w:val="right"/>
              <w:ind w:right="270"/>
              <w:spacing w:after="0"/>
              <w:rPr>
                <w:sz w:val="20"/>
                <w:szCs w:val="20"/>
                <w:color w:val="auto"/>
              </w:rPr>
            </w:pPr>
            <w:r>
              <w:rPr>
                <w:rFonts w:ascii="Arial" w:cs="Arial" w:eastAsia="Arial" w:hAnsi="Arial"/>
                <w:sz w:val="18"/>
                <w:szCs w:val="18"/>
                <w:color w:val="auto"/>
              </w:rPr>
              <w:t>(700)</w:t>
            </w:r>
          </w:p>
        </w:tc>
        <w:tc>
          <w:tcPr>
            <w:tcW w:w="1180" w:type="dxa"/>
            <w:vAlign w:val="bottom"/>
          </w:tcPr>
          <w:p>
            <w:pPr>
              <w:jc w:val="right"/>
              <w:spacing w:after="0"/>
              <w:rPr>
                <w:sz w:val="20"/>
                <w:szCs w:val="20"/>
                <w:color w:val="auto"/>
              </w:rPr>
            </w:pPr>
            <w:r>
              <w:rPr>
                <w:rFonts w:ascii="Arial" w:cs="Arial" w:eastAsia="Arial" w:hAnsi="Arial"/>
                <w:sz w:val="18"/>
                <w:szCs w:val="18"/>
                <w:color w:val="auto"/>
              </w:rPr>
              <w:t>(14,707)</w:t>
            </w:r>
          </w:p>
        </w:tc>
        <w:tc>
          <w:tcPr>
            <w:tcW w:w="0" w:type="dxa"/>
            <w:vAlign w:val="bottom"/>
          </w:tcPr>
          <w:p>
            <w:pPr>
              <w:spacing w:after="0"/>
              <w:rPr>
                <w:sz w:val="1"/>
                <w:szCs w:val="1"/>
                <w:color w:val="auto"/>
              </w:rPr>
            </w:pPr>
          </w:p>
        </w:tc>
      </w:tr>
      <w:tr>
        <w:trPr>
          <w:trHeight w:val="203"/>
        </w:trPr>
        <w:tc>
          <w:tcPr>
            <w:tcW w:w="6720" w:type="dxa"/>
            <w:vAlign w:val="bottom"/>
          </w:tcPr>
          <w:p>
            <w:pPr>
              <w:ind w:left="420"/>
              <w:spacing w:after="0" w:line="202" w:lineRule="exact"/>
              <w:rPr>
                <w:sz w:val="20"/>
                <w:szCs w:val="20"/>
                <w:color w:val="auto"/>
              </w:rPr>
            </w:pPr>
            <w:r>
              <w:rPr>
                <w:rFonts w:ascii="Arial" w:cs="Arial" w:eastAsia="Arial" w:hAnsi="Arial"/>
                <w:sz w:val="18"/>
                <w:szCs w:val="18"/>
                <w:color w:val="auto"/>
              </w:rPr>
              <w:t>Amortization of pension liability adjustments:</w:t>
            </w:r>
          </w:p>
        </w:tc>
        <w:tc>
          <w:tcPr>
            <w:tcW w:w="208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(4,450)</w:t>
            </w:r>
          </w:p>
        </w:tc>
        <w:tc>
          <w:tcPr>
            <w:tcW w:w="1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720" w:type="dxa"/>
            <w:vAlign w:val="bottom"/>
          </w:tcPr>
          <w:p>
            <w:pPr>
              <w:ind w:left="580"/>
              <w:spacing w:after="0" w:line="181" w:lineRule="exact"/>
              <w:rPr>
                <w:sz w:val="20"/>
                <w:szCs w:val="20"/>
                <w:color w:val="auto"/>
              </w:rPr>
            </w:pPr>
            <w:r>
              <w:rPr>
                <w:rFonts w:ascii="Arial" w:cs="Arial" w:eastAsia="Arial" w:hAnsi="Arial"/>
                <w:sz w:val="18"/>
                <w:szCs w:val="18"/>
                <w:color w:val="auto"/>
              </w:rPr>
              <w:t>Prior service credit</w:t>
            </w:r>
          </w:p>
        </w:tc>
        <w:tc>
          <w:tcPr>
            <w:tcW w:w="2080" w:type="dxa"/>
            <w:vAlign w:val="bottom"/>
            <w:vMerge w:val="continue"/>
          </w:tcPr>
          <w:p>
            <w:pPr>
              <w:spacing w:after="0"/>
              <w:rPr>
                <w:sz w:val="15"/>
                <w:szCs w:val="15"/>
                <w:color w:val="auto"/>
              </w:rPr>
            </w:pPr>
          </w:p>
        </w:tc>
        <w:tc>
          <w:tcPr>
            <w:tcW w:w="1440" w:type="dxa"/>
            <w:vAlign w:val="bottom"/>
          </w:tcPr>
          <w:p>
            <w:pPr>
              <w:jc w:val="right"/>
              <w:ind w:right="270"/>
              <w:spacing w:after="0" w:line="181" w:lineRule="exact"/>
              <w:rPr>
                <w:sz w:val="20"/>
                <w:szCs w:val="20"/>
                <w:color w:val="auto"/>
              </w:rPr>
            </w:pPr>
            <w:r>
              <w:rPr>
                <w:rFonts w:ascii="Arial" w:cs="Arial" w:eastAsia="Arial" w:hAnsi="Arial"/>
                <w:sz w:val="18"/>
                <w:szCs w:val="18"/>
                <w:color w:val="auto"/>
              </w:rPr>
              <w:t>(4,440)</w:t>
            </w:r>
          </w:p>
        </w:tc>
        <w:tc>
          <w:tcPr>
            <w:tcW w:w="1180" w:type="dxa"/>
            <w:vAlign w:val="bottom"/>
          </w:tcPr>
          <w:p>
            <w:pPr>
              <w:jc w:val="right"/>
              <w:spacing w:after="0" w:line="181" w:lineRule="exact"/>
              <w:rPr>
                <w:sz w:val="20"/>
                <w:szCs w:val="20"/>
                <w:color w:val="auto"/>
              </w:rPr>
            </w:pPr>
            <w:r>
              <w:rPr>
                <w:rFonts w:ascii="Arial" w:cs="Arial" w:eastAsia="Arial" w:hAnsi="Arial"/>
                <w:sz w:val="18"/>
                <w:szCs w:val="18"/>
                <w:color w:val="auto"/>
              </w:rPr>
              <w:t>(4,436)</w:t>
            </w:r>
          </w:p>
        </w:tc>
        <w:tc>
          <w:tcPr>
            <w:tcW w:w="0" w:type="dxa"/>
            <w:vAlign w:val="bottom"/>
          </w:tcPr>
          <w:p>
            <w:pPr>
              <w:spacing w:after="0"/>
              <w:rPr>
                <w:sz w:val="1"/>
                <w:szCs w:val="1"/>
                <w:color w:val="auto"/>
              </w:rPr>
            </w:pPr>
          </w:p>
        </w:tc>
      </w:tr>
      <w:tr>
        <w:trPr>
          <w:trHeight w:val="203"/>
        </w:trPr>
        <w:tc>
          <w:tcPr>
            <w:tcW w:w="6720" w:type="dxa"/>
            <w:vAlign w:val="bottom"/>
          </w:tcPr>
          <w:p>
            <w:pPr>
              <w:ind w:left="580"/>
              <w:spacing w:after="0" w:line="202" w:lineRule="exact"/>
              <w:rPr>
                <w:sz w:val="20"/>
                <w:szCs w:val="20"/>
                <w:color w:val="auto"/>
              </w:rPr>
            </w:pPr>
            <w:r>
              <w:rPr>
                <w:rFonts w:ascii="Arial" w:cs="Arial" w:eastAsia="Arial" w:hAnsi="Arial"/>
                <w:sz w:val="18"/>
                <w:szCs w:val="18"/>
                <w:color w:val="auto"/>
              </w:rPr>
              <w:t>Net actuarial loss</w:t>
            </w:r>
          </w:p>
        </w:tc>
        <w:tc>
          <w:tcPr>
            <w:tcW w:w="2080" w:type="dxa"/>
            <w:vAlign w:val="bottom"/>
          </w:tcPr>
          <w:p>
            <w:pPr>
              <w:jc w:val="right"/>
              <w:ind w:right="350"/>
              <w:spacing w:after="0" w:line="202" w:lineRule="exact"/>
              <w:rPr>
                <w:sz w:val="20"/>
                <w:szCs w:val="20"/>
                <w:color w:val="auto"/>
              </w:rPr>
            </w:pPr>
            <w:r>
              <w:rPr>
                <w:rFonts w:ascii="Arial" w:cs="Arial" w:eastAsia="Arial" w:hAnsi="Arial"/>
                <w:sz w:val="18"/>
                <w:szCs w:val="18"/>
                <w:b w:val="1"/>
                <w:bCs w:val="1"/>
                <w:color w:val="auto"/>
              </w:rPr>
              <w:t>5,102</w:t>
            </w:r>
          </w:p>
        </w:tc>
        <w:tc>
          <w:tcPr>
            <w:tcW w:w="144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5,932</w:t>
            </w:r>
          </w:p>
        </w:tc>
        <w:tc>
          <w:tcPr>
            <w:tcW w:w="11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5,329</w:t>
            </w:r>
          </w:p>
        </w:tc>
        <w:tc>
          <w:tcPr>
            <w:tcW w:w="0" w:type="dxa"/>
            <w:vAlign w:val="bottom"/>
          </w:tcPr>
          <w:p>
            <w:pPr>
              <w:spacing w:after="0"/>
              <w:rPr>
                <w:sz w:val="1"/>
                <w:szCs w:val="1"/>
                <w:color w:val="auto"/>
              </w:rPr>
            </w:pPr>
          </w:p>
        </w:tc>
      </w:tr>
      <w:tr>
        <w:trPr>
          <w:trHeight w:val="203"/>
        </w:trPr>
        <w:tc>
          <w:tcPr>
            <w:tcW w:w="6720" w:type="dxa"/>
            <w:vAlign w:val="bottom"/>
          </w:tcPr>
          <w:p>
            <w:pPr>
              <w:ind w:left="440"/>
              <w:spacing w:after="0" w:line="202" w:lineRule="exact"/>
              <w:rPr>
                <w:sz w:val="20"/>
                <w:szCs w:val="20"/>
                <w:color w:val="auto"/>
              </w:rPr>
            </w:pPr>
            <w:r>
              <w:rPr>
                <w:rFonts w:ascii="Arial" w:cs="Arial" w:eastAsia="Arial" w:hAnsi="Arial"/>
                <w:sz w:val="18"/>
                <w:szCs w:val="18"/>
                <w:color w:val="auto"/>
              </w:rPr>
              <w:t>Payments related to interest rate swaps included in earnings</w:t>
            </w:r>
          </w:p>
        </w:tc>
        <w:tc>
          <w:tcPr>
            <w:tcW w:w="2080" w:type="dxa"/>
            <w:vAlign w:val="bottom"/>
          </w:tcPr>
          <w:p>
            <w:pPr>
              <w:jc w:val="right"/>
              <w:ind w:right="350"/>
              <w:spacing w:after="0" w:line="202" w:lineRule="exact"/>
              <w:rPr>
                <w:sz w:val="20"/>
                <w:szCs w:val="20"/>
                <w:color w:val="auto"/>
              </w:rPr>
            </w:pPr>
            <w:r>
              <w:rPr>
                <w:rFonts w:ascii="Arial" w:cs="Arial" w:eastAsia="Arial" w:hAnsi="Arial"/>
                <w:sz w:val="18"/>
                <w:szCs w:val="18"/>
                <w:b w:val="1"/>
                <w:bCs w:val="1"/>
                <w:color w:val="auto"/>
              </w:rPr>
              <w:t>2,400</w:t>
            </w:r>
          </w:p>
        </w:tc>
        <w:tc>
          <w:tcPr>
            <w:tcW w:w="144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1,988</w:t>
            </w:r>
          </w:p>
        </w:tc>
        <w:tc>
          <w:tcPr>
            <w:tcW w:w="11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1,914</w:t>
            </w:r>
          </w:p>
        </w:tc>
        <w:tc>
          <w:tcPr>
            <w:tcW w:w="0" w:type="dxa"/>
            <w:vAlign w:val="bottom"/>
          </w:tcPr>
          <w:p>
            <w:pPr>
              <w:spacing w:after="0"/>
              <w:rPr>
                <w:sz w:val="1"/>
                <w:szCs w:val="1"/>
                <w:color w:val="auto"/>
              </w:rPr>
            </w:pPr>
          </w:p>
        </w:tc>
      </w:tr>
      <w:tr>
        <w:trPr>
          <w:trHeight w:val="239"/>
        </w:trPr>
        <w:tc>
          <w:tcPr>
            <w:tcW w:w="6720" w:type="dxa"/>
            <w:vAlign w:val="bottom"/>
          </w:tcPr>
          <w:p>
            <w:pPr>
              <w:ind w:left="440"/>
              <w:spacing w:after="0"/>
              <w:rPr>
                <w:sz w:val="20"/>
                <w:szCs w:val="20"/>
                <w:color w:val="auto"/>
              </w:rPr>
            </w:pPr>
            <w:r>
              <w:rPr>
                <w:rFonts w:ascii="Arial" w:cs="Arial" w:eastAsia="Arial" w:hAnsi="Arial"/>
                <w:sz w:val="18"/>
                <w:szCs w:val="18"/>
                <w:color w:val="auto"/>
              </w:rPr>
              <w:t>Derivative valuation adjustment</w:t>
            </w:r>
          </w:p>
        </w:tc>
        <w:tc>
          <w:tcPr>
            <w:tcW w:w="2080" w:type="dxa"/>
            <w:vAlign w:val="bottom"/>
          </w:tcPr>
          <w:p>
            <w:pPr>
              <w:jc w:val="right"/>
              <w:ind w:right="350"/>
              <w:spacing w:after="0"/>
              <w:rPr>
                <w:sz w:val="20"/>
                <w:szCs w:val="20"/>
                <w:color w:val="auto"/>
              </w:rPr>
            </w:pPr>
            <w:r>
              <w:rPr>
                <w:rFonts w:ascii="Arial" w:cs="Arial" w:eastAsia="Arial" w:hAnsi="Arial"/>
                <w:sz w:val="18"/>
                <w:szCs w:val="18"/>
                <w:b w:val="1"/>
                <w:bCs w:val="1"/>
                <w:color w:val="auto"/>
              </w:rPr>
              <w:t>1,297</w:t>
            </w:r>
          </w:p>
        </w:tc>
        <w:tc>
          <w:tcPr>
            <w:tcW w:w="1440" w:type="dxa"/>
            <w:vAlign w:val="bottom"/>
          </w:tcPr>
          <w:p>
            <w:pPr>
              <w:jc w:val="right"/>
              <w:ind w:right="270"/>
              <w:spacing w:after="0"/>
              <w:rPr>
                <w:sz w:val="20"/>
                <w:szCs w:val="20"/>
                <w:color w:val="auto"/>
              </w:rPr>
            </w:pPr>
            <w:r>
              <w:rPr>
                <w:rFonts w:ascii="Arial" w:cs="Arial" w:eastAsia="Arial" w:hAnsi="Arial"/>
                <w:sz w:val="18"/>
                <w:szCs w:val="18"/>
                <w:color w:val="auto"/>
              </w:rPr>
              <w:t>(2,961)</w:t>
            </w:r>
          </w:p>
        </w:tc>
        <w:tc>
          <w:tcPr>
            <w:tcW w:w="1180" w:type="dxa"/>
            <w:vAlign w:val="bottom"/>
          </w:tcPr>
          <w:p>
            <w:pPr>
              <w:jc w:val="right"/>
              <w:spacing w:after="0"/>
              <w:rPr>
                <w:sz w:val="20"/>
                <w:szCs w:val="20"/>
                <w:color w:val="auto"/>
              </w:rPr>
            </w:pPr>
            <w:r>
              <w:rPr>
                <w:rFonts w:ascii="Arial" w:cs="Arial" w:eastAsia="Arial" w:hAnsi="Arial"/>
                <w:sz w:val="18"/>
                <w:szCs w:val="18"/>
                <w:color w:val="auto"/>
              </w:rPr>
              <w:t>(1,724)</w:t>
            </w:r>
          </w:p>
        </w:tc>
        <w:tc>
          <w:tcPr>
            <w:tcW w:w="0" w:type="dxa"/>
            <w:vAlign w:val="bottom"/>
          </w:tcPr>
          <w:p>
            <w:pPr>
              <w:spacing w:after="0"/>
              <w:rPr>
                <w:sz w:val="1"/>
                <w:szCs w:val="1"/>
                <w:color w:val="auto"/>
              </w:rPr>
            </w:pPr>
          </w:p>
        </w:tc>
      </w:tr>
      <w:tr>
        <w:trPr>
          <w:trHeight w:val="391"/>
        </w:trPr>
        <w:tc>
          <w:tcPr>
            <w:tcW w:w="6720" w:type="dxa"/>
            <w:vAlign w:val="bottom"/>
          </w:tcPr>
          <w:p>
            <w:pPr>
              <w:ind w:left="80"/>
              <w:spacing w:after="0"/>
              <w:rPr>
                <w:sz w:val="20"/>
                <w:szCs w:val="20"/>
                <w:color w:val="auto"/>
              </w:rPr>
            </w:pPr>
            <w:r>
              <w:rPr>
                <w:rFonts w:ascii="Arial" w:cs="Arial" w:eastAsia="Arial" w:hAnsi="Arial"/>
                <w:sz w:val="18"/>
                <w:szCs w:val="18"/>
                <w:color w:val="auto"/>
              </w:rPr>
              <w:t>Income taxes related to items of other comprehensive income/(loss):</w:t>
            </w:r>
          </w:p>
        </w:tc>
        <w:tc>
          <w:tcPr>
            <w:tcW w:w="208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(6)</w:t>
            </w: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6720" w:type="dxa"/>
            <w:vAlign w:val="bottom"/>
          </w:tcPr>
          <w:p>
            <w:pPr>
              <w:ind w:left="440"/>
              <w:spacing w:after="0" w:line="181" w:lineRule="exact"/>
              <w:rPr>
                <w:sz w:val="20"/>
                <w:szCs w:val="20"/>
                <w:color w:val="auto"/>
              </w:rPr>
            </w:pPr>
            <w:r>
              <w:rPr>
                <w:rFonts w:ascii="Arial" w:cs="Arial" w:eastAsia="Arial" w:hAnsi="Arial"/>
                <w:sz w:val="18"/>
                <w:szCs w:val="18"/>
                <w:color w:val="auto"/>
              </w:rPr>
              <w:t>Pension/postretirement settlements and curtailments</w:t>
            </w:r>
          </w:p>
        </w:tc>
        <w:tc>
          <w:tcPr>
            <w:tcW w:w="2080" w:type="dxa"/>
            <w:vAlign w:val="bottom"/>
            <w:vMerge w:val="continue"/>
          </w:tcPr>
          <w:p>
            <w:pPr>
              <w:spacing w:after="0"/>
              <w:rPr>
                <w:sz w:val="15"/>
                <w:szCs w:val="15"/>
                <w:color w:val="auto"/>
              </w:rPr>
            </w:pPr>
          </w:p>
        </w:tc>
        <w:tc>
          <w:tcPr>
            <w:tcW w:w="1440" w:type="dxa"/>
            <w:vAlign w:val="bottom"/>
          </w:tcPr>
          <w:p>
            <w:pPr>
              <w:jc w:val="right"/>
              <w:ind w:right="330"/>
              <w:spacing w:after="0" w:line="181"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181" w:lineRule="exact"/>
              <w:rPr>
                <w:sz w:val="20"/>
                <w:szCs w:val="20"/>
                <w:color w:val="auto"/>
              </w:rPr>
            </w:pPr>
            <w:r>
              <w:rPr>
                <w:rFonts w:ascii="Arial" w:cs="Arial" w:eastAsia="Arial" w:hAnsi="Arial"/>
                <w:sz w:val="18"/>
                <w:szCs w:val="18"/>
                <w:color w:val="auto"/>
              </w:rPr>
              <w:t>(3,210)</w:t>
            </w:r>
          </w:p>
        </w:tc>
        <w:tc>
          <w:tcPr>
            <w:tcW w:w="0" w:type="dxa"/>
            <w:vAlign w:val="bottom"/>
          </w:tcPr>
          <w:p>
            <w:pPr>
              <w:spacing w:after="0"/>
              <w:rPr>
                <w:sz w:val="1"/>
                <w:szCs w:val="1"/>
                <w:color w:val="auto"/>
              </w:rPr>
            </w:pPr>
          </w:p>
        </w:tc>
      </w:tr>
      <w:tr>
        <w:trPr>
          <w:trHeight w:val="203"/>
        </w:trPr>
        <w:tc>
          <w:tcPr>
            <w:tcW w:w="6720" w:type="dxa"/>
            <w:vAlign w:val="bottom"/>
          </w:tcPr>
          <w:p>
            <w:pPr>
              <w:ind w:left="440"/>
              <w:spacing w:after="0" w:line="202" w:lineRule="exact"/>
              <w:rPr>
                <w:sz w:val="20"/>
                <w:szCs w:val="20"/>
                <w:color w:val="auto"/>
              </w:rPr>
            </w:pPr>
            <w:r>
              <w:rPr>
                <w:rFonts w:ascii="Arial" w:cs="Arial" w:eastAsia="Arial" w:hAnsi="Arial"/>
                <w:sz w:val="18"/>
                <w:szCs w:val="18"/>
                <w:color w:val="auto"/>
              </w:rPr>
              <w:t>Pension/postretirement plan remeasurement</w:t>
            </w:r>
          </w:p>
        </w:tc>
        <w:tc>
          <w:tcPr>
            <w:tcW w:w="2080" w:type="dxa"/>
            <w:vAlign w:val="bottom"/>
          </w:tcPr>
          <w:p>
            <w:pPr>
              <w:jc w:val="right"/>
              <w:ind w:right="350"/>
              <w:spacing w:after="0" w:line="202" w:lineRule="exact"/>
              <w:rPr>
                <w:sz w:val="20"/>
                <w:szCs w:val="20"/>
                <w:color w:val="auto"/>
              </w:rPr>
            </w:pPr>
            <w:r>
              <w:rPr>
                <w:rFonts w:ascii="Arial" w:cs="Arial" w:eastAsia="Arial" w:hAnsi="Arial"/>
                <w:sz w:val="18"/>
                <w:szCs w:val="18"/>
                <w:b w:val="1"/>
                <w:bCs w:val="1"/>
                <w:color w:val="auto"/>
              </w:rPr>
              <w:t>1,104</w:t>
            </w:r>
          </w:p>
        </w:tc>
        <w:tc>
          <w:tcPr>
            <w:tcW w:w="144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78</w:t>
            </w:r>
          </w:p>
        </w:tc>
        <w:tc>
          <w:tcPr>
            <w:tcW w:w="11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5,442</w:t>
            </w:r>
          </w:p>
        </w:tc>
        <w:tc>
          <w:tcPr>
            <w:tcW w:w="0" w:type="dxa"/>
            <w:vAlign w:val="bottom"/>
          </w:tcPr>
          <w:p>
            <w:pPr>
              <w:spacing w:after="0"/>
              <w:rPr>
                <w:sz w:val="1"/>
                <w:szCs w:val="1"/>
                <w:color w:val="auto"/>
              </w:rPr>
            </w:pPr>
          </w:p>
        </w:tc>
      </w:tr>
      <w:tr>
        <w:trPr>
          <w:trHeight w:val="203"/>
        </w:trPr>
        <w:tc>
          <w:tcPr>
            <w:tcW w:w="6720" w:type="dxa"/>
            <w:vAlign w:val="bottom"/>
          </w:tcPr>
          <w:p>
            <w:pPr>
              <w:ind w:left="420"/>
              <w:spacing w:after="0" w:line="202" w:lineRule="exact"/>
              <w:rPr>
                <w:sz w:val="20"/>
                <w:szCs w:val="20"/>
                <w:color w:val="auto"/>
              </w:rPr>
            </w:pPr>
            <w:r>
              <w:rPr>
                <w:rFonts w:ascii="Arial" w:cs="Arial" w:eastAsia="Arial" w:hAnsi="Arial"/>
                <w:sz w:val="18"/>
                <w:szCs w:val="18"/>
                <w:color w:val="auto"/>
              </w:rPr>
              <w:t>Amortization of pension liability adjustments</w:t>
            </w:r>
          </w:p>
        </w:tc>
        <w:tc>
          <w:tcPr>
            <w:tcW w:w="2080" w:type="dxa"/>
            <w:vAlign w:val="bottom"/>
          </w:tcPr>
          <w:p>
            <w:pPr>
              <w:jc w:val="right"/>
              <w:ind w:right="350"/>
              <w:spacing w:after="0" w:line="202" w:lineRule="exact"/>
              <w:rPr>
                <w:sz w:val="20"/>
                <w:szCs w:val="20"/>
                <w:color w:val="auto"/>
              </w:rPr>
            </w:pPr>
            <w:r>
              <w:rPr>
                <w:rFonts w:ascii="Arial" w:cs="Arial" w:eastAsia="Arial" w:hAnsi="Arial"/>
                <w:sz w:val="18"/>
                <w:szCs w:val="18"/>
                <w:b w:val="1"/>
                <w:bCs w:val="1"/>
                <w:color w:val="auto"/>
              </w:rPr>
              <w:t>27</w:t>
            </w:r>
          </w:p>
        </w:tc>
        <w:tc>
          <w:tcPr>
            <w:tcW w:w="144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(270)</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03"/>
        </w:trPr>
        <w:tc>
          <w:tcPr>
            <w:tcW w:w="6720" w:type="dxa"/>
            <w:vAlign w:val="bottom"/>
          </w:tcPr>
          <w:p>
            <w:pPr>
              <w:ind w:left="440"/>
              <w:spacing w:after="0" w:line="202" w:lineRule="exact"/>
              <w:rPr>
                <w:sz w:val="20"/>
                <w:szCs w:val="20"/>
                <w:color w:val="auto"/>
              </w:rPr>
            </w:pPr>
            <w:r>
              <w:rPr>
                <w:rFonts w:ascii="Arial" w:cs="Arial" w:eastAsia="Arial" w:hAnsi="Arial"/>
                <w:sz w:val="18"/>
                <w:szCs w:val="18"/>
                <w:color w:val="auto"/>
              </w:rPr>
              <w:t>Payments related to interest rate swaps included in earnings</w:t>
            </w:r>
          </w:p>
        </w:tc>
        <w:tc>
          <w:tcPr>
            <w:tcW w:w="2080" w:type="dxa"/>
            <w:vAlign w:val="bottom"/>
          </w:tcPr>
          <w:p>
            <w:pPr>
              <w:jc w:val="right"/>
              <w:ind w:right="290"/>
              <w:spacing w:after="0" w:line="202" w:lineRule="exact"/>
              <w:rPr>
                <w:sz w:val="20"/>
                <w:szCs w:val="20"/>
                <w:color w:val="auto"/>
              </w:rPr>
            </w:pPr>
            <w:r>
              <w:rPr>
                <w:rFonts w:ascii="Arial" w:cs="Arial" w:eastAsia="Arial" w:hAnsi="Arial"/>
                <w:sz w:val="18"/>
                <w:szCs w:val="18"/>
                <w:b w:val="1"/>
                <w:bCs w:val="1"/>
                <w:color w:val="auto"/>
              </w:rPr>
              <w:t>(912)</w:t>
            </w:r>
          </w:p>
        </w:tc>
        <w:tc>
          <w:tcPr>
            <w:tcW w:w="144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(755)</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25"/>
        </w:trPr>
        <w:tc>
          <w:tcPr>
            <w:tcW w:w="67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Derivative valuation adjustment</w:t>
            </w:r>
          </w:p>
        </w:tc>
        <w:tc>
          <w:tcPr>
            <w:tcW w:w="20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(493)</w:t>
            </w:r>
          </w:p>
        </w:tc>
        <w:tc>
          <w:tcPr>
            <w:tcW w:w="14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1,125</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173"/>
        </w:trPr>
        <w:tc>
          <w:tcPr>
            <w:tcW w:w="6720" w:type="dxa"/>
            <w:vAlign w:val="bottom"/>
          </w:tcPr>
          <w:p>
            <w:pPr>
              <w:ind w:left="40"/>
              <w:spacing w:after="0" w:line="173" w:lineRule="exact"/>
              <w:rPr>
                <w:sz w:val="20"/>
                <w:szCs w:val="20"/>
                <w:color w:val="auto"/>
              </w:rPr>
            </w:pPr>
            <w:r>
              <w:rPr>
                <w:rFonts w:ascii="Arial" w:cs="Arial" w:eastAsia="Arial" w:hAnsi="Arial"/>
                <w:sz w:val="18"/>
                <w:szCs w:val="18"/>
                <w:color w:val="auto"/>
              </w:rPr>
              <w:t>Comprehensive income/(loss)</w:t>
            </w:r>
          </w:p>
        </w:tc>
        <w:tc>
          <w:tcPr>
            <w:tcW w:w="2080" w:type="dxa"/>
            <w:vAlign w:val="bottom"/>
          </w:tcPr>
          <w:p>
            <w:pPr>
              <w:jc w:val="right"/>
              <w:ind w:right="350"/>
              <w:spacing w:after="0" w:line="173" w:lineRule="exact"/>
              <w:rPr>
                <w:sz w:val="20"/>
                <w:szCs w:val="20"/>
                <w:color w:val="auto"/>
              </w:rPr>
            </w:pPr>
            <w:r>
              <w:rPr>
                <w:rFonts w:ascii="Arial" w:cs="Arial" w:eastAsia="Arial" w:hAnsi="Arial"/>
                <w:sz w:val="18"/>
                <w:szCs w:val="18"/>
                <w:b w:val="1"/>
                <w:bCs w:val="1"/>
                <w:color w:val="auto"/>
              </w:rPr>
              <w:t>27,467</w:t>
            </w:r>
          </w:p>
        </w:tc>
        <w:tc>
          <w:tcPr>
            <w:tcW w:w="1440" w:type="dxa"/>
            <w:vAlign w:val="bottom"/>
          </w:tcPr>
          <w:p>
            <w:pPr>
              <w:jc w:val="right"/>
              <w:ind w:right="330"/>
              <w:spacing w:after="0" w:line="173" w:lineRule="exact"/>
              <w:rPr>
                <w:sz w:val="20"/>
                <w:szCs w:val="20"/>
                <w:color w:val="auto"/>
              </w:rPr>
            </w:pPr>
            <w:r>
              <w:rPr>
                <w:rFonts w:ascii="Arial" w:cs="Arial" w:eastAsia="Arial" w:hAnsi="Arial"/>
                <w:sz w:val="18"/>
                <w:szCs w:val="18"/>
                <w:color w:val="auto"/>
              </w:rPr>
              <w:t>6,188</w:t>
            </w:r>
          </w:p>
        </w:tc>
        <w:tc>
          <w:tcPr>
            <w:tcW w:w="1180" w:type="dxa"/>
            <w:vAlign w:val="bottom"/>
          </w:tcPr>
          <w:p>
            <w:pPr>
              <w:jc w:val="right"/>
              <w:spacing w:after="0" w:line="173" w:lineRule="exact"/>
              <w:rPr>
                <w:sz w:val="20"/>
                <w:szCs w:val="20"/>
                <w:color w:val="auto"/>
              </w:rPr>
            </w:pPr>
            <w:r>
              <w:rPr>
                <w:rFonts w:ascii="Arial" w:cs="Arial" w:eastAsia="Arial" w:hAnsi="Arial"/>
                <w:sz w:val="18"/>
                <w:szCs w:val="18"/>
                <w:color w:val="auto"/>
              </w:rPr>
              <w:t>(16,520)</w:t>
            </w:r>
          </w:p>
        </w:tc>
        <w:tc>
          <w:tcPr>
            <w:tcW w:w="0" w:type="dxa"/>
            <w:vAlign w:val="bottom"/>
          </w:tcPr>
          <w:p>
            <w:pPr>
              <w:spacing w:after="0"/>
              <w:rPr>
                <w:sz w:val="1"/>
                <w:szCs w:val="1"/>
                <w:color w:val="auto"/>
              </w:rPr>
            </w:pPr>
          </w:p>
        </w:tc>
      </w:tr>
      <w:tr>
        <w:trPr>
          <w:trHeight w:val="225"/>
        </w:trPr>
        <w:tc>
          <w:tcPr>
            <w:tcW w:w="67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Comprehensive income/(loss) attributable to the noncontrolling interest</w:t>
            </w:r>
          </w:p>
        </w:tc>
        <w:tc>
          <w:tcPr>
            <w:tcW w:w="2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77</w:t>
            </w:r>
          </w:p>
        </w:tc>
        <w:tc>
          <w:tcPr>
            <w:tcW w:w="14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(9)</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03"/>
        </w:trPr>
        <w:tc>
          <w:tcPr>
            <w:tcW w:w="672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Comprehensive income/(loss) attributable to the Company</w:t>
            </w:r>
          </w:p>
        </w:tc>
        <w:tc>
          <w:tcPr>
            <w:tcW w:w="208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$27,390</w:t>
            </w:r>
          </w:p>
        </w:tc>
        <w:tc>
          <w:tcPr>
            <w:tcW w:w="144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color w:val="auto"/>
              </w:rPr>
              <w:t>$6,197</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($16,698)</w:t>
            </w:r>
          </w:p>
        </w:tc>
        <w:tc>
          <w:tcPr>
            <w:tcW w:w="0" w:type="dxa"/>
            <w:vAlign w:val="bottom"/>
          </w:tcPr>
          <w:p>
            <w:pPr>
              <w:spacing w:after="0"/>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0000FF"/>
        </w:rPr>
        <w:t>Albany International Corp.</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line="234" w:lineRule="auto"/>
        <w:rPr>
          <w:sz w:val="20"/>
          <w:szCs w:val="20"/>
          <w:color w:val="auto"/>
        </w:rPr>
      </w:pPr>
      <w:r>
        <w:rPr>
          <w:rFonts w:ascii="Arial" w:cs="Arial" w:eastAsia="Arial" w:hAnsi="Arial"/>
          <w:sz w:val="18"/>
          <w:szCs w:val="18"/>
          <w:b w:val="1"/>
          <w:bCs w:val="1"/>
          <w:color w:val="auto"/>
        </w:rPr>
        <w:t>At December 31,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8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2016</w:t>
            </w:r>
          </w:p>
        </w:tc>
        <w:tc>
          <w:tcPr>
            <w:tcW w:w="15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404"/>
        </w:trPr>
        <w:tc>
          <w:tcPr>
            <w:tcW w:w="786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0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860" w:type="dxa"/>
            <w:vAlign w:val="bottom"/>
          </w:tcPr>
          <w:p>
            <w:pPr>
              <w:ind w:left="40"/>
              <w:spacing w:after="0" w:line="202" w:lineRule="exact"/>
              <w:rPr>
                <w:sz w:val="20"/>
                <w:szCs w:val="20"/>
                <w:color w:val="auto"/>
              </w:rPr>
            </w:pPr>
            <w:r>
              <w:rPr>
                <w:rFonts w:ascii="Arial" w:cs="Arial" w:eastAsia="Arial" w:hAnsi="Arial"/>
                <w:sz w:val="18"/>
                <w:szCs w:val="18"/>
                <w:color w:val="auto"/>
              </w:rPr>
              <w:t>Current assets:</w:t>
            </w:r>
          </w:p>
        </w:tc>
        <w:tc>
          <w:tcPr>
            <w:tcW w:w="202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$181,742</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860" w:type="dxa"/>
            <w:vAlign w:val="bottom"/>
          </w:tcPr>
          <w:p>
            <w:pPr>
              <w:ind w:left="40"/>
              <w:spacing w:after="0" w:line="181" w:lineRule="exact"/>
              <w:rPr>
                <w:sz w:val="20"/>
                <w:szCs w:val="20"/>
                <w:color w:val="auto"/>
              </w:rPr>
            </w:pPr>
            <w:r>
              <w:rPr>
                <w:rFonts w:ascii="Arial" w:cs="Arial" w:eastAsia="Arial" w:hAnsi="Arial"/>
                <w:sz w:val="18"/>
                <w:szCs w:val="18"/>
                <w:color w:val="auto"/>
              </w:rPr>
              <w:t>Cash and cash equivalents</w:t>
            </w:r>
          </w:p>
        </w:tc>
        <w:tc>
          <w:tcPr>
            <w:tcW w:w="2020" w:type="dxa"/>
            <w:vAlign w:val="bottom"/>
            <w:vMerge w:val="continue"/>
          </w:tcPr>
          <w:p>
            <w:pPr>
              <w:spacing w:after="0"/>
              <w:rPr>
                <w:sz w:val="15"/>
                <w:szCs w:val="15"/>
                <w:color w:val="auto"/>
              </w:rPr>
            </w:pPr>
          </w:p>
        </w:tc>
        <w:tc>
          <w:tcPr>
            <w:tcW w:w="1540" w:type="dxa"/>
            <w:vAlign w:val="bottom"/>
          </w:tcPr>
          <w:p>
            <w:pPr>
              <w:jc w:val="right"/>
              <w:ind w:right="10"/>
              <w:spacing w:after="0" w:line="181" w:lineRule="exact"/>
              <w:rPr>
                <w:sz w:val="20"/>
                <w:szCs w:val="20"/>
                <w:color w:val="auto"/>
              </w:rPr>
            </w:pPr>
            <w:r>
              <w:rPr>
                <w:rFonts w:ascii="Arial" w:cs="Arial" w:eastAsia="Arial" w:hAnsi="Arial"/>
                <w:sz w:val="18"/>
                <w:szCs w:val="18"/>
                <w:color w:val="auto"/>
              </w:rPr>
              <w:t>$185,113</w:t>
            </w:r>
          </w:p>
        </w:tc>
        <w:tc>
          <w:tcPr>
            <w:tcW w:w="0" w:type="dxa"/>
            <w:vAlign w:val="bottom"/>
          </w:tcPr>
          <w:p>
            <w:pPr>
              <w:spacing w:after="0"/>
              <w:rPr>
                <w:sz w:val="1"/>
                <w:szCs w:val="1"/>
                <w:color w:val="auto"/>
              </w:rPr>
            </w:pPr>
          </w:p>
        </w:tc>
      </w:tr>
      <w:tr>
        <w:trPr>
          <w:trHeight w:val="203"/>
        </w:trPr>
        <w:tc>
          <w:tcPr>
            <w:tcW w:w="7860" w:type="dxa"/>
            <w:vAlign w:val="bottom"/>
          </w:tcPr>
          <w:p>
            <w:pPr>
              <w:ind w:left="40"/>
              <w:spacing w:after="0" w:line="202" w:lineRule="exact"/>
              <w:rPr>
                <w:sz w:val="20"/>
                <w:szCs w:val="20"/>
                <w:color w:val="auto"/>
              </w:rPr>
            </w:pPr>
            <w:r>
              <w:rPr>
                <w:rFonts w:ascii="Arial" w:cs="Arial" w:eastAsia="Arial" w:hAnsi="Arial"/>
                <w:sz w:val="18"/>
                <w:szCs w:val="18"/>
                <w:color w:val="auto"/>
              </w:rPr>
              <w:t>Accounts receivable, net</w:t>
            </w:r>
          </w:p>
        </w:tc>
        <w:tc>
          <w:tcPr>
            <w:tcW w:w="2020" w:type="dxa"/>
            <w:vAlign w:val="bottom"/>
          </w:tcPr>
          <w:p>
            <w:pPr>
              <w:jc w:val="right"/>
              <w:ind w:right="510"/>
              <w:spacing w:after="0" w:line="202" w:lineRule="exact"/>
              <w:rPr>
                <w:sz w:val="20"/>
                <w:szCs w:val="20"/>
                <w:color w:val="auto"/>
              </w:rPr>
            </w:pPr>
            <w:r>
              <w:rPr>
                <w:rFonts w:ascii="Arial" w:cs="Arial" w:eastAsia="Arial" w:hAnsi="Arial"/>
                <w:sz w:val="18"/>
                <w:szCs w:val="18"/>
                <w:b w:val="1"/>
                <w:bCs w:val="1"/>
                <w:color w:val="auto"/>
              </w:rPr>
              <w:t>171,193</w:t>
            </w:r>
          </w:p>
        </w:tc>
        <w:tc>
          <w:tcPr>
            <w:tcW w:w="15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146,383</w:t>
            </w:r>
          </w:p>
        </w:tc>
        <w:tc>
          <w:tcPr>
            <w:tcW w:w="0" w:type="dxa"/>
            <w:vAlign w:val="bottom"/>
          </w:tcPr>
          <w:p>
            <w:pPr>
              <w:spacing w:after="0"/>
              <w:rPr>
                <w:sz w:val="1"/>
                <w:szCs w:val="1"/>
                <w:color w:val="auto"/>
              </w:rPr>
            </w:pPr>
          </w:p>
        </w:tc>
      </w:tr>
      <w:tr>
        <w:trPr>
          <w:trHeight w:val="203"/>
        </w:trPr>
        <w:tc>
          <w:tcPr>
            <w:tcW w:w="7860" w:type="dxa"/>
            <w:vAlign w:val="bottom"/>
          </w:tcPr>
          <w:p>
            <w:pPr>
              <w:ind w:left="40"/>
              <w:spacing w:after="0" w:line="202" w:lineRule="exact"/>
              <w:rPr>
                <w:sz w:val="20"/>
                <w:szCs w:val="20"/>
                <w:color w:val="auto"/>
              </w:rPr>
            </w:pPr>
            <w:r>
              <w:rPr>
                <w:rFonts w:ascii="Arial" w:cs="Arial" w:eastAsia="Arial" w:hAnsi="Arial"/>
                <w:sz w:val="18"/>
                <w:szCs w:val="18"/>
                <w:color w:val="auto"/>
              </w:rPr>
              <w:t>Inventories</w:t>
            </w:r>
          </w:p>
        </w:tc>
        <w:tc>
          <w:tcPr>
            <w:tcW w:w="2020" w:type="dxa"/>
            <w:vAlign w:val="bottom"/>
          </w:tcPr>
          <w:p>
            <w:pPr>
              <w:jc w:val="right"/>
              <w:ind w:right="510"/>
              <w:spacing w:after="0" w:line="202" w:lineRule="exact"/>
              <w:rPr>
                <w:sz w:val="20"/>
                <w:szCs w:val="20"/>
                <w:color w:val="auto"/>
              </w:rPr>
            </w:pPr>
            <w:r>
              <w:rPr>
                <w:rFonts w:ascii="Arial" w:cs="Arial" w:eastAsia="Arial" w:hAnsi="Arial"/>
                <w:sz w:val="18"/>
                <w:szCs w:val="18"/>
                <w:b w:val="1"/>
                <w:bCs w:val="1"/>
                <w:color w:val="auto"/>
              </w:rPr>
              <w:t>133,906</w:t>
            </w:r>
          </w:p>
        </w:tc>
        <w:tc>
          <w:tcPr>
            <w:tcW w:w="15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106,406</w:t>
            </w:r>
          </w:p>
        </w:tc>
        <w:tc>
          <w:tcPr>
            <w:tcW w:w="0" w:type="dxa"/>
            <w:vAlign w:val="bottom"/>
          </w:tcPr>
          <w:p>
            <w:pPr>
              <w:spacing w:after="0"/>
              <w:rPr>
                <w:sz w:val="1"/>
                <w:szCs w:val="1"/>
                <w:color w:val="auto"/>
              </w:rPr>
            </w:pPr>
          </w:p>
        </w:tc>
      </w:tr>
      <w:tr>
        <w:trPr>
          <w:trHeight w:val="203"/>
        </w:trPr>
        <w:tc>
          <w:tcPr>
            <w:tcW w:w="7860" w:type="dxa"/>
            <w:vAlign w:val="bottom"/>
          </w:tcPr>
          <w:p>
            <w:pPr>
              <w:ind w:left="40"/>
              <w:spacing w:after="0" w:line="202" w:lineRule="exact"/>
              <w:rPr>
                <w:sz w:val="20"/>
                <w:szCs w:val="20"/>
                <w:color w:val="auto"/>
              </w:rPr>
            </w:pPr>
            <w:r>
              <w:rPr>
                <w:rFonts w:ascii="Arial" w:cs="Arial" w:eastAsia="Arial" w:hAnsi="Arial"/>
                <w:sz w:val="18"/>
                <w:szCs w:val="18"/>
                <w:color w:val="auto"/>
              </w:rPr>
              <w:t>Income taxes prepaid and receivable</w:t>
            </w:r>
          </w:p>
        </w:tc>
        <w:tc>
          <w:tcPr>
            <w:tcW w:w="2020" w:type="dxa"/>
            <w:vAlign w:val="bottom"/>
          </w:tcPr>
          <w:p>
            <w:pPr>
              <w:jc w:val="right"/>
              <w:ind w:right="510"/>
              <w:spacing w:after="0" w:line="202" w:lineRule="exact"/>
              <w:rPr>
                <w:sz w:val="20"/>
                <w:szCs w:val="20"/>
                <w:color w:val="auto"/>
              </w:rPr>
            </w:pPr>
            <w:r>
              <w:rPr>
                <w:rFonts w:ascii="Arial" w:cs="Arial" w:eastAsia="Arial" w:hAnsi="Arial"/>
                <w:sz w:val="18"/>
                <w:szCs w:val="18"/>
                <w:b w:val="1"/>
                <w:bCs w:val="1"/>
                <w:color w:val="auto"/>
              </w:rPr>
              <w:t>5,213</w:t>
            </w:r>
          </w:p>
        </w:tc>
        <w:tc>
          <w:tcPr>
            <w:tcW w:w="15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2,927</w:t>
            </w:r>
          </w:p>
        </w:tc>
        <w:tc>
          <w:tcPr>
            <w:tcW w:w="0" w:type="dxa"/>
            <w:vAlign w:val="bottom"/>
          </w:tcPr>
          <w:p>
            <w:pPr>
              <w:spacing w:after="0"/>
              <w:rPr>
                <w:sz w:val="1"/>
                <w:szCs w:val="1"/>
                <w:color w:val="auto"/>
              </w:rPr>
            </w:pPr>
          </w:p>
        </w:tc>
      </w:tr>
      <w:tr>
        <w:trPr>
          <w:trHeight w:val="203"/>
        </w:trPr>
        <w:tc>
          <w:tcPr>
            <w:tcW w:w="7860" w:type="dxa"/>
            <w:vAlign w:val="bottom"/>
          </w:tcPr>
          <w:p>
            <w:pPr>
              <w:ind w:left="40"/>
              <w:spacing w:after="0" w:line="202" w:lineRule="exact"/>
              <w:rPr>
                <w:sz w:val="20"/>
                <w:szCs w:val="20"/>
                <w:color w:val="auto"/>
              </w:rPr>
            </w:pPr>
            <w:r>
              <w:rPr>
                <w:rFonts w:ascii="Arial" w:cs="Arial" w:eastAsia="Arial" w:hAnsi="Arial"/>
                <w:sz w:val="18"/>
                <w:szCs w:val="18"/>
                <w:color w:val="auto"/>
              </w:rPr>
              <w:t>Asset held for sale</w:t>
            </w:r>
          </w:p>
        </w:tc>
        <w:tc>
          <w:tcPr>
            <w:tcW w:w="2020" w:type="dxa"/>
            <w:vAlign w:val="bottom"/>
          </w:tcPr>
          <w:p>
            <w:pPr>
              <w:jc w:val="right"/>
              <w:ind w:right="510"/>
              <w:spacing w:after="0" w:line="202" w:lineRule="exact"/>
              <w:rPr>
                <w:sz w:val="20"/>
                <w:szCs w:val="20"/>
                <w:color w:val="auto"/>
              </w:rPr>
            </w:pPr>
            <w:r>
              <w:rPr>
                <w:rFonts w:ascii="Arial" w:cs="Arial" w:eastAsia="Arial" w:hAnsi="Arial"/>
                <w:sz w:val="18"/>
                <w:szCs w:val="18"/>
                <w:b w:val="1"/>
                <w:bCs w:val="1"/>
                <w:color w:val="auto"/>
              </w:rPr>
              <w:t>-</w:t>
            </w:r>
          </w:p>
        </w:tc>
        <w:tc>
          <w:tcPr>
            <w:tcW w:w="15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4,988</w:t>
            </w:r>
          </w:p>
        </w:tc>
        <w:tc>
          <w:tcPr>
            <w:tcW w:w="0" w:type="dxa"/>
            <w:vAlign w:val="bottom"/>
          </w:tcPr>
          <w:p>
            <w:pPr>
              <w:spacing w:after="0"/>
              <w:rPr>
                <w:sz w:val="1"/>
                <w:szCs w:val="1"/>
                <w:color w:val="auto"/>
              </w:rPr>
            </w:pPr>
          </w:p>
        </w:tc>
      </w:tr>
      <w:tr>
        <w:trPr>
          <w:trHeight w:val="225"/>
        </w:trPr>
        <w:tc>
          <w:tcPr>
            <w:tcW w:w="78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20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9,251</w:t>
            </w: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6,243</w:t>
            </w:r>
          </w:p>
        </w:tc>
        <w:tc>
          <w:tcPr>
            <w:tcW w:w="0" w:type="dxa"/>
            <w:vAlign w:val="bottom"/>
          </w:tcPr>
          <w:p>
            <w:pPr>
              <w:spacing w:after="0"/>
              <w:rPr>
                <w:sz w:val="1"/>
                <w:szCs w:val="1"/>
                <w:color w:val="auto"/>
              </w:rPr>
            </w:pPr>
          </w:p>
        </w:tc>
      </w:tr>
      <w:tr>
        <w:trPr>
          <w:trHeight w:val="232"/>
        </w:trPr>
        <w:tc>
          <w:tcPr>
            <w:tcW w:w="786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2020" w:type="dxa"/>
            <w:vAlign w:val="bottom"/>
          </w:tcPr>
          <w:p>
            <w:pPr>
              <w:jc w:val="right"/>
              <w:ind w:right="510"/>
              <w:spacing w:after="0"/>
              <w:rPr>
                <w:sz w:val="20"/>
                <w:szCs w:val="20"/>
                <w:color w:val="auto"/>
              </w:rPr>
            </w:pPr>
            <w:r>
              <w:rPr>
                <w:rFonts w:ascii="Arial" w:cs="Arial" w:eastAsia="Arial" w:hAnsi="Arial"/>
                <w:sz w:val="18"/>
                <w:szCs w:val="18"/>
                <w:b w:val="1"/>
                <w:bCs w:val="1"/>
                <w:color w:val="auto"/>
              </w:rPr>
              <w:t>501,305</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452,060</w:t>
            </w:r>
          </w:p>
        </w:tc>
        <w:tc>
          <w:tcPr>
            <w:tcW w:w="0" w:type="dxa"/>
            <w:vAlign w:val="bottom"/>
          </w:tcPr>
          <w:p>
            <w:pPr>
              <w:spacing w:after="0"/>
              <w:rPr>
                <w:sz w:val="1"/>
                <w:szCs w:val="1"/>
                <w:color w:val="auto"/>
              </w:rPr>
            </w:pPr>
          </w:p>
        </w:tc>
      </w:tr>
      <w:tr>
        <w:trPr>
          <w:trHeight w:val="346"/>
        </w:trPr>
        <w:tc>
          <w:tcPr>
            <w:tcW w:w="786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020" w:type="dxa"/>
            <w:vAlign w:val="bottom"/>
          </w:tcPr>
          <w:p>
            <w:pPr>
              <w:jc w:val="right"/>
              <w:ind w:right="510"/>
              <w:spacing w:after="0"/>
              <w:rPr>
                <w:sz w:val="20"/>
                <w:szCs w:val="20"/>
                <w:color w:val="auto"/>
              </w:rPr>
            </w:pPr>
            <w:r>
              <w:rPr>
                <w:rFonts w:ascii="Arial" w:cs="Arial" w:eastAsia="Arial" w:hAnsi="Arial"/>
                <w:sz w:val="18"/>
                <w:szCs w:val="18"/>
                <w:b w:val="1"/>
                <w:bCs w:val="1"/>
                <w:color w:val="auto"/>
              </w:rPr>
              <w:t>422,564</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357,470</w:t>
            </w:r>
          </w:p>
        </w:tc>
        <w:tc>
          <w:tcPr>
            <w:tcW w:w="0" w:type="dxa"/>
            <w:vAlign w:val="bottom"/>
          </w:tcPr>
          <w:p>
            <w:pPr>
              <w:spacing w:after="0"/>
              <w:rPr>
                <w:sz w:val="1"/>
                <w:szCs w:val="1"/>
                <w:color w:val="auto"/>
              </w:rPr>
            </w:pPr>
          </w:p>
        </w:tc>
      </w:tr>
      <w:tr>
        <w:trPr>
          <w:trHeight w:val="203"/>
        </w:trPr>
        <w:tc>
          <w:tcPr>
            <w:tcW w:w="7860" w:type="dxa"/>
            <w:vAlign w:val="bottom"/>
          </w:tcPr>
          <w:p>
            <w:pPr>
              <w:ind w:left="40"/>
              <w:spacing w:after="0" w:line="202" w:lineRule="exact"/>
              <w:rPr>
                <w:sz w:val="20"/>
                <w:szCs w:val="20"/>
                <w:color w:val="auto"/>
              </w:rPr>
            </w:pPr>
            <w:r>
              <w:rPr>
                <w:rFonts w:ascii="Arial" w:cs="Arial" w:eastAsia="Arial" w:hAnsi="Arial"/>
                <w:sz w:val="18"/>
                <w:szCs w:val="18"/>
                <w:color w:val="auto"/>
              </w:rPr>
              <w:t>Intangibles, net</w:t>
            </w:r>
          </w:p>
        </w:tc>
        <w:tc>
          <w:tcPr>
            <w:tcW w:w="2020" w:type="dxa"/>
            <w:vAlign w:val="bottom"/>
          </w:tcPr>
          <w:p>
            <w:pPr>
              <w:jc w:val="right"/>
              <w:ind w:right="510"/>
              <w:spacing w:after="0" w:line="202" w:lineRule="exact"/>
              <w:rPr>
                <w:sz w:val="20"/>
                <w:szCs w:val="20"/>
                <w:color w:val="auto"/>
              </w:rPr>
            </w:pPr>
            <w:r>
              <w:rPr>
                <w:rFonts w:ascii="Arial" w:cs="Arial" w:eastAsia="Arial" w:hAnsi="Arial"/>
                <w:sz w:val="18"/>
                <w:szCs w:val="18"/>
                <w:b w:val="1"/>
                <w:bCs w:val="1"/>
                <w:color w:val="auto"/>
              </w:rPr>
              <w:t>66,454</w:t>
            </w:r>
          </w:p>
        </w:tc>
        <w:tc>
          <w:tcPr>
            <w:tcW w:w="15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3"/>
        </w:trPr>
        <w:tc>
          <w:tcPr>
            <w:tcW w:w="7860" w:type="dxa"/>
            <w:vAlign w:val="bottom"/>
          </w:tcPr>
          <w:p>
            <w:pPr>
              <w:ind w:left="40"/>
              <w:spacing w:after="0" w:line="202" w:lineRule="exact"/>
              <w:rPr>
                <w:sz w:val="20"/>
                <w:szCs w:val="20"/>
                <w:color w:val="auto"/>
              </w:rPr>
            </w:pPr>
            <w:r>
              <w:rPr>
                <w:rFonts w:ascii="Arial" w:cs="Arial" w:eastAsia="Arial" w:hAnsi="Arial"/>
                <w:sz w:val="18"/>
                <w:szCs w:val="18"/>
                <w:color w:val="auto"/>
              </w:rPr>
              <w:t>Goodwill</w:t>
            </w:r>
          </w:p>
        </w:tc>
        <w:tc>
          <w:tcPr>
            <w:tcW w:w="2020" w:type="dxa"/>
            <w:vAlign w:val="bottom"/>
          </w:tcPr>
          <w:p>
            <w:pPr>
              <w:jc w:val="right"/>
              <w:ind w:right="510"/>
              <w:spacing w:after="0" w:line="202" w:lineRule="exact"/>
              <w:rPr>
                <w:sz w:val="20"/>
                <w:szCs w:val="20"/>
                <w:color w:val="auto"/>
              </w:rPr>
            </w:pPr>
            <w:r>
              <w:rPr>
                <w:rFonts w:ascii="Arial" w:cs="Arial" w:eastAsia="Arial" w:hAnsi="Arial"/>
                <w:sz w:val="18"/>
                <w:szCs w:val="18"/>
                <w:b w:val="1"/>
                <w:bCs w:val="1"/>
                <w:color w:val="auto"/>
              </w:rPr>
              <w:t>160,375</w:t>
            </w:r>
          </w:p>
        </w:tc>
        <w:tc>
          <w:tcPr>
            <w:tcW w:w="15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66,373</w:t>
            </w:r>
          </w:p>
        </w:tc>
        <w:tc>
          <w:tcPr>
            <w:tcW w:w="0" w:type="dxa"/>
            <w:vAlign w:val="bottom"/>
          </w:tcPr>
          <w:p>
            <w:pPr>
              <w:spacing w:after="0"/>
              <w:rPr>
                <w:sz w:val="1"/>
                <w:szCs w:val="1"/>
                <w:color w:val="auto"/>
              </w:rPr>
            </w:pPr>
          </w:p>
        </w:tc>
      </w:tr>
      <w:tr>
        <w:trPr>
          <w:trHeight w:val="203"/>
        </w:trPr>
        <w:tc>
          <w:tcPr>
            <w:tcW w:w="7860" w:type="dxa"/>
            <w:vAlign w:val="bottom"/>
          </w:tcPr>
          <w:p>
            <w:pPr>
              <w:ind w:left="40"/>
              <w:spacing w:after="0" w:line="202" w:lineRule="exact"/>
              <w:rPr>
                <w:sz w:val="20"/>
                <w:szCs w:val="20"/>
                <w:color w:val="auto"/>
              </w:rPr>
            </w:pPr>
            <w:r>
              <w:rPr>
                <w:rFonts w:ascii="Arial" w:cs="Arial" w:eastAsia="Arial" w:hAnsi="Arial"/>
                <w:sz w:val="18"/>
                <w:szCs w:val="18"/>
                <w:color w:val="auto"/>
              </w:rPr>
              <w:t>Income taxes receivable and deferred</w:t>
            </w:r>
          </w:p>
        </w:tc>
        <w:tc>
          <w:tcPr>
            <w:tcW w:w="2020" w:type="dxa"/>
            <w:vAlign w:val="bottom"/>
          </w:tcPr>
          <w:p>
            <w:pPr>
              <w:jc w:val="right"/>
              <w:ind w:right="510"/>
              <w:spacing w:after="0" w:line="202" w:lineRule="exact"/>
              <w:rPr>
                <w:sz w:val="20"/>
                <w:szCs w:val="20"/>
                <w:color w:val="auto"/>
              </w:rPr>
            </w:pPr>
            <w:r>
              <w:rPr>
                <w:rFonts w:ascii="Arial" w:cs="Arial" w:eastAsia="Arial" w:hAnsi="Arial"/>
                <w:sz w:val="18"/>
                <w:szCs w:val="18"/>
                <w:b w:val="1"/>
                <w:bCs w:val="1"/>
                <w:color w:val="auto"/>
              </w:rPr>
              <w:t>68,865</w:t>
            </w:r>
          </w:p>
        </w:tc>
        <w:tc>
          <w:tcPr>
            <w:tcW w:w="15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108,945</w:t>
            </w:r>
          </w:p>
        </w:tc>
        <w:tc>
          <w:tcPr>
            <w:tcW w:w="0" w:type="dxa"/>
            <w:vAlign w:val="bottom"/>
          </w:tcPr>
          <w:p>
            <w:pPr>
              <w:spacing w:after="0"/>
              <w:rPr>
                <w:sz w:val="1"/>
                <w:szCs w:val="1"/>
                <w:color w:val="auto"/>
              </w:rPr>
            </w:pPr>
          </w:p>
        </w:tc>
      </w:tr>
      <w:tr>
        <w:trPr>
          <w:trHeight w:val="203"/>
        </w:trPr>
        <w:tc>
          <w:tcPr>
            <w:tcW w:w="7860" w:type="dxa"/>
            <w:vAlign w:val="bottom"/>
          </w:tcPr>
          <w:p>
            <w:pPr>
              <w:ind w:left="40"/>
              <w:spacing w:after="0" w:line="202" w:lineRule="exact"/>
              <w:rPr>
                <w:sz w:val="20"/>
                <w:szCs w:val="20"/>
                <w:color w:val="auto"/>
              </w:rPr>
            </w:pPr>
            <w:r>
              <w:rPr>
                <w:rFonts w:ascii="Arial" w:cs="Arial" w:eastAsia="Arial" w:hAnsi="Arial"/>
                <w:sz w:val="18"/>
                <w:szCs w:val="18"/>
                <w:color w:val="auto"/>
              </w:rPr>
              <w:t>Contract receivables</w:t>
            </w:r>
          </w:p>
        </w:tc>
        <w:tc>
          <w:tcPr>
            <w:tcW w:w="2020" w:type="dxa"/>
            <w:vAlign w:val="bottom"/>
          </w:tcPr>
          <w:p>
            <w:pPr>
              <w:jc w:val="right"/>
              <w:ind w:right="510"/>
              <w:spacing w:after="0" w:line="202" w:lineRule="exact"/>
              <w:rPr>
                <w:sz w:val="20"/>
                <w:szCs w:val="20"/>
                <w:color w:val="auto"/>
              </w:rPr>
            </w:pPr>
            <w:r>
              <w:rPr>
                <w:rFonts w:ascii="Arial" w:cs="Arial" w:eastAsia="Arial" w:hAnsi="Arial"/>
                <w:sz w:val="18"/>
                <w:szCs w:val="18"/>
                <w:b w:val="1"/>
                <w:bCs w:val="1"/>
                <w:color w:val="auto"/>
              </w:rPr>
              <w:t>14,045</w:t>
            </w:r>
          </w:p>
        </w:tc>
        <w:tc>
          <w:tcPr>
            <w:tcW w:w="15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78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Other assets</w:t>
            </w:r>
          </w:p>
        </w:tc>
        <w:tc>
          <w:tcPr>
            <w:tcW w:w="20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29,825</w:t>
            </w: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24,560</w:t>
            </w:r>
          </w:p>
        </w:tc>
        <w:tc>
          <w:tcPr>
            <w:tcW w:w="0" w:type="dxa"/>
            <w:vAlign w:val="bottom"/>
          </w:tcPr>
          <w:p>
            <w:pPr>
              <w:spacing w:after="0"/>
              <w:rPr>
                <w:sz w:val="1"/>
                <w:szCs w:val="1"/>
                <w:color w:val="auto"/>
              </w:rPr>
            </w:pPr>
          </w:p>
        </w:tc>
      </w:tr>
      <w:tr>
        <w:trPr>
          <w:trHeight w:val="196"/>
        </w:trPr>
        <w:tc>
          <w:tcPr>
            <w:tcW w:w="7860" w:type="dxa"/>
            <w:vAlign w:val="bottom"/>
            <w:tcBorders>
              <w:bottom w:val="single" w:sz="8" w:color="auto"/>
            </w:tcBorders>
          </w:tcPr>
          <w:p>
            <w:pPr>
              <w:ind w:left="340"/>
              <w:spacing w:after="0" w:line="196" w:lineRule="exact"/>
              <w:rPr>
                <w:sz w:val="20"/>
                <w:szCs w:val="20"/>
                <w:color w:val="auto"/>
              </w:rPr>
            </w:pPr>
            <w:r>
              <w:rPr>
                <w:rFonts w:ascii="Arial" w:cs="Arial" w:eastAsia="Arial" w:hAnsi="Arial"/>
                <w:sz w:val="18"/>
                <w:szCs w:val="18"/>
                <w:color w:val="auto"/>
              </w:rPr>
              <w:t>Total assets</w:t>
            </w:r>
          </w:p>
        </w:tc>
        <w:tc>
          <w:tcPr>
            <w:tcW w:w="202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$1,263,433</w:t>
            </w:r>
          </w:p>
        </w:tc>
        <w:tc>
          <w:tcPr>
            <w:tcW w:w="15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$1,009,562</w:t>
            </w:r>
          </w:p>
        </w:tc>
        <w:tc>
          <w:tcPr>
            <w:tcW w:w="0" w:type="dxa"/>
            <w:vAlign w:val="bottom"/>
          </w:tcPr>
          <w:p>
            <w:pPr>
              <w:spacing w:after="0"/>
              <w:rPr>
                <w:sz w:val="1"/>
                <w:szCs w:val="1"/>
                <w:color w:val="auto"/>
              </w:rPr>
            </w:pPr>
          </w:p>
        </w:tc>
      </w:tr>
      <w:tr>
        <w:trPr>
          <w:trHeight w:val="398"/>
        </w:trPr>
        <w:tc>
          <w:tcPr>
            <w:tcW w:w="786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20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860" w:type="dxa"/>
            <w:vAlign w:val="bottom"/>
          </w:tcPr>
          <w:p>
            <w:pPr>
              <w:ind w:left="40"/>
              <w:spacing w:after="0" w:line="202" w:lineRule="exact"/>
              <w:rPr>
                <w:sz w:val="20"/>
                <w:szCs w:val="20"/>
                <w:color w:val="auto"/>
              </w:rPr>
            </w:pPr>
            <w:r>
              <w:rPr>
                <w:rFonts w:ascii="Arial" w:cs="Arial" w:eastAsia="Arial" w:hAnsi="Arial"/>
                <w:sz w:val="18"/>
                <w:szCs w:val="18"/>
                <w:color w:val="auto"/>
              </w:rPr>
              <w:t>Current liabilities:</w:t>
            </w:r>
          </w:p>
        </w:tc>
        <w:tc>
          <w:tcPr>
            <w:tcW w:w="202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$312</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860" w:type="dxa"/>
            <w:vAlign w:val="bottom"/>
          </w:tcPr>
          <w:p>
            <w:pPr>
              <w:ind w:left="40"/>
              <w:spacing w:after="0" w:line="181" w:lineRule="exact"/>
              <w:rPr>
                <w:sz w:val="20"/>
                <w:szCs w:val="20"/>
                <w:color w:val="auto"/>
              </w:rPr>
            </w:pPr>
            <w:r>
              <w:rPr>
                <w:rFonts w:ascii="Arial" w:cs="Arial" w:eastAsia="Arial" w:hAnsi="Arial"/>
                <w:sz w:val="18"/>
                <w:szCs w:val="18"/>
                <w:color w:val="auto"/>
              </w:rPr>
              <w:t>Notes and loans payable</w:t>
            </w:r>
          </w:p>
        </w:tc>
        <w:tc>
          <w:tcPr>
            <w:tcW w:w="2020" w:type="dxa"/>
            <w:vAlign w:val="bottom"/>
            <w:vMerge w:val="continue"/>
          </w:tcPr>
          <w:p>
            <w:pPr>
              <w:spacing w:after="0"/>
              <w:rPr>
                <w:sz w:val="15"/>
                <w:szCs w:val="15"/>
                <w:color w:val="auto"/>
              </w:rPr>
            </w:pPr>
          </w:p>
        </w:tc>
        <w:tc>
          <w:tcPr>
            <w:tcW w:w="1540" w:type="dxa"/>
            <w:vAlign w:val="bottom"/>
          </w:tcPr>
          <w:p>
            <w:pPr>
              <w:jc w:val="right"/>
              <w:ind w:right="10"/>
              <w:spacing w:after="0" w:line="181" w:lineRule="exact"/>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03"/>
        </w:trPr>
        <w:tc>
          <w:tcPr>
            <w:tcW w:w="7860" w:type="dxa"/>
            <w:vAlign w:val="bottom"/>
          </w:tcPr>
          <w:p>
            <w:pPr>
              <w:ind w:left="40"/>
              <w:spacing w:after="0" w:line="202" w:lineRule="exact"/>
              <w:rPr>
                <w:sz w:val="20"/>
                <w:szCs w:val="20"/>
                <w:color w:val="auto"/>
              </w:rPr>
            </w:pPr>
            <w:r>
              <w:rPr>
                <w:rFonts w:ascii="Arial" w:cs="Arial" w:eastAsia="Arial" w:hAnsi="Arial"/>
                <w:sz w:val="18"/>
                <w:szCs w:val="18"/>
                <w:color w:val="auto"/>
              </w:rPr>
              <w:t>Accounts payable</w:t>
            </w:r>
          </w:p>
        </w:tc>
        <w:tc>
          <w:tcPr>
            <w:tcW w:w="2020" w:type="dxa"/>
            <w:vAlign w:val="bottom"/>
          </w:tcPr>
          <w:p>
            <w:pPr>
              <w:jc w:val="right"/>
              <w:ind w:right="510"/>
              <w:spacing w:after="0" w:line="202" w:lineRule="exact"/>
              <w:rPr>
                <w:sz w:val="20"/>
                <w:szCs w:val="20"/>
                <w:color w:val="auto"/>
              </w:rPr>
            </w:pPr>
            <w:r>
              <w:rPr>
                <w:rFonts w:ascii="Arial" w:cs="Arial" w:eastAsia="Arial" w:hAnsi="Arial"/>
                <w:sz w:val="18"/>
                <w:szCs w:val="18"/>
                <w:b w:val="1"/>
                <w:bCs w:val="1"/>
                <w:color w:val="auto"/>
              </w:rPr>
              <w:t>43,305</w:t>
            </w:r>
          </w:p>
        </w:tc>
        <w:tc>
          <w:tcPr>
            <w:tcW w:w="15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26,753</w:t>
            </w:r>
          </w:p>
        </w:tc>
        <w:tc>
          <w:tcPr>
            <w:tcW w:w="0" w:type="dxa"/>
            <w:vAlign w:val="bottom"/>
          </w:tcPr>
          <w:p>
            <w:pPr>
              <w:spacing w:after="0"/>
              <w:rPr>
                <w:sz w:val="1"/>
                <w:szCs w:val="1"/>
                <w:color w:val="auto"/>
              </w:rPr>
            </w:pPr>
          </w:p>
        </w:tc>
      </w:tr>
      <w:tr>
        <w:trPr>
          <w:trHeight w:val="203"/>
        </w:trPr>
        <w:tc>
          <w:tcPr>
            <w:tcW w:w="7860" w:type="dxa"/>
            <w:vAlign w:val="bottom"/>
          </w:tcPr>
          <w:p>
            <w:pPr>
              <w:ind w:left="40"/>
              <w:spacing w:after="0" w:line="202" w:lineRule="exact"/>
              <w:rPr>
                <w:sz w:val="20"/>
                <w:szCs w:val="20"/>
                <w:color w:val="auto"/>
              </w:rPr>
            </w:pPr>
            <w:r>
              <w:rPr>
                <w:rFonts w:ascii="Arial" w:cs="Arial" w:eastAsia="Arial" w:hAnsi="Arial"/>
                <w:sz w:val="18"/>
                <w:szCs w:val="18"/>
                <w:color w:val="auto"/>
              </w:rPr>
              <w:t>Accrued liabilities</w:t>
            </w:r>
          </w:p>
        </w:tc>
        <w:tc>
          <w:tcPr>
            <w:tcW w:w="2020" w:type="dxa"/>
            <w:vAlign w:val="bottom"/>
          </w:tcPr>
          <w:p>
            <w:pPr>
              <w:jc w:val="right"/>
              <w:ind w:right="510"/>
              <w:spacing w:after="0" w:line="202" w:lineRule="exact"/>
              <w:rPr>
                <w:sz w:val="20"/>
                <w:szCs w:val="20"/>
                <w:color w:val="auto"/>
              </w:rPr>
            </w:pPr>
            <w:r>
              <w:rPr>
                <w:rFonts w:ascii="Arial" w:cs="Arial" w:eastAsia="Arial" w:hAnsi="Arial"/>
                <w:sz w:val="18"/>
                <w:szCs w:val="18"/>
                <w:b w:val="1"/>
                <w:bCs w:val="1"/>
                <w:color w:val="auto"/>
              </w:rPr>
              <w:t>95,195</w:t>
            </w:r>
          </w:p>
        </w:tc>
        <w:tc>
          <w:tcPr>
            <w:tcW w:w="15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91,785</w:t>
            </w:r>
          </w:p>
        </w:tc>
        <w:tc>
          <w:tcPr>
            <w:tcW w:w="0" w:type="dxa"/>
            <w:vAlign w:val="bottom"/>
          </w:tcPr>
          <w:p>
            <w:pPr>
              <w:spacing w:after="0"/>
              <w:rPr>
                <w:sz w:val="1"/>
                <w:szCs w:val="1"/>
                <w:color w:val="auto"/>
              </w:rPr>
            </w:pPr>
          </w:p>
        </w:tc>
      </w:tr>
      <w:tr>
        <w:trPr>
          <w:trHeight w:val="203"/>
        </w:trPr>
        <w:tc>
          <w:tcPr>
            <w:tcW w:w="7860" w:type="dxa"/>
            <w:vAlign w:val="bottom"/>
          </w:tcPr>
          <w:p>
            <w:pPr>
              <w:ind w:left="40"/>
              <w:spacing w:after="0" w:line="202" w:lineRule="exact"/>
              <w:rPr>
                <w:sz w:val="20"/>
                <w:szCs w:val="20"/>
                <w:color w:val="auto"/>
              </w:rPr>
            </w:pPr>
            <w:r>
              <w:rPr>
                <w:rFonts w:ascii="Arial" w:cs="Arial" w:eastAsia="Arial" w:hAnsi="Arial"/>
                <w:sz w:val="18"/>
                <w:szCs w:val="18"/>
                <w:color w:val="auto"/>
              </w:rPr>
              <w:t>Current maturities of long-term debt</w:t>
            </w:r>
          </w:p>
        </w:tc>
        <w:tc>
          <w:tcPr>
            <w:tcW w:w="2020" w:type="dxa"/>
            <w:vAlign w:val="bottom"/>
          </w:tcPr>
          <w:p>
            <w:pPr>
              <w:jc w:val="right"/>
              <w:ind w:right="510"/>
              <w:spacing w:after="0" w:line="202" w:lineRule="exact"/>
              <w:rPr>
                <w:sz w:val="20"/>
                <w:szCs w:val="20"/>
                <w:color w:val="auto"/>
              </w:rPr>
            </w:pPr>
            <w:r>
              <w:rPr>
                <w:rFonts w:ascii="Arial" w:cs="Arial" w:eastAsia="Arial" w:hAnsi="Arial"/>
                <w:sz w:val="18"/>
                <w:szCs w:val="18"/>
                <w:b w:val="1"/>
                <w:bCs w:val="1"/>
                <w:color w:val="auto"/>
              </w:rPr>
              <w:t>51,666</w:t>
            </w:r>
          </w:p>
        </w:tc>
        <w:tc>
          <w:tcPr>
            <w:tcW w:w="15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5"/>
        </w:trPr>
        <w:tc>
          <w:tcPr>
            <w:tcW w:w="78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Income taxes payable</w:t>
            </w:r>
          </w:p>
        </w:tc>
        <w:tc>
          <w:tcPr>
            <w:tcW w:w="20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9,531</w:t>
            </w: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7,090</w:t>
            </w:r>
          </w:p>
        </w:tc>
        <w:tc>
          <w:tcPr>
            <w:tcW w:w="0" w:type="dxa"/>
            <w:vAlign w:val="bottom"/>
          </w:tcPr>
          <w:p>
            <w:pPr>
              <w:spacing w:after="0"/>
              <w:rPr>
                <w:sz w:val="1"/>
                <w:szCs w:val="1"/>
                <w:color w:val="auto"/>
              </w:rPr>
            </w:pPr>
          </w:p>
        </w:tc>
      </w:tr>
      <w:tr>
        <w:trPr>
          <w:trHeight w:val="232"/>
        </w:trPr>
        <w:tc>
          <w:tcPr>
            <w:tcW w:w="786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2020" w:type="dxa"/>
            <w:vAlign w:val="bottom"/>
          </w:tcPr>
          <w:p>
            <w:pPr>
              <w:jc w:val="right"/>
              <w:ind w:right="510"/>
              <w:spacing w:after="0"/>
              <w:rPr>
                <w:sz w:val="20"/>
                <w:szCs w:val="20"/>
                <w:color w:val="auto"/>
              </w:rPr>
            </w:pPr>
            <w:r>
              <w:rPr>
                <w:rFonts w:ascii="Arial" w:cs="Arial" w:eastAsia="Arial" w:hAnsi="Arial"/>
                <w:sz w:val="18"/>
                <w:szCs w:val="18"/>
                <w:b w:val="1"/>
                <w:bCs w:val="1"/>
                <w:color w:val="auto"/>
              </w:rPr>
              <w:t>200,009</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126,231</w:t>
            </w:r>
          </w:p>
        </w:tc>
        <w:tc>
          <w:tcPr>
            <w:tcW w:w="0" w:type="dxa"/>
            <w:vAlign w:val="bottom"/>
          </w:tcPr>
          <w:p>
            <w:pPr>
              <w:spacing w:after="0"/>
              <w:rPr>
                <w:sz w:val="1"/>
                <w:szCs w:val="1"/>
                <w:color w:val="auto"/>
              </w:rPr>
            </w:pPr>
          </w:p>
        </w:tc>
      </w:tr>
      <w:tr>
        <w:trPr>
          <w:trHeight w:val="346"/>
        </w:trPr>
        <w:tc>
          <w:tcPr>
            <w:tcW w:w="786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2020" w:type="dxa"/>
            <w:vAlign w:val="bottom"/>
          </w:tcPr>
          <w:p>
            <w:pPr>
              <w:jc w:val="right"/>
              <w:ind w:right="510"/>
              <w:spacing w:after="0"/>
              <w:rPr>
                <w:sz w:val="20"/>
                <w:szCs w:val="20"/>
                <w:color w:val="auto"/>
              </w:rPr>
            </w:pPr>
            <w:r>
              <w:rPr>
                <w:rFonts w:ascii="Arial" w:cs="Arial" w:eastAsia="Arial" w:hAnsi="Arial"/>
                <w:sz w:val="18"/>
                <w:szCs w:val="18"/>
                <w:b w:val="1"/>
                <w:bCs w:val="1"/>
                <w:color w:val="auto"/>
              </w:rPr>
              <w:t>432,918</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265,080</w:t>
            </w:r>
          </w:p>
        </w:tc>
        <w:tc>
          <w:tcPr>
            <w:tcW w:w="0" w:type="dxa"/>
            <w:vAlign w:val="bottom"/>
          </w:tcPr>
          <w:p>
            <w:pPr>
              <w:spacing w:after="0"/>
              <w:rPr>
                <w:sz w:val="1"/>
                <w:szCs w:val="1"/>
                <w:color w:val="auto"/>
              </w:rPr>
            </w:pPr>
          </w:p>
        </w:tc>
      </w:tr>
      <w:tr>
        <w:trPr>
          <w:trHeight w:val="203"/>
        </w:trPr>
        <w:tc>
          <w:tcPr>
            <w:tcW w:w="7860" w:type="dxa"/>
            <w:vAlign w:val="bottom"/>
          </w:tcPr>
          <w:p>
            <w:pPr>
              <w:ind w:left="40"/>
              <w:spacing w:after="0" w:line="202" w:lineRule="exact"/>
              <w:rPr>
                <w:sz w:val="20"/>
                <w:szCs w:val="20"/>
                <w:color w:val="auto"/>
              </w:rPr>
            </w:pPr>
            <w:r>
              <w:rPr>
                <w:rFonts w:ascii="Arial" w:cs="Arial" w:eastAsia="Arial" w:hAnsi="Arial"/>
                <w:sz w:val="18"/>
                <w:szCs w:val="18"/>
                <w:color w:val="auto"/>
              </w:rPr>
              <w:t>Other noncurrent liabilities</w:t>
            </w:r>
          </w:p>
        </w:tc>
        <w:tc>
          <w:tcPr>
            <w:tcW w:w="2020" w:type="dxa"/>
            <w:vAlign w:val="bottom"/>
          </w:tcPr>
          <w:p>
            <w:pPr>
              <w:jc w:val="right"/>
              <w:ind w:right="510"/>
              <w:spacing w:after="0" w:line="202" w:lineRule="exact"/>
              <w:rPr>
                <w:sz w:val="20"/>
                <w:szCs w:val="20"/>
                <w:color w:val="auto"/>
              </w:rPr>
            </w:pPr>
            <w:r>
              <w:rPr>
                <w:rFonts w:ascii="Arial" w:cs="Arial" w:eastAsia="Arial" w:hAnsi="Arial"/>
                <w:sz w:val="18"/>
                <w:szCs w:val="18"/>
                <w:b w:val="1"/>
                <w:bCs w:val="1"/>
                <w:color w:val="auto"/>
              </w:rPr>
              <w:t>106,827</w:t>
            </w:r>
          </w:p>
        </w:tc>
        <w:tc>
          <w:tcPr>
            <w:tcW w:w="15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101,544</w:t>
            </w:r>
          </w:p>
        </w:tc>
        <w:tc>
          <w:tcPr>
            <w:tcW w:w="0" w:type="dxa"/>
            <w:vAlign w:val="bottom"/>
          </w:tcPr>
          <w:p>
            <w:pPr>
              <w:spacing w:after="0"/>
              <w:rPr>
                <w:sz w:val="1"/>
                <w:szCs w:val="1"/>
                <w:color w:val="auto"/>
              </w:rPr>
            </w:pPr>
          </w:p>
        </w:tc>
      </w:tr>
      <w:tr>
        <w:trPr>
          <w:trHeight w:val="225"/>
        </w:trPr>
        <w:tc>
          <w:tcPr>
            <w:tcW w:w="78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Deferred taxes and other liabilities</w:t>
            </w:r>
          </w:p>
        </w:tc>
        <w:tc>
          <w:tcPr>
            <w:tcW w:w="20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12,389</w:t>
            </w: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14,154</w:t>
            </w:r>
          </w:p>
        </w:tc>
        <w:tc>
          <w:tcPr>
            <w:tcW w:w="0" w:type="dxa"/>
            <w:vAlign w:val="bottom"/>
          </w:tcPr>
          <w:p>
            <w:pPr>
              <w:spacing w:after="0"/>
              <w:rPr>
                <w:sz w:val="1"/>
                <w:szCs w:val="1"/>
                <w:color w:val="auto"/>
              </w:rPr>
            </w:pPr>
          </w:p>
        </w:tc>
      </w:tr>
      <w:tr>
        <w:trPr>
          <w:trHeight w:val="196"/>
        </w:trPr>
        <w:tc>
          <w:tcPr>
            <w:tcW w:w="7860" w:type="dxa"/>
            <w:vAlign w:val="bottom"/>
            <w:tcBorders>
              <w:bottom w:val="single" w:sz="8" w:color="auto"/>
            </w:tcBorders>
          </w:tcPr>
          <w:p>
            <w:pPr>
              <w:ind w:left="340"/>
              <w:spacing w:after="0" w:line="196" w:lineRule="exact"/>
              <w:rPr>
                <w:sz w:val="20"/>
                <w:szCs w:val="20"/>
                <w:color w:val="auto"/>
              </w:rPr>
            </w:pPr>
            <w:r>
              <w:rPr>
                <w:rFonts w:ascii="Arial" w:cs="Arial" w:eastAsia="Arial" w:hAnsi="Arial"/>
                <w:sz w:val="18"/>
                <w:szCs w:val="18"/>
                <w:color w:val="auto"/>
              </w:rPr>
              <w:t>Total liabilities</w:t>
            </w:r>
          </w:p>
        </w:tc>
        <w:tc>
          <w:tcPr>
            <w:tcW w:w="202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752,143</w:t>
            </w:r>
          </w:p>
        </w:tc>
        <w:tc>
          <w:tcPr>
            <w:tcW w:w="15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507,009</w:t>
            </w:r>
          </w:p>
        </w:tc>
        <w:tc>
          <w:tcPr>
            <w:tcW w:w="0" w:type="dxa"/>
            <w:vAlign w:val="bottom"/>
          </w:tcPr>
          <w:p>
            <w:pPr>
              <w:spacing w:after="0"/>
              <w:rPr>
                <w:sz w:val="1"/>
                <w:szCs w:val="1"/>
                <w:color w:val="auto"/>
              </w:rPr>
            </w:pPr>
          </w:p>
        </w:tc>
      </w:tr>
      <w:tr>
        <w:trPr>
          <w:trHeight w:val="412"/>
        </w:trPr>
        <w:tc>
          <w:tcPr>
            <w:tcW w:w="7860" w:type="dxa"/>
            <w:vAlign w:val="bottom"/>
          </w:tcPr>
          <w:p>
            <w:pPr>
              <w:ind w:left="40"/>
              <w:spacing w:after="0"/>
              <w:rPr>
                <w:sz w:val="20"/>
                <w:szCs w:val="20"/>
                <w:color w:val="auto"/>
              </w:rPr>
            </w:pPr>
            <w:r>
              <w:rPr>
                <w:rFonts w:ascii="Arial" w:cs="Arial" w:eastAsia="Arial" w:hAnsi="Arial"/>
                <w:sz w:val="18"/>
                <w:szCs w:val="18"/>
                <w:b w:val="1"/>
                <w:bCs w:val="1"/>
                <w:color w:val="auto"/>
              </w:rPr>
              <w:t>Commitments and Contingencies</w:t>
            </w:r>
          </w:p>
        </w:tc>
        <w:tc>
          <w:tcPr>
            <w:tcW w:w="20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7860" w:type="dxa"/>
            <w:vAlign w:val="bottom"/>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202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860" w:type="dxa"/>
            <w:vAlign w:val="bottom"/>
          </w:tcPr>
          <w:p>
            <w:pPr>
              <w:ind w:left="80"/>
              <w:spacing w:after="0" w:line="202" w:lineRule="exact"/>
              <w:rPr>
                <w:sz w:val="20"/>
                <w:szCs w:val="20"/>
                <w:color w:val="auto"/>
              </w:rPr>
            </w:pPr>
            <w:r>
              <w:rPr>
                <w:rFonts w:ascii="Arial" w:cs="Arial" w:eastAsia="Arial" w:hAnsi="Arial"/>
                <w:sz w:val="18"/>
                <w:szCs w:val="18"/>
                <w:color w:val="auto"/>
              </w:rPr>
              <w:t>Preferred stock, par value $5.00 per share; authorized 2,000,000 shares; none issued</w:t>
            </w:r>
          </w:p>
        </w:tc>
        <w:tc>
          <w:tcPr>
            <w:tcW w:w="2020" w:type="dxa"/>
            <w:vAlign w:val="bottom"/>
            <w:vMerge w:val="continue"/>
          </w:tcPr>
          <w:p>
            <w:pPr>
              <w:spacing w:after="0"/>
              <w:rPr>
                <w:sz w:val="17"/>
                <w:szCs w:val="17"/>
                <w:color w:val="auto"/>
              </w:rPr>
            </w:pPr>
          </w:p>
        </w:tc>
        <w:tc>
          <w:tcPr>
            <w:tcW w:w="15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860" w:type="dxa"/>
            <w:vAlign w:val="bottom"/>
          </w:tcPr>
          <w:p>
            <w:pPr>
              <w:ind w:left="80"/>
              <w:spacing w:after="0" w:line="202" w:lineRule="exact"/>
              <w:rPr>
                <w:sz w:val="20"/>
                <w:szCs w:val="20"/>
                <w:color w:val="auto"/>
              </w:rPr>
            </w:pPr>
            <w:r>
              <w:rPr>
                <w:rFonts w:ascii="Arial" w:cs="Arial" w:eastAsia="Arial" w:hAnsi="Arial"/>
                <w:sz w:val="18"/>
                <w:szCs w:val="18"/>
                <w:color w:val="auto"/>
              </w:rPr>
              <w:t>Class A Common Stock, par value $.001 per share; authorized 100,000,000 shares; issued</w:t>
            </w:r>
          </w:p>
        </w:tc>
        <w:tc>
          <w:tcPr>
            <w:tcW w:w="202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37</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tcPr>
          <w:p>
            <w:pPr>
              <w:ind w:left="40"/>
              <w:spacing w:after="0" w:line="202" w:lineRule="exact"/>
              <w:rPr>
                <w:sz w:val="20"/>
                <w:szCs w:val="20"/>
                <w:color w:val="auto"/>
              </w:rPr>
            </w:pPr>
            <w:r>
              <w:rPr>
                <w:rFonts w:ascii="Arial" w:cs="Arial" w:eastAsia="Arial" w:hAnsi="Arial"/>
                <w:sz w:val="18"/>
                <w:szCs w:val="18"/>
                <w:color w:val="auto"/>
              </w:rPr>
              <w:t>37,319,266 in 2016 and 37,238,913 in 2015</w:t>
            </w:r>
          </w:p>
        </w:tc>
        <w:tc>
          <w:tcPr>
            <w:tcW w:w="2020" w:type="dxa"/>
            <w:vAlign w:val="bottom"/>
            <w:vMerge w:val="continue"/>
          </w:tcPr>
          <w:p>
            <w:pPr>
              <w:spacing w:after="0"/>
              <w:rPr>
                <w:sz w:val="17"/>
                <w:szCs w:val="17"/>
                <w:color w:val="auto"/>
              </w:rPr>
            </w:pPr>
          </w:p>
        </w:tc>
        <w:tc>
          <w:tcPr>
            <w:tcW w:w="15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3"/>
        </w:trPr>
        <w:tc>
          <w:tcPr>
            <w:tcW w:w="7860" w:type="dxa"/>
            <w:vAlign w:val="bottom"/>
          </w:tcPr>
          <w:p>
            <w:pPr>
              <w:ind w:left="80"/>
              <w:spacing w:after="0" w:line="202" w:lineRule="exact"/>
              <w:rPr>
                <w:sz w:val="20"/>
                <w:szCs w:val="20"/>
                <w:color w:val="auto"/>
              </w:rPr>
            </w:pPr>
            <w:r>
              <w:rPr>
                <w:rFonts w:ascii="Arial" w:cs="Arial" w:eastAsia="Arial" w:hAnsi="Arial"/>
                <w:sz w:val="18"/>
                <w:szCs w:val="18"/>
                <w:color w:val="auto"/>
              </w:rPr>
              <w:t>Class B Common Stock, par value $.001 per share; authorized 25,000,000 shares; issued</w:t>
            </w:r>
          </w:p>
        </w:tc>
        <w:tc>
          <w:tcPr>
            <w:tcW w:w="202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3</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860" w:type="dxa"/>
            <w:vAlign w:val="bottom"/>
          </w:tcPr>
          <w:p>
            <w:pPr>
              <w:ind w:left="40"/>
              <w:spacing w:after="0" w:line="181" w:lineRule="exact"/>
              <w:rPr>
                <w:sz w:val="20"/>
                <w:szCs w:val="20"/>
                <w:color w:val="auto"/>
              </w:rPr>
            </w:pPr>
            <w:r>
              <w:rPr>
                <w:rFonts w:ascii="Arial" w:cs="Arial" w:eastAsia="Arial" w:hAnsi="Arial"/>
                <w:sz w:val="18"/>
                <w:szCs w:val="18"/>
                <w:color w:val="auto"/>
              </w:rPr>
              <w:t>and outstanding 3,233,998 in 2016 and 3,235,048 in 2015</w:t>
            </w:r>
          </w:p>
        </w:tc>
        <w:tc>
          <w:tcPr>
            <w:tcW w:w="2020" w:type="dxa"/>
            <w:vAlign w:val="bottom"/>
            <w:vMerge w:val="continue"/>
          </w:tcPr>
          <w:p>
            <w:pPr>
              <w:spacing w:after="0"/>
              <w:rPr>
                <w:sz w:val="15"/>
                <w:szCs w:val="15"/>
                <w:color w:val="auto"/>
              </w:rPr>
            </w:pPr>
          </w:p>
        </w:tc>
        <w:tc>
          <w:tcPr>
            <w:tcW w:w="1540" w:type="dxa"/>
            <w:vAlign w:val="bottom"/>
          </w:tcPr>
          <w:p>
            <w:pPr>
              <w:jc w:val="right"/>
              <w:ind w:right="10"/>
              <w:spacing w:after="0" w:line="181"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7860" w:type="dxa"/>
            <w:vAlign w:val="bottom"/>
          </w:tcPr>
          <w:p>
            <w:pPr>
              <w:ind w:left="40"/>
              <w:spacing w:after="0" w:line="202" w:lineRule="exact"/>
              <w:rPr>
                <w:sz w:val="20"/>
                <w:szCs w:val="20"/>
                <w:color w:val="auto"/>
              </w:rPr>
            </w:pPr>
            <w:r>
              <w:rPr>
                <w:rFonts w:ascii="Arial" w:cs="Arial" w:eastAsia="Arial" w:hAnsi="Arial"/>
                <w:sz w:val="18"/>
                <w:szCs w:val="18"/>
                <w:color w:val="auto"/>
              </w:rPr>
              <w:t>Additional paid-in capital</w:t>
            </w:r>
          </w:p>
        </w:tc>
        <w:tc>
          <w:tcPr>
            <w:tcW w:w="2020" w:type="dxa"/>
            <w:vAlign w:val="bottom"/>
          </w:tcPr>
          <w:p>
            <w:pPr>
              <w:jc w:val="right"/>
              <w:ind w:right="510"/>
              <w:spacing w:after="0" w:line="202" w:lineRule="exact"/>
              <w:rPr>
                <w:sz w:val="20"/>
                <w:szCs w:val="20"/>
                <w:color w:val="auto"/>
              </w:rPr>
            </w:pPr>
            <w:r>
              <w:rPr>
                <w:rFonts w:ascii="Arial" w:cs="Arial" w:eastAsia="Arial" w:hAnsi="Arial"/>
                <w:sz w:val="18"/>
                <w:szCs w:val="18"/>
                <w:b w:val="1"/>
                <w:bCs w:val="1"/>
                <w:color w:val="auto"/>
              </w:rPr>
              <w:t>425,953</w:t>
            </w:r>
          </w:p>
        </w:tc>
        <w:tc>
          <w:tcPr>
            <w:tcW w:w="15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423,108</w:t>
            </w:r>
          </w:p>
        </w:tc>
        <w:tc>
          <w:tcPr>
            <w:tcW w:w="0" w:type="dxa"/>
            <w:vAlign w:val="bottom"/>
          </w:tcPr>
          <w:p>
            <w:pPr>
              <w:spacing w:after="0"/>
              <w:rPr>
                <w:sz w:val="1"/>
                <w:szCs w:val="1"/>
                <w:color w:val="auto"/>
              </w:rPr>
            </w:pPr>
          </w:p>
        </w:tc>
      </w:tr>
      <w:tr>
        <w:trPr>
          <w:trHeight w:val="225"/>
        </w:trPr>
        <w:tc>
          <w:tcPr>
            <w:tcW w:w="7860" w:type="dxa"/>
            <w:vAlign w:val="bottom"/>
          </w:tcPr>
          <w:p>
            <w:pPr>
              <w:ind w:left="40"/>
              <w:spacing w:after="0"/>
              <w:rPr>
                <w:sz w:val="20"/>
                <w:szCs w:val="20"/>
                <w:color w:val="auto"/>
              </w:rPr>
            </w:pPr>
            <w:r>
              <w:rPr>
                <w:rFonts w:ascii="Arial" w:cs="Arial" w:eastAsia="Arial" w:hAnsi="Arial"/>
                <w:sz w:val="18"/>
                <w:szCs w:val="18"/>
                <w:color w:val="auto"/>
              </w:rPr>
              <w:t>Retained earnings</w:t>
            </w:r>
          </w:p>
        </w:tc>
        <w:tc>
          <w:tcPr>
            <w:tcW w:w="2020" w:type="dxa"/>
            <w:vAlign w:val="bottom"/>
          </w:tcPr>
          <w:p>
            <w:pPr>
              <w:jc w:val="right"/>
              <w:ind w:right="510"/>
              <w:spacing w:after="0"/>
              <w:rPr>
                <w:sz w:val="20"/>
                <w:szCs w:val="20"/>
                <w:color w:val="auto"/>
              </w:rPr>
            </w:pPr>
            <w:r>
              <w:rPr>
                <w:rFonts w:ascii="Arial" w:cs="Arial" w:eastAsia="Arial" w:hAnsi="Arial"/>
                <w:sz w:val="18"/>
                <w:szCs w:val="18"/>
                <w:b w:val="1"/>
                <w:bCs w:val="1"/>
                <w:color w:val="auto"/>
              </w:rPr>
              <w:t>522,855</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491,950</w:t>
            </w:r>
          </w:p>
        </w:tc>
        <w:tc>
          <w:tcPr>
            <w:tcW w:w="0" w:type="dxa"/>
            <w:vAlign w:val="bottom"/>
          </w:tcPr>
          <w:p>
            <w:pPr>
              <w:spacing w:after="0"/>
              <w:rPr>
                <w:sz w:val="1"/>
                <w:szCs w:val="1"/>
                <w:color w:val="auto"/>
              </w:rPr>
            </w:pPr>
          </w:p>
        </w:tc>
      </w:tr>
      <w:tr>
        <w:trPr>
          <w:trHeight w:val="203"/>
        </w:trPr>
        <w:tc>
          <w:tcPr>
            <w:tcW w:w="7860" w:type="dxa"/>
            <w:vAlign w:val="bottom"/>
          </w:tcPr>
          <w:p>
            <w:pPr>
              <w:ind w:left="40"/>
              <w:spacing w:after="0" w:line="202" w:lineRule="exact"/>
              <w:rPr>
                <w:sz w:val="20"/>
                <w:szCs w:val="20"/>
                <w:color w:val="auto"/>
              </w:rPr>
            </w:pPr>
            <w:r>
              <w:rPr>
                <w:rFonts w:ascii="Arial" w:cs="Arial" w:eastAsia="Arial" w:hAnsi="Arial"/>
                <w:sz w:val="18"/>
                <w:szCs w:val="18"/>
                <w:color w:val="auto"/>
              </w:rPr>
              <w:t>Accumulated items of other comprehensive income:</w:t>
            </w:r>
          </w:p>
        </w:tc>
        <w:tc>
          <w:tcPr>
            <w:tcW w:w="202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(133,298)</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860" w:type="dxa"/>
            <w:vAlign w:val="bottom"/>
          </w:tcPr>
          <w:p>
            <w:pPr>
              <w:ind w:left="280"/>
              <w:spacing w:after="0" w:line="181" w:lineRule="exact"/>
              <w:rPr>
                <w:sz w:val="20"/>
                <w:szCs w:val="20"/>
                <w:color w:val="auto"/>
              </w:rPr>
            </w:pPr>
            <w:r>
              <w:rPr>
                <w:rFonts w:ascii="Arial" w:cs="Arial" w:eastAsia="Arial" w:hAnsi="Arial"/>
                <w:sz w:val="18"/>
                <w:szCs w:val="18"/>
                <w:color w:val="auto"/>
              </w:rPr>
              <w:t>Translation adjustments</w:t>
            </w:r>
          </w:p>
        </w:tc>
        <w:tc>
          <w:tcPr>
            <w:tcW w:w="2020" w:type="dxa"/>
            <w:vAlign w:val="bottom"/>
            <w:vMerge w:val="continue"/>
          </w:tcPr>
          <w:p>
            <w:pPr>
              <w:spacing w:after="0"/>
              <w:rPr>
                <w:sz w:val="15"/>
                <w:szCs w:val="15"/>
                <w:color w:val="auto"/>
              </w:rPr>
            </w:pPr>
          </w:p>
        </w:tc>
        <w:tc>
          <w:tcPr>
            <w:tcW w:w="1540" w:type="dxa"/>
            <w:vAlign w:val="bottom"/>
          </w:tcPr>
          <w:p>
            <w:pPr>
              <w:jc w:val="right"/>
              <w:spacing w:after="0" w:line="181" w:lineRule="exact"/>
              <w:rPr>
                <w:sz w:val="20"/>
                <w:szCs w:val="20"/>
                <w:color w:val="auto"/>
              </w:rPr>
            </w:pPr>
            <w:r>
              <w:rPr>
                <w:rFonts w:ascii="Arial" w:cs="Arial" w:eastAsia="Arial" w:hAnsi="Arial"/>
                <w:sz w:val="18"/>
                <w:szCs w:val="18"/>
                <w:color w:val="auto"/>
              </w:rPr>
              <w:t>(108,655)</w:t>
            </w:r>
          </w:p>
        </w:tc>
        <w:tc>
          <w:tcPr>
            <w:tcW w:w="0" w:type="dxa"/>
            <w:vAlign w:val="bottom"/>
          </w:tcPr>
          <w:p>
            <w:pPr>
              <w:spacing w:after="0"/>
              <w:rPr>
                <w:sz w:val="1"/>
                <w:szCs w:val="1"/>
                <w:color w:val="auto"/>
              </w:rPr>
            </w:pPr>
          </w:p>
        </w:tc>
      </w:tr>
      <w:tr>
        <w:trPr>
          <w:trHeight w:val="203"/>
        </w:trPr>
        <w:tc>
          <w:tcPr>
            <w:tcW w:w="7860" w:type="dxa"/>
            <w:vAlign w:val="bottom"/>
          </w:tcPr>
          <w:p>
            <w:pPr>
              <w:ind w:left="280"/>
              <w:spacing w:after="0" w:line="202" w:lineRule="exact"/>
              <w:rPr>
                <w:sz w:val="20"/>
                <w:szCs w:val="20"/>
                <w:color w:val="auto"/>
              </w:rPr>
            </w:pPr>
            <w:r>
              <w:rPr>
                <w:rFonts w:ascii="Arial" w:cs="Arial" w:eastAsia="Arial" w:hAnsi="Arial"/>
                <w:sz w:val="18"/>
                <w:szCs w:val="18"/>
                <w:color w:val="auto"/>
              </w:rPr>
              <w:t>Pension and postretirement liability adjustments</w:t>
            </w:r>
          </w:p>
        </w:tc>
        <w:tc>
          <w:tcPr>
            <w:tcW w:w="2020" w:type="dxa"/>
            <w:vAlign w:val="bottom"/>
          </w:tcPr>
          <w:p>
            <w:pPr>
              <w:jc w:val="right"/>
              <w:ind w:right="450"/>
              <w:spacing w:after="0" w:line="202" w:lineRule="exact"/>
              <w:rPr>
                <w:sz w:val="20"/>
                <w:szCs w:val="20"/>
                <w:color w:val="auto"/>
              </w:rPr>
            </w:pPr>
            <w:r>
              <w:rPr>
                <w:rFonts w:ascii="Arial" w:cs="Arial" w:eastAsia="Arial" w:hAnsi="Arial"/>
                <w:sz w:val="18"/>
                <w:szCs w:val="18"/>
                <w:b w:val="1"/>
                <w:bCs w:val="1"/>
                <w:color w:val="auto"/>
              </w:rPr>
              <w:t>(51,719)</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(48,725)</w:t>
            </w:r>
          </w:p>
        </w:tc>
        <w:tc>
          <w:tcPr>
            <w:tcW w:w="0" w:type="dxa"/>
            <w:vAlign w:val="bottom"/>
          </w:tcPr>
          <w:p>
            <w:pPr>
              <w:spacing w:after="0"/>
              <w:rPr>
                <w:sz w:val="1"/>
                <w:szCs w:val="1"/>
                <w:color w:val="auto"/>
              </w:rPr>
            </w:pPr>
          </w:p>
        </w:tc>
      </w:tr>
      <w:tr>
        <w:trPr>
          <w:trHeight w:val="203"/>
        </w:trPr>
        <w:tc>
          <w:tcPr>
            <w:tcW w:w="7860" w:type="dxa"/>
            <w:vAlign w:val="bottom"/>
          </w:tcPr>
          <w:p>
            <w:pPr>
              <w:ind w:left="280"/>
              <w:spacing w:after="0" w:line="202" w:lineRule="exact"/>
              <w:rPr>
                <w:sz w:val="20"/>
                <w:szCs w:val="20"/>
                <w:color w:val="auto"/>
              </w:rPr>
            </w:pPr>
            <w:r>
              <w:rPr>
                <w:rFonts w:ascii="Arial" w:cs="Arial" w:eastAsia="Arial" w:hAnsi="Arial"/>
                <w:sz w:val="18"/>
                <w:szCs w:val="18"/>
                <w:color w:val="auto"/>
              </w:rPr>
              <w:t>Derivative valuation adjustment</w:t>
            </w:r>
          </w:p>
        </w:tc>
        <w:tc>
          <w:tcPr>
            <w:tcW w:w="2020" w:type="dxa"/>
            <w:vAlign w:val="bottom"/>
          </w:tcPr>
          <w:p>
            <w:pPr>
              <w:jc w:val="right"/>
              <w:ind w:right="510"/>
              <w:spacing w:after="0" w:line="202" w:lineRule="exact"/>
              <w:rPr>
                <w:sz w:val="20"/>
                <w:szCs w:val="20"/>
                <w:color w:val="auto"/>
              </w:rPr>
            </w:pPr>
            <w:r>
              <w:rPr>
                <w:rFonts w:ascii="Arial" w:cs="Arial" w:eastAsia="Arial" w:hAnsi="Arial"/>
                <w:sz w:val="18"/>
                <w:szCs w:val="18"/>
                <w:b w:val="1"/>
                <w:bCs w:val="1"/>
                <w:color w:val="auto"/>
              </w:rPr>
              <w:t>828</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25"/>
        </w:trPr>
        <w:tc>
          <w:tcPr>
            <w:tcW w:w="78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Treasury stock (Class A), at cost; 8,443,444 shares in 2016 and 8,455,293 shares in 2015</w:t>
            </w:r>
          </w:p>
        </w:tc>
        <w:tc>
          <w:tcPr>
            <w:tcW w:w="20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(257,136)</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(257,391)</w:t>
            </w:r>
          </w:p>
        </w:tc>
        <w:tc>
          <w:tcPr>
            <w:tcW w:w="0" w:type="dxa"/>
            <w:vAlign w:val="bottom"/>
          </w:tcPr>
          <w:p>
            <w:pPr>
              <w:spacing w:after="0"/>
              <w:rPr>
                <w:sz w:val="1"/>
                <w:szCs w:val="1"/>
                <w:color w:val="auto"/>
              </w:rPr>
            </w:pPr>
          </w:p>
        </w:tc>
      </w:tr>
      <w:tr>
        <w:trPr>
          <w:trHeight w:val="173"/>
        </w:trPr>
        <w:tc>
          <w:tcPr>
            <w:tcW w:w="7860" w:type="dxa"/>
            <w:vAlign w:val="bottom"/>
          </w:tcPr>
          <w:p>
            <w:pPr>
              <w:ind w:left="540"/>
              <w:spacing w:after="0" w:line="173" w:lineRule="exact"/>
              <w:rPr>
                <w:sz w:val="20"/>
                <w:szCs w:val="20"/>
                <w:color w:val="auto"/>
              </w:rPr>
            </w:pPr>
            <w:r>
              <w:rPr>
                <w:rFonts w:ascii="Arial" w:cs="Arial" w:eastAsia="Arial" w:hAnsi="Arial"/>
                <w:sz w:val="18"/>
                <w:szCs w:val="18"/>
                <w:color w:val="auto"/>
              </w:rPr>
              <w:t>Total Company shareholders' equity</w:t>
            </w:r>
          </w:p>
        </w:tc>
        <w:tc>
          <w:tcPr>
            <w:tcW w:w="2020" w:type="dxa"/>
            <w:vAlign w:val="bottom"/>
          </w:tcPr>
          <w:p>
            <w:pPr>
              <w:jc w:val="right"/>
              <w:ind w:right="510"/>
              <w:spacing w:after="0" w:line="173" w:lineRule="exact"/>
              <w:rPr>
                <w:sz w:val="20"/>
                <w:szCs w:val="20"/>
                <w:color w:val="auto"/>
              </w:rPr>
            </w:pPr>
            <w:r>
              <w:rPr>
                <w:rFonts w:ascii="Arial" w:cs="Arial" w:eastAsia="Arial" w:hAnsi="Arial"/>
                <w:sz w:val="18"/>
                <w:szCs w:val="18"/>
                <w:b w:val="1"/>
                <w:bCs w:val="1"/>
                <w:color w:val="auto"/>
              </w:rPr>
              <w:t>507,523</w:t>
            </w:r>
          </w:p>
        </w:tc>
        <w:tc>
          <w:tcPr>
            <w:tcW w:w="1540" w:type="dxa"/>
            <w:vAlign w:val="bottom"/>
          </w:tcPr>
          <w:p>
            <w:pPr>
              <w:jc w:val="right"/>
              <w:ind w:right="10"/>
              <w:spacing w:after="0" w:line="173" w:lineRule="exact"/>
              <w:rPr>
                <w:sz w:val="20"/>
                <w:szCs w:val="20"/>
                <w:color w:val="auto"/>
              </w:rPr>
            </w:pPr>
            <w:r>
              <w:rPr>
                <w:rFonts w:ascii="Arial" w:cs="Arial" w:eastAsia="Arial" w:hAnsi="Arial"/>
                <w:sz w:val="18"/>
                <w:szCs w:val="18"/>
                <w:color w:val="auto"/>
              </w:rPr>
              <w:t>498,863</w:t>
            </w:r>
          </w:p>
        </w:tc>
        <w:tc>
          <w:tcPr>
            <w:tcW w:w="0" w:type="dxa"/>
            <w:vAlign w:val="bottom"/>
          </w:tcPr>
          <w:p>
            <w:pPr>
              <w:spacing w:after="0"/>
              <w:rPr>
                <w:sz w:val="1"/>
                <w:szCs w:val="1"/>
                <w:color w:val="auto"/>
              </w:rPr>
            </w:pPr>
          </w:p>
        </w:tc>
      </w:tr>
      <w:tr>
        <w:trPr>
          <w:trHeight w:val="203"/>
        </w:trPr>
        <w:tc>
          <w:tcPr>
            <w:tcW w:w="7860" w:type="dxa"/>
            <w:vAlign w:val="bottom"/>
          </w:tcPr>
          <w:p>
            <w:pPr>
              <w:ind w:left="40"/>
              <w:spacing w:after="0" w:line="202" w:lineRule="exact"/>
              <w:rPr>
                <w:sz w:val="20"/>
                <w:szCs w:val="20"/>
                <w:color w:val="auto"/>
              </w:rPr>
            </w:pPr>
            <w:r>
              <w:rPr>
                <w:rFonts w:ascii="Arial" w:cs="Arial" w:eastAsia="Arial" w:hAnsi="Arial"/>
                <w:sz w:val="18"/>
                <w:szCs w:val="18"/>
                <w:color w:val="auto"/>
              </w:rPr>
              <w:t>Noncontrolling interest</w:t>
            </w:r>
          </w:p>
        </w:tc>
        <w:tc>
          <w:tcPr>
            <w:tcW w:w="2020" w:type="dxa"/>
            <w:vAlign w:val="bottom"/>
          </w:tcPr>
          <w:p>
            <w:pPr>
              <w:jc w:val="right"/>
              <w:ind w:right="510"/>
              <w:spacing w:after="0" w:line="202" w:lineRule="exact"/>
              <w:rPr>
                <w:sz w:val="20"/>
                <w:szCs w:val="20"/>
                <w:color w:val="auto"/>
              </w:rPr>
            </w:pPr>
            <w:r>
              <w:rPr>
                <w:rFonts w:ascii="Arial" w:cs="Arial" w:eastAsia="Arial" w:hAnsi="Arial"/>
                <w:sz w:val="18"/>
                <w:szCs w:val="18"/>
                <w:b w:val="1"/>
                <w:bCs w:val="1"/>
                <w:color w:val="auto"/>
              </w:rPr>
              <w:t>3,767</w:t>
            </w:r>
          </w:p>
        </w:tc>
        <w:tc>
          <w:tcPr>
            <w:tcW w:w="15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3,690</w:t>
            </w:r>
          </w:p>
        </w:tc>
        <w:tc>
          <w:tcPr>
            <w:tcW w:w="0" w:type="dxa"/>
            <w:vAlign w:val="bottom"/>
          </w:tcPr>
          <w:p>
            <w:pPr>
              <w:spacing w:after="0"/>
              <w:rPr>
                <w:sz w:val="1"/>
                <w:szCs w:val="1"/>
                <w:color w:val="auto"/>
              </w:rPr>
            </w:pPr>
          </w:p>
        </w:tc>
      </w:tr>
      <w:tr>
        <w:trPr>
          <w:trHeight w:val="225"/>
        </w:trPr>
        <w:tc>
          <w:tcPr>
            <w:tcW w:w="78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 Equity</w:t>
            </w:r>
          </w:p>
        </w:tc>
        <w:tc>
          <w:tcPr>
            <w:tcW w:w="20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511,290</w:t>
            </w: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502,553</w:t>
            </w:r>
          </w:p>
        </w:tc>
        <w:tc>
          <w:tcPr>
            <w:tcW w:w="0" w:type="dxa"/>
            <w:vAlign w:val="bottom"/>
          </w:tcPr>
          <w:p>
            <w:pPr>
              <w:spacing w:after="0"/>
              <w:rPr>
                <w:sz w:val="1"/>
                <w:szCs w:val="1"/>
                <w:color w:val="auto"/>
              </w:rPr>
            </w:pPr>
          </w:p>
        </w:tc>
      </w:tr>
      <w:tr>
        <w:trPr>
          <w:trHeight w:val="203"/>
        </w:trPr>
        <w:tc>
          <w:tcPr>
            <w:tcW w:w="7860" w:type="dxa"/>
            <w:vAlign w:val="bottom"/>
            <w:tcBorders>
              <w:bottom w:val="single" w:sz="8" w:color="auto"/>
            </w:tcBorders>
          </w:tcPr>
          <w:p>
            <w:pPr>
              <w:ind w:left="540"/>
              <w:spacing w:after="0" w:line="196" w:lineRule="exact"/>
              <w:rPr>
                <w:sz w:val="20"/>
                <w:szCs w:val="20"/>
                <w:color w:val="auto"/>
              </w:rPr>
            </w:pPr>
            <w:r>
              <w:rPr>
                <w:rFonts w:ascii="Arial" w:cs="Arial" w:eastAsia="Arial" w:hAnsi="Arial"/>
                <w:sz w:val="18"/>
                <w:szCs w:val="18"/>
                <w:color w:val="auto"/>
              </w:rPr>
              <w:t>Total liabilities and shareholders' equity</w:t>
            </w:r>
          </w:p>
        </w:tc>
        <w:tc>
          <w:tcPr>
            <w:tcW w:w="202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$1,263,433</w:t>
            </w:r>
          </w:p>
        </w:tc>
        <w:tc>
          <w:tcPr>
            <w:tcW w:w="15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$1,009,562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11220"/>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34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0000FF"/>
        </w:rPr>
        <w:t>Albany International Corp.</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line="234" w:lineRule="auto"/>
        <w:rPr>
          <w:sz w:val="20"/>
          <w:szCs w:val="20"/>
          <w:color w:val="auto"/>
        </w:rPr>
      </w:pPr>
      <w:r>
        <w:rPr>
          <w:rFonts w:ascii="Arial" w:cs="Arial" w:eastAsia="Arial" w:hAnsi="Arial"/>
          <w:sz w:val="18"/>
          <w:szCs w:val="18"/>
          <w:b w:val="1"/>
          <w:bCs w:val="1"/>
          <w:color w:val="auto"/>
        </w:rPr>
        <w:t>For the years ended December 31,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0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5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404"/>
        </w:trPr>
        <w:tc>
          <w:tcPr>
            <w:tcW w:w="7040" w:type="dxa"/>
            <w:vAlign w:val="bottom"/>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62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$52,812</w:t>
            </w:r>
          </w:p>
        </w:tc>
        <w:tc>
          <w:tcPr>
            <w:tcW w:w="1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040" w:type="dxa"/>
            <w:vAlign w:val="bottom"/>
          </w:tcPr>
          <w:p>
            <w:pPr>
              <w:ind w:left="40"/>
              <w:spacing w:after="0" w:line="202" w:lineRule="exact"/>
              <w:rPr>
                <w:sz w:val="20"/>
                <w:szCs w:val="20"/>
                <w:color w:val="auto"/>
              </w:rPr>
            </w:pPr>
            <w:r>
              <w:rPr>
                <w:rFonts w:ascii="Arial" w:cs="Arial" w:eastAsia="Arial" w:hAnsi="Arial"/>
                <w:sz w:val="18"/>
                <w:szCs w:val="18"/>
                <w:color w:val="auto"/>
              </w:rPr>
              <w:t>Net income</w:t>
            </w:r>
          </w:p>
        </w:tc>
        <w:tc>
          <w:tcPr>
            <w:tcW w:w="1620" w:type="dxa"/>
            <w:vAlign w:val="bottom"/>
            <w:vMerge w:val="continue"/>
          </w:tcPr>
          <w:p>
            <w:pPr>
              <w:spacing w:after="0"/>
              <w:rPr>
                <w:sz w:val="17"/>
                <w:szCs w:val="17"/>
                <w:color w:val="auto"/>
              </w:rPr>
            </w:pPr>
          </w:p>
        </w:tc>
        <w:tc>
          <w:tcPr>
            <w:tcW w:w="154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$57,265</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$41,749</w:t>
            </w:r>
          </w:p>
        </w:tc>
        <w:tc>
          <w:tcPr>
            <w:tcW w:w="0" w:type="dxa"/>
            <w:vAlign w:val="bottom"/>
          </w:tcPr>
          <w:p>
            <w:pPr>
              <w:spacing w:after="0"/>
              <w:rPr>
                <w:sz w:val="1"/>
                <w:szCs w:val="1"/>
                <w:color w:val="auto"/>
              </w:rPr>
            </w:pPr>
          </w:p>
        </w:tc>
      </w:tr>
      <w:tr>
        <w:trPr>
          <w:trHeight w:val="203"/>
        </w:trPr>
        <w:tc>
          <w:tcPr>
            <w:tcW w:w="7040" w:type="dxa"/>
            <w:vAlign w:val="bottom"/>
          </w:tcPr>
          <w:p>
            <w:pPr>
              <w:ind w:left="40"/>
              <w:spacing w:after="0" w:line="202" w:lineRule="exact"/>
              <w:rPr>
                <w:sz w:val="20"/>
                <w:szCs w:val="20"/>
                <w:color w:val="auto"/>
              </w:rPr>
            </w:pPr>
            <w:r>
              <w:rPr>
                <w:rFonts w:ascii="Arial" w:cs="Arial" w:eastAsia="Arial" w:hAnsi="Arial"/>
                <w:sz w:val="18"/>
                <w:szCs w:val="18"/>
                <w:color w:val="auto"/>
              </w:rPr>
              <w:t>Adjustments to reconcile net income to net cash provided by operating activities:</w:t>
            </w:r>
          </w:p>
        </w:tc>
        <w:tc>
          <w:tcPr>
            <w:tcW w:w="162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58,106</w:t>
            </w:r>
          </w:p>
        </w:tc>
        <w:tc>
          <w:tcPr>
            <w:tcW w:w="15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040" w:type="dxa"/>
            <w:vAlign w:val="bottom"/>
          </w:tcPr>
          <w:p>
            <w:pPr>
              <w:ind w:left="180"/>
              <w:spacing w:after="0" w:line="181" w:lineRule="exact"/>
              <w:rPr>
                <w:sz w:val="20"/>
                <w:szCs w:val="20"/>
                <w:color w:val="auto"/>
              </w:rPr>
            </w:pPr>
            <w:r>
              <w:rPr>
                <w:rFonts w:ascii="Arial" w:cs="Arial" w:eastAsia="Arial" w:hAnsi="Arial"/>
                <w:sz w:val="18"/>
                <w:szCs w:val="18"/>
                <w:color w:val="auto"/>
              </w:rPr>
              <w:t>Depreciation</w:t>
            </w:r>
          </w:p>
        </w:tc>
        <w:tc>
          <w:tcPr>
            <w:tcW w:w="1620" w:type="dxa"/>
            <w:vAlign w:val="bottom"/>
            <w:vMerge w:val="continue"/>
          </w:tcPr>
          <w:p>
            <w:pPr>
              <w:spacing w:after="0"/>
              <w:rPr>
                <w:sz w:val="15"/>
                <w:szCs w:val="15"/>
                <w:color w:val="auto"/>
              </w:rPr>
            </w:pPr>
          </w:p>
        </w:tc>
        <w:tc>
          <w:tcPr>
            <w:tcW w:w="1540" w:type="dxa"/>
            <w:vAlign w:val="bottom"/>
          </w:tcPr>
          <w:p>
            <w:pPr>
              <w:jc w:val="right"/>
              <w:ind w:right="330"/>
              <w:spacing w:after="0" w:line="181" w:lineRule="exact"/>
              <w:rPr>
                <w:sz w:val="20"/>
                <w:szCs w:val="20"/>
                <w:color w:val="auto"/>
              </w:rPr>
            </w:pPr>
            <w:r>
              <w:rPr>
                <w:rFonts w:ascii="Arial" w:cs="Arial" w:eastAsia="Arial" w:hAnsi="Arial"/>
                <w:sz w:val="18"/>
                <w:szCs w:val="18"/>
                <w:color w:val="auto"/>
              </w:rPr>
              <w:t>52,974</w:t>
            </w:r>
          </w:p>
        </w:tc>
        <w:tc>
          <w:tcPr>
            <w:tcW w:w="1220" w:type="dxa"/>
            <w:vAlign w:val="bottom"/>
          </w:tcPr>
          <w:p>
            <w:pPr>
              <w:jc w:val="right"/>
              <w:ind w:right="10"/>
              <w:spacing w:after="0" w:line="181" w:lineRule="exact"/>
              <w:rPr>
                <w:sz w:val="20"/>
                <w:szCs w:val="20"/>
                <w:color w:val="auto"/>
              </w:rPr>
            </w:pPr>
            <w:r>
              <w:rPr>
                <w:rFonts w:ascii="Arial" w:cs="Arial" w:eastAsia="Arial" w:hAnsi="Arial"/>
                <w:sz w:val="18"/>
                <w:szCs w:val="18"/>
                <w:color w:val="auto"/>
              </w:rPr>
              <w:t>56,575</w:t>
            </w:r>
          </w:p>
        </w:tc>
        <w:tc>
          <w:tcPr>
            <w:tcW w:w="0" w:type="dxa"/>
            <w:vAlign w:val="bottom"/>
          </w:tcPr>
          <w:p>
            <w:pPr>
              <w:spacing w:after="0"/>
              <w:rPr>
                <w:sz w:val="1"/>
                <w:szCs w:val="1"/>
                <w:color w:val="auto"/>
              </w:rPr>
            </w:pPr>
          </w:p>
        </w:tc>
      </w:tr>
      <w:tr>
        <w:trPr>
          <w:trHeight w:val="203"/>
        </w:trPr>
        <w:tc>
          <w:tcPr>
            <w:tcW w:w="7040" w:type="dxa"/>
            <w:vAlign w:val="bottom"/>
          </w:tcPr>
          <w:p>
            <w:pPr>
              <w:ind w:left="180"/>
              <w:spacing w:after="0" w:line="202" w:lineRule="exact"/>
              <w:rPr>
                <w:sz w:val="20"/>
                <w:szCs w:val="20"/>
                <w:color w:val="auto"/>
              </w:rPr>
            </w:pPr>
            <w:r>
              <w:rPr>
                <w:rFonts w:ascii="Arial" w:cs="Arial" w:eastAsia="Arial" w:hAnsi="Arial"/>
                <w:sz w:val="18"/>
                <w:szCs w:val="18"/>
                <w:color w:val="auto"/>
              </w:rPr>
              <w:t>Amortization</w:t>
            </w:r>
          </w:p>
        </w:tc>
        <w:tc>
          <w:tcPr>
            <w:tcW w:w="162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9,355</w:t>
            </w:r>
          </w:p>
        </w:tc>
        <w:tc>
          <w:tcPr>
            <w:tcW w:w="154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7,140</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7,717</w:t>
            </w:r>
          </w:p>
        </w:tc>
        <w:tc>
          <w:tcPr>
            <w:tcW w:w="0" w:type="dxa"/>
            <w:vAlign w:val="bottom"/>
          </w:tcPr>
          <w:p>
            <w:pPr>
              <w:spacing w:after="0"/>
              <w:rPr>
                <w:sz w:val="1"/>
                <w:szCs w:val="1"/>
                <w:color w:val="auto"/>
              </w:rPr>
            </w:pPr>
          </w:p>
        </w:tc>
      </w:tr>
      <w:tr>
        <w:trPr>
          <w:trHeight w:val="203"/>
        </w:trPr>
        <w:tc>
          <w:tcPr>
            <w:tcW w:w="7040" w:type="dxa"/>
            <w:vAlign w:val="bottom"/>
          </w:tcPr>
          <w:p>
            <w:pPr>
              <w:ind w:left="180"/>
              <w:spacing w:after="0" w:line="202" w:lineRule="exact"/>
              <w:rPr>
                <w:sz w:val="20"/>
                <w:szCs w:val="20"/>
                <w:color w:val="auto"/>
              </w:rPr>
            </w:pPr>
            <w:r>
              <w:rPr>
                <w:rFonts w:ascii="Arial" w:cs="Arial" w:eastAsia="Arial" w:hAnsi="Arial"/>
                <w:sz w:val="18"/>
                <w:szCs w:val="18"/>
                <w:color w:val="auto"/>
              </w:rPr>
              <w:t>Change in other noncurrent liabilities</w:t>
            </w:r>
          </w:p>
        </w:tc>
        <w:tc>
          <w:tcPr>
            <w:tcW w:w="1620" w:type="dxa"/>
            <w:vAlign w:val="bottom"/>
          </w:tcPr>
          <w:p>
            <w:pPr>
              <w:jc w:val="right"/>
              <w:ind w:right="270"/>
              <w:spacing w:after="0" w:line="202" w:lineRule="exact"/>
              <w:rPr>
                <w:sz w:val="20"/>
                <w:szCs w:val="20"/>
                <w:color w:val="auto"/>
              </w:rPr>
            </w:pPr>
            <w:r>
              <w:rPr>
                <w:rFonts w:ascii="Arial" w:cs="Arial" w:eastAsia="Arial" w:hAnsi="Arial"/>
                <w:sz w:val="18"/>
                <w:szCs w:val="18"/>
                <w:b w:val="1"/>
                <w:bCs w:val="1"/>
                <w:color w:val="auto"/>
              </w:rPr>
              <w:t>(6,504)</w:t>
            </w:r>
          </w:p>
        </w:tc>
        <w:tc>
          <w:tcPr>
            <w:tcW w:w="154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2,159</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(12,246)</w:t>
            </w:r>
          </w:p>
        </w:tc>
        <w:tc>
          <w:tcPr>
            <w:tcW w:w="0" w:type="dxa"/>
            <w:vAlign w:val="bottom"/>
          </w:tcPr>
          <w:p>
            <w:pPr>
              <w:spacing w:after="0"/>
              <w:rPr>
                <w:sz w:val="1"/>
                <w:szCs w:val="1"/>
                <w:color w:val="auto"/>
              </w:rPr>
            </w:pPr>
          </w:p>
        </w:tc>
      </w:tr>
      <w:tr>
        <w:trPr>
          <w:trHeight w:val="203"/>
        </w:trPr>
        <w:tc>
          <w:tcPr>
            <w:tcW w:w="7040" w:type="dxa"/>
            <w:vAlign w:val="bottom"/>
          </w:tcPr>
          <w:p>
            <w:pPr>
              <w:ind w:left="180"/>
              <w:spacing w:after="0" w:line="202" w:lineRule="exact"/>
              <w:rPr>
                <w:sz w:val="20"/>
                <w:szCs w:val="20"/>
                <w:color w:val="auto"/>
              </w:rPr>
            </w:pPr>
            <w:r>
              <w:rPr>
                <w:rFonts w:ascii="Arial" w:cs="Arial" w:eastAsia="Arial" w:hAnsi="Arial"/>
                <w:sz w:val="18"/>
                <w:szCs w:val="18"/>
                <w:color w:val="auto"/>
              </w:rPr>
              <w:t>Change in deferred taxes and other liabilities</w:t>
            </w:r>
          </w:p>
        </w:tc>
        <w:tc>
          <w:tcPr>
            <w:tcW w:w="162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5,889</w:t>
            </w:r>
          </w:p>
        </w:tc>
        <w:tc>
          <w:tcPr>
            <w:tcW w:w="154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(29,517)</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1,521</w:t>
            </w:r>
          </w:p>
        </w:tc>
        <w:tc>
          <w:tcPr>
            <w:tcW w:w="0" w:type="dxa"/>
            <w:vAlign w:val="bottom"/>
          </w:tcPr>
          <w:p>
            <w:pPr>
              <w:spacing w:after="0"/>
              <w:rPr>
                <w:sz w:val="1"/>
                <w:szCs w:val="1"/>
                <w:color w:val="auto"/>
              </w:rPr>
            </w:pPr>
          </w:p>
        </w:tc>
      </w:tr>
      <w:tr>
        <w:trPr>
          <w:trHeight w:val="203"/>
        </w:trPr>
        <w:tc>
          <w:tcPr>
            <w:tcW w:w="7040" w:type="dxa"/>
            <w:vAlign w:val="bottom"/>
          </w:tcPr>
          <w:p>
            <w:pPr>
              <w:ind w:left="180"/>
              <w:spacing w:after="0" w:line="202" w:lineRule="exact"/>
              <w:rPr>
                <w:sz w:val="20"/>
                <w:szCs w:val="20"/>
                <w:color w:val="auto"/>
              </w:rPr>
            </w:pPr>
            <w:r>
              <w:rPr>
                <w:rFonts w:ascii="Arial" w:cs="Arial" w:eastAsia="Arial" w:hAnsi="Arial"/>
                <w:sz w:val="18"/>
                <w:szCs w:val="18"/>
                <w:color w:val="auto"/>
              </w:rPr>
              <w:t>Provision for write-off of property, plant and equipment</w:t>
            </w:r>
          </w:p>
        </w:tc>
        <w:tc>
          <w:tcPr>
            <w:tcW w:w="162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2,778</w:t>
            </w:r>
          </w:p>
        </w:tc>
        <w:tc>
          <w:tcPr>
            <w:tcW w:w="154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867</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1,915</w:t>
            </w:r>
          </w:p>
        </w:tc>
        <w:tc>
          <w:tcPr>
            <w:tcW w:w="0" w:type="dxa"/>
            <w:vAlign w:val="bottom"/>
          </w:tcPr>
          <w:p>
            <w:pPr>
              <w:spacing w:after="0"/>
              <w:rPr>
                <w:sz w:val="1"/>
                <w:szCs w:val="1"/>
                <w:color w:val="auto"/>
              </w:rPr>
            </w:pPr>
          </w:p>
        </w:tc>
      </w:tr>
      <w:tr>
        <w:trPr>
          <w:trHeight w:val="203"/>
        </w:trPr>
        <w:tc>
          <w:tcPr>
            <w:tcW w:w="7040" w:type="dxa"/>
            <w:vAlign w:val="bottom"/>
          </w:tcPr>
          <w:p>
            <w:pPr>
              <w:ind w:left="180"/>
              <w:spacing w:after="0" w:line="202" w:lineRule="exact"/>
              <w:rPr>
                <w:sz w:val="20"/>
                <w:szCs w:val="20"/>
                <w:color w:val="auto"/>
              </w:rPr>
            </w:pPr>
            <w:r>
              <w:rPr>
                <w:rFonts w:ascii="Arial" w:cs="Arial" w:eastAsia="Arial" w:hAnsi="Arial"/>
                <w:sz w:val="18"/>
                <w:szCs w:val="18"/>
                <w:color w:val="auto"/>
              </w:rPr>
              <w:t>Fair value adjustment on available-for-sale assets</w:t>
            </w:r>
          </w:p>
        </w:tc>
        <w:tc>
          <w:tcPr>
            <w:tcW w:w="162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w:t>
            </w:r>
          </w:p>
        </w:tc>
        <w:tc>
          <w:tcPr>
            <w:tcW w:w="154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3,212</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040" w:type="dxa"/>
            <w:vAlign w:val="bottom"/>
          </w:tcPr>
          <w:p>
            <w:pPr>
              <w:ind w:left="180"/>
              <w:spacing w:after="0" w:line="202" w:lineRule="exact"/>
              <w:rPr>
                <w:sz w:val="20"/>
                <w:szCs w:val="20"/>
                <w:color w:val="auto"/>
              </w:rPr>
            </w:pPr>
            <w:r>
              <w:rPr>
                <w:rFonts w:ascii="Arial" w:cs="Arial" w:eastAsia="Arial" w:hAnsi="Arial"/>
                <w:sz w:val="18"/>
                <w:szCs w:val="18"/>
                <w:color w:val="auto"/>
              </w:rPr>
              <w:t>Gain on disposition or involuntary conversion of assets</w:t>
            </w:r>
          </w:p>
        </w:tc>
        <w:tc>
          <w:tcPr>
            <w:tcW w:w="162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w:t>
            </w:r>
          </w:p>
        </w:tc>
        <w:tc>
          <w:tcPr>
            <w:tcW w:w="154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(1,056)</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r>
        <w:trPr>
          <w:trHeight w:val="203"/>
        </w:trPr>
        <w:tc>
          <w:tcPr>
            <w:tcW w:w="7040" w:type="dxa"/>
            <w:vAlign w:val="bottom"/>
          </w:tcPr>
          <w:p>
            <w:pPr>
              <w:ind w:left="180"/>
              <w:spacing w:after="0" w:line="202" w:lineRule="exact"/>
              <w:rPr>
                <w:sz w:val="20"/>
                <w:szCs w:val="20"/>
                <w:color w:val="auto"/>
              </w:rPr>
            </w:pPr>
            <w:r>
              <w:rPr>
                <w:rFonts w:ascii="Arial" w:cs="Arial" w:eastAsia="Arial" w:hAnsi="Arial"/>
                <w:sz w:val="18"/>
                <w:szCs w:val="18"/>
                <w:color w:val="auto"/>
              </w:rPr>
              <w:t>Excess tax benefit of options exercised</w:t>
            </w:r>
          </w:p>
        </w:tc>
        <w:tc>
          <w:tcPr>
            <w:tcW w:w="1620" w:type="dxa"/>
            <w:vAlign w:val="bottom"/>
          </w:tcPr>
          <w:p>
            <w:pPr>
              <w:jc w:val="right"/>
              <w:ind w:right="270"/>
              <w:spacing w:after="0" w:line="202" w:lineRule="exact"/>
              <w:rPr>
                <w:sz w:val="20"/>
                <w:szCs w:val="20"/>
                <w:color w:val="auto"/>
              </w:rPr>
            </w:pPr>
            <w:r>
              <w:rPr>
                <w:rFonts w:ascii="Arial" w:cs="Arial" w:eastAsia="Arial" w:hAnsi="Arial"/>
                <w:sz w:val="18"/>
                <w:szCs w:val="18"/>
                <w:b w:val="1"/>
                <w:bCs w:val="1"/>
                <w:color w:val="auto"/>
              </w:rPr>
              <w:t>(150)</w:t>
            </w:r>
          </w:p>
        </w:tc>
        <w:tc>
          <w:tcPr>
            <w:tcW w:w="154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(624)</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03"/>
        </w:trPr>
        <w:tc>
          <w:tcPr>
            <w:tcW w:w="7040" w:type="dxa"/>
            <w:vAlign w:val="bottom"/>
          </w:tcPr>
          <w:p>
            <w:pPr>
              <w:ind w:left="180"/>
              <w:spacing w:after="0" w:line="202" w:lineRule="exact"/>
              <w:rPr>
                <w:sz w:val="20"/>
                <w:szCs w:val="20"/>
                <w:color w:val="auto"/>
              </w:rPr>
            </w:pPr>
            <w:r>
              <w:rPr>
                <w:rFonts w:ascii="Arial" w:cs="Arial" w:eastAsia="Arial" w:hAnsi="Arial"/>
                <w:sz w:val="18"/>
                <w:szCs w:val="18"/>
                <w:color w:val="auto"/>
              </w:rPr>
              <w:t>Non-cash interest expense</w:t>
            </w:r>
          </w:p>
        </w:tc>
        <w:tc>
          <w:tcPr>
            <w:tcW w:w="162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564</w:t>
            </w:r>
          </w:p>
        </w:tc>
        <w:tc>
          <w:tcPr>
            <w:tcW w:w="154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040" w:type="dxa"/>
            <w:vAlign w:val="bottom"/>
          </w:tcPr>
          <w:p>
            <w:pPr>
              <w:ind w:left="180"/>
              <w:spacing w:after="0" w:line="202" w:lineRule="exact"/>
              <w:rPr>
                <w:sz w:val="20"/>
                <w:szCs w:val="20"/>
                <w:color w:val="auto"/>
              </w:rPr>
            </w:pPr>
            <w:r>
              <w:rPr>
                <w:rFonts w:ascii="Arial" w:cs="Arial" w:eastAsia="Arial" w:hAnsi="Arial"/>
                <w:sz w:val="18"/>
                <w:szCs w:val="18"/>
                <w:color w:val="auto"/>
              </w:rPr>
              <w:t>Write-off of pension liability adjustment due to settlement</w:t>
            </w:r>
          </w:p>
        </w:tc>
        <w:tc>
          <w:tcPr>
            <w:tcW w:w="162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51</w:t>
            </w:r>
          </w:p>
        </w:tc>
        <w:tc>
          <w:tcPr>
            <w:tcW w:w="154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103</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8,331</w:t>
            </w:r>
          </w:p>
        </w:tc>
        <w:tc>
          <w:tcPr>
            <w:tcW w:w="0" w:type="dxa"/>
            <w:vAlign w:val="bottom"/>
          </w:tcPr>
          <w:p>
            <w:pPr>
              <w:spacing w:after="0"/>
              <w:rPr>
                <w:sz w:val="1"/>
                <w:szCs w:val="1"/>
                <w:color w:val="auto"/>
              </w:rPr>
            </w:pPr>
          </w:p>
        </w:tc>
      </w:tr>
      <w:tr>
        <w:trPr>
          <w:trHeight w:val="225"/>
        </w:trPr>
        <w:tc>
          <w:tcPr>
            <w:tcW w:w="7040" w:type="dxa"/>
            <w:vAlign w:val="bottom"/>
          </w:tcPr>
          <w:p>
            <w:pPr>
              <w:ind w:left="180"/>
              <w:spacing w:after="0"/>
              <w:rPr>
                <w:sz w:val="20"/>
                <w:szCs w:val="20"/>
                <w:color w:val="auto"/>
              </w:rPr>
            </w:pPr>
            <w:r>
              <w:rPr>
                <w:rFonts w:ascii="Arial" w:cs="Arial" w:eastAsia="Arial" w:hAnsi="Arial"/>
                <w:sz w:val="18"/>
                <w:szCs w:val="18"/>
                <w:color w:val="auto"/>
              </w:rPr>
              <w:t>Compensation and benefits paid or payable in Class A Common Stock</w:t>
            </w:r>
          </w:p>
        </w:tc>
        <w:tc>
          <w:tcPr>
            <w:tcW w:w="1620" w:type="dxa"/>
            <w:vAlign w:val="bottom"/>
          </w:tcPr>
          <w:p>
            <w:pPr>
              <w:jc w:val="right"/>
              <w:ind w:right="330"/>
              <w:spacing w:after="0"/>
              <w:rPr>
                <w:sz w:val="20"/>
                <w:szCs w:val="20"/>
                <w:color w:val="auto"/>
              </w:rPr>
            </w:pPr>
            <w:r>
              <w:rPr>
                <w:rFonts w:ascii="Arial" w:cs="Arial" w:eastAsia="Arial" w:hAnsi="Arial"/>
                <w:sz w:val="18"/>
                <w:szCs w:val="18"/>
                <w:b w:val="1"/>
                <w:bCs w:val="1"/>
                <w:color w:val="auto"/>
              </w:rPr>
              <w:t>2,433</w:t>
            </w:r>
          </w:p>
        </w:tc>
        <w:tc>
          <w:tcPr>
            <w:tcW w:w="1540" w:type="dxa"/>
            <w:vAlign w:val="bottom"/>
          </w:tcPr>
          <w:p>
            <w:pPr>
              <w:jc w:val="right"/>
              <w:ind w:right="330"/>
              <w:spacing w:after="0"/>
              <w:rPr>
                <w:sz w:val="20"/>
                <w:szCs w:val="20"/>
                <w:color w:val="auto"/>
              </w:rPr>
            </w:pPr>
            <w:r>
              <w:rPr>
                <w:rFonts w:ascii="Arial" w:cs="Arial" w:eastAsia="Arial" w:hAnsi="Arial"/>
                <w:sz w:val="18"/>
                <w:szCs w:val="18"/>
                <w:color w:val="auto"/>
              </w:rPr>
              <w:t>1,707</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1,384</w:t>
            </w:r>
          </w:p>
        </w:tc>
        <w:tc>
          <w:tcPr>
            <w:tcW w:w="0" w:type="dxa"/>
            <w:vAlign w:val="bottom"/>
          </w:tcPr>
          <w:p>
            <w:pPr>
              <w:spacing w:after="0"/>
              <w:rPr>
                <w:sz w:val="1"/>
                <w:szCs w:val="1"/>
                <w:color w:val="auto"/>
              </w:rPr>
            </w:pPr>
          </w:p>
        </w:tc>
      </w:tr>
      <w:tr>
        <w:trPr>
          <w:trHeight w:val="203"/>
        </w:trPr>
        <w:tc>
          <w:tcPr>
            <w:tcW w:w="7040" w:type="dxa"/>
            <w:vAlign w:val="bottom"/>
          </w:tcPr>
          <w:p>
            <w:pPr>
              <w:ind w:left="40"/>
              <w:spacing w:after="0" w:line="202" w:lineRule="exact"/>
              <w:rPr>
                <w:sz w:val="20"/>
                <w:szCs w:val="20"/>
                <w:color w:val="auto"/>
              </w:rPr>
            </w:pPr>
            <w:r>
              <w:rPr>
                <w:rFonts w:ascii="Arial" w:cs="Arial" w:eastAsia="Arial" w:hAnsi="Arial"/>
                <w:sz w:val="18"/>
                <w:szCs w:val="18"/>
                <w:color w:val="auto"/>
              </w:rPr>
              <w:t>Changes in operating assets and liabilities that provide/(use) cash, net of impact of</w:t>
            </w:r>
          </w:p>
        </w:tc>
        <w:tc>
          <w:tcPr>
            <w:tcW w:w="16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40" w:type="dxa"/>
            <w:vAlign w:val="bottom"/>
          </w:tcPr>
          <w:p>
            <w:pPr>
              <w:ind w:left="40"/>
              <w:spacing w:after="0" w:line="202" w:lineRule="exact"/>
              <w:rPr>
                <w:sz w:val="20"/>
                <w:szCs w:val="20"/>
                <w:color w:val="auto"/>
              </w:rPr>
            </w:pPr>
            <w:r>
              <w:rPr>
                <w:rFonts w:ascii="Arial" w:cs="Arial" w:eastAsia="Arial" w:hAnsi="Arial"/>
                <w:sz w:val="18"/>
                <w:szCs w:val="18"/>
                <w:color w:val="auto"/>
              </w:rPr>
              <w:t>business acquisition:</w:t>
            </w:r>
          </w:p>
        </w:tc>
        <w:tc>
          <w:tcPr>
            <w:tcW w:w="162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(12,697)</w:t>
            </w:r>
          </w:p>
        </w:tc>
        <w:tc>
          <w:tcPr>
            <w:tcW w:w="15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040" w:type="dxa"/>
            <w:vAlign w:val="bottom"/>
          </w:tcPr>
          <w:p>
            <w:pPr>
              <w:ind w:left="180"/>
              <w:spacing w:after="0" w:line="181" w:lineRule="exact"/>
              <w:rPr>
                <w:sz w:val="20"/>
                <w:szCs w:val="20"/>
                <w:color w:val="auto"/>
              </w:rPr>
            </w:pPr>
            <w:r>
              <w:rPr>
                <w:rFonts w:ascii="Arial" w:cs="Arial" w:eastAsia="Arial" w:hAnsi="Arial"/>
                <w:sz w:val="18"/>
                <w:szCs w:val="18"/>
                <w:color w:val="auto"/>
              </w:rPr>
              <w:t>Accounts receivable</w:t>
            </w:r>
          </w:p>
        </w:tc>
        <w:tc>
          <w:tcPr>
            <w:tcW w:w="1620" w:type="dxa"/>
            <w:vAlign w:val="bottom"/>
            <w:vMerge w:val="continue"/>
          </w:tcPr>
          <w:p>
            <w:pPr>
              <w:spacing w:after="0"/>
              <w:rPr>
                <w:sz w:val="15"/>
                <w:szCs w:val="15"/>
                <w:color w:val="auto"/>
              </w:rPr>
            </w:pPr>
          </w:p>
        </w:tc>
        <w:tc>
          <w:tcPr>
            <w:tcW w:w="1540" w:type="dxa"/>
            <w:vAlign w:val="bottom"/>
          </w:tcPr>
          <w:p>
            <w:pPr>
              <w:jc w:val="right"/>
              <w:ind w:right="270"/>
              <w:spacing w:after="0" w:line="181" w:lineRule="exact"/>
              <w:rPr>
                <w:sz w:val="20"/>
                <w:szCs w:val="20"/>
                <w:color w:val="auto"/>
              </w:rPr>
            </w:pPr>
            <w:r>
              <w:rPr>
                <w:rFonts w:ascii="Arial" w:cs="Arial" w:eastAsia="Arial" w:hAnsi="Arial"/>
                <w:sz w:val="18"/>
                <w:szCs w:val="18"/>
                <w:color w:val="auto"/>
              </w:rPr>
              <w:t>(404)</w:t>
            </w:r>
          </w:p>
        </w:tc>
        <w:tc>
          <w:tcPr>
            <w:tcW w:w="1220" w:type="dxa"/>
            <w:vAlign w:val="bottom"/>
          </w:tcPr>
          <w:p>
            <w:pPr>
              <w:jc w:val="right"/>
              <w:spacing w:after="0" w:line="181" w:lineRule="exact"/>
              <w:rPr>
                <w:sz w:val="20"/>
                <w:szCs w:val="20"/>
                <w:color w:val="auto"/>
              </w:rPr>
            </w:pPr>
            <w:r>
              <w:rPr>
                <w:rFonts w:ascii="Arial" w:cs="Arial" w:eastAsia="Arial" w:hAnsi="Arial"/>
                <w:sz w:val="18"/>
                <w:szCs w:val="18"/>
                <w:color w:val="auto"/>
              </w:rPr>
              <w:t>(6,564)</w:t>
            </w:r>
          </w:p>
        </w:tc>
        <w:tc>
          <w:tcPr>
            <w:tcW w:w="0" w:type="dxa"/>
            <w:vAlign w:val="bottom"/>
          </w:tcPr>
          <w:p>
            <w:pPr>
              <w:spacing w:after="0"/>
              <w:rPr>
                <w:sz w:val="1"/>
                <w:szCs w:val="1"/>
                <w:color w:val="auto"/>
              </w:rPr>
            </w:pPr>
          </w:p>
        </w:tc>
      </w:tr>
      <w:tr>
        <w:trPr>
          <w:trHeight w:val="203"/>
        </w:trPr>
        <w:tc>
          <w:tcPr>
            <w:tcW w:w="7040" w:type="dxa"/>
            <w:vAlign w:val="bottom"/>
          </w:tcPr>
          <w:p>
            <w:pPr>
              <w:ind w:left="180"/>
              <w:spacing w:after="0" w:line="202" w:lineRule="exact"/>
              <w:rPr>
                <w:sz w:val="20"/>
                <w:szCs w:val="20"/>
                <w:color w:val="auto"/>
              </w:rPr>
            </w:pPr>
            <w:r>
              <w:rPr>
                <w:rFonts w:ascii="Arial" w:cs="Arial" w:eastAsia="Arial" w:hAnsi="Arial"/>
                <w:sz w:val="18"/>
                <w:szCs w:val="18"/>
                <w:color w:val="auto"/>
              </w:rPr>
              <w:t>Inventories</w:t>
            </w:r>
          </w:p>
        </w:tc>
        <w:tc>
          <w:tcPr>
            <w:tcW w:w="1620" w:type="dxa"/>
            <w:vAlign w:val="bottom"/>
          </w:tcPr>
          <w:p>
            <w:pPr>
              <w:jc w:val="right"/>
              <w:ind w:right="270"/>
              <w:spacing w:after="0" w:line="202" w:lineRule="exact"/>
              <w:rPr>
                <w:sz w:val="20"/>
                <w:szCs w:val="20"/>
                <w:color w:val="auto"/>
              </w:rPr>
            </w:pPr>
            <w:r>
              <w:rPr>
                <w:rFonts w:ascii="Arial" w:cs="Arial" w:eastAsia="Arial" w:hAnsi="Arial"/>
                <w:sz w:val="18"/>
                <w:szCs w:val="18"/>
                <w:b w:val="1"/>
                <w:bCs w:val="1"/>
                <w:color w:val="auto"/>
              </w:rPr>
              <w:t>(12,520)</w:t>
            </w:r>
          </w:p>
        </w:tc>
        <w:tc>
          <w:tcPr>
            <w:tcW w:w="154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(8,277)</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03"/>
        </w:trPr>
        <w:tc>
          <w:tcPr>
            <w:tcW w:w="7040" w:type="dxa"/>
            <w:vAlign w:val="bottom"/>
          </w:tcPr>
          <w:p>
            <w:pPr>
              <w:ind w:left="18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620" w:type="dxa"/>
            <w:vAlign w:val="bottom"/>
          </w:tcPr>
          <w:p>
            <w:pPr>
              <w:jc w:val="right"/>
              <w:ind w:right="270"/>
              <w:spacing w:after="0" w:line="202" w:lineRule="exact"/>
              <w:rPr>
                <w:sz w:val="20"/>
                <w:szCs w:val="20"/>
                <w:color w:val="auto"/>
              </w:rPr>
            </w:pPr>
            <w:r>
              <w:rPr>
                <w:rFonts w:ascii="Arial" w:cs="Arial" w:eastAsia="Arial" w:hAnsi="Arial"/>
                <w:sz w:val="18"/>
                <w:szCs w:val="18"/>
                <w:b w:val="1"/>
                <w:bCs w:val="1"/>
                <w:color w:val="auto"/>
              </w:rPr>
              <w:t>(2,595)</w:t>
            </w:r>
          </w:p>
        </w:tc>
        <w:tc>
          <w:tcPr>
            <w:tcW w:w="154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1,253</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1,318</w:t>
            </w:r>
          </w:p>
        </w:tc>
        <w:tc>
          <w:tcPr>
            <w:tcW w:w="0" w:type="dxa"/>
            <w:vAlign w:val="bottom"/>
          </w:tcPr>
          <w:p>
            <w:pPr>
              <w:spacing w:after="0"/>
              <w:rPr>
                <w:sz w:val="1"/>
                <w:szCs w:val="1"/>
                <w:color w:val="auto"/>
              </w:rPr>
            </w:pPr>
          </w:p>
        </w:tc>
      </w:tr>
      <w:tr>
        <w:trPr>
          <w:trHeight w:val="203"/>
        </w:trPr>
        <w:tc>
          <w:tcPr>
            <w:tcW w:w="7040" w:type="dxa"/>
            <w:vAlign w:val="bottom"/>
          </w:tcPr>
          <w:p>
            <w:pPr>
              <w:ind w:left="180"/>
              <w:spacing w:after="0" w:line="202" w:lineRule="exact"/>
              <w:rPr>
                <w:sz w:val="20"/>
                <w:szCs w:val="20"/>
                <w:color w:val="auto"/>
              </w:rPr>
            </w:pPr>
            <w:r>
              <w:rPr>
                <w:rFonts w:ascii="Arial" w:cs="Arial" w:eastAsia="Arial" w:hAnsi="Arial"/>
                <w:sz w:val="18"/>
                <w:szCs w:val="18"/>
                <w:color w:val="auto"/>
              </w:rPr>
              <w:t>Income taxes prepaid and receivable</w:t>
            </w:r>
          </w:p>
        </w:tc>
        <w:tc>
          <w:tcPr>
            <w:tcW w:w="1620" w:type="dxa"/>
            <w:vAlign w:val="bottom"/>
          </w:tcPr>
          <w:p>
            <w:pPr>
              <w:jc w:val="right"/>
              <w:ind w:right="270"/>
              <w:spacing w:after="0" w:line="202" w:lineRule="exact"/>
              <w:rPr>
                <w:sz w:val="20"/>
                <w:szCs w:val="20"/>
                <w:color w:val="auto"/>
              </w:rPr>
            </w:pPr>
            <w:r>
              <w:rPr>
                <w:rFonts w:ascii="Arial" w:cs="Arial" w:eastAsia="Arial" w:hAnsi="Arial"/>
                <w:sz w:val="18"/>
                <w:szCs w:val="18"/>
                <w:b w:val="1"/>
                <w:bCs w:val="1"/>
                <w:color w:val="auto"/>
              </w:rPr>
              <w:t>(2,206)</w:t>
            </w:r>
          </w:p>
        </w:tc>
        <w:tc>
          <w:tcPr>
            <w:tcW w:w="154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(3,156)</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2,566</w:t>
            </w:r>
          </w:p>
        </w:tc>
        <w:tc>
          <w:tcPr>
            <w:tcW w:w="0" w:type="dxa"/>
            <w:vAlign w:val="bottom"/>
          </w:tcPr>
          <w:p>
            <w:pPr>
              <w:spacing w:after="0"/>
              <w:rPr>
                <w:sz w:val="1"/>
                <w:szCs w:val="1"/>
                <w:color w:val="auto"/>
              </w:rPr>
            </w:pPr>
          </w:p>
        </w:tc>
      </w:tr>
      <w:tr>
        <w:trPr>
          <w:trHeight w:val="203"/>
        </w:trPr>
        <w:tc>
          <w:tcPr>
            <w:tcW w:w="7040" w:type="dxa"/>
            <w:vAlign w:val="bottom"/>
          </w:tcPr>
          <w:p>
            <w:pPr>
              <w:ind w:left="180"/>
              <w:spacing w:after="0" w:line="202" w:lineRule="exact"/>
              <w:rPr>
                <w:sz w:val="20"/>
                <w:szCs w:val="20"/>
                <w:color w:val="auto"/>
              </w:rPr>
            </w:pPr>
            <w:r>
              <w:rPr>
                <w:rFonts w:ascii="Arial" w:cs="Arial" w:eastAsia="Arial" w:hAnsi="Arial"/>
                <w:sz w:val="18"/>
                <w:szCs w:val="18"/>
                <w:color w:val="auto"/>
              </w:rPr>
              <w:t>Contract receivable</w:t>
            </w:r>
          </w:p>
        </w:tc>
        <w:tc>
          <w:tcPr>
            <w:tcW w:w="1620" w:type="dxa"/>
            <w:vAlign w:val="bottom"/>
          </w:tcPr>
          <w:p>
            <w:pPr>
              <w:jc w:val="right"/>
              <w:ind w:right="270"/>
              <w:spacing w:after="0" w:line="202" w:lineRule="exact"/>
              <w:rPr>
                <w:sz w:val="20"/>
                <w:szCs w:val="20"/>
                <w:color w:val="auto"/>
              </w:rPr>
            </w:pPr>
            <w:r>
              <w:rPr>
                <w:rFonts w:ascii="Arial" w:cs="Arial" w:eastAsia="Arial" w:hAnsi="Arial"/>
                <w:sz w:val="18"/>
                <w:szCs w:val="18"/>
                <w:b w:val="1"/>
                <w:bCs w:val="1"/>
                <w:color w:val="auto"/>
              </w:rPr>
              <w:t>(14,045)</w:t>
            </w:r>
          </w:p>
        </w:tc>
        <w:tc>
          <w:tcPr>
            <w:tcW w:w="154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040" w:type="dxa"/>
            <w:vAlign w:val="bottom"/>
          </w:tcPr>
          <w:p>
            <w:pPr>
              <w:ind w:left="180"/>
              <w:spacing w:after="0" w:line="202" w:lineRule="exact"/>
              <w:rPr>
                <w:sz w:val="20"/>
                <w:szCs w:val="20"/>
                <w:color w:val="auto"/>
              </w:rPr>
            </w:pPr>
            <w:r>
              <w:rPr>
                <w:rFonts w:ascii="Arial" w:cs="Arial" w:eastAsia="Arial" w:hAnsi="Arial"/>
                <w:sz w:val="18"/>
                <w:szCs w:val="18"/>
                <w:color w:val="auto"/>
              </w:rPr>
              <w:t>Accounts payable</w:t>
            </w:r>
          </w:p>
        </w:tc>
        <w:tc>
          <w:tcPr>
            <w:tcW w:w="162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2,108</w:t>
            </w:r>
          </w:p>
        </w:tc>
        <w:tc>
          <w:tcPr>
            <w:tcW w:w="154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(6,001)</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03"/>
        </w:trPr>
        <w:tc>
          <w:tcPr>
            <w:tcW w:w="7040" w:type="dxa"/>
            <w:vAlign w:val="bottom"/>
          </w:tcPr>
          <w:p>
            <w:pPr>
              <w:ind w:left="180"/>
              <w:spacing w:after="0" w:line="202" w:lineRule="exact"/>
              <w:rPr>
                <w:sz w:val="20"/>
                <w:szCs w:val="20"/>
                <w:color w:val="auto"/>
              </w:rPr>
            </w:pPr>
            <w:r>
              <w:rPr>
                <w:rFonts w:ascii="Arial" w:cs="Arial" w:eastAsia="Arial" w:hAnsi="Arial"/>
                <w:sz w:val="18"/>
                <w:szCs w:val="18"/>
                <w:color w:val="auto"/>
              </w:rPr>
              <w:t>Accrued liabilities</w:t>
            </w:r>
          </w:p>
        </w:tc>
        <w:tc>
          <w:tcPr>
            <w:tcW w:w="162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1,312</w:t>
            </w:r>
          </w:p>
        </w:tc>
        <w:tc>
          <w:tcPr>
            <w:tcW w:w="154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2,081</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(11,042)</w:t>
            </w:r>
          </w:p>
        </w:tc>
        <w:tc>
          <w:tcPr>
            <w:tcW w:w="0" w:type="dxa"/>
            <w:vAlign w:val="bottom"/>
          </w:tcPr>
          <w:p>
            <w:pPr>
              <w:spacing w:after="0"/>
              <w:rPr>
                <w:sz w:val="1"/>
                <w:szCs w:val="1"/>
                <w:color w:val="auto"/>
              </w:rPr>
            </w:pPr>
          </w:p>
        </w:tc>
      </w:tr>
      <w:tr>
        <w:trPr>
          <w:trHeight w:val="203"/>
        </w:trPr>
        <w:tc>
          <w:tcPr>
            <w:tcW w:w="7040" w:type="dxa"/>
            <w:vAlign w:val="bottom"/>
          </w:tcPr>
          <w:p>
            <w:pPr>
              <w:ind w:left="180"/>
              <w:spacing w:after="0" w:line="202" w:lineRule="exact"/>
              <w:rPr>
                <w:sz w:val="20"/>
                <w:szCs w:val="20"/>
                <w:color w:val="auto"/>
              </w:rPr>
            </w:pPr>
            <w:r>
              <w:rPr>
                <w:rFonts w:ascii="Arial" w:cs="Arial" w:eastAsia="Arial" w:hAnsi="Arial"/>
                <w:sz w:val="18"/>
                <w:szCs w:val="18"/>
                <w:color w:val="auto"/>
              </w:rPr>
              <w:t>Income taxes payable</w:t>
            </w:r>
          </w:p>
        </w:tc>
        <w:tc>
          <w:tcPr>
            <w:tcW w:w="162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1,398</w:t>
            </w:r>
          </w:p>
        </w:tc>
        <w:tc>
          <w:tcPr>
            <w:tcW w:w="154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9,072</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225"/>
        </w:trPr>
        <w:tc>
          <w:tcPr>
            <w:tcW w:w="70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Other, net</w:t>
            </w:r>
          </w:p>
        </w:tc>
        <w:tc>
          <w:tcPr>
            <w:tcW w:w="16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(6,571)</w:t>
            </w:r>
          </w:p>
        </w:tc>
        <w:tc>
          <w:tcPr>
            <w:tcW w:w="1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7,139</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(9,132)</w:t>
            </w:r>
          </w:p>
        </w:tc>
        <w:tc>
          <w:tcPr>
            <w:tcW w:w="0" w:type="dxa"/>
            <w:vAlign w:val="bottom"/>
          </w:tcPr>
          <w:p>
            <w:pPr>
              <w:spacing w:after="0"/>
              <w:rPr>
                <w:sz w:val="1"/>
                <w:szCs w:val="1"/>
                <w:color w:val="auto"/>
              </w:rPr>
            </w:pPr>
          </w:p>
        </w:tc>
      </w:tr>
      <w:tr>
        <w:trPr>
          <w:trHeight w:val="196"/>
        </w:trPr>
        <w:tc>
          <w:tcPr>
            <w:tcW w:w="7040" w:type="dxa"/>
            <w:vAlign w:val="bottom"/>
            <w:tcBorders>
              <w:bottom w:val="single" w:sz="8" w:color="auto"/>
            </w:tcBorders>
          </w:tcPr>
          <w:p>
            <w:pPr>
              <w:ind w:left="180"/>
              <w:spacing w:after="0" w:line="196" w:lineRule="exact"/>
              <w:rPr>
                <w:sz w:val="20"/>
                <w:szCs w:val="20"/>
                <w:color w:val="auto"/>
              </w:rPr>
            </w:pPr>
            <w:r>
              <w:rPr>
                <w:rFonts w:ascii="Arial" w:cs="Arial" w:eastAsia="Arial" w:hAnsi="Arial"/>
                <w:sz w:val="18"/>
                <w:szCs w:val="18"/>
                <w:color w:val="auto"/>
              </w:rPr>
              <w:t>Net cash provided by operating activities</w:t>
            </w:r>
          </w:p>
        </w:tc>
        <w:tc>
          <w:tcPr>
            <w:tcW w:w="162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79,518</w:t>
            </w:r>
          </w:p>
        </w:tc>
        <w:tc>
          <w:tcPr>
            <w:tcW w:w="154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color w:val="auto"/>
              </w:rPr>
              <w:t>95,937</w:t>
            </w:r>
          </w:p>
        </w:tc>
        <w:tc>
          <w:tcPr>
            <w:tcW w:w="12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84,196</w:t>
            </w:r>
          </w:p>
        </w:tc>
        <w:tc>
          <w:tcPr>
            <w:tcW w:w="0" w:type="dxa"/>
            <w:vAlign w:val="bottom"/>
          </w:tcPr>
          <w:p>
            <w:pPr>
              <w:spacing w:after="0"/>
              <w:rPr>
                <w:sz w:val="1"/>
                <w:szCs w:val="1"/>
                <w:color w:val="auto"/>
              </w:rPr>
            </w:pPr>
          </w:p>
        </w:tc>
      </w:tr>
      <w:tr>
        <w:trPr>
          <w:trHeight w:val="195"/>
        </w:trPr>
        <w:tc>
          <w:tcPr>
            <w:tcW w:w="7040" w:type="dxa"/>
            <w:vAlign w:val="bottom"/>
          </w:tcPr>
          <w:p>
            <w:pPr>
              <w:ind w:left="40"/>
              <w:spacing w:after="0" w:line="195" w:lineRule="exact"/>
              <w:rPr>
                <w:sz w:val="20"/>
                <w:szCs w:val="20"/>
                <w:color w:val="auto"/>
              </w:rPr>
            </w:pPr>
            <w:r>
              <w:rPr>
                <w:rFonts w:ascii="Arial" w:cs="Arial" w:eastAsia="Arial" w:hAnsi="Arial"/>
                <w:sz w:val="18"/>
                <w:szCs w:val="18"/>
                <w:b w:val="1"/>
                <w:bCs w:val="1"/>
                <w:color w:val="auto"/>
              </w:rPr>
              <w:t>Investing Activities</w:t>
            </w:r>
          </w:p>
        </w:tc>
        <w:tc>
          <w:tcPr>
            <w:tcW w:w="162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(187,000)</w:t>
            </w:r>
          </w:p>
        </w:tc>
        <w:tc>
          <w:tcPr>
            <w:tcW w:w="15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7040" w:type="dxa"/>
            <w:vAlign w:val="bottom"/>
          </w:tcPr>
          <w:p>
            <w:pPr>
              <w:ind w:left="180"/>
              <w:spacing w:after="0" w:line="181" w:lineRule="exact"/>
              <w:rPr>
                <w:sz w:val="20"/>
                <w:szCs w:val="20"/>
                <w:color w:val="auto"/>
              </w:rPr>
            </w:pPr>
            <w:r>
              <w:rPr>
                <w:rFonts w:ascii="Arial" w:cs="Arial" w:eastAsia="Arial" w:hAnsi="Arial"/>
                <w:sz w:val="18"/>
                <w:szCs w:val="18"/>
                <w:color w:val="auto"/>
              </w:rPr>
              <w:t>Purchase of business, net of cash acquired</w:t>
            </w:r>
          </w:p>
        </w:tc>
        <w:tc>
          <w:tcPr>
            <w:tcW w:w="1620" w:type="dxa"/>
            <w:vAlign w:val="bottom"/>
            <w:vMerge w:val="continue"/>
          </w:tcPr>
          <w:p>
            <w:pPr>
              <w:spacing w:after="0"/>
              <w:rPr>
                <w:sz w:val="15"/>
                <w:szCs w:val="15"/>
                <w:color w:val="auto"/>
              </w:rPr>
            </w:pPr>
          </w:p>
        </w:tc>
        <w:tc>
          <w:tcPr>
            <w:tcW w:w="1540" w:type="dxa"/>
            <w:vAlign w:val="bottom"/>
          </w:tcPr>
          <w:p>
            <w:pPr>
              <w:jc w:val="right"/>
              <w:ind w:right="330"/>
              <w:spacing w:after="0" w:line="181"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line="18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040" w:type="dxa"/>
            <w:vAlign w:val="bottom"/>
          </w:tcPr>
          <w:p>
            <w:pPr>
              <w:ind w:left="180"/>
              <w:spacing w:after="0" w:line="202" w:lineRule="exact"/>
              <w:rPr>
                <w:sz w:val="20"/>
                <w:szCs w:val="20"/>
                <w:color w:val="auto"/>
              </w:rPr>
            </w:pPr>
            <w:r>
              <w:rPr>
                <w:rFonts w:ascii="Arial" w:cs="Arial" w:eastAsia="Arial" w:hAnsi="Arial"/>
                <w:sz w:val="18"/>
                <w:szCs w:val="18"/>
                <w:color w:val="auto"/>
              </w:rPr>
              <w:t>Purchases of property, plant and equipment</w:t>
            </w:r>
          </w:p>
        </w:tc>
        <w:tc>
          <w:tcPr>
            <w:tcW w:w="1620" w:type="dxa"/>
            <w:vAlign w:val="bottom"/>
          </w:tcPr>
          <w:p>
            <w:pPr>
              <w:jc w:val="right"/>
              <w:ind w:right="270"/>
              <w:spacing w:after="0" w:line="202" w:lineRule="exact"/>
              <w:rPr>
                <w:sz w:val="20"/>
                <w:szCs w:val="20"/>
                <w:color w:val="auto"/>
              </w:rPr>
            </w:pPr>
            <w:r>
              <w:rPr>
                <w:rFonts w:ascii="Arial" w:cs="Arial" w:eastAsia="Arial" w:hAnsi="Arial"/>
                <w:sz w:val="18"/>
                <w:szCs w:val="18"/>
                <w:b w:val="1"/>
                <w:bCs w:val="1"/>
                <w:color w:val="auto"/>
              </w:rPr>
              <w:t>(71,244)</w:t>
            </w:r>
          </w:p>
        </w:tc>
        <w:tc>
          <w:tcPr>
            <w:tcW w:w="154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(48,622)</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(58,224)</w:t>
            </w:r>
          </w:p>
        </w:tc>
        <w:tc>
          <w:tcPr>
            <w:tcW w:w="0" w:type="dxa"/>
            <w:vAlign w:val="bottom"/>
          </w:tcPr>
          <w:p>
            <w:pPr>
              <w:spacing w:after="0"/>
              <w:rPr>
                <w:sz w:val="1"/>
                <w:szCs w:val="1"/>
                <w:color w:val="auto"/>
              </w:rPr>
            </w:pPr>
          </w:p>
        </w:tc>
      </w:tr>
      <w:tr>
        <w:trPr>
          <w:trHeight w:val="203"/>
        </w:trPr>
        <w:tc>
          <w:tcPr>
            <w:tcW w:w="7040" w:type="dxa"/>
            <w:vAlign w:val="bottom"/>
          </w:tcPr>
          <w:p>
            <w:pPr>
              <w:ind w:left="180"/>
              <w:spacing w:after="0" w:line="202" w:lineRule="exact"/>
              <w:rPr>
                <w:sz w:val="20"/>
                <w:szCs w:val="20"/>
                <w:color w:val="auto"/>
              </w:rPr>
            </w:pPr>
            <w:r>
              <w:rPr>
                <w:rFonts w:ascii="Arial" w:cs="Arial" w:eastAsia="Arial" w:hAnsi="Arial"/>
                <w:sz w:val="18"/>
                <w:szCs w:val="18"/>
                <w:color w:val="auto"/>
              </w:rPr>
              <w:t>Purchased software</w:t>
            </w:r>
          </w:p>
        </w:tc>
        <w:tc>
          <w:tcPr>
            <w:tcW w:w="1620" w:type="dxa"/>
            <w:vAlign w:val="bottom"/>
          </w:tcPr>
          <w:p>
            <w:pPr>
              <w:jc w:val="right"/>
              <w:ind w:right="270"/>
              <w:spacing w:after="0" w:line="202" w:lineRule="exact"/>
              <w:rPr>
                <w:sz w:val="20"/>
                <w:szCs w:val="20"/>
                <w:color w:val="auto"/>
              </w:rPr>
            </w:pPr>
            <w:r>
              <w:rPr>
                <w:rFonts w:ascii="Arial" w:cs="Arial" w:eastAsia="Arial" w:hAnsi="Arial"/>
                <w:sz w:val="18"/>
                <w:szCs w:val="18"/>
                <w:b w:val="1"/>
                <w:bCs w:val="1"/>
                <w:color w:val="auto"/>
              </w:rPr>
              <w:t>(2,248)</w:t>
            </w:r>
          </w:p>
        </w:tc>
        <w:tc>
          <w:tcPr>
            <w:tcW w:w="154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(1,973)</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25"/>
        </w:trPr>
        <w:tc>
          <w:tcPr>
            <w:tcW w:w="70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Proceeds from sale or involuntary conversion of assets</w:t>
            </w:r>
          </w:p>
        </w:tc>
        <w:tc>
          <w:tcPr>
            <w:tcW w:w="16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6,939</w:t>
            </w:r>
          </w:p>
        </w:tc>
        <w:tc>
          <w:tcPr>
            <w:tcW w:w="1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2,797</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r>
        <w:trPr>
          <w:trHeight w:val="196"/>
        </w:trPr>
        <w:tc>
          <w:tcPr>
            <w:tcW w:w="7040" w:type="dxa"/>
            <w:vAlign w:val="bottom"/>
            <w:tcBorders>
              <w:bottom w:val="single" w:sz="8" w:color="auto"/>
            </w:tcBorders>
          </w:tcPr>
          <w:p>
            <w:pPr>
              <w:ind w:left="180"/>
              <w:spacing w:after="0" w:line="196" w:lineRule="exact"/>
              <w:rPr>
                <w:sz w:val="20"/>
                <w:szCs w:val="20"/>
                <w:color w:val="auto"/>
              </w:rPr>
            </w:pPr>
            <w:r>
              <w:rPr>
                <w:rFonts w:ascii="Arial" w:cs="Arial" w:eastAsia="Arial" w:hAnsi="Arial"/>
                <w:sz w:val="18"/>
                <w:szCs w:val="18"/>
                <w:color w:val="auto"/>
              </w:rPr>
              <w:t>Net cash used in investing activities</w:t>
            </w:r>
          </w:p>
        </w:tc>
        <w:tc>
          <w:tcPr>
            <w:tcW w:w="162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(253,553)</w:t>
            </w:r>
          </w:p>
        </w:tc>
        <w:tc>
          <w:tcPr>
            <w:tcW w:w="154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(47,798)</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(57,747)</w:t>
            </w:r>
          </w:p>
        </w:tc>
        <w:tc>
          <w:tcPr>
            <w:tcW w:w="0" w:type="dxa"/>
            <w:vAlign w:val="bottom"/>
          </w:tcPr>
          <w:p>
            <w:pPr>
              <w:spacing w:after="0"/>
              <w:rPr>
                <w:sz w:val="1"/>
                <w:szCs w:val="1"/>
                <w:color w:val="auto"/>
              </w:rPr>
            </w:pPr>
          </w:p>
        </w:tc>
      </w:tr>
      <w:tr>
        <w:trPr>
          <w:trHeight w:val="195"/>
        </w:trPr>
        <w:tc>
          <w:tcPr>
            <w:tcW w:w="7040" w:type="dxa"/>
            <w:vAlign w:val="bottom"/>
          </w:tcPr>
          <w:p>
            <w:pPr>
              <w:ind w:left="40"/>
              <w:spacing w:after="0" w:line="195" w:lineRule="exact"/>
              <w:rPr>
                <w:sz w:val="20"/>
                <w:szCs w:val="20"/>
                <w:color w:val="auto"/>
              </w:rPr>
            </w:pPr>
            <w:r>
              <w:rPr>
                <w:rFonts w:ascii="Arial" w:cs="Arial" w:eastAsia="Arial" w:hAnsi="Arial"/>
                <w:sz w:val="18"/>
                <w:szCs w:val="18"/>
                <w:b w:val="1"/>
                <w:bCs w:val="1"/>
                <w:color w:val="auto"/>
              </w:rPr>
              <w:t>Financing Activities</w:t>
            </w:r>
          </w:p>
        </w:tc>
        <w:tc>
          <w:tcPr>
            <w:tcW w:w="162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235,907</w:t>
            </w:r>
          </w:p>
        </w:tc>
        <w:tc>
          <w:tcPr>
            <w:tcW w:w="15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7040" w:type="dxa"/>
            <w:vAlign w:val="bottom"/>
          </w:tcPr>
          <w:p>
            <w:pPr>
              <w:ind w:left="180"/>
              <w:spacing w:after="0" w:line="181" w:lineRule="exact"/>
              <w:rPr>
                <w:sz w:val="20"/>
                <w:szCs w:val="20"/>
                <w:color w:val="auto"/>
              </w:rPr>
            </w:pPr>
            <w:r>
              <w:rPr>
                <w:rFonts w:ascii="Arial" w:cs="Arial" w:eastAsia="Arial" w:hAnsi="Arial"/>
                <w:sz w:val="18"/>
                <w:szCs w:val="18"/>
                <w:color w:val="auto"/>
              </w:rPr>
              <w:t>Proceeds from borrowings</w:t>
            </w:r>
          </w:p>
        </w:tc>
        <w:tc>
          <w:tcPr>
            <w:tcW w:w="1620" w:type="dxa"/>
            <w:vAlign w:val="bottom"/>
            <w:vMerge w:val="continue"/>
          </w:tcPr>
          <w:p>
            <w:pPr>
              <w:spacing w:after="0"/>
              <w:rPr>
                <w:sz w:val="15"/>
                <w:szCs w:val="15"/>
                <w:color w:val="auto"/>
              </w:rPr>
            </w:pPr>
          </w:p>
        </w:tc>
        <w:tc>
          <w:tcPr>
            <w:tcW w:w="1540" w:type="dxa"/>
            <w:vAlign w:val="bottom"/>
          </w:tcPr>
          <w:p>
            <w:pPr>
              <w:jc w:val="right"/>
              <w:ind w:right="330"/>
              <w:spacing w:after="0" w:line="181" w:lineRule="exact"/>
              <w:rPr>
                <w:sz w:val="20"/>
                <w:szCs w:val="20"/>
                <w:color w:val="auto"/>
              </w:rPr>
            </w:pPr>
            <w:r>
              <w:rPr>
                <w:rFonts w:ascii="Arial" w:cs="Arial" w:eastAsia="Arial" w:hAnsi="Arial"/>
                <w:sz w:val="18"/>
                <w:szCs w:val="18"/>
                <w:color w:val="auto"/>
              </w:rPr>
              <w:t>95,126</w:t>
            </w:r>
          </w:p>
        </w:tc>
        <w:tc>
          <w:tcPr>
            <w:tcW w:w="1220" w:type="dxa"/>
            <w:vAlign w:val="bottom"/>
          </w:tcPr>
          <w:p>
            <w:pPr>
              <w:jc w:val="right"/>
              <w:ind w:right="10"/>
              <w:spacing w:after="0" w:line="181" w:lineRule="exact"/>
              <w:rPr>
                <w:sz w:val="20"/>
                <w:szCs w:val="20"/>
                <w:color w:val="auto"/>
              </w:rPr>
            </w:pPr>
            <w:r>
              <w:rPr>
                <w:rFonts w:ascii="Arial" w:cs="Arial" w:eastAsia="Arial" w:hAnsi="Arial"/>
                <w:sz w:val="18"/>
                <w:szCs w:val="18"/>
                <w:color w:val="auto"/>
              </w:rPr>
              <w:t>13,396</w:t>
            </w:r>
          </w:p>
        </w:tc>
        <w:tc>
          <w:tcPr>
            <w:tcW w:w="0" w:type="dxa"/>
            <w:vAlign w:val="bottom"/>
          </w:tcPr>
          <w:p>
            <w:pPr>
              <w:spacing w:after="0"/>
              <w:rPr>
                <w:sz w:val="1"/>
                <w:szCs w:val="1"/>
                <w:color w:val="auto"/>
              </w:rPr>
            </w:pPr>
          </w:p>
        </w:tc>
      </w:tr>
      <w:tr>
        <w:trPr>
          <w:trHeight w:val="203"/>
        </w:trPr>
        <w:tc>
          <w:tcPr>
            <w:tcW w:w="7040" w:type="dxa"/>
            <w:vAlign w:val="bottom"/>
          </w:tcPr>
          <w:p>
            <w:pPr>
              <w:ind w:left="180"/>
              <w:spacing w:after="0" w:line="202" w:lineRule="exact"/>
              <w:rPr>
                <w:sz w:val="20"/>
                <w:szCs w:val="20"/>
                <w:color w:val="auto"/>
              </w:rPr>
            </w:pPr>
            <w:r>
              <w:rPr>
                <w:rFonts w:ascii="Arial" w:cs="Arial" w:eastAsia="Arial" w:hAnsi="Arial"/>
                <w:sz w:val="18"/>
                <w:szCs w:val="18"/>
                <w:color w:val="auto"/>
              </w:rPr>
              <w:t>Principal payments on debt</w:t>
            </w:r>
          </w:p>
        </w:tc>
        <w:tc>
          <w:tcPr>
            <w:tcW w:w="1620" w:type="dxa"/>
            <w:vAlign w:val="bottom"/>
          </w:tcPr>
          <w:p>
            <w:pPr>
              <w:jc w:val="right"/>
              <w:ind w:right="270"/>
              <w:spacing w:after="0" w:line="202" w:lineRule="exact"/>
              <w:rPr>
                <w:sz w:val="20"/>
                <w:szCs w:val="20"/>
                <w:color w:val="auto"/>
              </w:rPr>
            </w:pPr>
            <w:r>
              <w:rPr>
                <w:rFonts w:ascii="Arial" w:cs="Arial" w:eastAsia="Arial" w:hAnsi="Arial"/>
                <w:sz w:val="18"/>
                <w:szCs w:val="18"/>
                <w:b w:val="1"/>
                <w:bCs w:val="1"/>
                <w:color w:val="auto"/>
              </w:rPr>
              <w:t>(34,356)</w:t>
            </w:r>
          </w:p>
        </w:tc>
        <w:tc>
          <w:tcPr>
            <w:tcW w:w="154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(102,215)</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(45,124)</w:t>
            </w:r>
          </w:p>
        </w:tc>
        <w:tc>
          <w:tcPr>
            <w:tcW w:w="0" w:type="dxa"/>
            <w:vAlign w:val="bottom"/>
          </w:tcPr>
          <w:p>
            <w:pPr>
              <w:spacing w:after="0"/>
              <w:rPr>
                <w:sz w:val="1"/>
                <w:szCs w:val="1"/>
                <w:color w:val="auto"/>
              </w:rPr>
            </w:pPr>
          </w:p>
        </w:tc>
      </w:tr>
      <w:tr>
        <w:trPr>
          <w:trHeight w:val="203"/>
        </w:trPr>
        <w:tc>
          <w:tcPr>
            <w:tcW w:w="7040" w:type="dxa"/>
            <w:vAlign w:val="bottom"/>
          </w:tcPr>
          <w:p>
            <w:pPr>
              <w:ind w:left="180"/>
              <w:spacing w:after="0" w:line="202" w:lineRule="exact"/>
              <w:rPr>
                <w:sz w:val="20"/>
                <w:szCs w:val="20"/>
                <w:color w:val="auto"/>
              </w:rPr>
            </w:pPr>
            <w:r>
              <w:rPr>
                <w:rFonts w:ascii="Arial" w:cs="Arial" w:eastAsia="Arial" w:hAnsi="Arial"/>
                <w:sz w:val="18"/>
                <w:szCs w:val="18"/>
                <w:color w:val="auto"/>
              </w:rPr>
              <w:t>Debt acquisition costs</w:t>
            </w:r>
          </w:p>
        </w:tc>
        <w:tc>
          <w:tcPr>
            <w:tcW w:w="1620" w:type="dxa"/>
            <w:vAlign w:val="bottom"/>
          </w:tcPr>
          <w:p>
            <w:pPr>
              <w:jc w:val="right"/>
              <w:ind w:right="270"/>
              <w:spacing w:after="0" w:line="202" w:lineRule="exact"/>
              <w:rPr>
                <w:sz w:val="20"/>
                <w:szCs w:val="20"/>
                <w:color w:val="auto"/>
              </w:rPr>
            </w:pPr>
            <w:r>
              <w:rPr>
                <w:rFonts w:ascii="Arial" w:cs="Arial" w:eastAsia="Arial" w:hAnsi="Arial"/>
                <w:sz w:val="18"/>
                <w:szCs w:val="18"/>
                <w:b w:val="1"/>
                <w:bCs w:val="1"/>
                <w:color w:val="auto"/>
              </w:rPr>
              <w:t>(1,771)</w:t>
            </w:r>
          </w:p>
        </w:tc>
        <w:tc>
          <w:tcPr>
            <w:tcW w:w="154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(1,673)</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040" w:type="dxa"/>
            <w:vAlign w:val="bottom"/>
          </w:tcPr>
          <w:p>
            <w:pPr>
              <w:ind w:left="180"/>
              <w:spacing w:after="0" w:line="202" w:lineRule="exact"/>
              <w:rPr>
                <w:sz w:val="20"/>
                <w:szCs w:val="20"/>
                <w:color w:val="auto"/>
              </w:rPr>
            </w:pPr>
            <w:r>
              <w:rPr>
                <w:rFonts w:ascii="Arial" w:cs="Arial" w:eastAsia="Arial" w:hAnsi="Arial"/>
                <w:sz w:val="18"/>
                <w:szCs w:val="18"/>
                <w:color w:val="auto"/>
              </w:rPr>
              <w:t>Swap termination payment</w:t>
            </w:r>
          </w:p>
        </w:tc>
        <w:tc>
          <w:tcPr>
            <w:tcW w:w="1620" w:type="dxa"/>
            <w:vAlign w:val="bottom"/>
          </w:tcPr>
          <w:p>
            <w:pPr>
              <w:jc w:val="right"/>
              <w:ind w:right="270"/>
              <w:spacing w:after="0" w:line="202" w:lineRule="exact"/>
              <w:rPr>
                <w:sz w:val="20"/>
                <w:szCs w:val="20"/>
                <w:color w:val="auto"/>
              </w:rPr>
            </w:pPr>
            <w:r>
              <w:rPr>
                <w:rFonts w:ascii="Arial" w:cs="Arial" w:eastAsia="Arial" w:hAnsi="Arial"/>
                <w:sz w:val="18"/>
                <w:szCs w:val="18"/>
                <w:b w:val="1"/>
                <w:bCs w:val="1"/>
                <w:color w:val="auto"/>
              </w:rPr>
              <w:t>(5,175)</w:t>
            </w:r>
          </w:p>
        </w:tc>
        <w:tc>
          <w:tcPr>
            <w:tcW w:w="154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040" w:type="dxa"/>
            <w:vAlign w:val="bottom"/>
          </w:tcPr>
          <w:p>
            <w:pPr>
              <w:ind w:left="180"/>
              <w:spacing w:after="0" w:line="202" w:lineRule="exact"/>
              <w:rPr>
                <w:sz w:val="20"/>
                <w:szCs w:val="20"/>
                <w:color w:val="auto"/>
              </w:rPr>
            </w:pPr>
            <w:r>
              <w:rPr>
                <w:rFonts w:ascii="Arial" w:cs="Arial" w:eastAsia="Arial" w:hAnsi="Arial"/>
                <w:sz w:val="18"/>
                <w:szCs w:val="18"/>
                <w:color w:val="auto"/>
              </w:rPr>
              <w:t>Proceeds from options exercised</w:t>
            </w:r>
          </w:p>
        </w:tc>
        <w:tc>
          <w:tcPr>
            <w:tcW w:w="162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517</w:t>
            </w:r>
          </w:p>
        </w:tc>
        <w:tc>
          <w:tcPr>
            <w:tcW w:w="154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1,897</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03"/>
        </w:trPr>
        <w:tc>
          <w:tcPr>
            <w:tcW w:w="7040" w:type="dxa"/>
            <w:vAlign w:val="bottom"/>
          </w:tcPr>
          <w:p>
            <w:pPr>
              <w:ind w:left="180"/>
              <w:spacing w:after="0" w:line="202" w:lineRule="exact"/>
              <w:rPr>
                <w:sz w:val="20"/>
                <w:szCs w:val="20"/>
                <w:color w:val="auto"/>
              </w:rPr>
            </w:pPr>
            <w:r>
              <w:rPr>
                <w:rFonts w:ascii="Arial" w:cs="Arial" w:eastAsia="Arial" w:hAnsi="Arial"/>
                <w:sz w:val="18"/>
                <w:szCs w:val="18"/>
                <w:color w:val="auto"/>
              </w:rPr>
              <w:t>Excess tax benefit of options exercised</w:t>
            </w:r>
          </w:p>
        </w:tc>
        <w:tc>
          <w:tcPr>
            <w:tcW w:w="162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150</w:t>
            </w:r>
          </w:p>
        </w:tc>
        <w:tc>
          <w:tcPr>
            <w:tcW w:w="154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624</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25"/>
        </w:trPr>
        <w:tc>
          <w:tcPr>
            <w:tcW w:w="70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Dividends paid</w:t>
            </w:r>
          </w:p>
        </w:tc>
        <w:tc>
          <w:tcPr>
            <w:tcW w:w="16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(21,812)</w:t>
            </w:r>
          </w:p>
        </w:tc>
        <w:tc>
          <w:tcPr>
            <w:tcW w:w="15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(21,088)</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(19,729)</w:t>
            </w:r>
          </w:p>
        </w:tc>
        <w:tc>
          <w:tcPr>
            <w:tcW w:w="0" w:type="dxa"/>
            <w:vAlign w:val="bottom"/>
          </w:tcPr>
          <w:p>
            <w:pPr>
              <w:spacing w:after="0"/>
              <w:rPr>
                <w:sz w:val="1"/>
                <w:szCs w:val="1"/>
                <w:color w:val="auto"/>
              </w:rPr>
            </w:pPr>
          </w:p>
        </w:tc>
      </w:tr>
      <w:tr>
        <w:trPr>
          <w:trHeight w:val="196"/>
        </w:trPr>
        <w:tc>
          <w:tcPr>
            <w:tcW w:w="7040" w:type="dxa"/>
            <w:vAlign w:val="bottom"/>
            <w:tcBorders>
              <w:bottom w:val="single" w:sz="8" w:color="auto"/>
            </w:tcBorders>
          </w:tcPr>
          <w:p>
            <w:pPr>
              <w:ind w:left="180"/>
              <w:spacing w:after="0" w:line="196" w:lineRule="exact"/>
              <w:rPr>
                <w:sz w:val="20"/>
                <w:szCs w:val="20"/>
                <w:color w:val="auto"/>
              </w:rPr>
            </w:pPr>
            <w:r>
              <w:rPr>
                <w:rFonts w:ascii="Arial" w:cs="Arial" w:eastAsia="Arial" w:hAnsi="Arial"/>
                <w:sz w:val="18"/>
                <w:szCs w:val="18"/>
                <w:color w:val="auto"/>
              </w:rPr>
              <w:t>Net cash provided by/(used in) financing activities</w:t>
            </w:r>
          </w:p>
        </w:tc>
        <w:tc>
          <w:tcPr>
            <w:tcW w:w="162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173,460</w:t>
            </w:r>
          </w:p>
        </w:tc>
        <w:tc>
          <w:tcPr>
            <w:tcW w:w="154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(27,329)</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(50,483)</w:t>
            </w:r>
          </w:p>
        </w:tc>
        <w:tc>
          <w:tcPr>
            <w:tcW w:w="0" w:type="dxa"/>
            <w:vAlign w:val="bottom"/>
          </w:tcPr>
          <w:p>
            <w:pPr>
              <w:spacing w:after="0"/>
              <w:rPr>
                <w:sz w:val="1"/>
                <w:szCs w:val="1"/>
                <w:color w:val="auto"/>
              </w:rPr>
            </w:pPr>
          </w:p>
        </w:tc>
      </w:tr>
      <w:tr>
        <w:trPr>
          <w:trHeight w:val="196"/>
        </w:trPr>
        <w:tc>
          <w:tcPr>
            <w:tcW w:w="704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Effect of exchange rate changes on cash and cash equivalents</w:t>
            </w:r>
          </w:p>
        </w:tc>
        <w:tc>
          <w:tcPr>
            <w:tcW w:w="162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(2,796)</w:t>
            </w:r>
          </w:p>
        </w:tc>
        <w:tc>
          <w:tcPr>
            <w:tcW w:w="154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(15,499)</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(18,830)</w:t>
            </w:r>
          </w:p>
        </w:tc>
        <w:tc>
          <w:tcPr>
            <w:tcW w:w="0" w:type="dxa"/>
            <w:vAlign w:val="bottom"/>
          </w:tcPr>
          <w:p>
            <w:pPr>
              <w:spacing w:after="0"/>
              <w:rPr>
                <w:sz w:val="1"/>
                <w:szCs w:val="1"/>
                <w:color w:val="auto"/>
              </w:rPr>
            </w:pPr>
          </w:p>
        </w:tc>
      </w:tr>
      <w:tr>
        <w:trPr>
          <w:trHeight w:val="173"/>
        </w:trPr>
        <w:tc>
          <w:tcPr>
            <w:tcW w:w="7040" w:type="dxa"/>
            <w:vAlign w:val="bottom"/>
          </w:tcPr>
          <w:p>
            <w:pPr>
              <w:ind w:left="40"/>
              <w:spacing w:after="0" w:line="173" w:lineRule="exact"/>
              <w:rPr>
                <w:sz w:val="20"/>
                <w:szCs w:val="20"/>
                <w:color w:val="auto"/>
              </w:rPr>
            </w:pPr>
            <w:r>
              <w:rPr>
                <w:rFonts w:ascii="Arial" w:cs="Arial" w:eastAsia="Arial" w:hAnsi="Arial"/>
                <w:sz w:val="18"/>
                <w:szCs w:val="18"/>
                <w:color w:val="auto"/>
              </w:rPr>
              <w:t>(Decrease)/increase in cash and cash equivalents</w:t>
            </w:r>
          </w:p>
        </w:tc>
        <w:tc>
          <w:tcPr>
            <w:tcW w:w="1620" w:type="dxa"/>
            <w:vAlign w:val="bottom"/>
          </w:tcPr>
          <w:p>
            <w:pPr>
              <w:jc w:val="right"/>
              <w:ind w:right="270"/>
              <w:spacing w:after="0" w:line="173" w:lineRule="exact"/>
              <w:rPr>
                <w:sz w:val="20"/>
                <w:szCs w:val="20"/>
                <w:color w:val="auto"/>
              </w:rPr>
            </w:pPr>
            <w:r>
              <w:rPr>
                <w:rFonts w:ascii="Arial" w:cs="Arial" w:eastAsia="Arial" w:hAnsi="Arial"/>
                <w:sz w:val="18"/>
                <w:szCs w:val="18"/>
                <w:b w:val="1"/>
                <w:bCs w:val="1"/>
                <w:color w:val="auto"/>
              </w:rPr>
              <w:t>(3,371)</w:t>
            </w:r>
          </w:p>
        </w:tc>
        <w:tc>
          <w:tcPr>
            <w:tcW w:w="1540" w:type="dxa"/>
            <w:vAlign w:val="bottom"/>
          </w:tcPr>
          <w:p>
            <w:pPr>
              <w:jc w:val="right"/>
              <w:ind w:right="330"/>
              <w:spacing w:after="0" w:line="173" w:lineRule="exact"/>
              <w:rPr>
                <w:sz w:val="20"/>
                <w:szCs w:val="20"/>
                <w:color w:val="auto"/>
              </w:rPr>
            </w:pPr>
            <w:r>
              <w:rPr>
                <w:rFonts w:ascii="Arial" w:cs="Arial" w:eastAsia="Arial" w:hAnsi="Arial"/>
                <w:sz w:val="18"/>
                <w:szCs w:val="18"/>
                <w:color w:val="auto"/>
              </w:rPr>
              <w:t>5,311</w:t>
            </w:r>
          </w:p>
        </w:tc>
        <w:tc>
          <w:tcPr>
            <w:tcW w:w="1220" w:type="dxa"/>
            <w:vAlign w:val="bottom"/>
          </w:tcPr>
          <w:p>
            <w:pPr>
              <w:jc w:val="right"/>
              <w:spacing w:after="0" w:line="173" w:lineRule="exact"/>
              <w:rPr>
                <w:sz w:val="20"/>
                <w:szCs w:val="20"/>
                <w:color w:val="auto"/>
              </w:rPr>
            </w:pPr>
            <w:r>
              <w:rPr>
                <w:rFonts w:ascii="Arial" w:cs="Arial" w:eastAsia="Arial" w:hAnsi="Arial"/>
                <w:sz w:val="18"/>
                <w:szCs w:val="18"/>
                <w:color w:val="auto"/>
              </w:rPr>
              <w:t>(42,864)</w:t>
            </w:r>
          </w:p>
        </w:tc>
        <w:tc>
          <w:tcPr>
            <w:tcW w:w="0" w:type="dxa"/>
            <w:vAlign w:val="bottom"/>
          </w:tcPr>
          <w:p>
            <w:pPr>
              <w:spacing w:after="0"/>
              <w:rPr>
                <w:sz w:val="1"/>
                <w:szCs w:val="1"/>
                <w:color w:val="auto"/>
              </w:rPr>
            </w:pPr>
          </w:p>
        </w:tc>
      </w:tr>
      <w:tr>
        <w:trPr>
          <w:trHeight w:val="225"/>
        </w:trPr>
        <w:tc>
          <w:tcPr>
            <w:tcW w:w="70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Cash and cash equivalents at beginning of year</w:t>
            </w:r>
          </w:p>
        </w:tc>
        <w:tc>
          <w:tcPr>
            <w:tcW w:w="16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185,113</w:t>
            </w:r>
          </w:p>
        </w:tc>
        <w:tc>
          <w:tcPr>
            <w:tcW w:w="1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179,802</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222,666</w:t>
            </w:r>
          </w:p>
        </w:tc>
        <w:tc>
          <w:tcPr>
            <w:tcW w:w="0" w:type="dxa"/>
            <w:vAlign w:val="bottom"/>
          </w:tcPr>
          <w:p>
            <w:pPr>
              <w:spacing w:after="0"/>
              <w:rPr>
                <w:sz w:val="1"/>
                <w:szCs w:val="1"/>
                <w:color w:val="auto"/>
              </w:rPr>
            </w:pPr>
          </w:p>
        </w:tc>
      </w:tr>
      <w:tr>
        <w:trPr>
          <w:trHeight w:val="203"/>
        </w:trPr>
        <w:tc>
          <w:tcPr>
            <w:tcW w:w="704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Cash and cash equivalents at end of year</w:t>
            </w:r>
          </w:p>
        </w:tc>
        <w:tc>
          <w:tcPr>
            <w:tcW w:w="162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$181,742</w:t>
            </w:r>
          </w:p>
        </w:tc>
        <w:tc>
          <w:tcPr>
            <w:tcW w:w="154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color w:val="auto"/>
              </w:rPr>
              <w:t>$185,113</w:t>
            </w:r>
          </w:p>
        </w:tc>
        <w:tc>
          <w:tcPr>
            <w:tcW w:w="12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$179,802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4" w:name="page55"/>
    <w:bookmarkEnd w:id="54"/>
    <w:p>
      <w:pPr>
        <w:jc w:val="both"/>
        <w:ind w:right="9460" w:firstLine="8"/>
        <w:spacing w:after="0" w:line="458" w:lineRule="auto"/>
        <w:tabs>
          <w:tab w:leader="none" w:pos="193"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Policies Basis of Consolidation</w:t>
      </w:r>
    </w:p>
    <w:p>
      <w:pPr>
        <w:spacing w:after="0" w:line="1" w:lineRule="exact"/>
        <w:rPr>
          <w:sz w:val="20"/>
          <w:szCs w:val="20"/>
          <w:color w:val="auto"/>
        </w:rPr>
      </w:pPr>
    </w:p>
    <w:p>
      <w:pPr>
        <w:ind w:right="300" w:firstLine="648"/>
        <w:spacing w:after="0" w:line="261" w:lineRule="auto"/>
        <w:rPr>
          <w:sz w:val="20"/>
          <w:szCs w:val="20"/>
          <w:color w:val="auto"/>
        </w:rPr>
      </w:pPr>
      <w:r>
        <w:rPr>
          <w:rFonts w:ascii="Arial" w:cs="Arial" w:eastAsia="Arial" w:hAnsi="Arial"/>
          <w:sz w:val="17"/>
          <w:szCs w:val="17"/>
          <w:color w:val="auto"/>
        </w:rPr>
        <w:t>The consolidated financial statements include the accounts of Albany International Corp. and its subsidiaries (the Company, Albany, we, us, or our) after elimination of intercompany transactions. We have a 50% interest in an entity in Russia. The consolidated financial statements include our original investment in the entity, plus our share of undistributed earnings or losses, in the account “Other Assets.”</w:t>
      </w:r>
    </w:p>
    <w:p>
      <w:pPr>
        <w:spacing w:after="0" w:line="146" w:lineRule="exact"/>
        <w:rPr>
          <w:sz w:val="20"/>
          <w:szCs w:val="20"/>
          <w:color w:val="auto"/>
        </w:rPr>
      </w:pPr>
    </w:p>
    <w:p>
      <w:pPr>
        <w:ind w:right="320" w:firstLine="648"/>
        <w:spacing w:after="0" w:line="246" w:lineRule="auto"/>
        <w:rPr>
          <w:sz w:val="20"/>
          <w:szCs w:val="20"/>
          <w:color w:val="auto"/>
        </w:rPr>
      </w:pPr>
      <w:r>
        <w:rPr>
          <w:rFonts w:ascii="Arial" w:cs="Arial" w:eastAsia="Arial" w:hAnsi="Arial"/>
          <w:sz w:val="18"/>
          <w:szCs w:val="18"/>
          <w:color w:val="auto"/>
        </w:rPr>
        <w:t>The Company owns 90 percent of the common equity of Albany Safran Composites, LLC (ASC) which is reported within the Albany Engineered Composites (AEC) segment. Additional information regarding that entity is included in Note 10.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w:t>
      </w:r>
    </w:p>
    <w:p>
      <w:pPr>
        <w:spacing w:after="0" w:line="207" w:lineRule="exact"/>
        <w:rPr>
          <w:sz w:val="20"/>
          <w:szCs w:val="20"/>
          <w:color w:val="auto"/>
        </w:rPr>
      </w:pPr>
    </w:p>
    <w:p>
      <w:pPr>
        <w:ind w:right="140" w:firstLine="648"/>
        <w:spacing w:after="0" w:line="236" w:lineRule="auto"/>
        <w:rPr>
          <w:sz w:val="20"/>
          <w:szCs w:val="20"/>
          <w:color w:val="auto"/>
        </w:rPr>
      </w:pPr>
      <w:r>
        <w:rPr>
          <w:rFonts w:ascii="Arial" w:cs="Arial" w:eastAsia="Arial" w:hAnsi="Arial"/>
          <w:sz w:val="18"/>
          <w:szCs w:val="18"/>
          <w:color w:val="auto"/>
        </w:rPr>
        <w:t>The preparation of the consolidated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Estimates are used in accounting for, among other things, revenue recognition, contract profitability, allowances for doubtful accounts, rebates and sales allowances, inventory allowances, pension benefits, goodwill and intangible assets, contingencies, income tax related balances, and other accruals. Our estimates are based on historical experience and on various other assumptions, which are believed to be reasonable under the circumstances. Due to the inherent uncertainty involved in making estimates, actual results reported in future periods may differ from those estimates. Estimates and assumptions are reviewed periodically, and the effects of any revisions are reflected in the consolidated financial statements in the period they are determined to be necessary.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93"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We record sales when persuasive evidence of an arrangement exists, delivery has occurred, title has been transferred, the selling price is fixed, and collectability is reasonably assured. We include in revenue any amounts invoiced for shipping and handling. The timing of revenue recognition is dependent upon the contractual arrangement with customers. These arrangements, which may include provisions for transfer of title and guarantees of workmanship, are specific to each customer. Some of these contracts provide for a transfer of title upon delivery, or upon reaching a specific date, while other contracts provide for title transfer to occur upon consumption of the product.</w:t>
      </w:r>
    </w:p>
    <w:p>
      <w:pPr>
        <w:spacing w:after="0" w:line="176"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Products and services provided under long-term contracts represent a significant portion of sales in the Albany Engineered Composites segment. We have a contract with a major customer for which revenue is recognized under a cost plus fixed fee arrangement. We also have fixed price long-term contracts, for which we use the percentage of completion method (actual cost to estimated cost, or units of delivery). Accounting for long-term contracts requires significant judgment and estimation, which could be considerably different if the underlying circumstances were to change. When adjustments in estimated contract revenues or costs are required, any changes from prior estimates are included in earnings in the period the change occurs. In 2015, we recorded a charge of $14.0 million on our BR 725 contract. That charge included the write-off of $10.9 million of deferred contract costs and a reserve of $3.1 million for additional anticipated losses. Changes in estimates on other contracts increased gross profit by $1.5 million in 2016, increased gross profit by $0.4 million in 2015, and reduced gross profit by $0.6 million in 2014. For contracts with anticipated losses at completion, a provision for the entire amount of the estimated remaining loss is charged against income in the period in which the loss becomes known. Contract losses are determined considering all direct and indirect contract costs, exclusive of any selling, general or administrative cost allocations that are treated as period expenses.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5" w:name="page56"/>
    <w:bookmarkEnd w:id="55"/>
    <w:p>
      <w:pPr>
        <w:ind w:right="20" w:firstLine="648"/>
        <w:spacing w:after="0" w:line="238" w:lineRule="auto"/>
        <w:rPr>
          <w:sz w:val="20"/>
          <w:szCs w:val="20"/>
          <w:color w:val="auto"/>
        </w:rPr>
      </w:pPr>
      <w:r>
        <w:rPr>
          <w:rFonts w:ascii="Arial" w:cs="Arial" w:eastAsia="Arial" w:hAnsi="Arial"/>
          <w:sz w:val="18"/>
          <w:szCs w:val="18"/>
          <w:color w:val="auto"/>
        </w:rPr>
        <w:t>For programs in which we use the units of delivery method, there are generally two phases: a phase during which the production part is designed and tested, and a phase of supplying production parts. Certain costs are capitalized during the first phase, such as costs for engineering, equipment, and inventory, where recovery is probable. Revenue is recognized during the second phase, as parts are delivered. Accumulated capitalized costs are written off when those costs are determined to be unrecoverable.</w:t>
      </w:r>
    </w:p>
    <w:p>
      <w:pPr>
        <w:spacing w:after="0" w:line="164" w:lineRule="exact"/>
        <w:rPr>
          <w:sz w:val="20"/>
          <w:szCs w:val="20"/>
          <w:color w:val="auto"/>
        </w:rPr>
      </w:pPr>
    </w:p>
    <w:p>
      <w:pPr>
        <w:ind w:right="380" w:firstLine="648"/>
        <w:spacing w:after="0"/>
        <w:rPr>
          <w:sz w:val="20"/>
          <w:szCs w:val="20"/>
          <w:color w:val="auto"/>
        </w:rPr>
      </w:pPr>
      <w:r>
        <w:rPr>
          <w:rFonts w:ascii="Arial" w:cs="Arial" w:eastAsia="Arial" w:hAnsi="Arial"/>
          <w:sz w:val="18"/>
          <w:szCs w:val="18"/>
          <w:color w:val="auto"/>
        </w:rPr>
        <w:t>We limit the concentration of credit risk in receivables by closely monitoring credit and collection policies. We record allowances for sales returns as a deduction in the computation of net sales. Such provisions are recorded on the basis of written communication with customers and/or historical experience. Any value added taxes that are imposed on sales transactions are excluded from net sales.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Sold</w:t>
      </w:r>
    </w:p>
    <w:p>
      <w:pPr>
        <w:spacing w:after="0" w:line="193" w:lineRule="exact"/>
        <w:rPr>
          <w:sz w:val="20"/>
          <w:szCs w:val="20"/>
          <w:color w:val="auto"/>
        </w:rPr>
      </w:pPr>
    </w:p>
    <w:p>
      <w:pPr>
        <w:ind w:right="140" w:firstLine="648"/>
        <w:spacing w:after="0" w:line="246" w:lineRule="auto"/>
        <w:rPr>
          <w:sz w:val="20"/>
          <w:szCs w:val="20"/>
          <w:color w:val="auto"/>
        </w:rPr>
      </w:pPr>
      <w:r>
        <w:rPr>
          <w:rFonts w:ascii="Arial" w:cs="Arial" w:eastAsia="Arial" w:hAnsi="Arial"/>
          <w:sz w:val="18"/>
          <w:szCs w:val="18"/>
          <w:color w:val="auto"/>
        </w:rPr>
        <w:t>Cost of goods sold includes the cost of materials, provisions for obsolete inventories, labor and supplies, shipping and handling costs, depreciation of manufacturing facilities and equipment, purchasing, receiving, warehousing, and other expenses.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Administrative, Technical, Product Engineering, and Research Expenses</w:t>
      </w:r>
    </w:p>
    <w:p>
      <w:pPr>
        <w:spacing w:after="0" w:line="207" w:lineRule="exact"/>
        <w:rPr>
          <w:sz w:val="20"/>
          <w:szCs w:val="20"/>
          <w:color w:val="auto"/>
        </w:rPr>
      </w:pPr>
    </w:p>
    <w:p>
      <w:pPr>
        <w:ind w:right="220" w:firstLine="648"/>
        <w:spacing w:after="0" w:line="238" w:lineRule="auto"/>
        <w:rPr>
          <w:sz w:val="20"/>
          <w:szCs w:val="20"/>
          <w:color w:val="auto"/>
        </w:rPr>
      </w:pPr>
      <w:r>
        <w:rPr>
          <w:rFonts w:ascii="Arial" w:cs="Arial" w:eastAsia="Arial" w:hAnsi="Arial"/>
          <w:sz w:val="18"/>
          <w:szCs w:val="18"/>
          <w:color w:val="auto"/>
        </w:rPr>
        <w:t>Selling, general, administrative, technical, and product engineering expenses are primarily comprised of wages, benefits, travel, professional fees, revaluation of trade foreign currency balances, and other costs, and are expensed as incurred. Selling expense includes provisions for bad debts and costs related to contract acquisition. Research expenses are charged to operations as incurred and consist primarily of compensation, supplies, and professional fees incurred in connection with intellectual property. Total Company research expense was $28.8 million in 2016, $31.7 million in 2015, and $32.4 million in 2014.</w:t>
      </w:r>
    </w:p>
    <w:p>
      <w:pPr>
        <w:spacing w:after="0" w:line="162" w:lineRule="exact"/>
        <w:rPr>
          <w:sz w:val="20"/>
          <w:szCs w:val="20"/>
          <w:color w:val="auto"/>
        </w:rPr>
      </w:pPr>
    </w:p>
    <w:p>
      <w:pPr>
        <w:ind w:right="280" w:firstLine="648"/>
        <w:spacing w:after="0" w:line="238" w:lineRule="auto"/>
        <w:rPr>
          <w:sz w:val="20"/>
          <w:szCs w:val="20"/>
          <w:color w:val="auto"/>
        </w:rPr>
      </w:pPr>
      <w:r>
        <w:rPr>
          <w:rFonts w:ascii="Arial" w:cs="Arial" w:eastAsia="Arial" w:hAnsi="Arial"/>
          <w:sz w:val="18"/>
          <w:szCs w:val="18"/>
          <w:color w:val="auto"/>
        </w:rPr>
        <w:t>The Albany Engineered Composites segment participates in both Company-sponsored, and customer-funded research and development. Some customer-funded research and development may be on a cost-sharing basis, in which case amounts charged to the customer are credited against research and development expense. Expenses were reduced by $0.4 million in 2014 as a result of such arrangements, while no such arrangements existed in 2015 or 2016. For customer-funded research and development in which we anticipate funding to exceed expenses, we include amounts charged to the customer in Net sales, while expenses are included in Cost of goods sold.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Expense</w:t>
      </w:r>
    </w:p>
    <w:p>
      <w:pPr>
        <w:spacing w:after="0" w:line="207"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We may incur expenses related to restructuring of our operations, which could include employee termination costs, costs to consolidate or close facilities, or costs to terminate contractual relationships. Restructuring expenses may also include impairment of Property, plant and equipment, as described below. Employee termination costs include the severance pay and social costs for periods after employee service is completed. Termination costs related to an ongoing benefit arrangement are recognized when the amount becomes probable and estimable. Termination costs related to a one-time benefit arrangement are recognized at the communication date to employees. Costs related to contract termination, relocation of employees, outplacement and the consolidation or the closure of facilities, are recognized when incurred.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93"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Deferred income taxes are recognized for the tax consequences of temporary differences by applying enacted statutory tax rates applicable for future years to differences between existing assets and liabilities for financial reporting and income tax return purposes. The effect of tax rate changes on deferred taxes is recognized in the income tax provision in the period that includes the enactment date. A valuation allowance is established, as needed, to reduce net deferred tax assets to the amount expected to be realized. In the event it becomes more likely than not that some or all of the deferred tax asset allowances will not be needed, the valuation allowance will be adjusted.</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56" w:name="page57"/>
    <w:bookmarkEnd w:id="56"/>
    <w:p>
      <w:pPr>
        <w:ind w:right="60" w:firstLine="648"/>
        <w:spacing w:after="0" w:line="236" w:lineRule="auto"/>
        <w:rPr>
          <w:sz w:val="20"/>
          <w:szCs w:val="20"/>
          <w:color w:val="auto"/>
        </w:rPr>
      </w:pPr>
      <w:r>
        <w:rPr>
          <w:rFonts w:ascii="Arial" w:cs="Arial" w:eastAsia="Arial" w:hAnsi="Arial"/>
          <w:sz w:val="18"/>
          <w:szCs w:val="18"/>
          <w:color w:val="auto"/>
        </w:rPr>
        <w:t>In the ordinary course of business there is inherent uncertainty in quantifying our income tax positions. We assess our income tax positions and record tax benefits for all years subject to examination based upon management's evaluation of the facts, circumstances, and information available at the reporting date. For those tax positions where it is more likely than not that a tax benefit will be sustained, we have determined the amount of the tax benefit to be recognized by estimating the largest amount of tax benefit that has a greater than 50% likelihood of being realized upon ultimate settlement with a taxing authority that has full knowledge of all relevant information. For those income tax positions where it is not more-likely-than-not that a tax benefit will be sustained, no tax benefit has been recognized in the financial statements. Where applicable, associated interest and penalties have also been recognized. We recognize accrued interest and penalties related to unrecognized tax benefits as a component of income tax expense.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07" w:lineRule="exact"/>
        <w:rPr>
          <w:sz w:val="20"/>
          <w:szCs w:val="20"/>
          <w:color w:val="auto"/>
        </w:rPr>
      </w:pPr>
    </w:p>
    <w:p>
      <w:pPr>
        <w:ind w:right="60" w:firstLine="648"/>
        <w:spacing w:after="0"/>
        <w:rPr>
          <w:sz w:val="20"/>
          <w:szCs w:val="20"/>
          <w:color w:val="auto"/>
        </w:rPr>
      </w:pPr>
      <w:r>
        <w:rPr>
          <w:rFonts w:ascii="Arial" w:cs="Arial" w:eastAsia="Arial" w:hAnsi="Arial"/>
          <w:sz w:val="18"/>
          <w:szCs w:val="18"/>
          <w:color w:val="auto"/>
        </w:rPr>
        <w:t>Net income or loss per share is computed using the weighted average number of shares of Class A Common Stock and Class B Common Stock outstanding during each year. Diluted net income per share includes the effect of all potentially dilutive securities. If we report a net loss from continuing operations, the diluted loss is equal to the basic earnings per share calculation.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Translation of Financial Statements</w:t>
      </w:r>
    </w:p>
    <w:p>
      <w:pPr>
        <w:spacing w:after="0" w:line="193"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Assets and liabilities of non-U.S. operations are translated at year-end rates of exchange, and the income statements are translated at average exchange rates. Gains or losses resulting from translating non-U.S. currency financial statements are recorded in other comprehensive income and accumulated in Shareholders’ equity in the caption “Translation adjustments”.</w:t>
      </w:r>
    </w:p>
    <w:p>
      <w:pPr>
        <w:spacing w:after="0" w:line="176" w:lineRule="exact"/>
        <w:rPr>
          <w:sz w:val="20"/>
          <w:szCs w:val="20"/>
          <w:color w:val="auto"/>
        </w:rPr>
      </w:pPr>
    </w:p>
    <w:p>
      <w:pPr>
        <w:ind w:right="100" w:firstLine="648"/>
        <w:spacing w:after="0" w:line="238" w:lineRule="auto"/>
        <w:rPr>
          <w:sz w:val="20"/>
          <w:szCs w:val="20"/>
          <w:color w:val="auto"/>
        </w:rPr>
      </w:pPr>
      <w:r>
        <w:rPr>
          <w:rFonts w:ascii="Arial" w:cs="Arial" w:eastAsia="Arial" w:hAnsi="Arial"/>
          <w:sz w:val="18"/>
          <w:szCs w:val="18"/>
          <w:color w:val="auto"/>
        </w:rPr>
        <w:t>Selling, general, and administrative expenses include foreign currency gains and losses resulting from third party balances, such as receivables and payables, which are denominated in a currency other than the entity’s local currency. Gains or losses resulting from cash and short-term intercompany loans and balances denominated in a currency other than the entity’s local currency, and foreign currency options are generally included in Other expense/(income), net. Gains and losses on long-term intercompany loans not intended to be repaid in the foreseeable future are recorded in other comprehensive income.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foreign currency transaction gains and losses recognized in the income statement: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rPr>
              <w:t>(in thousands)</w:t>
            </w:r>
          </w:p>
        </w:tc>
        <w:tc>
          <w:tcPr>
            <w:tcW w:w="30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4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195"/>
        </w:trPr>
        <w:tc>
          <w:tcPr>
            <w:tcW w:w="5820" w:type="dxa"/>
            <w:vAlign w:val="bottom"/>
          </w:tcPr>
          <w:p>
            <w:pPr>
              <w:ind w:left="80"/>
              <w:spacing w:after="0" w:line="195" w:lineRule="exact"/>
              <w:rPr>
                <w:sz w:val="20"/>
                <w:szCs w:val="20"/>
                <w:color w:val="auto"/>
              </w:rPr>
            </w:pPr>
            <w:r>
              <w:rPr>
                <w:rFonts w:ascii="Arial" w:cs="Arial" w:eastAsia="Arial" w:hAnsi="Arial"/>
                <w:sz w:val="18"/>
                <w:szCs w:val="18"/>
                <w:color w:val="auto"/>
              </w:rPr>
              <w:t>(Gains)/losses included in:</w:t>
            </w:r>
          </w:p>
        </w:tc>
        <w:tc>
          <w:tcPr>
            <w:tcW w:w="302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($381)</w:t>
            </w:r>
          </w:p>
        </w:tc>
        <w:tc>
          <w:tcPr>
            <w:tcW w:w="1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820" w:type="dxa"/>
            <w:vAlign w:val="bottom"/>
          </w:tcPr>
          <w:p>
            <w:pPr>
              <w:ind w:left="240"/>
              <w:spacing w:after="0" w:line="181" w:lineRule="exact"/>
              <w:rPr>
                <w:sz w:val="20"/>
                <w:szCs w:val="20"/>
                <w:color w:val="auto"/>
              </w:rPr>
            </w:pPr>
            <w:r>
              <w:rPr>
                <w:rFonts w:ascii="Arial" w:cs="Arial" w:eastAsia="Arial" w:hAnsi="Arial"/>
                <w:sz w:val="18"/>
                <w:szCs w:val="18"/>
                <w:color w:val="auto"/>
              </w:rPr>
              <w:t>Selling, general, and administrative expenses</w:t>
            </w:r>
          </w:p>
        </w:tc>
        <w:tc>
          <w:tcPr>
            <w:tcW w:w="3020" w:type="dxa"/>
            <w:vAlign w:val="bottom"/>
            <w:vMerge w:val="continue"/>
          </w:tcPr>
          <w:p>
            <w:pPr>
              <w:spacing w:after="0"/>
              <w:rPr>
                <w:sz w:val="15"/>
                <w:szCs w:val="15"/>
                <w:color w:val="auto"/>
              </w:rPr>
            </w:pPr>
          </w:p>
        </w:tc>
        <w:tc>
          <w:tcPr>
            <w:tcW w:w="1400" w:type="dxa"/>
            <w:vAlign w:val="bottom"/>
          </w:tcPr>
          <w:p>
            <w:pPr>
              <w:jc w:val="right"/>
              <w:ind w:right="270"/>
              <w:spacing w:after="0" w:line="181" w:lineRule="exact"/>
              <w:rPr>
                <w:sz w:val="20"/>
                <w:szCs w:val="20"/>
                <w:color w:val="auto"/>
              </w:rPr>
            </w:pPr>
            <w:r>
              <w:rPr>
                <w:rFonts w:ascii="Arial" w:cs="Arial" w:eastAsia="Arial" w:hAnsi="Arial"/>
                <w:sz w:val="18"/>
                <w:szCs w:val="18"/>
                <w:color w:val="auto"/>
              </w:rPr>
              <w:t>(5,090)</w:t>
            </w:r>
          </w:p>
        </w:tc>
        <w:tc>
          <w:tcPr>
            <w:tcW w:w="1180" w:type="dxa"/>
            <w:vAlign w:val="bottom"/>
          </w:tcPr>
          <w:p>
            <w:pPr>
              <w:jc w:val="right"/>
              <w:spacing w:after="0" w:line="181" w:lineRule="exact"/>
              <w:rPr>
                <w:sz w:val="20"/>
                <w:szCs w:val="20"/>
                <w:color w:val="auto"/>
              </w:rPr>
            </w:pPr>
            <w:r>
              <w:rPr>
                <w:rFonts w:ascii="Arial" w:cs="Arial" w:eastAsia="Arial" w:hAnsi="Arial"/>
                <w:sz w:val="18"/>
                <w:szCs w:val="18"/>
                <w:color w:val="auto"/>
              </w:rPr>
              <w:t>($3,931)</w:t>
            </w:r>
          </w:p>
        </w:tc>
        <w:tc>
          <w:tcPr>
            <w:tcW w:w="0" w:type="dxa"/>
            <w:vAlign w:val="bottom"/>
          </w:tcPr>
          <w:p>
            <w:pPr>
              <w:spacing w:after="0"/>
              <w:rPr>
                <w:sz w:val="1"/>
                <w:szCs w:val="1"/>
                <w:color w:val="auto"/>
              </w:rPr>
            </w:pPr>
          </w:p>
        </w:tc>
      </w:tr>
      <w:tr>
        <w:trPr>
          <w:trHeight w:val="225"/>
        </w:trPr>
        <w:tc>
          <w:tcPr>
            <w:tcW w:w="58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Other (income)/expense, net</w:t>
            </w:r>
          </w:p>
        </w:tc>
        <w:tc>
          <w:tcPr>
            <w:tcW w:w="3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(3,532)</w:t>
            </w:r>
          </w:p>
        </w:tc>
        <w:tc>
          <w:tcPr>
            <w:tcW w:w="14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1,496</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(6,379)</w:t>
            </w:r>
          </w:p>
        </w:tc>
        <w:tc>
          <w:tcPr>
            <w:tcW w:w="0" w:type="dxa"/>
            <w:vAlign w:val="bottom"/>
          </w:tcPr>
          <w:p>
            <w:pPr>
              <w:spacing w:after="0"/>
              <w:rPr>
                <w:sz w:val="1"/>
                <w:szCs w:val="1"/>
                <w:color w:val="auto"/>
              </w:rPr>
            </w:pPr>
          </w:p>
        </w:tc>
      </w:tr>
      <w:tr>
        <w:trPr>
          <w:trHeight w:val="196"/>
        </w:trPr>
        <w:tc>
          <w:tcPr>
            <w:tcW w:w="582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color w:val="auto"/>
              </w:rPr>
              <w:t>Total transaction (gains)/losses</w:t>
            </w:r>
          </w:p>
        </w:tc>
        <w:tc>
          <w:tcPr>
            <w:tcW w:w="302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($3,913)</w:t>
            </w:r>
          </w:p>
        </w:tc>
        <w:tc>
          <w:tcPr>
            <w:tcW w:w="140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($3,594)</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($10,310)</w:t>
            </w:r>
          </w:p>
        </w:tc>
        <w:tc>
          <w:tcPr>
            <w:tcW w:w="0" w:type="dxa"/>
            <w:vAlign w:val="bottom"/>
          </w:tcPr>
          <w:p>
            <w:pPr>
              <w:spacing w:after="0"/>
              <w:rPr>
                <w:sz w:val="1"/>
                <w:szCs w:val="1"/>
                <w:color w:val="auto"/>
              </w:rPr>
            </w:pPr>
          </w:p>
        </w:tc>
      </w:tr>
    </w:tbl>
    <w:p>
      <w:pPr>
        <w:spacing w:after="0" w:line="391" w:lineRule="exact"/>
        <w:rPr>
          <w:sz w:val="20"/>
          <w:szCs w:val="20"/>
          <w:color w:val="auto"/>
        </w:rPr>
      </w:pPr>
    </w:p>
    <w:p>
      <w:pPr>
        <w:ind w:right="700" w:firstLine="648"/>
        <w:spacing w:after="0" w:line="246" w:lineRule="auto"/>
        <w:rPr>
          <w:sz w:val="20"/>
          <w:szCs w:val="20"/>
          <w:color w:val="auto"/>
        </w:rPr>
      </w:pPr>
      <w:r>
        <w:rPr>
          <w:rFonts w:ascii="Arial" w:cs="Arial" w:eastAsia="Arial" w:hAnsi="Arial"/>
          <w:sz w:val="18"/>
          <w:szCs w:val="18"/>
          <w:color w:val="auto"/>
        </w:rPr>
        <w:t>The following table presents foreign currency gains and losses on long-term intercompany loans that were recognized in Other comprehensive income: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31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4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r>
      <w:tr>
        <w:trPr>
          <w:trHeight w:val="399"/>
        </w:trPr>
        <w:tc>
          <w:tcPr>
            <w:tcW w:w="58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Gain/(loss) on long-term intercompany loans</w:t>
            </w:r>
          </w:p>
        </w:tc>
        <w:tc>
          <w:tcPr>
            <w:tcW w:w="3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$3,515</w:t>
            </w:r>
          </w:p>
        </w:tc>
        <w:tc>
          <w:tcPr>
            <w:tcW w:w="14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($5,225)</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$5,317</w:t>
            </w: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and cash equivalents consist of cash and highly liquid short-term investments with original maturities of three months or less.</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Accounts Receivable</w:t>
      </w:r>
    </w:p>
    <w:p>
      <w:pPr>
        <w:spacing w:after="0" w:line="192" w:lineRule="exact"/>
        <w:rPr>
          <w:sz w:val="20"/>
          <w:szCs w:val="20"/>
          <w:color w:val="auto"/>
        </w:rPr>
      </w:pPr>
    </w:p>
    <w:p>
      <w:pPr>
        <w:ind w:right="100" w:firstLine="648"/>
        <w:spacing w:after="0" w:line="238" w:lineRule="auto"/>
        <w:rPr>
          <w:sz w:val="20"/>
          <w:szCs w:val="20"/>
          <w:color w:val="auto"/>
        </w:rPr>
      </w:pPr>
      <w:r>
        <w:rPr>
          <w:rFonts w:ascii="Arial" w:cs="Arial" w:eastAsia="Arial" w:hAnsi="Arial"/>
          <w:sz w:val="18"/>
          <w:szCs w:val="18"/>
          <w:color w:val="auto"/>
        </w:rPr>
        <w:t>Accounts receivable includes trade receivables and revenue in excess of progress billings on long-term contracts in the Albany Engineered Composites segment. The Company maintains allowances for doubtful accounts for estimated losses resulting from the inability of its customers to make required payments. The Company determines the allowance based on historical write-off experience, customer-specific facts and economic conditions. If the financial condition of the Company’s customers were to deteriorate, resulting in an impairment of their ability to make payments, additional allowances may be required.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700" w:type="dxa"/>
            <w:vAlign w:val="bottom"/>
          </w:tcPr>
          <w:p>
            <w:pPr>
              <w:ind w:left="660"/>
              <w:spacing w:after="0"/>
              <w:rPr>
                <w:sz w:val="20"/>
                <w:szCs w:val="20"/>
                <w:color w:val="auto"/>
              </w:rPr>
            </w:pPr>
            <w:r>
              <w:rPr>
                <w:rFonts w:ascii="Arial" w:cs="Arial" w:eastAsia="Arial" w:hAnsi="Arial"/>
                <w:sz w:val="18"/>
                <w:szCs w:val="18"/>
                <w:color w:val="auto"/>
              </w:rPr>
              <w:t>As of December 31, 2016 and 2015, Accounts receivable consisted of the following:</w:t>
            </w:r>
          </w:p>
        </w:tc>
        <w:tc>
          <w:tcPr>
            <w:tcW w:w="178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365"/>
        </w:trPr>
        <w:tc>
          <w:tcPr>
            <w:tcW w:w="77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(in thousands)</w:t>
            </w:r>
          </w:p>
        </w:tc>
        <w:tc>
          <w:tcPr>
            <w:tcW w:w="178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2016</w:t>
            </w:r>
          </w:p>
        </w:tc>
        <w:tc>
          <w:tcPr>
            <w:tcW w:w="194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2015</w:t>
            </w:r>
          </w:p>
        </w:tc>
      </w:tr>
      <w:tr>
        <w:trPr>
          <w:trHeight w:val="173"/>
        </w:trPr>
        <w:tc>
          <w:tcPr>
            <w:tcW w:w="7700" w:type="dxa"/>
            <w:vAlign w:val="bottom"/>
          </w:tcPr>
          <w:p>
            <w:pPr>
              <w:ind w:left="100"/>
              <w:spacing w:after="0" w:line="173" w:lineRule="exact"/>
              <w:rPr>
                <w:sz w:val="20"/>
                <w:szCs w:val="20"/>
                <w:color w:val="auto"/>
              </w:rPr>
            </w:pPr>
            <w:r>
              <w:rPr>
                <w:rFonts w:ascii="Arial" w:cs="Arial" w:eastAsia="Arial" w:hAnsi="Arial"/>
                <w:sz w:val="18"/>
                <w:szCs w:val="18"/>
                <w:color w:val="auto"/>
              </w:rPr>
              <w:t>Trade and other accounts receivable</w:t>
            </w:r>
          </w:p>
        </w:tc>
        <w:tc>
          <w:tcPr>
            <w:tcW w:w="1780" w:type="dxa"/>
            <w:vAlign w:val="bottom"/>
          </w:tcPr>
          <w:p>
            <w:pPr>
              <w:jc w:val="right"/>
              <w:ind w:right="570"/>
              <w:spacing w:after="0" w:line="173" w:lineRule="exact"/>
              <w:rPr>
                <w:sz w:val="20"/>
                <w:szCs w:val="20"/>
                <w:color w:val="auto"/>
              </w:rPr>
            </w:pPr>
            <w:r>
              <w:rPr>
                <w:rFonts w:ascii="Arial" w:cs="Arial" w:eastAsia="Arial" w:hAnsi="Arial"/>
                <w:sz w:val="18"/>
                <w:szCs w:val="18"/>
                <w:b w:val="1"/>
                <w:bCs w:val="1"/>
                <w:color w:val="auto"/>
              </w:rPr>
              <w:t>$146,460</w:t>
            </w:r>
          </w:p>
        </w:tc>
        <w:tc>
          <w:tcPr>
            <w:tcW w:w="1940" w:type="dxa"/>
            <w:vAlign w:val="bottom"/>
          </w:tcPr>
          <w:p>
            <w:pPr>
              <w:jc w:val="right"/>
              <w:ind w:right="450"/>
              <w:spacing w:after="0" w:line="173" w:lineRule="exact"/>
              <w:rPr>
                <w:sz w:val="20"/>
                <w:szCs w:val="20"/>
                <w:color w:val="auto"/>
              </w:rPr>
            </w:pPr>
            <w:r>
              <w:rPr>
                <w:rFonts w:ascii="Arial" w:cs="Arial" w:eastAsia="Arial" w:hAnsi="Arial"/>
                <w:sz w:val="18"/>
                <w:szCs w:val="18"/>
                <w:color w:val="auto"/>
              </w:rPr>
              <w:t>$123,179</w:t>
            </w:r>
          </w:p>
        </w:tc>
      </w:tr>
      <w:tr>
        <w:trPr>
          <w:trHeight w:val="203"/>
        </w:trPr>
        <w:tc>
          <w:tcPr>
            <w:tcW w:w="7700" w:type="dxa"/>
            <w:vAlign w:val="bottom"/>
          </w:tcPr>
          <w:p>
            <w:pPr>
              <w:ind w:left="100"/>
              <w:spacing w:after="0" w:line="202" w:lineRule="exact"/>
              <w:rPr>
                <w:sz w:val="20"/>
                <w:szCs w:val="20"/>
                <w:color w:val="auto"/>
              </w:rPr>
            </w:pPr>
            <w:r>
              <w:rPr>
                <w:rFonts w:ascii="Arial" w:cs="Arial" w:eastAsia="Arial" w:hAnsi="Arial"/>
                <w:sz w:val="18"/>
                <w:szCs w:val="18"/>
                <w:color w:val="auto"/>
              </w:rPr>
              <w:t>Bank promissory notes</w:t>
            </w:r>
          </w:p>
        </w:tc>
        <w:tc>
          <w:tcPr>
            <w:tcW w:w="1780" w:type="dxa"/>
            <w:vAlign w:val="bottom"/>
          </w:tcPr>
          <w:p>
            <w:pPr>
              <w:jc w:val="right"/>
              <w:ind w:right="570"/>
              <w:spacing w:after="0" w:line="202" w:lineRule="exact"/>
              <w:rPr>
                <w:sz w:val="20"/>
                <w:szCs w:val="20"/>
                <w:color w:val="auto"/>
              </w:rPr>
            </w:pPr>
            <w:r>
              <w:rPr>
                <w:rFonts w:ascii="Arial" w:cs="Arial" w:eastAsia="Arial" w:hAnsi="Arial"/>
                <w:sz w:val="18"/>
                <w:szCs w:val="18"/>
                <w:b w:val="1"/>
                <w:bCs w:val="1"/>
                <w:color w:val="auto"/>
              </w:rPr>
              <w:t>15,759</w:t>
            </w:r>
          </w:p>
        </w:tc>
        <w:tc>
          <w:tcPr>
            <w:tcW w:w="194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15,845</w:t>
            </w:r>
          </w:p>
        </w:tc>
      </w:tr>
      <w:tr>
        <w:trPr>
          <w:trHeight w:val="203"/>
        </w:trPr>
        <w:tc>
          <w:tcPr>
            <w:tcW w:w="7700" w:type="dxa"/>
            <w:vAlign w:val="bottom"/>
          </w:tcPr>
          <w:p>
            <w:pPr>
              <w:ind w:left="100"/>
              <w:spacing w:after="0" w:line="202" w:lineRule="exact"/>
              <w:rPr>
                <w:sz w:val="20"/>
                <w:szCs w:val="20"/>
                <w:color w:val="auto"/>
              </w:rPr>
            </w:pPr>
            <w:r>
              <w:rPr>
                <w:rFonts w:ascii="Arial" w:cs="Arial" w:eastAsia="Arial" w:hAnsi="Arial"/>
                <w:sz w:val="18"/>
                <w:szCs w:val="18"/>
                <w:color w:val="auto"/>
              </w:rPr>
              <w:t>Revenue in excess of progress billings</w:t>
            </w:r>
          </w:p>
        </w:tc>
        <w:tc>
          <w:tcPr>
            <w:tcW w:w="1780" w:type="dxa"/>
            <w:vAlign w:val="bottom"/>
          </w:tcPr>
          <w:p>
            <w:pPr>
              <w:jc w:val="right"/>
              <w:ind w:right="570"/>
              <w:spacing w:after="0" w:line="202" w:lineRule="exact"/>
              <w:rPr>
                <w:sz w:val="20"/>
                <w:szCs w:val="20"/>
                <w:color w:val="auto"/>
              </w:rPr>
            </w:pPr>
            <w:r>
              <w:rPr>
                <w:rFonts w:ascii="Arial" w:cs="Arial" w:eastAsia="Arial" w:hAnsi="Arial"/>
                <w:sz w:val="18"/>
                <w:szCs w:val="18"/>
                <w:b w:val="1"/>
                <w:bCs w:val="1"/>
                <w:color w:val="auto"/>
              </w:rPr>
              <w:t>15,926</w:t>
            </w:r>
          </w:p>
        </w:tc>
        <w:tc>
          <w:tcPr>
            <w:tcW w:w="194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15,889</w:t>
            </w:r>
          </w:p>
        </w:tc>
      </w:tr>
      <w:tr>
        <w:trPr>
          <w:trHeight w:val="225"/>
        </w:trPr>
        <w:tc>
          <w:tcPr>
            <w:tcW w:w="77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Allowance for doubtful accounts</w:t>
            </w:r>
          </w:p>
        </w:tc>
        <w:tc>
          <w:tcPr>
            <w:tcW w:w="17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(6,952)</w:t>
            </w:r>
          </w:p>
        </w:tc>
        <w:tc>
          <w:tcPr>
            <w:tcW w:w="1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(8,530)</w:t>
            </w:r>
          </w:p>
        </w:tc>
      </w:tr>
      <w:tr>
        <w:trPr>
          <w:trHeight w:val="196"/>
        </w:trPr>
        <w:tc>
          <w:tcPr>
            <w:tcW w:w="770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Total accounts receivable</w:t>
            </w:r>
          </w:p>
        </w:tc>
        <w:tc>
          <w:tcPr>
            <w:tcW w:w="1780" w:type="dxa"/>
            <w:vAlign w:val="bottom"/>
            <w:tcBorders>
              <w:bottom w:val="single" w:sz="8" w:color="auto"/>
            </w:tcBorders>
          </w:tcPr>
          <w:p>
            <w:pPr>
              <w:jc w:val="right"/>
              <w:ind w:right="570"/>
              <w:spacing w:after="0" w:line="196" w:lineRule="exact"/>
              <w:rPr>
                <w:sz w:val="20"/>
                <w:szCs w:val="20"/>
                <w:color w:val="auto"/>
              </w:rPr>
            </w:pPr>
            <w:r>
              <w:rPr>
                <w:rFonts w:ascii="Arial" w:cs="Arial" w:eastAsia="Arial" w:hAnsi="Arial"/>
                <w:sz w:val="18"/>
                <w:szCs w:val="18"/>
                <w:b w:val="1"/>
                <w:bCs w:val="1"/>
                <w:color w:val="auto"/>
              </w:rPr>
              <w:t>$171,193</w:t>
            </w:r>
          </w:p>
        </w:tc>
        <w:tc>
          <w:tcPr>
            <w:tcW w:w="194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color w:val="auto"/>
              </w:rPr>
              <w:t>$146,383</w:t>
            </w:r>
          </w:p>
        </w:tc>
      </w:tr>
    </w:tbl>
    <w:p>
      <w:pPr>
        <w:spacing w:after="0" w:line="377"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In connection with certain sales in Asia Pacific, the Company accepts a bank promissory note as customer payment. The notes may be presented for payment at maturity, which is less than one year.</w:t>
      </w:r>
    </w:p>
    <w:p>
      <w:pPr>
        <w:spacing w:after="0" w:line="170" w:lineRule="exact"/>
        <w:rPr>
          <w:sz w:val="20"/>
          <w:szCs w:val="20"/>
          <w:color w:val="auto"/>
        </w:rPr>
      </w:pPr>
    </w:p>
    <w:p>
      <w:pPr>
        <w:ind w:right="200" w:firstLine="648"/>
        <w:spacing w:after="0" w:line="246" w:lineRule="auto"/>
        <w:rPr>
          <w:sz w:val="20"/>
          <w:szCs w:val="20"/>
          <w:color w:val="auto"/>
        </w:rPr>
      </w:pPr>
      <w:r>
        <w:rPr>
          <w:rFonts w:ascii="Arial" w:cs="Arial" w:eastAsia="Arial" w:hAnsi="Arial"/>
          <w:sz w:val="18"/>
          <w:szCs w:val="18"/>
          <w:color w:val="auto"/>
        </w:rPr>
        <w:t>The Company also has Contract receivables representing revenue earned in 2016 which has extended payment terms. The Contract receivable will be invoiced to the customer, with 2% interest, over a 10 year period starting in 2020.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93" w:lineRule="exact"/>
        <w:rPr>
          <w:sz w:val="20"/>
          <w:szCs w:val="20"/>
          <w:color w:val="auto"/>
        </w:rPr>
      </w:pPr>
    </w:p>
    <w:p>
      <w:pPr>
        <w:ind w:right="120" w:firstLine="648"/>
        <w:spacing w:after="0" w:line="237" w:lineRule="auto"/>
        <w:rPr>
          <w:sz w:val="20"/>
          <w:szCs w:val="20"/>
          <w:color w:val="auto"/>
        </w:rPr>
      </w:pPr>
      <w:r>
        <w:rPr>
          <w:rFonts w:ascii="Arial" w:cs="Arial" w:eastAsia="Arial" w:hAnsi="Arial"/>
          <w:sz w:val="18"/>
          <w:szCs w:val="18"/>
          <w:color w:val="auto"/>
        </w:rPr>
        <w:t>Costs included in inventories are raw materials, labor, supplies and allocable depreciation and overhead. Raw material inventories are valued on an average cost basis. Other inventory cost elements are valued at cost, using the first-in, first out method. The Company writes down inventories for estimated obsolescence, and to the lower of cost or market value based upon assumptions about future demand and market conditions. If actual demand or market conditions are less favorable than those projected by the Company, additional inventory write-downs may be required. Once established, the original cost of the inventory less the related write-down represents the new cost basis of such inventories. The AEC segment has long-term contracts under which we incur engineering and development costs that are allocable to parts that will be delivered over multiple years. These costs are included in Work in process in the table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320" w:type="dxa"/>
            <w:vAlign w:val="bottom"/>
          </w:tcPr>
          <w:p>
            <w:pPr>
              <w:ind w:left="660"/>
              <w:spacing w:after="0"/>
              <w:rPr>
                <w:sz w:val="20"/>
                <w:szCs w:val="20"/>
                <w:color w:val="auto"/>
              </w:rPr>
            </w:pPr>
            <w:r>
              <w:rPr>
                <w:rFonts w:ascii="Arial" w:cs="Arial" w:eastAsia="Arial" w:hAnsi="Arial"/>
                <w:sz w:val="18"/>
                <w:szCs w:val="18"/>
                <w:color w:val="auto"/>
              </w:rPr>
              <w:t>As of December 31, 2016 and 2015, inventories consisted of the following:</w:t>
            </w:r>
          </w:p>
        </w:tc>
        <w:tc>
          <w:tcPr>
            <w:tcW w:w="236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365"/>
        </w:trPr>
        <w:tc>
          <w:tcPr>
            <w:tcW w:w="7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236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b w:val="1"/>
                <w:bCs w:val="1"/>
                <w:color w:val="auto"/>
              </w:rPr>
              <w:t>2016</w:t>
            </w:r>
          </w:p>
        </w:tc>
        <w:tc>
          <w:tcPr>
            <w:tcW w:w="17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2015</w:t>
            </w:r>
          </w:p>
        </w:tc>
      </w:tr>
      <w:tr>
        <w:trPr>
          <w:trHeight w:val="173"/>
        </w:trPr>
        <w:tc>
          <w:tcPr>
            <w:tcW w:w="7320" w:type="dxa"/>
            <w:vAlign w:val="bottom"/>
          </w:tcPr>
          <w:p>
            <w:pPr>
              <w:ind w:left="40"/>
              <w:spacing w:after="0" w:line="173" w:lineRule="exact"/>
              <w:rPr>
                <w:sz w:val="20"/>
                <w:szCs w:val="20"/>
                <w:color w:val="auto"/>
              </w:rPr>
            </w:pPr>
            <w:r>
              <w:rPr>
                <w:rFonts w:ascii="Arial" w:cs="Arial" w:eastAsia="Arial" w:hAnsi="Arial"/>
                <w:sz w:val="18"/>
                <w:szCs w:val="18"/>
                <w:color w:val="auto"/>
              </w:rPr>
              <w:t>Raw materials</w:t>
            </w:r>
          </w:p>
        </w:tc>
        <w:tc>
          <w:tcPr>
            <w:tcW w:w="2360" w:type="dxa"/>
            <w:vAlign w:val="bottom"/>
          </w:tcPr>
          <w:p>
            <w:pPr>
              <w:jc w:val="right"/>
              <w:ind w:right="770"/>
              <w:spacing w:after="0" w:line="173" w:lineRule="exact"/>
              <w:rPr>
                <w:sz w:val="20"/>
                <w:szCs w:val="20"/>
                <w:color w:val="auto"/>
              </w:rPr>
            </w:pPr>
            <w:r>
              <w:rPr>
                <w:rFonts w:ascii="Arial" w:cs="Arial" w:eastAsia="Arial" w:hAnsi="Arial"/>
                <w:sz w:val="18"/>
                <w:szCs w:val="18"/>
                <w:b w:val="1"/>
                <w:bCs w:val="1"/>
                <w:color w:val="auto"/>
              </w:rPr>
              <w:t>$37,691</w:t>
            </w:r>
          </w:p>
        </w:tc>
        <w:tc>
          <w:tcPr>
            <w:tcW w:w="1740" w:type="dxa"/>
            <w:vAlign w:val="bottom"/>
          </w:tcPr>
          <w:p>
            <w:pPr>
              <w:jc w:val="right"/>
              <w:ind w:right="10"/>
              <w:spacing w:after="0" w:line="173" w:lineRule="exact"/>
              <w:rPr>
                <w:sz w:val="20"/>
                <w:szCs w:val="20"/>
                <w:color w:val="auto"/>
              </w:rPr>
            </w:pPr>
            <w:r>
              <w:rPr>
                <w:rFonts w:ascii="Arial" w:cs="Arial" w:eastAsia="Arial" w:hAnsi="Arial"/>
                <w:sz w:val="18"/>
                <w:szCs w:val="18"/>
                <w:color w:val="auto"/>
              </w:rPr>
              <w:t>$27,636</w:t>
            </w:r>
          </w:p>
        </w:tc>
      </w:tr>
      <w:tr>
        <w:trPr>
          <w:trHeight w:val="203"/>
        </w:trPr>
        <w:tc>
          <w:tcPr>
            <w:tcW w:w="7320" w:type="dxa"/>
            <w:vAlign w:val="bottom"/>
          </w:tcPr>
          <w:p>
            <w:pPr>
              <w:ind w:left="40"/>
              <w:spacing w:after="0" w:line="202" w:lineRule="exact"/>
              <w:rPr>
                <w:sz w:val="20"/>
                <w:szCs w:val="20"/>
                <w:color w:val="auto"/>
              </w:rPr>
            </w:pPr>
            <w:r>
              <w:rPr>
                <w:rFonts w:ascii="Arial" w:cs="Arial" w:eastAsia="Arial" w:hAnsi="Arial"/>
                <w:sz w:val="18"/>
                <w:szCs w:val="18"/>
                <w:color w:val="auto"/>
              </w:rPr>
              <w:t>Work in process</w:t>
            </w:r>
          </w:p>
        </w:tc>
        <w:tc>
          <w:tcPr>
            <w:tcW w:w="2360" w:type="dxa"/>
            <w:vAlign w:val="bottom"/>
          </w:tcPr>
          <w:p>
            <w:pPr>
              <w:jc w:val="right"/>
              <w:ind w:right="770"/>
              <w:spacing w:after="0" w:line="202" w:lineRule="exact"/>
              <w:rPr>
                <w:sz w:val="20"/>
                <w:szCs w:val="20"/>
                <w:color w:val="auto"/>
              </w:rPr>
            </w:pPr>
            <w:r>
              <w:rPr>
                <w:rFonts w:ascii="Arial" w:cs="Arial" w:eastAsia="Arial" w:hAnsi="Arial"/>
                <w:sz w:val="18"/>
                <w:szCs w:val="18"/>
                <w:b w:val="1"/>
                <w:bCs w:val="1"/>
                <w:color w:val="auto"/>
              </w:rPr>
              <w:t>58,715</w:t>
            </w:r>
          </w:p>
        </w:tc>
        <w:tc>
          <w:tcPr>
            <w:tcW w:w="17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41,823</w:t>
            </w:r>
          </w:p>
        </w:tc>
      </w:tr>
      <w:tr>
        <w:trPr>
          <w:trHeight w:val="225"/>
        </w:trPr>
        <w:tc>
          <w:tcPr>
            <w:tcW w:w="73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Finished goods</w:t>
            </w:r>
          </w:p>
        </w:tc>
        <w:tc>
          <w:tcPr>
            <w:tcW w:w="23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37,500</w:t>
            </w:r>
          </w:p>
        </w:tc>
        <w:tc>
          <w:tcPr>
            <w:tcW w:w="1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36,947</w:t>
            </w:r>
          </w:p>
        </w:tc>
      </w:tr>
      <w:tr>
        <w:trPr>
          <w:trHeight w:val="196"/>
        </w:trPr>
        <w:tc>
          <w:tcPr>
            <w:tcW w:w="732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Total inventories</w:t>
            </w:r>
          </w:p>
        </w:tc>
        <w:tc>
          <w:tcPr>
            <w:tcW w:w="2360" w:type="dxa"/>
            <w:vAlign w:val="bottom"/>
            <w:tcBorders>
              <w:bottom w:val="single" w:sz="8" w:color="auto"/>
            </w:tcBorders>
          </w:tcPr>
          <w:p>
            <w:pPr>
              <w:jc w:val="right"/>
              <w:ind w:right="770"/>
              <w:spacing w:after="0" w:line="196" w:lineRule="exact"/>
              <w:rPr>
                <w:sz w:val="20"/>
                <w:szCs w:val="20"/>
                <w:color w:val="auto"/>
              </w:rPr>
            </w:pPr>
            <w:r>
              <w:rPr>
                <w:rFonts w:ascii="Arial" w:cs="Arial" w:eastAsia="Arial" w:hAnsi="Arial"/>
                <w:sz w:val="18"/>
                <w:szCs w:val="18"/>
                <w:b w:val="1"/>
                <w:bCs w:val="1"/>
                <w:color w:val="auto"/>
              </w:rPr>
              <w:t>$133,906</w:t>
            </w:r>
          </w:p>
        </w:tc>
        <w:tc>
          <w:tcPr>
            <w:tcW w:w="17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$106,406</w:t>
            </w: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Property, Plant and Equipment</w:t>
      </w:r>
    </w:p>
    <w:p>
      <w:pPr>
        <w:spacing w:after="0" w:line="192" w:lineRule="exact"/>
        <w:rPr>
          <w:sz w:val="20"/>
          <w:szCs w:val="20"/>
          <w:color w:val="auto"/>
        </w:rPr>
      </w:pPr>
    </w:p>
    <w:p>
      <w:pPr>
        <w:ind w:right="280" w:firstLine="648"/>
        <w:spacing w:after="0" w:line="238" w:lineRule="auto"/>
        <w:rPr>
          <w:sz w:val="20"/>
          <w:szCs w:val="20"/>
          <w:color w:val="auto"/>
        </w:rPr>
      </w:pPr>
      <w:r>
        <w:rPr>
          <w:rFonts w:ascii="Arial" w:cs="Arial" w:eastAsia="Arial" w:hAnsi="Arial"/>
          <w:sz w:val="18"/>
          <w:szCs w:val="18"/>
          <w:color w:val="auto"/>
        </w:rPr>
        <w:t>Property, plant and equipment are recorded at cost, or if acquired as part of a business combination, at fair value. Depreciation is recorded using the straight-line method over the estimated useful lives of the assets for financial reporting purposes; in some cases, accelerated methods are used for income tax purposes. Significant additions or improvements extending assets’ useful lives are capitalized; normal maintenance and repair costs are expensed as incurred. The cost of fully depreciated assets remaining in use is included in the respective asset and accumulated depreciation accounts. When items are sold or retired, related gains or losses are included in net income.</w:t>
      </w:r>
    </w:p>
    <w:p>
      <w:pPr>
        <w:spacing w:after="0" w:line="176" w:lineRule="exact"/>
        <w:rPr>
          <w:sz w:val="20"/>
          <w:szCs w:val="20"/>
          <w:color w:val="auto"/>
        </w:rPr>
      </w:pPr>
    </w:p>
    <w:p>
      <w:pPr>
        <w:ind w:right="140" w:firstLine="648"/>
        <w:spacing w:after="0" w:line="239" w:lineRule="auto"/>
        <w:rPr>
          <w:sz w:val="20"/>
          <w:szCs w:val="20"/>
          <w:color w:val="auto"/>
        </w:rPr>
      </w:pPr>
      <w:r>
        <w:rPr>
          <w:rFonts w:ascii="Arial" w:cs="Arial" w:eastAsia="Arial" w:hAnsi="Arial"/>
          <w:sz w:val="18"/>
          <w:szCs w:val="18"/>
          <w:color w:val="auto"/>
        </w:rPr>
        <w:t>Computer software purchased for internal use, at cost, is amortized on a straight-line basis over five to eight years, depending on the nature of the asset, after being placed into service, and is included in property, plant, and equipment. We capitalize internal and external costs incurred related to the software development stage. Capitalized salaries, travel, and consulting costs related to the software development amounted to $1.2 million in 2016 and $1.3 million in 2015.</w:t>
      </w:r>
    </w:p>
    <w:p>
      <w:pPr>
        <w:spacing w:after="0" w:line="161" w:lineRule="exact"/>
        <w:rPr>
          <w:sz w:val="20"/>
          <w:szCs w:val="20"/>
          <w:color w:val="auto"/>
        </w:rPr>
      </w:pPr>
    </w:p>
    <w:p>
      <w:pPr>
        <w:ind w:right="480" w:firstLine="648"/>
        <w:spacing w:after="0"/>
        <w:rPr>
          <w:sz w:val="20"/>
          <w:szCs w:val="20"/>
          <w:color w:val="auto"/>
        </w:rPr>
      </w:pPr>
      <w:r>
        <w:rPr>
          <w:rFonts w:ascii="Arial" w:cs="Arial" w:eastAsia="Arial" w:hAnsi="Arial"/>
          <w:sz w:val="18"/>
          <w:szCs w:val="18"/>
          <w:color w:val="auto"/>
        </w:rPr>
        <w:t>We review the carrying value of property, plant and equipment and other long-lived assets for impairment whenever events and circumstances indicate that the carrying value of an asset group may not be recoverable from the estimated future cash flows expected to result from its use and eventual disposition.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Intangibles, and Other Assets</w:t>
      </w:r>
    </w:p>
    <w:p>
      <w:pPr>
        <w:spacing w:after="0" w:line="234" w:lineRule="exact"/>
        <w:rPr>
          <w:sz w:val="20"/>
          <w:szCs w:val="20"/>
          <w:color w:val="auto"/>
        </w:rPr>
      </w:pPr>
    </w:p>
    <w:p>
      <w:pPr>
        <w:jc w:val="both"/>
        <w:ind w:right="180" w:firstLine="648"/>
        <w:spacing w:after="0"/>
        <w:rPr>
          <w:sz w:val="20"/>
          <w:szCs w:val="20"/>
          <w:color w:val="auto"/>
        </w:rPr>
      </w:pPr>
      <w:r>
        <w:rPr>
          <w:rFonts w:ascii="Arial" w:cs="Arial" w:eastAsia="Arial" w:hAnsi="Arial"/>
          <w:sz w:val="18"/>
          <w:szCs w:val="18"/>
          <w:color w:val="auto"/>
        </w:rPr>
        <w:t>Goodwill and intangible assets with indefinite useful lives are not amortized, but are tested for impairment at least annually. Goodwill represents the excess of the purchase price over the fair value of the net tangible and identifiable intangible assets acquired in each business combination. Our reporting units are consistent with our operating segments. See additional information set forth under Note 12.</w:t>
      </w:r>
    </w:p>
    <w:p>
      <w:pPr>
        <w:spacing w:after="0" w:line="203" w:lineRule="exact"/>
        <w:rPr>
          <w:sz w:val="20"/>
          <w:szCs w:val="20"/>
          <w:color w:val="auto"/>
        </w:rPr>
      </w:pPr>
    </w:p>
    <w:p>
      <w:pPr>
        <w:ind w:right="540" w:firstLine="648"/>
        <w:spacing w:after="0"/>
        <w:rPr>
          <w:sz w:val="20"/>
          <w:szCs w:val="20"/>
          <w:color w:val="auto"/>
        </w:rPr>
      </w:pPr>
      <w:r>
        <w:rPr>
          <w:rFonts w:ascii="Arial" w:cs="Arial" w:eastAsia="Arial" w:hAnsi="Arial"/>
          <w:sz w:val="18"/>
          <w:szCs w:val="18"/>
          <w:color w:val="auto"/>
        </w:rPr>
        <w:t>Intangible assets acquired in a business combination are recognized at fair value and amortized to Cost of goods sold or Selling, general and administrative expenses over the estimated useful lives of the assets. We review amortizable intangible asset groups for impairment whenever events or changes in circumstances indicate that the related carrying amounts may not be recoverable.</w:t>
      </w:r>
    </w:p>
    <w:p>
      <w:pPr>
        <w:spacing w:after="0" w:line="203" w:lineRule="exact"/>
        <w:rPr>
          <w:sz w:val="20"/>
          <w:szCs w:val="20"/>
          <w:color w:val="auto"/>
        </w:rPr>
      </w:pPr>
    </w:p>
    <w:p>
      <w:pPr>
        <w:ind w:right="260" w:firstLine="648"/>
        <w:spacing w:after="0" w:line="239" w:lineRule="auto"/>
        <w:rPr>
          <w:sz w:val="20"/>
          <w:szCs w:val="20"/>
          <w:color w:val="auto"/>
        </w:rPr>
      </w:pPr>
      <w:r>
        <w:rPr>
          <w:rFonts w:ascii="Arial" w:cs="Arial" w:eastAsia="Arial" w:hAnsi="Arial"/>
          <w:sz w:val="18"/>
          <w:szCs w:val="18"/>
          <w:color w:val="auto"/>
        </w:rPr>
        <w:t>We have an investment in a company in Russia that is accounted for under the equity method of accounting and is included in Other assets amounting to $0.4 million in 2016 and 2015. We perform regular reviews of the financial condition of the investee to determine if our investment is other than temporarily impaired. If the financial condition of the investee were to no longer support their valuation, we would record an impairment provision.</w:t>
      </w:r>
    </w:p>
    <w:p>
      <w:pPr>
        <w:spacing w:after="0" w:line="202" w:lineRule="exact"/>
        <w:rPr>
          <w:sz w:val="20"/>
          <w:szCs w:val="20"/>
          <w:color w:val="auto"/>
        </w:rPr>
      </w:pPr>
    </w:p>
    <w:p>
      <w:pPr>
        <w:ind w:right="200" w:firstLine="648"/>
        <w:spacing w:after="0" w:line="246" w:lineRule="auto"/>
        <w:rPr>
          <w:sz w:val="20"/>
          <w:szCs w:val="20"/>
          <w:color w:val="auto"/>
        </w:rPr>
      </w:pPr>
      <w:r>
        <w:rPr>
          <w:rFonts w:ascii="Arial" w:cs="Arial" w:eastAsia="Arial" w:hAnsi="Arial"/>
          <w:sz w:val="18"/>
          <w:szCs w:val="18"/>
          <w:color w:val="auto"/>
        </w:rPr>
        <w:t>Included in Other assets is $7.8 million in 2016 and $10.4 million in 2015 for defined benefit pension plans where plan assets exceed the projected benefit obligations. Other assets also includes financial assets of $6.5 million in 2016 and $0.8 million in 2015 (see Note 15).</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93" w:lineRule="exact"/>
        <w:rPr>
          <w:sz w:val="20"/>
          <w:szCs w:val="20"/>
          <w:color w:val="auto"/>
        </w:rPr>
      </w:pPr>
    </w:p>
    <w:p>
      <w:pPr>
        <w:jc w:val="both"/>
        <w:ind w:right="60" w:firstLine="648"/>
        <w:spacing w:after="0"/>
        <w:rPr>
          <w:sz w:val="20"/>
          <w:szCs w:val="20"/>
          <w:color w:val="auto"/>
        </w:rPr>
      </w:pPr>
      <w:r>
        <w:rPr>
          <w:rFonts w:ascii="Arial" w:cs="Arial" w:eastAsia="Arial" w:hAnsi="Arial"/>
          <w:sz w:val="18"/>
          <w:szCs w:val="18"/>
          <w:color w:val="auto"/>
        </w:rPr>
        <w:t>We have stock-based compensation plans for key employees. Stock options are accounted for in accordance with applicable guidance for the modified prospective transition method of share-based payments. No options have been granted since 2002. See additional information set forth under Note 18.</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207" w:lineRule="exact"/>
        <w:rPr>
          <w:sz w:val="20"/>
          <w:szCs w:val="20"/>
          <w:color w:val="auto"/>
        </w:rPr>
      </w:pPr>
    </w:p>
    <w:p>
      <w:pPr>
        <w:jc w:val="both"/>
        <w:ind w:right="140" w:firstLine="648"/>
        <w:spacing w:after="0"/>
        <w:rPr>
          <w:sz w:val="20"/>
          <w:szCs w:val="20"/>
          <w:color w:val="auto"/>
        </w:rPr>
      </w:pPr>
      <w:r>
        <w:rPr>
          <w:rFonts w:ascii="Arial" w:cs="Arial" w:eastAsia="Arial" w:hAnsi="Arial"/>
          <w:sz w:val="18"/>
          <w:szCs w:val="18"/>
          <w:color w:val="auto"/>
        </w:rPr>
        <w:t>We use derivatives from time to time to reduce potentially large adverse effects from changes in currency exchange rates and interest rates. We monitor our exposure to these risks and evaluate, on an ongoing basis, the risk of potentially large adverse effects versus the costs associated with hedging such risks.</w:t>
      </w:r>
    </w:p>
    <w:p>
      <w:pPr>
        <w:spacing w:after="0" w:line="162" w:lineRule="exact"/>
        <w:rPr>
          <w:sz w:val="20"/>
          <w:szCs w:val="20"/>
          <w:color w:val="auto"/>
        </w:rPr>
      </w:pPr>
    </w:p>
    <w:p>
      <w:pPr>
        <w:ind w:right="260" w:firstLine="648"/>
        <w:spacing w:after="0"/>
        <w:rPr>
          <w:sz w:val="20"/>
          <w:szCs w:val="20"/>
          <w:color w:val="auto"/>
        </w:rPr>
      </w:pPr>
      <w:r>
        <w:rPr>
          <w:rFonts w:ascii="Arial" w:cs="Arial" w:eastAsia="Arial" w:hAnsi="Arial"/>
          <w:sz w:val="18"/>
          <w:szCs w:val="18"/>
          <w:color w:val="auto"/>
        </w:rPr>
        <w:t>We use interest rate swaps in the management of interest rate exposures and foreign currency derivatives in the management of foreign currency exposure related to assets and liabilities (including net investments in subsidiaries located outside the U.S.) denominated in foreign currencies. When we enter into a</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9" w:name="page60"/>
    <w:bookmarkEnd w:id="59"/>
    <w:p>
      <w:pPr>
        <w:ind w:right="140"/>
        <w:spacing w:after="0" w:line="238" w:lineRule="auto"/>
        <w:rPr>
          <w:sz w:val="20"/>
          <w:szCs w:val="20"/>
          <w:color w:val="auto"/>
        </w:rPr>
      </w:pPr>
      <w:r>
        <w:rPr>
          <w:rFonts w:ascii="Arial" w:cs="Arial" w:eastAsia="Arial" w:hAnsi="Arial"/>
          <w:sz w:val="18"/>
          <w:szCs w:val="18"/>
          <w:color w:val="auto"/>
        </w:rPr>
        <w:t>derivative contract, we make a determination whether the transaction is deemed to be a hedge for accounting purposes. For those contracts deemed to be a hedge, we formally document the relationship between the derivative instrument and the risk being hedged. In this documentation, we specifically identify the asset, liability, forecasted transaction, cash flow, or net investment that has been designated as the hedged item, and evaluate whether the derivative instrument is expected to reduce the risks associated with the hedged item. To the extent these criteria are not met, we do not use hedge accounting for the derivative.</w:t>
      </w:r>
    </w:p>
    <w:p>
      <w:pPr>
        <w:spacing w:after="0" w:line="161" w:lineRule="exact"/>
        <w:rPr>
          <w:sz w:val="20"/>
          <w:szCs w:val="20"/>
          <w:color w:val="auto"/>
        </w:rPr>
      </w:pPr>
    </w:p>
    <w:p>
      <w:pPr>
        <w:ind w:right="180" w:firstLine="648"/>
        <w:spacing w:after="0" w:line="238" w:lineRule="auto"/>
        <w:rPr>
          <w:sz w:val="20"/>
          <w:szCs w:val="20"/>
          <w:color w:val="auto"/>
        </w:rPr>
      </w:pPr>
      <w:r>
        <w:rPr>
          <w:rFonts w:ascii="Arial" w:cs="Arial" w:eastAsia="Arial" w:hAnsi="Arial"/>
          <w:sz w:val="18"/>
          <w:szCs w:val="18"/>
          <w:color w:val="auto"/>
        </w:rPr>
        <w:t>All derivative contracts are recorded at fair value, as a net asset or a net liability. For transactions that are designated as hedges, we perform an evaluation of the effectiveness of the hedge. To the extent that the hedge is effective, changes in the fair value of the hedge are recorded, net of tax, in other comprehensive income. We measure the effectiveness of hedging relationships both at inception and on an ongoing basis. The ineffective portion of a hedge, if any, and changes in the fair value of a derivative not deemed to be a hedge, are recorded in Other expense/(income), net.</w:t>
      </w:r>
    </w:p>
    <w:p>
      <w:pPr>
        <w:spacing w:after="0" w:line="176" w:lineRule="exact"/>
        <w:rPr>
          <w:sz w:val="20"/>
          <w:szCs w:val="20"/>
          <w:color w:val="auto"/>
        </w:rPr>
      </w:pPr>
    </w:p>
    <w:p>
      <w:pPr>
        <w:ind w:right="20" w:firstLine="648"/>
        <w:spacing w:after="0" w:line="246" w:lineRule="auto"/>
        <w:rPr>
          <w:sz w:val="20"/>
          <w:szCs w:val="20"/>
          <w:color w:val="auto"/>
        </w:rPr>
      </w:pPr>
      <w:r>
        <w:rPr>
          <w:rFonts w:ascii="Arial" w:cs="Arial" w:eastAsia="Arial" w:hAnsi="Arial"/>
          <w:sz w:val="18"/>
          <w:szCs w:val="18"/>
          <w:color w:val="auto"/>
        </w:rPr>
        <w:t>For derivatives that are designated and qualify as hedges of net investments in subsidiaries located outside the United States, changes in the fair value of derivatives are reported in other comprehensive income as part of the Cumulative translation adjustment.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and Postretirement Benefit Plans</w:t>
      </w:r>
    </w:p>
    <w:p>
      <w:pPr>
        <w:spacing w:after="0" w:line="193" w:lineRule="exact"/>
        <w:rPr>
          <w:sz w:val="20"/>
          <w:szCs w:val="20"/>
          <w:color w:val="auto"/>
        </w:rPr>
      </w:pPr>
    </w:p>
    <w:p>
      <w:pPr>
        <w:ind w:right="100" w:firstLine="648"/>
        <w:spacing w:after="0" w:line="237" w:lineRule="auto"/>
        <w:rPr>
          <w:sz w:val="20"/>
          <w:szCs w:val="20"/>
          <w:color w:val="auto"/>
        </w:rPr>
      </w:pPr>
      <w:r>
        <w:rPr>
          <w:rFonts w:ascii="Arial" w:cs="Arial" w:eastAsia="Arial" w:hAnsi="Arial"/>
          <w:sz w:val="18"/>
          <w:szCs w:val="18"/>
          <w:color w:val="auto"/>
        </w:rPr>
        <w:t>As described in Note 4, we have pension and postretirement benefit plans covering substantially all employees. Our defined benefit pension plan in the United States was closed to new participants as of October 1998 and, as of February 2009, benefits accrued under this plan were frozen. We have liabilities for postretirement benefits in the U.S. and Canada. Substantially all of the liability relates to the U.S. plan. Effective January 2005, our postretirement benefit plan in the U.S. was closed to new participants, except for certain life insurance benefits. In September 2008, we changed the cost sharing arrangement under this program such that increases in health care costs are the responsibility of plan participants and, in August 2013, we reduced the life insurance benefit for retirees and eliminated that benefit for active employees.</w:t>
      </w:r>
    </w:p>
    <w:p>
      <w:pPr>
        <w:spacing w:after="0" w:line="178"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The pension plans are generally trusteed or insured, and accrued amounts are funded as required in accordance with governing laws and regulations. The annual expense and liabilities recognized for defined benefit pension plans and postretirement benefit plans are developed from actuarial valuations. Inherent in these valuations are key assumptions, including discount rates and expected return on plan assets, which are updated on an annual basis at the beginning of each fiscal year. We consider current market conditions, including changes in interest rates, in making these assumptions. Discount rate assumptions are based on the population of plan participants and a mixture of high-quality fixed-income investments for which the average maturity approximates the average remaining service period of plan participants. The assumption for expected return on plan assets is based on historical and expected returns on various categories of plan assets.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193" w:lineRule="exact"/>
        <w:rPr>
          <w:sz w:val="20"/>
          <w:szCs w:val="20"/>
          <w:color w:val="auto"/>
        </w:rPr>
      </w:pPr>
    </w:p>
    <w:p>
      <w:pPr>
        <w:ind w:right="200" w:firstLine="648"/>
        <w:spacing w:after="0" w:line="238" w:lineRule="auto"/>
        <w:rPr>
          <w:sz w:val="20"/>
          <w:szCs w:val="20"/>
          <w:color w:val="auto"/>
        </w:rPr>
      </w:pPr>
      <w:r>
        <w:rPr>
          <w:rFonts w:ascii="Arial" w:cs="Arial" w:eastAsia="Arial" w:hAnsi="Arial"/>
          <w:sz w:val="18"/>
          <w:szCs w:val="18"/>
          <w:color w:val="auto"/>
        </w:rPr>
        <w:t>In accordance with applicable disclosure guidance for enterprise segments and related information, the internal organization that is used by management for making operating decisions and assessing performance is used as the basis for our reportable segments. The reportable segments, which are described in more detail in Note 3, are Machine Clothing (MC) and Albany Engineered Composites (AEC). In the determination of segment operating income, we exclude expenses for certain corporate expenses, which consist primarily of corporate headquarters and global information systems costs.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93" w:lineRule="exact"/>
        <w:rPr>
          <w:sz w:val="20"/>
          <w:szCs w:val="20"/>
          <w:color w:val="auto"/>
        </w:rPr>
      </w:pPr>
    </w:p>
    <w:p>
      <w:pPr>
        <w:ind w:right="240" w:firstLine="648"/>
        <w:spacing w:after="0"/>
        <w:rPr>
          <w:sz w:val="20"/>
          <w:szCs w:val="20"/>
          <w:color w:val="auto"/>
        </w:rPr>
      </w:pPr>
      <w:r>
        <w:rPr>
          <w:rFonts w:ascii="Arial" w:cs="Arial" w:eastAsia="Arial" w:hAnsi="Arial"/>
          <w:sz w:val="18"/>
          <w:szCs w:val="18"/>
          <w:color w:val="auto"/>
        </w:rPr>
        <w:t>In May 2014, an accounting update was issued that replaces the existing revenue recognition framework regarding contracts with customers. We will adopt the standard on January 1, 2018 and the Company is currently assessing the effects of the new standard. The new standard may result in earlier</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60" w:name="page61"/>
    <w:bookmarkEnd w:id="60"/>
    <w:p>
      <w:pPr>
        <w:spacing w:after="0" w:line="237" w:lineRule="auto"/>
        <w:rPr>
          <w:sz w:val="20"/>
          <w:szCs w:val="20"/>
          <w:color w:val="auto"/>
        </w:rPr>
      </w:pPr>
      <w:r>
        <w:rPr>
          <w:rFonts w:ascii="Arial" w:cs="Arial" w:eastAsia="Arial" w:hAnsi="Arial"/>
          <w:sz w:val="18"/>
          <w:szCs w:val="18"/>
          <w:color w:val="auto"/>
        </w:rPr>
        <w:t>recognition of revenue in Machine Clothing due to the customized nature of our products. In Albany Engineered Composites, we use the units of delivery method for some contracts, which is considered an output method. Under the new standard, we expect that most of these contracts will be accounted for using an input method, which is expected to result in earlier recognition of revenue. However, we are currently unable to determine the full effect that the new standard will have on our financial statements. The guidance permits two implementation approaches, one requiring retrospective application of the new standard with restatement of prior years, and one requiring prospective application of the new standard with disclosure of results under old standards. The Company is continuing to evaluate the implementation approach to be used.</w:t>
      </w:r>
    </w:p>
    <w:p>
      <w:pPr>
        <w:spacing w:after="0" w:line="164"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In May 2015, an accounting update was issued which eliminates the requirement to categorize investments in the fair value hierarchy if their fair value is measured at net asset value (NAV) per share. We adopted this provision as of January 1, 2016 and have modified footnote disclosures accordingly.</w:t>
      </w:r>
    </w:p>
    <w:p>
      <w:pPr>
        <w:spacing w:after="0" w:line="189" w:lineRule="exact"/>
        <w:rPr>
          <w:sz w:val="20"/>
          <w:szCs w:val="20"/>
          <w:color w:val="auto"/>
        </w:rPr>
      </w:pPr>
    </w:p>
    <w:p>
      <w:pPr>
        <w:ind w:right="200" w:firstLine="648"/>
        <w:spacing w:after="0" w:line="239" w:lineRule="auto"/>
        <w:rPr>
          <w:sz w:val="20"/>
          <w:szCs w:val="20"/>
          <w:color w:val="auto"/>
        </w:rPr>
      </w:pPr>
      <w:r>
        <w:rPr>
          <w:rFonts w:ascii="Arial" w:cs="Arial" w:eastAsia="Arial" w:hAnsi="Arial"/>
          <w:sz w:val="18"/>
          <w:szCs w:val="18"/>
          <w:color w:val="auto"/>
        </w:rPr>
        <w:t>In July 2015, an accounting update was issued simplifying the measurement of inventory from the lower of cost or market to lower of cost or net realizable value. This accounting update eliminates the requirement for consideration of replacement cost or net realizable value less normal profit margin measurements. This accounting update is effective for reporting periods beginning after December 15, 2016. We do not expect the adoption of this update to have a significant effect on our financial statements.</w:t>
      </w:r>
    </w:p>
    <w:p>
      <w:pPr>
        <w:spacing w:after="0" w:line="175" w:lineRule="exact"/>
        <w:rPr>
          <w:sz w:val="20"/>
          <w:szCs w:val="20"/>
          <w:color w:val="auto"/>
        </w:rPr>
      </w:pPr>
    </w:p>
    <w:p>
      <w:pPr>
        <w:ind w:right="100" w:firstLine="648"/>
        <w:spacing w:after="0" w:line="239" w:lineRule="auto"/>
        <w:rPr>
          <w:sz w:val="20"/>
          <w:szCs w:val="20"/>
          <w:color w:val="auto"/>
        </w:rPr>
      </w:pPr>
      <w:r>
        <w:rPr>
          <w:rFonts w:ascii="Arial" w:cs="Arial" w:eastAsia="Arial" w:hAnsi="Arial"/>
          <w:sz w:val="18"/>
          <w:szCs w:val="18"/>
          <w:color w:val="auto"/>
        </w:rPr>
        <w:t>In September 2015, an accounting update was issued which eliminates the requirement for an acquirer to retrospectively adjust the financial statements for measurement-period adjustments that occur in periods after a business combination is consummated. This accounting update was adopted January 1, 2016. Measurement period adjustments related to the Company’s 2016 business acquisition are described in Note 2.</w:t>
      </w:r>
    </w:p>
    <w:p>
      <w:pPr>
        <w:spacing w:after="0" w:line="161" w:lineRule="exact"/>
        <w:rPr>
          <w:sz w:val="20"/>
          <w:szCs w:val="20"/>
          <w:color w:val="auto"/>
        </w:rPr>
      </w:pPr>
    </w:p>
    <w:p>
      <w:pPr>
        <w:ind w:right="240" w:firstLine="648"/>
        <w:spacing w:after="0" w:line="239" w:lineRule="auto"/>
        <w:rPr>
          <w:sz w:val="20"/>
          <w:szCs w:val="20"/>
          <w:color w:val="auto"/>
        </w:rPr>
      </w:pPr>
      <w:r>
        <w:rPr>
          <w:rFonts w:ascii="Arial" w:cs="Arial" w:eastAsia="Arial" w:hAnsi="Arial"/>
          <w:sz w:val="18"/>
          <w:szCs w:val="18"/>
          <w:color w:val="auto"/>
        </w:rPr>
        <w:t>In January 2016, an accounting update was issued which requires entities to present separately in Other comprehensive income the portion of the total change in the fair value of a liability resulting from a change in the instrument-specific credit risk if the entity has elected to measure the liability at fair value in accordance with the fair value option for financial instruments. This accounting update is effective for reporting periods beginning after December 15, 2017. We have not determined the impact of this update on our financial statements.</w:t>
      </w:r>
    </w:p>
    <w:p>
      <w:pPr>
        <w:spacing w:after="0" w:line="161" w:lineRule="exact"/>
        <w:rPr>
          <w:sz w:val="20"/>
          <w:szCs w:val="20"/>
          <w:color w:val="auto"/>
        </w:rPr>
      </w:pPr>
    </w:p>
    <w:p>
      <w:pPr>
        <w:jc w:val="both"/>
        <w:ind w:right="580" w:firstLine="648"/>
        <w:spacing w:after="0"/>
        <w:rPr>
          <w:sz w:val="20"/>
          <w:szCs w:val="20"/>
          <w:color w:val="auto"/>
        </w:rPr>
      </w:pPr>
      <w:r>
        <w:rPr>
          <w:rFonts w:ascii="Arial" w:cs="Arial" w:eastAsia="Arial" w:hAnsi="Arial"/>
          <w:sz w:val="18"/>
          <w:szCs w:val="18"/>
          <w:color w:val="auto"/>
        </w:rPr>
        <w:t>In February 2016, an accounting update was issued which requires lessees to recognize most leases on the balance sheet. The update may significantly increase reported assets and liabilities. This accounting update is effective for reporting periods beginning after December 15, 2018. We have not determined the impact of this update on our financial statements.</w:t>
      </w:r>
    </w:p>
    <w:p>
      <w:pPr>
        <w:spacing w:after="0" w:line="176" w:lineRule="exact"/>
        <w:rPr>
          <w:sz w:val="20"/>
          <w:szCs w:val="20"/>
          <w:color w:val="auto"/>
        </w:rPr>
      </w:pPr>
    </w:p>
    <w:p>
      <w:pPr>
        <w:ind w:right="120" w:firstLine="648"/>
        <w:spacing w:after="0" w:line="239" w:lineRule="auto"/>
        <w:rPr>
          <w:sz w:val="20"/>
          <w:szCs w:val="20"/>
          <w:color w:val="auto"/>
        </w:rPr>
      </w:pPr>
      <w:r>
        <w:rPr>
          <w:rFonts w:ascii="Arial" w:cs="Arial" w:eastAsia="Arial" w:hAnsi="Arial"/>
          <w:sz w:val="18"/>
          <w:szCs w:val="18"/>
          <w:color w:val="auto"/>
        </w:rPr>
        <w:t>In March 2016, an accounting update was issued which clarifies that a change in counterparty to a derivative contract, through novation, that is part of a hedge accounting relationship does not, by itself, require de-designation of that relationship, as long as all other hedge accounting criteria continue to be met. This accounting update is effective for reporting periods beginning after December 15, 2016. We do not expect the adoption of this update to have a significant effect on our financial statements.</w:t>
      </w:r>
    </w:p>
    <w:p>
      <w:pPr>
        <w:spacing w:after="0" w:line="161" w:lineRule="exact"/>
        <w:rPr>
          <w:sz w:val="20"/>
          <w:szCs w:val="20"/>
          <w:color w:val="auto"/>
        </w:rPr>
      </w:pPr>
    </w:p>
    <w:p>
      <w:pPr>
        <w:ind w:right="180" w:firstLine="648"/>
        <w:spacing w:after="0" w:line="239" w:lineRule="auto"/>
        <w:rPr>
          <w:sz w:val="20"/>
          <w:szCs w:val="20"/>
          <w:color w:val="auto"/>
        </w:rPr>
      </w:pPr>
      <w:r>
        <w:rPr>
          <w:rFonts w:ascii="Arial" w:cs="Arial" w:eastAsia="Arial" w:hAnsi="Arial"/>
          <w:sz w:val="18"/>
          <w:szCs w:val="18"/>
          <w:color w:val="auto"/>
        </w:rPr>
        <w:t>In March 2016, an accounting update was issued which simplifies the transition to the equity method of accounting by eliminating the requirement for an investor to retroactively apply the equity method when its increase in ownership interest, or degree of influence, triggers equity method accounting. This accounting update is effective for reporting periods beginning after December 15, 2016. We do not expect the adoption of this update to have a significant effect on our financial statements.</w:t>
      </w:r>
    </w:p>
    <w:p>
      <w:pPr>
        <w:spacing w:after="0" w:line="161" w:lineRule="exact"/>
        <w:rPr>
          <w:sz w:val="20"/>
          <w:szCs w:val="20"/>
          <w:color w:val="auto"/>
        </w:rPr>
      </w:pPr>
    </w:p>
    <w:p>
      <w:pPr>
        <w:ind w:right="180" w:firstLine="648"/>
        <w:spacing w:after="0" w:line="238" w:lineRule="auto"/>
        <w:rPr>
          <w:sz w:val="20"/>
          <w:szCs w:val="20"/>
          <w:color w:val="auto"/>
        </w:rPr>
      </w:pPr>
      <w:r>
        <w:rPr>
          <w:rFonts w:ascii="Arial" w:cs="Arial" w:eastAsia="Arial" w:hAnsi="Arial"/>
          <w:sz w:val="18"/>
          <w:szCs w:val="18"/>
          <w:color w:val="auto"/>
        </w:rPr>
        <w:t>In March 2016, an accounting update was issued which simplifies several aspects related to the accounting for share-based payment transactions, including the income tax consequences, statutory tax withholding requirements, and classification of excess tax benefits on the statements of cash flows. This accounting update is effective for reporting periods beginning after December 15, 2016. Early adoption is permitted. Adoption of this accounting update could increase the volatility of income tax expense. However, we do not expect the adoption of this update to have a significant effect on our financial statements.</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61" w:name="page62"/>
    <w:bookmarkEnd w:id="61"/>
    <w:p>
      <w:pPr>
        <w:ind w:right="280" w:firstLine="648"/>
        <w:spacing w:after="0"/>
        <w:rPr>
          <w:sz w:val="20"/>
          <w:szCs w:val="20"/>
          <w:color w:val="auto"/>
        </w:rPr>
      </w:pPr>
      <w:r>
        <w:rPr>
          <w:rFonts w:ascii="Arial" w:cs="Arial" w:eastAsia="Arial" w:hAnsi="Arial"/>
          <w:sz w:val="18"/>
          <w:szCs w:val="18"/>
          <w:color w:val="auto"/>
        </w:rPr>
        <w:t>In August 2016, an accounting update was issued in order to reduce diversity in practice in how certain transactions are classified in the statement of cash flows. This accounting update is effective for reporting periods beginning after December 15, 2017. Early adoption is permitted. We do not expect the adoption of this update to have a significant effect on our financial statements.</w:t>
      </w:r>
    </w:p>
    <w:p>
      <w:pPr>
        <w:spacing w:after="0" w:line="161" w:lineRule="exact"/>
        <w:rPr>
          <w:sz w:val="20"/>
          <w:szCs w:val="20"/>
          <w:color w:val="auto"/>
        </w:rPr>
      </w:pPr>
    </w:p>
    <w:p>
      <w:pPr>
        <w:ind w:right="220" w:firstLine="648"/>
        <w:spacing w:after="0"/>
        <w:rPr>
          <w:sz w:val="20"/>
          <w:szCs w:val="20"/>
          <w:color w:val="auto"/>
        </w:rPr>
      </w:pPr>
      <w:r>
        <w:rPr>
          <w:rFonts w:ascii="Arial" w:cs="Arial" w:eastAsia="Arial" w:hAnsi="Arial"/>
          <w:sz w:val="18"/>
          <w:szCs w:val="18"/>
          <w:color w:val="auto"/>
        </w:rPr>
        <w:t>In October 2016, an accounting update was issued which modifies the recognition of income tax effects on intracompany transfers of assets, other than inventory. This accounting update is effective for reporting periods beginning after December 15, 2017. We have not determined the effect of this update on our financial statements.</w:t>
      </w:r>
    </w:p>
    <w:p>
      <w:pPr>
        <w:spacing w:after="0" w:line="189" w:lineRule="exact"/>
        <w:rPr>
          <w:sz w:val="20"/>
          <w:szCs w:val="20"/>
          <w:color w:val="auto"/>
        </w:rPr>
      </w:pPr>
    </w:p>
    <w:p>
      <w:pPr>
        <w:jc w:val="both"/>
        <w:ind w:right="60" w:firstLine="648"/>
        <w:spacing w:after="0"/>
        <w:rPr>
          <w:sz w:val="20"/>
          <w:szCs w:val="20"/>
          <w:color w:val="auto"/>
        </w:rPr>
      </w:pPr>
      <w:r>
        <w:rPr>
          <w:rFonts w:ascii="Arial" w:cs="Arial" w:eastAsia="Arial" w:hAnsi="Arial"/>
          <w:sz w:val="18"/>
          <w:szCs w:val="18"/>
          <w:color w:val="auto"/>
        </w:rPr>
        <w:t>In November 2016, an accounting update was issued which provides clarification of how changes in restricted cash should be reported in the statement of cash flows. This accounting update is effective for reporting periods beginning after December 15, 2017. We do not expect this update to have a material impact on our financial statements.</w:t>
      </w:r>
    </w:p>
    <w:p>
      <w:pPr>
        <w:spacing w:after="0" w:line="176" w:lineRule="exact"/>
        <w:rPr>
          <w:sz w:val="20"/>
          <w:szCs w:val="20"/>
          <w:color w:val="auto"/>
        </w:rPr>
      </w:pPr>
    </w:p>
    <w:p>
      <w:pPr>
        <w:ind w:right="140" w:firstLine="648"/>
        <w:spacing w:after="0" w:line="239" w:lineRule="auto"/>
        <w:rPr>
          <w:sz w:val="20"/>
          <w:szCs w:val="20"/>
          <w:color w:val="auto"/>
        </w:rPr>
      </w:pPr>
      <w:r>
        <w:rPr>
          <w:rFonts w:ascii="Arial" w:cs="Arial" w:eastAsia="Arial" w:hAnsi="Arial"/>
          <w:sz w:val="18"/>
          <w:szCs w:val="18"/>
          <w:color w:val="auto"/>
        </w:rPr>
        <w:t>In January 2017, an accounting update was issued which provides the definition of a business for the purposes of business combination accounting. This accounting update is effective for reporting periods beginning after December 15, 2017 and is to be applied prospectively. Accordingly, there will be no effect on prior business combinations. We have not determined the impact of the update due to the absence of transactions that would be impacted.</w:t>
      </w:r>
    </w:p>
    <w:p>
      <w:pPr>
        <w:spacing w:after="0" w:line="161" w:lineRule="exact"/>
        <w:rPr>
          <w:sz w:val="20"/>
          <w:szCs w:val="20"/>
          <w:color w:val="auto"/>
        </w:rPr>
      </w:pPr>
    </w:p>
    <w:p>
      <w:pPr>
        <w:jc w:val="both"/>
        <w:ind w:right="340" w:firstLine="648"/>
        <w:spacing w:after="0"/>
        <w:rPr>
          <w:sz w:val="20"/>
          <w:szCs w:val="20"/>
          <w:color w:val="auto"/>
        </w:rPr>
      </w:pPr>
      <w:r>
        <w:rPr>
          <w:rFonts w:ascii="Arial" w:cs="Arial" w:eastAsia="Arial" w:hAnsi="Arial"/>
          <w:sz w:val="18"/>
          <w:szCs w:val="18"/>
          <w:color w:val="auto"/>
        </w:rPr>
        <w:t>In January 2017, an accounting update was issued which simplifies the process for determining the amount of goodwill impairment. This accounting update is effective for reporting periods beginning after December 15, 2019. Early adoption is permitted. We are presently unable to determine the effect that the update will have on our financial statements.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Business Acquisition</w:t>
      </w:r>
    </w:p>
    <w:p>
      <w:pPr>
        <w:spacing w:after="0" w:line="207" w:lineRule="exact"/>
        <w:rPr>
          <w:sz w:val="20"/>
          <w:szCs w:val="20"/>
          <w:color w:val="auto"/>
        </w:rPr>
      </w:pPr>
    </w:p>
    <w:p>
      <w:pPr>
        <w:ind w:right="120" w:firstLine="648"/>
        <w:spacing w:after="0" w:line="239" w:lineRule="auto"/>
        <w:rPr>
          <w:sz w:val="20"/>
          <w:szCs w:val="20"/>
          <w:color w:val="auto"/>
        </w:rPr>
      </w:pPr>
      <w:r>
        <w:rPr>
          <w:rFonts w:ascii="Arial" w:cs="Arial" w:eastAsia="Arial" w:hAnsi="Arial"/>
          <w:sz w:val="18"/>
          <w:szCs w:val="18"/>
          <w:color w:val="auto"/>
        </w:rPr>
        <w:t>On April 8, 2016, the Company acquired the outstanding shares of Harris Corporation’s composite aerostructures business for cash of $187 million, plus the assumption of certain liabilities. The Company funded the cash payable at closing by utilizing proceeds from a $550 million, unsecured credit facility agreement that was completed April 8, 2016 (see Note 14). The acquired entity is part of the Albany Engineered Composites (“AEC”) segment.</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62" w:name="page63"/>
    <w:bookmarkEnd w:id="62"/>
    <w:p>
      <w:pPr>
        <w:ind w:left="660"/>
        <w:spacing w:after="0"/>
        <w:rPr>
          <w:sz w:val="20"/>
          <w:szCs w:val="20"/>
          <w:color w:val="auto"/>
        </w:rPr>
      </w:pPr>
      <w:r>
        <w:rPr>
          <w:rFonts w:ascii="Arial" w:cs="Arial" w:eastAsia="Arial" w:hAnsi="Arial"/>
          <w:sz w:val="18"/>
          <w:szCs w:val="18"/>
          <w:color w:val="auto"/>
        </w:rPr>
        <w:t>The following table summarizes the provisional allocation of the purchase price to the fair value of the assets and liabilities acquired: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(in thousands)</w:t>
            </w:r>
          </w:p>
        </w:tc>
        <w:tc>
          <w:tcPr>
            <w:tcW w:w="4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April 8, 2016</w:t>
            </w:r>
          </w:p>
        </w:tc>
        <w:tc>
          <w:tcPr>
            <w:tcW w:w="0" w:type="dxa"/>
            <w:vAlign w:val="bottom"/>
          </w:tcPr>
          <w:p>
            <w:pPr>
              <w:spacing w:after="0"/>
              <w:rPr>
                <w:sz w:val="1"/>
                <w:szCs w:val="1"/>
                <w:color w:val="auto"/>
              </w:rPr>
            </w:pPr>
          </w:p>
        </w:tc>
      </w:tr>
      <w:tr>
        <w:trPr>
          <w:trHeight w:val="195"/>
        </w:trPr>
        <w:tc>
          <w:tcPr>
            <w:tcW w:w="6900" w:type="dxa"/>
            <w:vAlign w:val="bottom"/>
          </w:tcPr>
          <w:p>
            <w:pPr>
              <w:ind w:left="40"/>
              <w:spacing w:after="0" w:line="195" w:lineRule="exact"/>
              <w:rPr>
                <w:sz w:val="20"/>
                <w:szCs w:val="20"/>
                <w:color w:val="auto"/>
              </w:rPr>
            </w:pPr>
            <w:r>
              <w:rPr>
                <w:rFonts w:ascii="Arial" w:cs="Arial" w:eastAsia="Arial" w:hAnsi="Arial"/>
                <w:sz w:val="18"/>
                <w:szCs w:val="18"/>
                <w:b w:val="1"/>
                <w:bCs w:val="1"/>
                <w:color w:val="auto"/>
              </w:rPr>
              <w:t>Assets acquired</w:t>
            </w:r>
          </w:p>
        </w:tc>
        <w:tc>
          <w:tcPr>
            <w:tcW w:w="45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$15,443</w:t>
            </w:r>
          </w:p>
        </w:tc>
        <w:tc>
          <w:tcPr>
            <w:tcW w:w="0" w:type="dxa"/>
            <w:vAlign w:val="bottom"/>
          </w:tcPr>
          <w:p>
            <w:pPr>
              <w:spacing w:after="0"/>
              <w:rPr>
                <w:sz w:val="1"/>
                <w:szCs w:val="1"/>
                <w:color w:val="auto"/>
              </w:rPr>
            </w:pPr>
          </w:p>
        </w:tc>
      </w:tr>
      <w:tr>
        <w:trPr>
          <w:trHeight w:val="181"/>
        </w:trPr>
        <w:tc>
          <w:tcPr>
            <w:tcW w:w="6900" w:type="dxa"/>
            <w:vAlign w:val="bottom"/>
          </w:tcPr>
          <w:p>
            <w:pPr>
              <w:ind w:left="40"/>
              <w:spacing w:after="0" w:line="181" w:lineRule="exact"/>
              <w:rPr>
                <w:sz w:val="20"/>
                <w:szCs w:val="20"/>
                <w:color w:val="auto"/>
              </w:rPr>
            </w:pPr>
            <w:r>
              <w:rPr>
                <w:rFonts w:ascii="Arial" w:cs="Arial" w:eastAsia="Arial" w:hAnsi="Arial"/>
                <w:sz w:val="18"/>
                <w:szCs w:val="18"/>
                <w:color w:val="auto"/>
              </w:rPr>
              <w:t>Accounts receivable</w:t>
            </w:r>
          </w:p>
        </w:tc>
        <w:tc>
          <w:tcPr>
            <w:tcW w:w="4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900" w:type="dxa"/>
            <w:vAlign w:val="bottom"/>
          </w:tcPr>
          <w:p>
            <w:pPr>
              <w:ind w:left="40"/>
              <w:spacing w:after="0" w:line="202" w:lineRule="exact"/>
              <w:rPr>
                <w:sz w:val="20"/>
                <w:szCs w:val="20"/>
                <w:color w:val="auto"/>
              </w:rPr>
            </w:pPr>
            <w:r>
              <w:rPr>
                <w:rFonts w:ascii="Arial" w:cs="Arial" w:eastAsia="Arial" w:hAnsi="Arial"/>
                <w:sz w:val="18"/>
                <w:szCs w:val="18"/>
                <w:color w:val="auto"/>
              </w:rPr>
              <w:t>Inventories</w:t>
            </w:r>
          </w:p>
        </w:tc>
        <w:tc>
          <w:tcPr>
            <w:tcW w:w="45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16,670</w:t>
            </w:r>
          </w:p>
        </w:tc>
        <w:tc>
          <w:tcPr>
            <w:tcW w:w="0" w:type="dxa"/>
            <w:vAlign w:val="bottom"/>
          </w:tcPr>
          <w:p>
            <w:pPr>
              <w:spacing w:after="0"/>
              <w:rPr>
                <w:sz w:val="1"/>
                <w:szCs w:val="1"/>
                <w:color w:val="auto"/>
              </w:rPr>
            </w:pPr>
          </w:p>
        </w:tc>
      </w:tr>
      <w:tr>
        <w:trPr>
          <w:trHeight w:val="203"/>
        </w:trPr>
        <w:tc>
          <w:tcPr>
            <w:tcW w:w="6900" w:type="dxa"/>
            <w:vAlign w:val="bottom"/>
          </w:tcPr>
          <w:p>
            <w:pPr>
              <w:ind w:left="4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45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402</w:t>
            </w:r>
          </w:p>
        </w:tc>
        <w:tc>
          <w:tcPr>
            <w:tcW w:w="0" w:type="dxa"/>
            <w:vAlign w:val="bottom"/>
          </w:tcPr>
          <w:p>
            <w:pPr>
              <w:spacing w:after="0"/>
              <w:rPr>
                <w:sz w:val="1"/>
                <w:szCs w:val="1"/>
                <w:color w:val="auto"/>
              </w:rPr>
            </w:pPr>
          </w:p>
        </w:tc>
      </w:tr>
      <w:tr>
        <w:trPr>
          <w:trHeight w:val="203"/>
        </w:trPr>
        <w:tc>
          <w:tcPr>
            <w:tcW w:w="6900" w:type="dxa"/>
            <w:vAlign w:val="bottom"/>
          </w:tcPr>
          <w:p>
            <w:pPr>
              <w:ind w:left="40"/>
              <w:spacing w:after="0" w:line="202" w:lineRule="exact"/>
              <w:rPr>
                <w:sz w:val="20"/>
                <w:szCs w:val="20"/>
                <w:color w:val="auto"/>
              </w:rPr>
            </w:pPr>
            <w:r>
              <w:rPr>
                <w:rFonts w:ascii="Arial" w:cs="Arial" w:eastAsia="Arial" w:hAnsi="Arial"/>
                <w:sz w:val="18"/>
                <w:szCs w:val="18"/>
                <w:color w:val="auto"/>
              </w:rPr>
              <w:t>Property, plant and equipment</w:t>
            </w:r>
          </w:p>
        </w:tc>
        <w:tc>
          <w:tcPr>
            <w:tcW w:w="45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62,784</w:t>
            </w:r>
          </w:p>
        </w:tc>
        <w:tc>
          <w:tcPr>
            <w:tcW w:w="0" w:type="dxa"/>
            <w:vAlign w:val="bottom"/>
          </w:tcPr>
          <w:p>
            <w:pPr>
              <w:spacing w:after="0"/>
              <w:rPr>
                <w:sz w:val="1"/>
                <w:szCs w:val="1"/>
                <w:color w:val="auto"/>
              </w:rPr>
            </w:pPr>
          </w:p>
        </w:tc>
      </w:tr>
      <w:tr>
        <w:trPr>
          <w:trHeight w:val="203"/>
        </w:trPr>
        <w:tc>
          <w:tcPr>
            <w:tcW w:w="6900" w:type="dxa"/>
            <w:vAlign w:val="bottom"/>
          </w:tcPr>
          <w:p>
            <w:pPr>
              <w:ind w:left="40"/>
              <w:spacing w:after="0" w:line="202" w:lineRule="exact"/>
              <w:rPr>
                <w:sz w:val="20"/>
                <w:szCs w:val="20"/>
                <w:color w:val="auto"/>
              </w:rPr>
            </w:pPr>
            <w:r>
              <w:rPr>
                <w:rFonts w:ascii="Arial" w:cs="Arial" w:eastAsia="Arial" w:hAnsi="Arial"/>
                <w:sz w:val="18"/>
                <w:szCs w:val="18"/>
                <w:color w:val="auto"/>
              </w:rPr>
              <w:t>Intangibles</w:t>
            </w:r>
          </w:p>
        </w:tc>
        <w:tc>
          <w:tcPr>
            <w:tcW w:w="45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71,630</w:t>
            </w:r>
          </w:p>
        </w:tc>
        <w:tc>
          <w:tcPr>
            <w:tcW w:w="0" w:type="dxa"/>
            <w:vAlign w:val="bottom"/>
          </w:tcPr>
          <w:p>
            <w:pPr>
              <w:spacing w:after="0"/>
              <w:rPr>
                <w:sz w:val="1"/>
                <w:szCs w:val="1"/>
                <w:color w:val="auto"/>
              </w:rPr>
            </w:pPr>
          </w:p>
        </w:tc>
      </w:tr>
      <w:tr>
        <w:trPr>
          <w:trHeight w:val="225"/>
        </w:trPr>
        <w:tc>
          <w:tcPr>
            <w:tcW w:w="69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Goodwill</w:t>
            </w:r>
          </w:p>
        </w:tc>
        <w:tc>
          <w:tcPr>
            <w:tcW w:w="4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95,730</w:t>
            </w:r>
          </w:p>
        </w:tc>
        <w:tc>
          <w:tcPr>
            <w:tcW w:w="0" w:type="dxa"/>
            <w:vAlign w:val="bottom"/>
          </w:tcPr>
          <w:p>
            <w:pPr>
              <w:spacing w:after="0"/>
              <w:rPr>
                <w:sz w:val="1"/>
                <w:szCs w:val="1"/>
                <w:color w:val="auto"/>
              </w:rPr>
            </w:pPr>
          </w:p>
        </w:tc>
      </w:tr>
      <w:tr>
        <w:trPr>
          <w:trHeight w:val="196"/>
        </w:trPr>
        <w:tc>
          <w:tcPr>
            <w:tcW w:w="690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Total assets acquired</w:t>
            </w:r>
          </w:p>
        </w:tc>
        <w:tc>
          <w:tcPr>
            <w:tcW w:w="4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$262,659</w:t>
            </w:r>
          </w:p>
        </w:tc>
        <w:tc>
          <w:tcPr>
            <w:tcW w:w="0" w:type="dxa"/>
            <w:vAlign w:val="bottom"/>
          </w:tcPr>
          <w:p>
            <w:pPr>
              <w:spacing w:after="0"/>
              <w:rPr>
                <w:sz w:val="1"/>
                <w:szCs w:val="1"/>
                <w:color w:val="auto"/>
              </w:rPr>
            </w:pPr>
          </w:p>
        </w:tc>
      </w:tr>
      <w:tr>
        <w:trPr>
          <w:trHeight w:val="398"/>
        </w:trPr>
        <w:tc>
          <w:tcPr>
            <w:tcW w:w="6900" w:type="dxa"/>
            <w:vAlign w:val="bottom"/>
          </w:tcPr>
          <w:p>
            <w:pPr>
              <w:ind w:left="40"/>
              <w:spacing w:after="0"/>
              <w:rPr>
                <w:sz w:val="20"/>
                <w:szCs w:val="20"/>
                <w:color w:val="auto"/>
              </w:rPr>
            </w:pPr>
            <w:r>
              <w:rPr>
                <w:rFonts w:ascii="Arial" w:cs="Arial" w:eastAsia="Arial" w:hAnsi="Arial"/>
                <w:sz w:val="18"/>
                <w:szCs w:val="18"/>
                <w:color w:val="auto"/>
              </w:rPr>
              <w:t>Liabilities assumed</w:t>
            </w:r>
          </w:p>
        </w:tc>
        <w:tc>
          <w:tcPr>
            <w:tcW w:w="45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$10,323</w:t>
            </w:r>
          </w:p>
        </w:tc>
        <w:tc>
          <w:tcPr>
            <w:tcW w:w="0" w:type="dxa"/>
            <w:vAlign w:val="bottom"/>
          </w:tcPr>
          <w:p>
            <w:pPr>
              <w:spacing w:after="0"/>
              <w:rPr>
                <w:sz w:val="1"/>
                <w:szCs w:val="1"/>
                <w:color w:val="auto"/>
              </w:rPr>
            </w:pPr>
          </w:p>
        </w:tc>
      </w:tr>
      <w:tr>
        <w:trPr>
          <w:trHeight w:val="181"/>
        </w:trPr>
        <w:tc>
          <w:tcPr>
            <w:tcW w:w="6900" w:type="dxa"/>
            <w:vAlign w:val="bottom"/>
          </w:tcPr>
          <w:p>
            <w:pPr>
              <w:ind w:left="40"/>
              <w:spacing w:after="0" w:line="181" w:lineRule="exact"/>
              <w:rPr>
                <w:sz w:val="20"/>
                <w:szCs w:val="20"/>
                <w:color w:val="auto"/>
              </w:rPr>
            </w:pPr>
            <w:r>
              <w:rPr>
                <w:rFonts w:ascii="Arial" w:cs="Arial" w:eastAsia="Arial" w:hAnsi="Arial"/>
                <w:sz w:val="18"/>
                <w:szCs w:val="18"/>
                <w:color w:val="auto"/>
              </w:rPr>
              <w:t>Accounts payable</w:t>
            </w:r>
          </w:p>
        </w:tc>
        <w:tc>
          <w:tcPr>
            <w:tcW w:w="4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900" w:type="dxa"/>
            <w:vAlign w:val="bottom"/>
          </w:tcPr>
          <w:p>
            <w:pPr>
              <w:ind w:left="40"/>
              <w:spacing w:after="0" w:line="202" w:lineRule="exact"/>
              <w:rPr>
                <w:sz w:val="20"/>
                <w:szCs w:val="20"/>
                <w:color w:val="auto"/>
              </w:rPr>
            </w:pPr>
            <w:r>
              <w:rPr>
                <w:rFonts w:ascii="Arial" w:cs="Arial" w:eastAsia="Arial" w:hAnsi="Arial"/>
                <w:sz w:val="18"/>
                <w:szCs w:val="18"/>
                <w:color w:val="auto"/>
              </w:rPr>
              <w:t>Accrued liabilities</w:t>
            </w:r>
          </w:p>
        </w:tc>
        <w:tc>
          <w:tcPr>
            <w:tcW w:w="45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2,862</w:t>
            </w:r>
          </w:p>
        </w:tc>
        <w:tc>
          <w:tcPr>
            <w:tcW w:w="0" w:type="dxa"/>
            <w:vAlign w:val="bottom"/>
          </w:tcPr>
          <w:p>
            <w:pPr>
              <w:spacing w:after="0"/>
              <w:rPr>
                <w:sz w:val="1"/>
                <w:szCs w:val="1"/>
                <w:color w:val="auto"/>
              </w:rPr>
            </w:pPr>
          </w:p>
        </w:tc>
      </w:tr>
      <w:tr>
        <w:trPr>
          <w:trHeight w:val="203"/>
        </w:trPr>
        <w:tc>
          <w:tcPr>
            <w:tcW w:w="6900" w:type="dxa"/>
            <w:vAlign w:val="bottom"/>
          </w:tcPr>
          <w:p>
            <w:pPr>
              <w:ind w:left="40"/>
              <w:spacing w:after="0" w:line="202" w:lineRule="exact"/>
              <w:rPr>
                <w:sz w:val="20"/>
                <w:szCs w:val="20"/>
                <w:color w:val="auto"/>
              </w:rPr>
            </w:pPr>
            <w:r>
              <w:rPr>
                <w:rFonts w:ascii="Arial" w:cs="Arial" w:eastAsia="Arial" w:hAnsi="Arial"/>
                <w:sz w:val="18"/>
                <w:szCs w:val="18"/>
                <w:color w:val="auto"/>
              </w:rPr>
              <w:t>Capital lease obligation</w:t>
            </w:r>
          </w:p>
        </w:tc>
        <w:tc>
          <w:tcPr>
            <w:tcW w:w="45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17,560</w:t>
            </w:r>
          </w:p>
        </w:tc>
        <w:tc>
          <w:tcPr>
            <w:tcW w:w="0" w:type="dxa"/>
            <w:vAlign w:val="bottom"/>
          </w:tcPr>
          <w:p>
            <w:pPr>
              <w:spacing w:after="0"/>
              <w:rPr>
                <w:sz w:val="1"/>
                <w:szCs w:val="1"/>
                <w:color w:val="auto"/>
              </w:rPr>
            </w:pPr>
          </w:p>
        </w:tc>
      </w:tr>
      <w:tr>
        <w:trPr>
          <w:trHeight w:val="203"/>
        </w:trPr>
        <w:tc>
          <w:tcPr>
            <w:tcW w:w="6900" w:type="dxa"/>
            <w:vAlign w:val="bottom"/>
          </w:tcPr>
          <w:p>
            <w:pPr>
              <w:ind w:left="40"/>
              <w:spacing w:after="0" w:line="202" w:lineRule="exact"/>
              <w:rPr>
                <w:sz w:val="20"/>
                <w:szCs w:val="20"/>
                <w:color w:val="auto"/>
              </w:rPr>
            </w:pPr>
            <w:r>
              <w:rPr>
                <w:rFonts w:ascii="Arial" w:cs="Arial" w:eastAsia="Arial" w:hAnsi="Arial"/>
                <w:sz w:val="18"/>
                <w:szCs w:val="18"/>
                <w:color w:val="auto"/>
              </w:rPr>
              <w:t>Deferred income taxes</w:t>
            </w:r>
          </w:p>
        </w:tc>
        <w:tc>
          <w:tcPr>
            <w:tcW w:w="45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33,143</w:t>
            </w:r>
          </w:p>
        </w:tc>
        <w:tc>
          <w:tcPr>
            <w:tcW w:w="0" w:type="dxa"/>
            <w:vAlign w:val="bottom"/>
          </w:tcPr>
          <w:p>
            <w:pPr>
              <w:spacing w:after="0"/>
              <w:rPr>
                <w:sz w:val="1"/>
                <w:szCs w:val="1"/>
                <w:color w:val="auto"/>
              </w:rPr>
            </w:pPr>
          </w:p>
        </w:tc>
      </w:tr>
      <w:tr>
        <w:trPr>
          <w:trHeight w:val="225"/>
        </w:trPr>
        <w:tc>
          <w:tcPr>
            <w:tcW w:w="69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Other noncurrent liabilities</w:t>
            </w:r>
          </w:p>
        </w:tc>
        <w:tc>
          <w:tcPr>
            <w:tcW w:w="4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11,771</w:t>
            </w:r>
          </w:p>
        </w:tc>
        <w:tc>
          <w:tcPr>
            <w:tcW w:w="0" w:type="dxa"/>
            <w:vAlign w:val="bottom"/>
          </w:tcPr>
          <w:p>
            <w:pPr>
              <w:spacing w:after="0"/>
              <w:rPr>
                <w:sz w:val="1"/>
                <w:szCs w:val="1"/>
                <w:color w:val="auto"/>
              </w:rPr>
            </w:pPr>
          </w:p>
        </w:tc>
      </w:tr>
      <w:tr>
        <w:trPr>
          <w:trHeight w:val="196"/>
        </w:trPr>
        <w:tc>
          <w:tcPr>
            <w:tcW w:w="690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Total liabilities assumed</w:t>
            </w:r>
          </w:p>
        </w:tc>
        <w:tc>
          <w:tcPr>
            <w:tcW w:w="4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$75,659</w:t>
            </w:r>
          </w:p>
        </w:tc>
        <w:tc>
          <w:tcPr>
            <w:tcW w:w="0" w:type="dxa"/>
            <w:vAlign w:val="bottom"/>
          </w:tcPr>
          <w:p>
            <w:pPr>
              <w:spacing w:after="0"/>
              <w:rPr>
                <w:sz w:val="1"/>
                <w:szCs w:val="1"/>
                <w:color w:val="auto"/>
              </w:rPr>
            </w:pPr>
          </w:p>
        </w:tc>
      </w:tr>
      <w:tr>
        <w:trPr>
          <w:trHeight w:val="196"/>
        </w:trPr>
        <w:tc>
          <w:tcPr>
            <w:tcW w:w="6900" w:type="dxa"/>
            <w:vAlign w:val="bottom"/>
            <w:tcBorders>
              <w:bottom w:val="single" w:sz="8" w:color="auto"/>
            </w:tcBorders>
          </w:tcPr>
          <w:p>
            <w:pPr>
              <w:spacing w:after="0"/>
              <w:rPr>
                <w:sz w:val="17"/>
                <w:szCs w:val="17"/>
                <w:color w:val="auto"/>
              </w:rPr>
            </w:pPr>
          </w:p>
        </w:tc>
        <w:tc>
          <w:tcPr>
            <w:tcW w:w="45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0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Net assets acquired</w:t>
            </w:r>
          </w:p>
        </w:tc>
        <w:tc>
          <w:tcPr>
            <w:tcW w:w="4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$187,000</w:t>
            </w:r>
          </w:p>
        </w:tc>
        <w:tc>
          <w:tcPr>
            <w:tcW w:w="0" w:type="dxa"/>
            <w:vAlign w:val="bottom"/>
          </w:tcPr>
          <w:p>
            <w:pPr>
              <w:spacing w:after="0"/>
              <w:rPr>
                <w:sz w:val="1"/>
                <w:szCs w:val="1"/>
                <w:color w:val="auto"/>
              </w:rPr>
            </w:pPr>
          </w:p>
        </w:tc>
      </w:tr>
    </w:tbl>
    <w:p>
      <w:pPr>
        <w:spacing w:after="0" w:line="391" w:lineRule="exact"/>
        <w:rPr>
          <w:sz w:val="20"/>
          <w:szCs w:val="20"/>
          <w:color w:val="auto"/>
        </w:rPr>
      </w:pPr>
    </w:p>
    <w:p>
      <w:pPr>
        <w:ind w:firstLine="729"/>
        <w:spacing w:after="0" w:line="236" w:lineRule="auto"/>
        <w:rPr>
          <w:sz w:val="20"/>
          <w:szCs w:val="20"/>
          <w:color w:val="auto"/>
        </w:rPr>
      </w:pPr>
      <w:r>
        <w:rPr>
          <w:rFonts w:ascii="Arial" w:cs="Arial" w:eastAsia="Arial" w:hAnsi="Arial"/>
          <w:sz w:val="18"/>
          <w:szCs w:val="18"/>
          <w:color w:val="auto"/>
        </w:rPr>
        <w:t>In the fourth quarter of 2016, the Company identified certain adjustments to the provisional value of acquired assets and liabilities. The adjustments increased goodwill by $28.7 million, amortizable intangible assets by $12.3 million, noncurrent liabilities by $10.4 million, deferred tax liabilities by $ 7.8 million and other liabilities by $2.6 million. Property plant and equipment was reduced by $18.9 million and other assets were reduced by $1.3 million. The effect of these adjustments on fourth-quarter 2016 income before income taxes was approximately $ 0.1 million and the effect on earnings per share was negligible. Deferred income taxes and goodwill in the table above were still provisional as of December 31, 2016, because the Company is waiting for information needed to finalize the amounts. Goodwill of $95.7 million reflects that the acquisition broadens and deepens AEC’s products, experience and manufacturing capabilities, and significantly increases opportunities for future growth. The goodwill is non-deductible for tax purposes.</w:t>
      </w:r>
    </w:p>
    <w:p>
      <w:pPr>
        <w:spacing w:after="0" w:line="168" w:lineRule="exact"/>
        <w:rPr>
          <w:sz w:val="20"/>
          <w:szCs w:val="20"/>
          <w:color w:val="auto"/>
        </w:rPr>
      </w:pPr>
    </w:p>
    <w:p>
      <w:pPr>
        <w:ind w:right="520" w:firstLine="729"/>
        <w:spacing w:after="0" w:line="246" w:lineRule="auto"/>
        <w:rPr>
          <w:sz w:val="20"/>
          <w:szCs w:val="20"/>
          <w:color w:val="auto"/>
        </w:rPr>
      </w:pPr>
      <w:r>
        <w:rPr>
          <w:rFonts w:ascii="Arial" w:cs="Arial" w:eastAsia="Arial" w:hAnsi="Arial"/>
          <w:sz w:val="18"/>
          <w:szCs w:val="18"/>
          <w:color w:val="auto"/>
        </w:rPr>
        <w:t>The seller provided representations, warranties and indemnities customary for acquisition transactions, including indemnities for certain customer claims identified before closing.</w:t>
      </w:r>
    </w:p>
    <w:p>
      <w:pPr>
        <w:spacing w:after="0" w:line="152"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The following table presents operational results of the acquired entity that are included in the Consolidated Statements of</w:t>
      </w:r>
    </w:p>
    <w:p>
      <w:pPr>
        <w:spacing w:after="0"/>
        <w:rPr>
          <w:sz w:val="20"/>
          <w:szCs w:val="20"/>
          <w:color w:val="auto"/>
        </w:rPr>
      </w:pPr>
      <w:r>
        <w:rPr>
          <w:rFonts w:ascii="Arial" w:cs="Arial" w:eastAsia="Arial" w:hAnsi="Arial"/>
          <w:sz w:val="18"/>
          <w:szCs w:val="18"/>
          <w:color w:val="auto"/>
        </w:rPr>
        <w:t>Income: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per share amounts)</w:t>
            </w:r>
          </w:p>
        </w:tc>
        <w:tc>
          <w:tcPr>
            <w:tcW w:w="5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April, 8 to December 31, 2016</w:t>
            </w:r>
          </w:p>
        </w:tc>
        <w:tc>
          <w:tcPr>
            <w:tcW w:w="0" w:type="dxa"/>
            <w:vAlign w:val="bottom"/>
          </w:tcPr>
          <w:p>
            <w:pPr>
              <w:spacing w:after="0"/>
              <w:rPr>
                <w:sz w:val="1"/>
                <w:szCs w:val="1"/>
                <w:color w:val="auto"/>
              </w:rPr>
            </w:pPr>
          </w:p>
        </w:tc>
      </w:tr>
      <w:tr>
        <w:trPr>
          <w:trHeight w:val="173"/>
        </w:trPr>
        <w:tc>
          <w:tcPr>
            <w:tcW w:w="6240" w:type="dxa"/>
            <w:vAlign w:val="bottom"/>
          </w:tcPr>
          <w:p>
            <w:pPr>
              <w:ind w:left="40"/>
              <w:spacing w:after="0" w:line="173" w:lineRule="exact"/>
              <w:rPr>
                <w:sz w:val="20"/>
                <w:szCs w:val="20"/>
                <w:color w:val="auto"/>
              </w:rPr>
            </w:pPr>
            <w:r>
              <w:rPr>
                <w:rFonts w:ascii="Arial" w:cs="Arial" w:eastAsia="Arial" w:hAnsi="Arial"/>
                <w:sz w:val="18"/>
                <w:szCs w:val="18"/>
                <w:color w:val="auto"/>
              </w:rPr>
              <w:t>Net sales</w:t>
            </w:r>
          </w:p>
        </w:tc>
        <w:tc>
          <w:tcPr>
            <w:tcW w:w="5180" w:type="dxa"/>
            <w:vAlign w:val="bottom"/>
          </w:tcPr>
          <w:p>
            <w:pPr>
              <w:jc w:val="right"/>
              <w:ind w:right="10"/>
              <w:spacing w:after="0" w:line="173" w:lineRule="exact"/>
              <w:rPr>
                <w:sz w:val="20"/>
                <w:szCs w:val="20"/>
                <w:color w:val="auto"/>
              </w:rPr>
            </w:pPr>
            <w:r>
              <w:rPr>
                <w:rFonts w:ascii="Arial" w:cs="Arial" w:eastAsia="Arial" w:hAnsi="Arial"/>
                <w:sz w:val="18"/>
                <w:szCs w:val="18"/>
                <w:b w:val="1"/>
                <w:bCs w:val="1"/>
                <w:color w:val="auto"/>
              </w:rPr>
              <w:t>$67,011</w:t>
            </w:r>
          </w:p>
        </w:tc>
        <w:tc>
          <w:tcPr>
            <w:tcW w:w="0" w:type="dxa"/>
            <w:vAlign w:val="bottom"/>
          </w:tcPr>
          <w:p>
            <w:pPr>
              <w:spacing w:after="0"/>
              <w:rPr>
                <w:sz w:val="1"/>
                <w:szCs w:val="1"/>
                <w:color w:val="auto"/>
              </w:rPr>
            </w:pPr>
          </w:p>
        </w:tc>
      </w:tr>
      <w:tr>
        <w:trPr>
          <w:trHeight w:val="203"/>
        </w:trPr>
        <w:tc>
          <w:tcPr>
            <w:tcW w:w="6240" w:type="dxa"/>
            <w:vAlign w:val="bottom"/>
          </w:tcPr>
          <w:p>
            <w:pPr>
              <w:ind w:left="40"/>
              <w:spacing w:after="0" w:line="202" w:lineRule="exact"/>
              <w:rPr>
                <w:sz w:val="20"/>
                <w:szCs w:val="20"/>
                <w:color w:val="auto"/>
              </w:rPr>
            </w:pPr>
            <w:r>
              <w:rPr>
                <w:rFonts w:ascii="Arial" w:cs="Arial" w:eastAsia="Arial" w:hAnsi="Arial"/>
                <w:sz w:val="18"/>
                <w:szCs w:val="18"/>
                <w:color w:val="auto"/>
              </w:rPr>
              <w:t>Operating loss</w:t>
            </w:r>
          </w:p>
        </w:tc>
        <w:tc>
          <w:tcPr>
            <w:tcW w:w="51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(1,246)</w:t>
            </w:r>
          </w:p>
        </w:tc>
        <w:tc>
          <w:tcPr>
            <w:tcW w:w="0" w:type="dxa"/>
            <w:vAlign w:val="bottom"/>
          </w:tcPr>
          <w:p>
            <w:pPr>
              <w:spacing w:after="0"/>
              <w:rPr>
                <w:sz w:val="1"/>
                <w:szCs w:val="1"/>
                <w:color w:val="auto"/>
              </w:rPr>
            </w:pPr>
          </w:p>
        </w:tc>
      </w:tr>
      <w:tr>
        <w:trPr>
          <w:trHeight w:val="203"/>
        </w:trPr>
        <w:tc>
          <w:tcPr>
            <w:tcW w:w="6240" w:type="dxa"/>
            <w:vAlign w:val="bottom"/>
          </w:tcPr>
          <w:p>
            <w:pPr>
              <w:ind w:left="40"/>
              <w:spacing w:after="0" w:line="202" w:lineRule="exact"/>
              <w:rPr>
                <w:sz w:val="20"/>
                <w:szCs w:val="20"/>
                <w:color w:val="auto"/>
              </w:rPr>
            </w:pPr>
            <w:r>
              <w:rPr>
                <w:rFonts w:ascii="Arial" w:cs="Arial" w:eastAsia="Arial" w:hAnsi="Arial"/>
                <w:sz w:val="18"/>
                <w:szCs w:val="18"/>
                <w:color w:val="auto"/>
              </w:rPr>
              <w:t>Loss before income taxes</w:t>
            </w:r>
          </w:p>
        </w:tc>
        <w:tc>
          <w:tcPr>
            <w:tcW w:w="51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(2,342)</w:t>
            </w:r>
          </w:p>
        </w:tc>
        <w:tc>
          <w:tcPr>
            <w:tcW w:w="0" w:type="dxa"/>
            <w:vAlign w:val="bottom"/>
          </w:tcPr>
          <w:p>
            <w:pPr>
              <w:spacing w:after="0"/>
              <w:rPr>
                <w:sz w:val="1"/>
                <w:szCs w:val="1"/>
                <w:color w:val="auto"/>
              </w:rPr>
            </w:pPr>
          </w:p>
        </w:tc>
      </w:tr>
      <w:tr>
        <w:trPr>
          <w:trHeight w:val="239"/>
        </w:trPr>
        <w:tc>
          <w:tcPr>
            <w:tcW w:w="6240" w:type="dxa"/>
            <w:vAlign w:val="bottom"/>
          </w:tcPr>
          <w:p>
            <w:pPr>
              <w:ind w:left="40"/>
              <w:spacing w:after="0"/>
              <w:rPr>
                <w:sz w:val="20"/>
                <w:szCs w:val="20"/>
                <w:color w:val="auto"/>
              </w:rPr>
            </w:pPr>
            <w:r>
              <w:rPr>
                <w:rFonts w:ascii="Arial" w:cs="Arial" w:eastAsia="Arial" w:hAnsi="Arial"/>
                <w:sz w:val="18"/>
                <w:szCs w:val="18"/>
                <w:color w:val="auto"/>
              </w:rPr>
              <w:t>Net loss attributable to the Company</w:t>
            </w:r>
          </w:p>
        </w:tc>
        <w:tc>
          <w:tcPr>
            <w:tcW w:w="5180" w:type="dxa"/>
            <w:vAlign w:val="bottom"/>
          </w:tcPr>
          <w:p>
            <w:pPr>
              <w:jc w:val="right"/>
              <w:spacing w:after="0"/>
              <w:rPr>
                <w:sz w:val="20"/>
                <w:szCs w:val="20"/>
                <w:color w:val="auto"/>
              </w:rPr>
            </w:pPr>
            <w:r>
              <w:rPr>
                <w:rFonts w:ascii="Arial" w:cs="Arial" w:eastAsia="Arial" w:hAnsi="Arial"/>
                <w:sz w:val="18"/>
                <w:szCs w:val="18"/>
                <w:b w:val="1"/>
                <w:bCs w:val="1"/>
                <w:color w:val="auto"/>
              </w:rPr>
              <w:t>(1,495)</w:t>
            </w:r>
          </w:p>
        </w:tc>
        <w:tc>
          <w:tcPr>
            <w:tcW w:w="0" w:type="dxa"/>
            <w:vAlign w:val="bottom"/>
          </w:tcPr>
          <w:p>
            <w:pPr>
              <w:spacing w:after="0"/>
              <w:rPr>
                <w:sz w:val="1"/>
                <w:szCs w:val="1"/>
                <w:color w:val="auto"/>
              </w:rPr>
            </w:pPr>
          </w:p>
        </w:tc>
      </w:tr>
      <w:tr>
        <w:trPr>
          <w:trHeight w:val="391"/>
        </w:trPr>
        <w:tc>
          <w:tcPr>
            <w:tcW w:w="6240" w:type="dxa"/>
            <w:vAlign w:val="bottom"/>
          </w:tcPr>
          <w:p>
            <w:pPr>
              <w:ind w:left="40"/>
              <w:spacing w:after="0"/>
              <w:rPr>
                <w:sz w:val="20"/>
                <w:szCs w:val="20"/>
                <w:color w:val="auto"/>
              </w:rPr>
            </w:pPr>
            <w:r>
              <w:rPr>
                <w:rFonts w:ascii="Arial" w:cs="Arial" w:eastAsia="Arial" w:hAnsi="Arial"/>
                <w:sz w:val="18"/>
                <w:szCs w:val="18"/>
                <w:color w:val="auto"/>
              </w:rPr>
              <w:t>Loss per share:</w:t>
            </w:r>
          </w:p>
        </w:tc>
        <w:tc>
          <w:tcPr>
            <w:tcW w:w="51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($0.05)</w:t>
            </w:r>
          </w:p>
        </w:tc>
        <w:tc>
          <w:tcPr>
            <w:tcW w:w="0" w:type="dxa"/>
            <w:vAlign w:val="bottom"/>
          </w:tcPr>
          <w:p>
            <w:pPr>
              <w:spacing w:after="0"/>
              <w:rPr>
                <w:sz w:val="1"/>
                <w:szCs w:val="1"/>
                <w:color w:val="auto"/>
              </w:rPr>
            </w:pPr>
          </w:p>
        </w:tc>
      </w:tr>
      <w:tr>
        <w:trPr>
          <w:trHeight w:val="181"/>
        </w:trPr>
        <w:tc>
          <w:tcPr>
            <w:tcW w:w="6240" w:type="dxa"/>
            <w:vAlign w:val="bottom"/>
          </w:tcPr>
          <w:p>
            <w:pPr>
              <w:ind w:left="40"/>
              <w:spacing w:after="0" w:line="181" w:lineRule="exact"/>
              <w:rPr>
                <w:sz w:val="20"/>
                <w:szCs w:val="20"/>
                <w:color w:val="auto"/>
              </w:rPr>
            </w:pPr>
            <w:r>
              <w:rPr>
                <w:rFonts w:ascii="Arial" w:cs="Arial" w:eastAsia="Arial" w:hAnsi="Arial"/>
                <w:sz w:val="18"/>
                <w:szCs w:val="18"/>
                <w:color w:val="auto"/>
              </w:rPr>
              <w:t>Basic</w:t>
            </w:r>
          </w:p>
        </w:tc>
        <w:tc>
          <w:tcPr>
            <w:tcW w:w="5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6240" w:type="dxa"/>
            <w:vAlign w:val="bottom"/>
          </w:tcPr>
          <w:p>
            <w:pPr>
              <w:ind w:left="40"/>
              <w:spacing w:after="0"/>
              <w:rPr>
                <w:sz w:val="20"/>
                <w:szCs w:val="20"/>
                <w:color w:val="auto"/>
              </w:rPr>
            </w:pPr>
            <w:r>
              <w:rPr>
                <w:rFonts w:ascii="Arial" w:cs="Arial" w:eastAsia="Arial" w:hAnsi="Arial"/>
                <w:sz w:val="18"/>
                <w:szCs w:val="18"/>
                <w:color w:val="auto"/>
              </w:rPr>
              <w:t>Diluted:</w:t>
            </w:r>
          </w:p>
        </w:tc>
        <w:tc>
          <w:tcPr>
            <w:tcW w:w="5180" w:type="dxa"/>
            <w:vAlign w:val="bottom"/>
          </w:tcPr>
          <w:p>
            <w:pPr>
              <w:jc w:val="right"/>
              <w:spacing w:after="0"/>
              <w:rPr>
                <w:sz w:val="20"/>
                <w:szCs w:val="20"/>
                <w:color w:val="auto"/>
              </w:rPr>
            </w:pPr>
            <w:r>
              <w:rPr>
                <w:rFonts w:ascii="Arial" w:cs="Arial" w:eastAsia="Arial" w:hAnsi="Arial"/>
                <w:sz w:val="18"/>
                <w:szCs w:val="18"/>
                <w:b w:val="1"/>
                <w:bCs w:val="1"/>
                <w:color w:val="auto"/>
              </w:rPr>
              <w:t>($0.05)</w:t>
            </w:r>
          </w:p>
        </w:tc>
        <w:tc>
          <w:tcPr>
            <w:tcW w:w="0" w:type="dxa"/>
            <w:vAlign w:val="bottom"/>
          </w:tcPr>
          <w:p>
            <w:pPr>
              <w:spacing w:after="0"/>
              <w:rPr>
                <w:sz w:val="1"/>
                <w:szCs w:val="1"/>
                <w:color w:val="auto"/>
              </w:rPr>
            </w:pPr>
          </w:p>
        </w:tc>
      </w:tr>
      <w:tr>
        <w:trPr>
          <w:trHeight w:val="621"/>
        </w:trPr>
        <w:tc>
          <w:tcPr>
            <w:tcW w:w="6240" w:type="dxa"/>
            <w:vAlign w:val="bottom"/>
          </w:tcPr>
          <w:p>
            <w:pPr>
              <w:spacing w:after="0"/>
              <w:rPr>
                <w:sz w:val="24"/>
                <w:szCs w:val="24"/>
                <w:color w:val="auto"/>
              </w:rPr>
            </w:pPr>
          </w:p>
        </w:tc>
        <w:tc>
          <w:tcPr>
            <w:tcW w:w="51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29"/>
        </w:trPr>
        <w:tc>
          <w:tcPr>
            <w:tcW w:w="6240" w:type="dxa"/>
            <w:vAlign w:val="bottom"/>
            <w:tcBorders>
              <w:bottom w:val="single" w:sz="8" w:color="auto"/>
            </w:tcBorders>
          </w:tcPr>
          <w:p>
            <w:pPr>
              <w:spacing w:after="0"/>
              <w:rPr>
                <w:sz w:val="11"/>
                <w:szCs w:val="11"/>
                <w:color w:val="auto"/>
              </w:rPr>
            </w:pPr>
          </w:p>
        </w:tc>
        <w:tc>
          <w:tcPr>
            <w:tcW w:w="51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1440" w:gutter="0" w:footer="0" w:header="0"/>
        </w:sectPr>
      </w:pPr>
    </w:p>
    <w:bookmarkStart w:id="63" w:name="page64"/>
    <w:bookmarkEnd w:id="63"/>
    <w:p>
      <w:pPr>
        <w:ind w:right="80" w:firstLine="729"/>
        <w:spacing w:after="0"/>
        <w:rPr>
          <w:sz w:val="20"/>
          <w:szCs w:val="20"/>
          <w:color w:val="auto"/>
        </w:rPr>
      </w:pPr>
      <w:r>
        <w:rPr>
          <w:rFonts w:ascii="Arial" w:cs="Arial" w:eastAsia="Arial" w:hAnsi="Arial"/>
          <w:sz w:val="18"/>
          <w:szCs w:val="18"/>
          <w:color w:val="auto"/>
        </w:rPr>
        <w:t>The Consolidated Statements of Income reflect operational activity of the acquired business for only the period subsequent to the closing, which affects comparability of results. The following table shows total Company pro forma statements of what results would have been if the 2016 acquisition had occurred as of January 1, 2015.</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60" w:type="dxa"/>
            <w:vAlign w:val="bottom"/>
          </w:tcPr>
          <w:p>
            <w:pPr>
              <w:spacing w:after="0"/>
              <w:rPr>
                <w:sz w:val="17"/>
                <w:szCs w:val="17"/>
                <w:color w:val="auto"/>
              </w:rPr>
            </w:pPr>
          </w:p>
        </w:tc>
        <w:tc>
          <w:tcPr>
            <w:tcW w:w="366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Unaudited - Pro forma</w:t>
            </w:r>
          </w:p>
        </w:tc>
        <w:tc>
          <w:tcPr>
            <w:tcW w:w="0" w:type="dxa"/>
            <w:vAlign w:val="bottom"/>
          </w:tcPr>
          <w:p>
            <w:pPr>
              <w:spacing w:after="0"/>
              <w:rPr>
                <w:sz w:val="1"/>
                <w:szCs w:val="1"/>
                <w:color w:val="auto"/>
              </w:rPr>
            </w:pPr>
          </w:p>
        </w:tc>
      </w:tr>
      <w:tr>
        <w:trPr>
          <w:trHeight w:val="225"/>
        </w:trPr>
        <w:tc>
          <w:tcPr>
            <w:tcW w:w="7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 except per share amounts)</w:t>
            </w:r>
          </w:p>
        </w:tc>
        <w:tc>
          <w:tcPr>
            <w:tcW w:w="22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2016</w:t>
            </w:r>
          </w:p>
        </w:tc>
        <w:tc>
          <w:tcPr>
            <w:tcW w:w="14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196"/>
        </w:trPr>
        <w:tc>
          <w:tcPr>
            <w:tcW w:w="776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Combined Net sales</w:t>
            </w:r>
          </w:p>
        </w:tc>
        <w:tc>
          <w:tcPr>
            <w:tcW w:w="224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b w:val="1"/>
                <w:bCs w:val="1"/>
                <w:color w:val="auto"/>
              </w:rPr>
              <w:t>$802,023</w:t>
            </w:r>
          </w:p>
        </w:tc>
        <w:tc>
          <w:tcPr>
            <w:tcW w:w="14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$786,623</w:t>
            </w:r>
          </w:p>
        </w:tc>
        <w:tc>
          <w:tcPr>
            <w:tcW w:w="0" w:type="dxa"/>
            <w:vAlign w:val="bottom"/>
          </w:tcPr>
          <w:p>
            <w:pPr>
              <w:spacing w:after="0"/>
              <w:rPr>
                <w:sz w:val="1"/>
                <w:szCs w:val="1"/>
                <w:color w:val="auto"/>
              </w:rPr>
            </w:pPr>
          </w:p>
        </w:tc>
      </w:tr>
      <w:tr>
        <w:trPr>
          <w:trHeight w:val="412"/>
        </w:trPr>
        <w:tc>
          <w:tcPr>
            <w:tcW w:w="7760" w:type="dxa"/>
            <w:vAlign w:val="bottom"/>
          </w:tcPr>
          <w:p>
            <w:pPr>
              <w:ind w:left="40"/>
              <w:spacing w:after="0"/>
              <w:rPr>
                <w:sz w:val="20"/>
                <w:szCs w:val="20"/>
                <w:color w:val="auto"/>
              </w:rPr>
            </w:pPr>
            <w:r>
              <w:rPr>
                <w:rFonts w:ascii="Arial" w:cs="Arial" w:eastAsia="Arial" w:hAnsi="Arial"/>
                <w:sz w:val="18"/>
                <w:szCs w:val="18"/>
                <w:color w:val="auto"/>
              </w:rPr>
              <w:t>Combined Income before income taxes</w:t>
            </w:r>
          </w:p>
        </w:tc>
        <w:tc>
          <w:tcPr>
            <w:tcW w:w="2240" w:type="dxa"/>
            <w:vAlign w:val="bottom"/>
          </w:tcPr>
          <w:p>
            <w:pPr>
              <w:jc w:val="right"/>
              <w:ind w:right="530"/>
              <w:spacing w:after="0"/>
              <w:rPr>
                <w:sz w:val="20"/>
                <w:szCs w:val="20"/>
                <w:color w:val="auto"/>
              </w:rPr>
            </w:pPr>
            <w:r>
              <w:rPr>
                <w:rFonts w:ascii="Arial" w:cs="Arial" w:eastAsia="Arial" w:hAnsi="Arial"/>
                <w:sz w:val="18"/>
                <w:szCs w:val="18"/>
                <w:b w:val="1"/>
                <w:bCs w:val="1"/>
                <w:color w:val="auto"/>
              </w:rPr>
              <w:t>$80,639</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$52,542</w:t>
            </w:r>
          </w:p>
        </w:tc>
        <w:tc>
          <w:tcPr>
            <w:tcW w:w="0" w:type="dxa"/>
            <w:vAlign w:val="bottom"/>
          </w:tcPr>
          <w:p>
            <w:pPr>
              <w:spacing w:after="0"/>
              <w:rPr>
                <w:sz w:val="1"/>
                <w:szCs w:val="1"/>
                <w:color w:val="auto"/>
              </w:rPr>
            </w:pPr>
          </w:p>
        </w:tc>
      </w:tr>
      <w:tr>
        <w:trPr>
          <w:trHeight w:val="391"/>
        </w:trPr>
        <w:tc>
          <w:tcPr>
            <w:tcW w:w="7760" w:type="dxa"/>
            <w:vAlign w:val="bottom"/>
          </w:tcPr>
          <w:p>
            <w:pPr>
              <w:ind w:left="140"/>
              <w:spacing w:after="0"/>
              <w:rPr>
                <w:sz w:val="20"/>
                <w:szCs w:val="20"/>
                <w:color w:val="auto"/>
              </w:rPr>
            </w:pPr>
            <w:r>
              <w:rPr>
                <w:rFonts w:ascii="Arial" w:cs="Arial" w:eastAsia="Arial" w:hAnsi="Arial"/>
                <w:sz w:val="18"/>
                <w:szCs w:val="18"/>
                <w:color w:val="auto"/>
              </w:rPr>
              <w:t>Pro forma increase/(decrease) to income before income taxes:</w:t>
            </w:r>
          </w:p>
        </w:tc>
        <w:tc>
          <w:tcPr>
            <w:tcW w:w="2240" w:type="dxa"/>
            <w:vAlign w:val="bottom"/>
            <w:vMerge w:val="restart"/>
          </w:tcPr>
          <w:p>
            <w:pPr>
              <w:jc w:val="right"/>
              <w:ind w:right="530"/>
              <w:spacing w:after="0"/>
              <w:rPr>
                <w:sz w:val="20"/>
                <w:szCs w:val="20"/>
                <w:color w:val="auto"/>
              </w:rPr>
            </w:pPr>
            <w:r>
              <w:rPr>
                <w:rFonts w:ascii="Arial" w:cs="Arial" w:eastAsia="Arial" w:hAnsi="Arial"/>
                <w:sz w:val="18"/>
                <w:szCs w:val="18"/>
                <w:b w:val="1"/>
                <w:bCs w:val="1"/>
                <w:color w:val="auto"/>
              </w:rPr>
              <w:t>5,367</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7760" w:type="dxa"/>
            <w:vAlign w:val="bottom"/>
          </w:tcPr>
          <w:p>
            <w:pPr>
              <w:ind w:left="40"/>
              <w:spacing w:after="0" w:line="181" w:lineRule="exact"/>
              <w:rPr>
                <w:sz w:val="20"/>
                <w:szCs w:val="20"/>
                <w:color w:val="auto"/>
              </w:rPr>
            </w:pPr>
            <w:r>
              <w:rPr>
                <w:rFonts w:ascii="Arial" w:cs="Arial" w:eastAsia="Arial" w:hAnsi="Arial"/>
                <w:sz w:val="18"/>
                <w:szCs w:val="18"/>
                <w:color w:val="auto"/>
              </w:rPr>
              <w:t>Acquisition expenses</w:t>
            </w:r>
          </w:p>
        </w:tc>
        <w:tc>
          <w:tcPr>
            <w:tcW w:w="2240" w:type="dxa"/>
            <w:vAlign w:val="bottom"/>
            <w:vMerge w:val="continue"/>
          </w:tcPr>
          <w:p>
            <w:pPr>
              <w:spacing w:after="0"/>
              <w:rPr>
                <w:sz w:val="15"/>
                <w:szCs w:val="15"/>
                <w:color w:val="auto"/>
              </w:rPr>
            </w:pPr>
          </w:p>
        </w:tc>
        <w:tc>
          <w:tcPr>
            <w:tcW w:w="1420" w:type="dxa"/>
            <w:vAlign w:val="bottom"/>
          </w:tcPr>
          <w:p>
            <w:pPr>
              <w:jc w:val="right"/>
              <w:ind w:right="10"/>
              <w:spacing w:after="0" w:line="18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7760" w:type="dxa"/>
            <w:vAlign w:val="bottom"/>
          </w:tcPr>
          <w:p>
            <w:pPr>
              <w:ind w:left="40"/>
              <w:spacing w:after="0"/>
              <w:rPr>
                <w:sz w:val="20"/>
                <w:szCs w:val="20"/>
                <w:color w:val="auto"/>
              </w:rPr>
            </w:pPr>
            <w:r>
              <w:rPr>
                <w:rFonts w:ascii="Arial" w:cs="Arial" w:eastAsia="Arial" w:hAnsi="Arial"/>
                <w:sz w:val="18"/>
                <w:szCs w:val="18"/>
                <w:color w:val="auto"/>
              </w:rPr>
              <w:t>Interest expense related to purchase price</w:t>
            </w:r>
          </w:p>
        </w:tc>
        <w:tc>
          <w:tcPr>
            <w:tcW w:w="2240" w:type="dxa"/>
            <w:vAlign w:val="bottom"/>
          </w:tcPr>
          <w:p>
            <w:pPr>
              <w:jc w:val="right"/>
              <w:ind w:right="470"/>
              <w:spacing w:after="0"/>
              <w:rPr>
                <w:sz w:val="20"/>
                <w:szCs w:val="20"/>
                <w:color w:val="auto"/>
              </w:rPr>
            </w:pPr>
            <w:r>
              <w:rPr>
                <w:rFonts w:ascii="Arial" w:cs="Arial" w:eastAsia="Arial" w:hAnsi="Arial"/>
                <w:sz w:val="18"/>
                <w:szCs w:val="18"/>
                <w:b w:val="1"/>
                <w:bCs w:val="1"/>
                <w:color w:val="auto"/>
              </w:rPr>
              <w:t>(1,382)</w:t>
            </w:r>
          </w:p>
        </w:tc>
        <w:tc>
          <w:tcPr>
            <w:tcW w:w="1420" w:type="dxa"/>
            <w:vAlign w:val="bottom"/>
          </w:tcPr>
          <w:p>
            <w:pPr>
              <w:jc w:val="right"/>
              <w:spacing w:after="0"/>
              <w:rPr>
                <w:sz w:val="20"/>
                <w:szCs w:val="20"/>
                <w:color w:val="auto"/>
              </w:rPr>
            </w:pPr>
            <w:r>
              <w:rPr>
                <w:rFonts w:ascii="Arial" w:cs="Arial" w:eastAsia="Arial" w:hAnsi="Arial"/>
                <w:sz w:val="18"/>
                <w:szCs w:val="18"/>
                <w:color w:val="auto"/>
              </w:rPr>
              <w:t>(5,133)</w:t>
            </w:r>
          </w:p>
        </w:tc>
        <w:tc>
          <w:tcPr>
            <w:tcW w:w="0" w:type="dxa"/>
            <w:vAlign w:val="bottom"/>
          </w:tcPr>
          <w:p>
            <w:pPr>
              <w:spacing w:after="0"/>
              <w:rPr>
                <w:sz w:val="1"/>
                <w:szCs w:val="1"/>
                <w:color w:val="auto"/>
              </w:rPr>
            </w:pPr>
          </w:p>
        </w:tc>
      </w:tr>
      <w:tr>
        <w:trPr>
          <w:trHeight w:val="391"/>
        </w:trPr>
        <w:tc>
          <w:tcPr>
            <w:tcW w:w="7760" w:type="dxa"/>
            <w:vAlign w:val="bottom"/>
          </w:tcPr>
          <w:p>
            <w:pPr>
              <w:ind w:left="40"/>
              <w:spacing w:after="0"/>
              <w:rPr>
                <w:sz w:val="20"/>
                <w:szCs w:val="20"/>
                <w:color w:val="auto"/>
              </w:rPr>
            </w:pPr>
            <w:r>
              <w:rPr>
                <w:rFonts w:ascii="Arial" w:cs="Arial" w:eastAsia="Arial" w:hAnsi="Arial"/>
                <w:sz w:val="18"/>
                <w:szCs w:val="18"/>
                <w:color w:val="auto"/>
              </w:rPr>
              <w:t>Acquisition accounting adjustments:</w:t>
            </w:r>
          </w:p>
        </w:tc>
        <w:tc>
          <w:tcPr>
            <w:tcW w:w="224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rPr>
              <w:t>(1,575)</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7760" w:type="dxa"/>
            <w:vAlign w:val="bottom"/>
          </w:tcPr>
          <w:p>
            <w:pPr>
              <w:ind w:left="40"/>
              <w:spacing w:after="0" w:line="181" w:lineRule="exact"/>
              <w:rPr>
                <w:sz w:val="20"/>
                <w:szCs w:val="20"/>
                <w:color w:val="auto"/>
              </w:rPr>
            </w:pPr>
            <w:r>
              <w:rPr>
                <w:rFonts w:ascii="Arial" w:cs="Arial" w:eastAsia="Arial" w:hAnsi="Arial"/>
                <w:sz w:val="18"/>
                <w:szCs w:val="18"/>
                <w:color w:val="auto"/>
              </w:rPr>
              <w:t>Depreciation and amortization on property, plant and equipment, and intangible assets</w:t>
            </w:r>
          </w:p>
        </w:tc>
        <w:tc>
          <w:tcPr>
            <w:tcW w:w="2240" w:type="dxa"/>
            <w:vAlign w:val="bottom"/>
            <w:vMerge w:val="continue"/>
          </w:tcPr>
          <w:p>
            <w:pPr>
              <w:spacing w:after="0"/>
              <w:rPr>
                <w:sz w:val="15"/>
                <w:szCs w:val="15"/>
                <w:color w:val="auto"/>
              </w:rPr>
            </w:pPr>
          </w:p>
        </w:tc>
        <w:tc>
          <w:tcPr>
            <w:tcW w:w="1420" w:type="dxa"/>
            <w:vAlign w:val="bottom"/>
          </w:tcPr>
          <w:p>
            <w:pPr>
              <w:jc w:val="right"/>
              <w:spacing w:after="0" w:line="181" w:lineRule="exact"/>
              <w:rPr>
                <w:sz w:val="20"/>
                <w:szCs w:val="20"/>
                <w:color w:val="auto"/>
              </w:rPr>
            </w:pPr>
            <w:r>
              <w:rPr>
                <w:rFonts w:ascii="Arial" w:cs="Arial" w:eastAsia="Arial" w:hAnsi="Arial"/>
                <w:sz w:val="18"/>
                <w:szCs w:val="18"/>
                <w:color w:val="auto"/>
              </w:rPr>
              <w:t>(7,875)</w:t>
            </w:r>
          </w:p>
        </w:tc>
        <w:tc>
          <w:tcPr>
            <w:tcW w:w="0" w:type="dxa"/>
            <w:vAlign w:val="bottom"/>
          </w:tcPr>
          <w:p>
            <w:pPr>
              <w:spacing w:after="0"/>
              <w:rPr>
                <w:sz w:val="1"/>
                <w:szCs w:val="1"/>
                <w:color w:val="auto"/>
              </w:rPr>
            </w:pPr>
          </w:p>
        </w:tc>
      </w:tr>
      <w:tr>
        <w:trPr>
          <w:trHeight w:val="203"/>
        </w:trPr>
        <w:tc>
          <w:tcPr>
            <w:tcW w:w="7760" w:type="dxa"/>
            <w:vAlign w:val="bottom"/>
          </w:tcPr>
          <w:p>
            <w:pPr>
              <w:ind w:left="40"/>
              <w:spacing w:after="0" w:line="202" w:lineRule="exact"/>
              <w:rPr>
                <w:sz w:val="20"/>
                <w:szCs w:val="20"/>
                <w:color w:val="auto"/>
              </w:rPr>
            </w:pPr>
            <w:r>
              <w:rPr>
                <w:rFonts w:ascii="Arial" w:cs="Arial" w:eastAsia="Arial" w:hAnsi="Arial"/>
                <w:sz w:val="18"/>
                <w:szCs w:val="18"/>
                <w:color w:val="auto"/>
              </w:rPr>
              <w:t>Valuation of contract inventories</w:t>
            </w:r>
          </w:p>
        </w:tc>
        <w:tc>
          <w:tcPr>
            <w:tcW w:w="2240" w:type="dxa"/>
            <w:vAlign w:val="bottom"/>
          </w:tcPr>
          <w:p>
            <w:pPr>
              <w:jc w:val="right"/>
              <w:ind w:right="530"/>
              <w:spacing w:after="0" w:line="202" w:lineRule="exact"/>
              <w:rPr>
                <w:sz w:val="20"/>
                <w:szCs w:val="20"/>
                <w:color w:val="auto"/>
              </w:rPr>
            </w:pPr>
            <w:r>
              <w:rPr>
                <w:rFonts w:ascii="Arial" w:cs="Arial" w:eastAsia="Arial" w:hAnsi="Arial"/>
                <w:sz w:val="18"/>
                <w:szCs w:val="18"/>
                <w:b w:val="1"/>
                <w:bCs w:val="1"/>
                <w:color w:val="auto"/>
              </w:rPr>
              <w:t>1,997</w:t>
            </w:r>
          </w:p>
        </w:tc>
        <w:tc>
          <w:tcPr>
            <w:tcW w:w="14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6,908</w:t>
            </w:r>
          </w:p>
        </w:tc>
        <w:tc>
          <w:tcPr>
            <w:tcW w:w="0" w:type="dxa"/>
            <w:vAlign w:val="bottom"/>
          </w:tcPr>
          <w:p>
            <w:pPr>
              <w:spacing w:after="0"/>
              <w:rPr>
                <w:sz w:val="1"/>
                <w:szCs w:val="1"/>
                <w:color w:val="auto"/>
              </w:rPr>
            </w:pPr>
          </w:p>
        </w:tc>
      </w:tr>
      <w:tr>
        <w:trPr>
          <w:trHeight w:val="203"/>
        </w:trPr>
        <w:tc>
          <w:tcPr>
            <w:tcW w:w="7760" w:type="dxa"/>
            <w:vAlign w:val="bottom"/>
          </w:tcPr>
          <w:p>
            <w:pPr>
              <w:ind w:left="40"/>
              <w:spacing w:after="0" w:line="202" w:lineRule="exact"/>
              <w:rPr>
                <w:sz w:val="20"/>
                <w:szCs w:val="20"/>
                <w:color w:val="auto"/>
              </w:rPr>
            </w:pPr>
            <w:r>
              <w:rPr>
                <w:rFonts w:ascii="Arial" w:cs="Arial" w:eastAsia="Arial" w:hAnsi="Arial"/>
                <w:sz w:val="18"/>
                <w:szCs w:val="18"/>
                <w:color w:val="auto"/>
              </w:rPr>
              <w:t>Interest expense on capital lease obligation</w:t>
            </w:r>
          </w:p>
        </w:tc>
        <w:tc>
          <w:tcPr>
            <w:tcW w:w="2240" w:type="dxa"/>
            <w:vAlign w:val="bottom"/>
          </w:tcPr>
          <w:p>
            <w:pPr>
              <w:jc w:val="right"/>
              <w:ind w:right="530"/>
              <w:spacing w:after="0" w:line="202" w:lineRule="exact"/>
              <w:rPr>
                <w:sz w:val="20"/>
                <w:szCs w:val="20"/>
                <w:color w:val="auto"/>
              </w:rPr>
            </w:pPr>
            <w:r>
              <w:rPr>
                <w:rFonts w:ascii="Arial" w:cs="Arial" w:eastAsia="Arial" w:hAnsi="Arial"/>
                <w:sz w:val="18"/>
                <w:szCs w:val="18"/>
                <w:b w:val="1"/>
                <w:bCs w:val="1"/>
                <w:color w:val="auto"/>
              </w:rPr>
              <w:t>300</w:t>
            </w:r>
          </w:p>
        </w:tc>
        <w:tc>
          <w:tcPr>
            <w:tcW w:w="14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1,096</w:t>
            </w:r>
          </w:p>
        </w:tc>
        <w:tc>
          <w:tcPr>
            <w:tcW w:w="0" w:type="dxa"/>
            <w:vAlign w:val="bottom"/>
          </w:tcPr>
          <w:p>
            <w:pPr>
              <w:spacing w:after="0"/>
              <w:rPr>
                <w:sz w:val="1"/>
                <w:szCs w:val="1"/>
                <w:color w:val="auto"/>
              </w:rPr>
            </w:pPr>
          </w:p>
        </w:tc>
      </w:tr>
      <w:tr>
        <w:trPr>
          <w:trHeight w:val="225"/>
        </w:trPr>
        <w:tc>
          <w:tcPr>
            <w:tcW w:w="77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Interest expense on other obligations</w:t>
            </w:r>
          </w:p>
        </w:tc>
        <w:tc>
          <w:tcPr>
            <w:tcW w:w="2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(133)</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196"/>
        </w:trPr>
        <w:tc>
          <w:tcPr>
            <w:tcW w:w="776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Pro forma Income before income taxes</w:t>
            </w:r>
          </w:p>
        </w:tc>
        <w:tc>
          <w:tcPr>
            <w:tcW w:w="224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b w:val="1"/>
                <w:bCs w:val="1"/>
                <w:color w:val="auto"/>
              </w:rPr>
              <w:t>$85,213</w:t>
            </w:r>
          </w:p>
        </w:tc>
        <w:tc>
          <w:tcPr>
            <w:tcW w:w="14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$47,005</w:t>
            </w:r>
          </w:p>
        </w:tc>
        <w:tc>
          <w:tcPr>
            <w:tcW w:w="0" w:type="dxa"/>
            <w:vAlign w:val="bottom"/>
          </w:tcPr>
          <w:p>
            <w:pPr>
              <w:spacing w:after="0"/>
              <w:rPr>
                <w:sz w:val="1"/>
                <w:szCs w:val="1"/>
                <w:color w:val="auto"/>
              </w:rPr>
            </w:pPr>
          </w:p>
        </w:tc>
      </w:tr>
      <w:tr>
        <w:trPr>
          <w:trHeight w:val="196"/>
        </w:trPr>
        <w:tc>
          <w:tcPr>
            <w:tcW w:w="776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6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Pro forma Net Income attributable to the Company</w:t>
            </w:r>
          </w:p>
        </w:tc>
        <w:tc>
          <w:tcPr>
            <w:tcW w:w="224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b w:val="1"/>
                <w:bCs w:val="1"/>
                <w:color w:val="auto"/>
              </w:rPr>
              <w:t>$57,229</w:t>
            </w:r>
          </w:p>
        </w:tc>
        <w:tc>
          <w:tcPr>
            <w:tcW w:w="14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$54,245</w:t>
            </w:r>
          </w:p>
        </w:tc>
        <w:tc>
          <w:tcPr>
            <w:tcW w:w="0" w:type="dxa"/>
            <w:vAlign w:val="bottom"/>
          </w:tcPr>
          <w:p>
            <w:pPr>
              <w:spacing w:after="0"/>
              <w:rPr>
                <w:sz w:val="1"/>
                <w:szCs w:val="1"/>
                <w:color w:val="auto"/>
              </w:rPr>
            </w:pPr>
          </w:p>
        </w:tc>
      </w:tr>
    </w:tbl>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Reportable Segments and Geographic Data</w:t>
      </w:r>
    </w:p>
    <w:p>
      <w:pPr>
        <w:spacing w:after="0" w:line="193" w:lineRule="exact"/>
        <w:rPr>
          <w:sz w:val="20"/>
          <w:szCs w:val="20"/>
          <w:color w:val="auto"/>
        </w:rPr>
      </w:pPr>
    </w:p>
    <w:p>
      <w:pPr>
        <w:ind w:right="380" w:firstLine="648"/>
        <w:spacing w:after="0" w:line="246" w:lineRule="auto"/>
        <w:rPr>
          <w:sz w:val="20"/>
          <w:szCs w:val="20"/>
          <w:color w:val="auto"/>
        </w:rPr>
      </w:pPr>
      <w:r>
        <w:rPr>
          <w:rFonts w:ascii="Arial" w:cs="Arial" w:eastAsia="Arial" w:hAnsi="Arial"/>
          <w:sz w:val="18"/>
          <w:szCs w:val="18"/>
          <w:color w:val="auto"/>
        </w:rPr>
        <w:t>In accordance with applicable disclosure guidance for enterprise segments and related information, the internal organization that is used by management for making operating decisions and assessing performance is used as the basis for our reportable segments.</w:t>
      </w:r>
    </w:p>
    <w:p>
      <w:pPr>
        <w:spacing w:after="0" w:line="156" w:lineRule="exact"/>
        <w:rPr>
          <w:sz w:val="20"/>
          <w:szCs w:val="20"/>
          <w:color w:val="auto"/>
        </w:rPr>
      </w:pPr>
    </w:p>
    <w:p>
      <w:pPr>
        <w:ind w:right="180" w:firstLine="648"/>
        <w:spacing w:after="0" w:line="239" w:lineRule="auto"/>
        <w:rPr>
          <w:sz w:val="20"/>
          <w:szCs w:val="20"/>
          <w:color w:val="auto"/>
        </w:rPr>
      </w:pPr>
      <w:r>
        <w:rPr>
          <w:rFonts w:ascii="Arial" w:cs="Arial" w:eastAsia="Arial" w:hAnsi="Arial"/>
          <w:sz w:val="18"/>
          <w:szCs w:val="18"/>
          <w:color w:val="auto"/>
        </w:rPr>
        <w:t>The accounting policies of the segments are the same as those described in Note 1. Corporate expenses include wages and benefits for corporate headquarters personnel, costs related to information systems development and support, and professional fees related to legal, audit, and other activities. These costs are not allocated to the reportable segments because the decision-making for these functions lies outside of the segments.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Machine Clothing:</w:t>
      </w:r>
    </w:p>
    <w:p>
      <w:pPr>
        <w:spacing w:after="0" w:line="193"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The Machine Clothing segment supplies permeable and impermeable belts used in the manufacture of paper, paperboard, nonwovens, fiber cement and several other industrial applications. The Machine Clothing segment also supplies customized, consumable fabrics used in the manufacturing process in the pulp, corrugator, nonwovens, fiber cement, building products, and tannery and textile industries. We sell our Machine Clothing products directly to customer end-users in countries across the globe. Our products, manufacturing processes, and distribution channels for Machine Clothing are substantially the same in each region of the world in which we operate.</w:t>
      </w:r>
    </w:p>
    <w:p>
      <w:pPr>
        <w:spacing w:after="0" w:line="203" w:lineRule="exact"/>
        <w:rPr>
          <w:sz w:val="20"/>
          <w:szCs w:val="20"/>
          <w:color w:val="auto"/>
        </w:rPr>
      </w:pPr>
    </w:p>
    <w:p>
      <w:pPr>
        <w:ind w:left="11220"/>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342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64" w:name="page65"/>
    <w:bookmarkEnd w:id="64"/>
    <w:p>
      <w:pPr>
        <w:ind w:right="140" w:firstLine="648"/>
        <w:spacing w:after="0"/>
        <w:rPr>
          <w:sz w:val="20"/>
          <w:szCs w:val="20"/>
          <w:color w:val="auto"/>
        </w:rPr>
      </w:pPr>
      <w:r>
        <w:rPr>
          <w:rFonts w:ascii="Arial" w:cs="Arial" w:eastAsia="Arial" w:hAnsi="Arial"/>
          <w:sz w:val="18"/>
          <w:szCs w:val="18"/>
          <w:color w:val="auto"/>
        </w:rPr>
        <w:t>We design, manufacture, and market paper machine clothing for each section of the paper machine and for every grade of paper. Paper machine clothing products are customized, consumable products of technologically sophisticated design that utilize polymeric materials in a complex structure.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Albany Engineered Composites</w:t>
      </w:r>
      <w:r>
        <w:rPr>
          <w:rFonts w:ascii="Arial" w:cs="Arial" w:eastAsia="Arial" w:hAnsi="Arial"/>
          <w:sz w:val="18"/>
          <w:szCs w:val="18"/>
          <w:color w:val="auto"/>
        </w:rPr>
        <w:t>:</w:t>
      </w:r>
    </w:p>
    <w:p>
      <w:pPr>
        <w:spacing w:after="0" w:line="193" w:lineRule="exact"/>
        <w:rPr>
          <w:sz w:val="20"/>
          <w:szCs w:val="20"/>
          <w:color w:val="auto"/>
        </w:rPr>
      </w:pPr>
    </w:p>
    <w:p>
      <w:pPr>
        <w:ind w:right="20" w:firstLine="648"/>
        <w:spacing w:after="0" w:line="251" w:lineRule="auto"/>
        <w:rPr>
          <w:sz w:val="20"/>
          <w:szCs w:val="20"/>
          <w:color w:val="auto"/>
        </w:rPr>
      </w:pPr>
      <w:r>
        <w:rPr>
          <w:rFonts w:ascii="Arial" w:cs="Arial" w:eastAsia="Arial" w:hAnsi="Arial"/>
          <w:sz w:val="17"/>
          <w:szCs w:val="17"/>
          <w:color w:val="auto"/>
        </w:rPr>
        <w:t>The Albany Engineered Composites (AEC) segment, including Albany Safran Composites, LLC (ASC), in which our customer SAFRAN Group (Safran) owns a 10 percent noncontrolling interest, provides highly engineered, advanced composite structures to customers in the aerospace and defense industries. AEC’s largest program relates to CFM International’s LEAP engine. Under this program, AEC through ASC, is the exclusive supplier of advanced composite fan blades and cases under a long-term supply contract. The manufacturing spaces used for the production of parts under the long-term supply agreement are owned by Safran, and leased to the Company at either a market rent or a minimal cost. All lease expense is reimbursable by Safran to the Company due to the cost-plus nature of the supply agreement. AEC net sales to Safran were $88.9 million in 2016, $58.1 million in 2015, and $46.9 million in 2014. The total of invoiced receivables, unbilled receivables and contract receivables due from Safran amounted to $68.5 million and $29.7 million as of December 31, 2016 and 2015, respectively. Other significant AEC programs include components for the F-35 Joint Strike Fighter, fuselage frame components for the Boeing 787, and the fan case for the GE9X engine. In 2016, approximately 30 percent of AEC sales were related to U.S. government contracts or programs.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show data by reportable segment, reconciled to consolidated totals included in the financial statements: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336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2016</w:t>
            </w:r>
          </w:p>
        </w:tc>
        <w:tc>
          <w:tcPr>
            <w:tcW w:w="20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2015</w:t>
            </w:r>
          </w:p>
        </w:tc>
        <w:tc>
          <w:tcPr>
            <w:tcW w:w="14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195"/>
        </w:trPr>
        <w:tc>
          <w:tcPr>
            <w:tcW w:w="4540" w:type="dxa"/>
            <w:vAlign w:val="bottom"/>
          </w:tcPr>
          <w:p>
            <w:pPr>
              <w:ind w:left="40"/>
              <w:spacing w:after="0" w:line="195" w:lineRule="exact"/>
              <w:rPr>
                <w:sz w:val="20"/>
                <w:szCs w:val="20"/>
                <w:color w:val="auto"/>
              </w:rPr>
            </w:pPr>
            <w:r>
              <w:rPr>
                <w:rFonts w:ascii="Arial" w:cs="Arial" w:eastAsia="Arial" w:hAnsi="Arial"/>
                <w:sz w:val="18"/>
                <w:szCs w:val="18"/>
                <w:b w:val="1"/>
                <w:bCs w:val="1"/>
                <w:color w:val="auto"/>
              </w:rPr>
              <w:t>Net Sales</w:t>
            </w:r>
          </w:p>
        </w:tc>
        <w:tc>
          <w:tcPr>
            <w:tcW w:w="3360" w:type="dxa"/>
            <w:vAlign w:val="bottom"/>
            <w:vMerge w:val="restart"/>
          </w:tcPr>
          <w:p>
            <w:pPr>
              <w:jc w:val="right"/>
              <w:ind w:right="590"/>
              <w:spacing w:after="0"/>
              <w:rPr>
                <w:sz w:val="20"/>
                <w:szCs w:val="20"/>
                <w:color w:val="auto"/>
              </w:rPr>
            </w:pPr>
            <w:r>
              <w:rPr>
                <w:rFonts w:ascii="Arial" w:cs="Arial" w:eastAsia="Arial" w:hAnsi="Arial"/>
                <w:sz w:val="18"/>
                <w:szCs w:val="18"/>
                <w:b w:val="1"/>
                <w:bCs w:val="1"/>
                <w:color w:val="auto"/>
              </w:rPr>
              <w:t>$582,190</w:t>
            </w:r>
          </w:p>
        </w:tc>
        <w:tc>
          <w:tcPr>
            <w:tcW w:w="20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540" w:type="dxa"/>
            <w:vAlign w:val="bottom"/>
          </w:tcPr>
          <w:p>
            <w:pPr>
              <w:ind w:left="40"/>
              <w:spacing w:after="0" w:line="181" w:lineRule="exact"/>
              <w:rPr>
                <w:sz w:val="20"/>
                <w:szCs w:val="20"/>
                <w:color w:val="auto"/>
              </w:rPr>
            </w:pPr>
            <w:r>
              <w:rPr>
                <w:rFonts w:ascii="Arial" w:cs="Arial" w:eastAsia="Arial" w:hAnsi="Arial"/>
                <w:sz w:val="18"/>
                <w:szCs w:val="18"/>
                <w:color w:val="auto"/>
              </w:rPr>
              <w:t>Machine Clothing</w:t>
            </w:r>
          </w:p>
        </w:tc>
        <w:tc>
          <w:tcPr>
            <w:tcW w:w="3360" w:type="dxa"/>
            <w:vAlign w:val="bottom"/>
            <w:vMerge w:val="continue"/>
          </w:tcPr>
          <w:p>
            <w:pPr>
              <w:spacing w:after="0"/>
              <w:rPr>
                <w:sz w:val="15"/>
                <w:szCs w:val="15"/>
                <w:color w:val="auto"/>
              </w:rPr>
            </w:pPr>
          </w:p>
        </w:tc>
        <w:tc>
          <w:tcPr>
            <w:tcW w:w="2040" w:type="dxa"/>
            <w:vAlign w:val="bottom"/>
          </w:tcPr>
          <w:p>
            <w:pPr>
              <w:jc w:val="right"/>
              <w:ind w:right="570"/>
              <w:spacing w:after="0" w:line="181" w:lineRule="exact"/>
              <w:rPr>
                <w:sz w:val="20"/>
                <w:szCs w:val="20"/>
                <w:color w:val="auto"/>
              </w:rPr>
            </w:pPr>
            <w:r>
              <w:rPr>
                <w:rFonts w:ascii="Arial" w:cs="Arial" w:eastAsia="Arial" w:hAnsi="Arial"/>
                <w:sz w:val="18"/>
                <w:szCs w:val="18"/>
                <w:color w:val="auto"/>
              </w:rPr>
              <w:t>$608,581</w:t>
            </w:r>
          </w:p>
        </w:tc>
        <w:tc>
          <w:tcPr>
            <w:tcW w:w="1480" w:type="dxa"/>
            <w:vAlign w:val="bottom"/>
          </w:tcPr>
          <w:p>
            <w:pPr>
              <w:jc w:val="right"/>
              <w:ind w:right="10"/>
              <w:spacing w:after="0" w:line="181" w:lineRule="exact"/>
              <w:rPr>
                <w:sz w:val="20"/>
                <w:szCs w:val="20"/>
                <w:color w:val="auto"/>
              </w:rPr>
            </w:pPr>
            <w:r>
              <w:rPr>
                <w:rFonts w:ascii="Arial" w:cs="Arial" w:eastAsia="Arial" w:hAnsi="Arial"/>
                <w:sz w:val="18"/>
                <w:szCs w:val="18"/>
                <w:color w:val="auto"/>
              </w:rPr>
              <w:t>$655,026</w:t>
            </w:r>
          </w:p>
        </w:tc>
        <w:tc>
          <w:tcPr>
            <w:tcW w:w="0" w:type="dxa"/>
            <w:vAlign w:val="bottom"/>
          </w:tcPr>
          <w:p>
            <w:pPr>
              <w:spacing w:after="0"/>
              <w:rPr>
                <w:sz w:val="1"/>
                <w:szCs w:val="1"/>
                <w:color w:val="auto"/>
              </w:rPr>
            </w:pPr>
          </w:p>
        </w:tc>
      </w:tr>
      <w:tr>
        <w:trPr>
          <w:trHeight w:val="225"/>
        </w:trPr>
        <w:tc>
          <w:tcPr>
            <w:tcW w:w="45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Albany Engineered Composites</w:t>
            </w:r>
          </w:p>
        </w:tc>
        <w:tc>
          <w:tcPr>
            <w:tcW w:w="3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197,649</w:t>
            </w:r>
          </w:p>
        </w:tc>
        <w:tc>
          <w:tcPr>
            <w:tcW w:w="20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101,287</w:t>
            </w: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90,319</w:t>
            </w:r>
          </w:p>
        </w:tc>
        <w:tc>
          <w:tcPr>
            <w:tcW w:w="0" w:type="dxa"/>
            <w:vAlign w:val="bottom"/>
          </w:tcPr>
          <w:p>
            <w:pPr>
              <w:spacing w:after="0"/>
              <w:rPr>
                <w:sz w:val="1"/>
                <w:szCs w:val="1"/>
                <w:color w:val="auto"/>
              </w:rPr>
            </w:pPr>
          </w:p>
        </w:tc>
      </w:tr>
      <w:tr>
        <w:trPr>
          <w:trHeight w:val="196"/>
        </w:trPr>
        <w:tc>
          <w:tcPr>
            <w:tcW w:w="454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color w:val="auto"/>
              </w:rPr>
              <w:t>Consolidated total</w:t>
            </w:r>
          </w:p>
        </w:tc>
        <w:tc>
          <w:tcPr>
            <w:tcW w:w="3360" w:type="dxa"/>
            <w:vAlign w:val="bottom"/>
            <w:tcBorders>
              <w:bottom w:val="single" w:sz="8" w:color="auto"/>
            </w:tcBorders>
          </w:tcPr>
          <w:p>
            <w:pPr>
              <w:jc w:val="right"/>
              <w:ind w:right="590"/>
              <w:spacing w:after="0" w:line="196" w:lineRule="exact"/>
              <w:rPr>
                <w:sz w:val="20"/>
                <w:szCs w:val="20"/>
                <w:color w:val="auto"/>
              </w:rPr>
            </w:pPr>
            <w:r>
              <w:rPr>
                <w:rFonts w:ascii="Arial" w:cs="Arial" w:eastAsia="Arial" w:hAnsi="Arial"/>
                <w:sz w:val="18"/>
                <w:szCs w:val="18"/>
                <w:b w:val="1"/>
                <w:bCs w:val="1"/>
                <w:color w:val="auto"/>
              </w:rPr>
              <w:t>$779,839</w:t>
            </w:r>
          </w:p>
        </w:tc>
        <w:tc>
          <w:tcPr>
            <w:tcW w:w="2040" w:type="dxa"/>
            <w:vAlign w:val="bottom"/>
            <w:tcBorders>
              <w:bottom w:val="single" w:sz="8" w:color="auto"/>
            </w:tcBorders>
          </w:tcPr>
          <w:p>
            <w:pPr>
              <w:jc w:val="right"/>
              <w:ind w:right="570"/>
              <w:spacing w:after="0" w:line="196" w:lineRule="exact"/>
              <w:rPr>
                <w:sz w:val="20"/>
                <w:szCs w:val="20"/>
                <w:color w:val="auto"/>
              </w:rPr>
            </w:pPr>
            <w:r>
              <w:rPr>
                <w:rFonts w:ascii="Arial" w:cs="Arial" w:eastAsia="Arial" w:hAnsi="Arial"/>
                <w:sz w:val="18"/>
                <w:szCs w:val="18"/>
                <w:color w:val="auto"/>
              </w:rPr>
              <w:t>$709,868</w:t>
            </w:r>
          </w:p>
        </w:tc>
        <w:tc>
          <w:tcPr>
            <w:tcW w:w="14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$745,345</w:t>
            </w:r>
          </w:p>
        </w:tc>
        <w:tc>
          <w:tcPr>
            <w:tcW w:w="0" w:type="dxa"/>
            <w:vAlign w:val="bottom"/>
          </w:tcPr>
          <w:p>
            <w:pPr>
              <w:spacing w:after="0"/>
              <w:rPr>
                <w:sz w:val="1"/>
                <w:szCs w:val="1"/>
                <w:color w:val="auto"/>
              </w:rPr>
            </w:pPr>
          </w:p>
        </w:tc>
      </w:tr>
      <w:tr>
        <w:trPr>
          <w:trHeight w:val="195"/>
        </w:trPr>
        <w:tc>
          <w:tcPr>
            <w:tcW w:w="4540" w:type="dxa"/>
            <w:vAlign w:val="bottom"/>
          </w:tcPr>
          <w:p>
            <w:pPr>
              <w:ind w:left="40"/>
              <w:spacing w:after="0" w:line="195" w:lineRule="exact"/>
              <w:rPr>
                <w:sz w:val="20"/>
                <w:szCs w:val="20"/>
                <w:color w:val="auto"/>
              </w:rPr>
            </w:pPr>
            <w:r>
              <w:rPr>
                <w:rFonts w:ascii="Arial" w:cs="Arial" w:eastAsia="Arial" w:hAnsi="Arial"/>
                <w:sz w:val="18"/>
                <w:szCs w:val="18"/>
                <w:b w:val="1"/>
                <w:bCs w:val="1"/>
                <w:color w:val="auto"/>
              </w:rPr>
              <w:t>Depreciation and amortization</w:t>
            </w:r>
          </w:p>
        </w:tc>
        <w:tc>
          <w:tcPr>
            <w:tcW w:w="3360" w:type="dxa"/>
            <w:vAlign w:val="bottom"/>
            <w:vMerge w:val="restart"/>
          </w:tcPr>
          <w:p>
            <w:pPr>
              <w:jc w:val="right"/>
              <w:ind w:right="590"/>
              <w:spacing w:after="0"/>
              <w:rPr>
                <w:sz w:val="20"/>
                <w:szCs w:val="20"/>
                <w:color w:val="auto"/>
              </w:rPr>
            </w:pPr>
            <w:r>
              <w:rPr>
                <w:rFonts w:ascii="Arial" w:cs="Arial" w:eastAsia="Arial" w:hAnsi="Arial"/>
                <w:sz w:val="18"/>
                <w:szCs w:val="18"/>
                <w:b w:val="1"/>
                <w:bCs w:val="1"/>
                <w:color w:val="auto"/>
              </w:rPr>
              <w:t>36,428</w:t>
            </w:r>
          </w:p>
        </w:tc>
        <w:tc>
          <w:tcPr>
            <w:tcW w:w="20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540" w:type="dxa"/>
            <w:vAlign w:val="bottom"/>
          </w:tcPr>
          <w:p>
            <w:pPr>
              <w:ind w:left="40"/>
              <w:spacing w:after="0" w:line="181" w:lineRule="exact"/>
              <w:rPr>
                <w:sz w:val="20"/>
                <w:szCs w:val="20"/>
                <w:color w:val="auto"/>
              </w:rPr>
            </w:pPr>
            <w:r>
              <w:rPr>
                <w:rFonts w:ascii="Arial" w:cs="Arial" w:eastAsia="Arial" w:hAnsi="Arial"/>
                <w:sz w:val="18"/>
                <w:szCs w:val="18"/>
                <w:color w:val="auto"/>
              </w:rPr>
              <w:t>Machine Clothing</w:t>
            </w:r>
          </w:p>
        </w:tc>
        <w:tc>
          <w:tcPr>
            <w:tcW w:w="3360" w:type="dxa"/>
            <w:vAlign w:val="bottom"/>
            <w:vMerge w:val="continue"/>
          </w:tcPr>
          <w:p>
            <w:pPr>
              <w:spacing w:after="0"/>
              <w:rPr>
                <w:sz w:val="15"/>
                <w:szCs w:val="15"/>
                <w:color w:val="auto"/>
              </w:rPr>
            </w:pPr>
          </w:p>
        </w:tc>
        <w:tc>
          <w:tcPr>
            <w:tcW w:w="2040" w:type="dxa"/>
            <w:vAlign w:val="bottom"/>
          </w:tcPr>
          <w:p>
            <w:pPr>
              <w:jc w:val="right"/>
              <w:ind w:right="570"/>
              <w:spacing w:after="0" w:line="181" w:lineRule="exact"/>
              <w:rPr>
                <w:sz w:val="20"/>
                <w:szCs w:val="20"/>
                <w:color w:val="auto"/>
              </w:rPr>
            </w:pPr>
            <w:r>
              <w:rPr>
                <w:rFonts w:ascii="Arial" w:cs="Arial" w:eastAsia="Arial" w:hAnsi="Arial"/>
                <w:sz w:val="18"/>
                <w:szCs w:val="18"/>
                <w:color w:val="auto"/>
              </w:rPr>
              <w:t>39,503</w:t>
            </w:r>
          </w:p>
        </w:tc>
        <w:tc>
          <w:tcPr>
            <w:tcW w:w="1480" w:type="dxa"/>
            <w:vAlign w:val="bottom"/>
          </w:tcPr>
          <w:p>
            <w:pPr>
              <w:jc w:val="right"/>
              <w:ind w:right="10"/>
              <w:spacing w:after="0" w:line="181" w:lineRule="exact"/>
              <w:rPr>
                <w:sz w:val="20"/>
                <w:szCs w:val="20"/>
                <w:color w:val="auto"/>
              </w:rPr>
            </w:pPr>
            <w:r>
              <w:rPr>
                <w:rFonts w:ascii="Arial" w:cs="Arial" w:eastAsia="Arial" w:hAnsi="Arial"/>
                <w:sz w:val="18"/>
                <w:szCs w:val="18"/>
                <w:color w:val="auto"/>
              </w:rPr>
              <w:t>45,066</w:t>
            </w:r>
          </w:p>
        </w:tc>
        <w:tc>
          <w:tcPr>
            <w:tcW w:w="0" w:type="dxa"/>
            <w:vAlign w:val="bottom"/>
          </w:tcPr>
          <w:p>
            <w:pPr>
              <w:spacing w:after="0"/>
              <w:rPr>
                <w:sz w:val="1"/>
                <w:szCs w:val="1"/>
                <w:color w:val="auto"/>
              </w:rPr>
            </w:pPr>
          </w:p>
        </w:tc>
      </w:tr>
      <w:tr>
        <w:trPr>
          <w:trHeight w:val="203"/>
        </w:trPr>
        <w:tc>
          <w:tcPr>
            <w:tcW w:w="4540" w:type="dxa"/>
            <w:vAlign w:val="bottom"/>
          </w:tcPr>
          <w:p>
            <w:pPr>
              <w:ind w:left="40"/>
              <w:spacing w:after="0" w:line="202" w:lineRule="exact"/>
              <w:rPr>
                <w:sz w:val="20"/>
                <w:szCs w:val="20"/>
                <w:color w:val="auto"/>
              </w:rPr>
            </w:pPr>
            <w:r>
              <w:rPr>
                <w:rFonts w:ascii="Arial" w:cs="Arial" w:eastAsia="Arial" w:hAnsi="Arial"/>
                <w:sz w:val="18"/>
                <w:szCs w:val="18"/>
                <w:color w:val="auto"/>
              </w:rPr>
              <w:t>Albany Engineered Composites</w:t>
            </w:r>
          </w:p>
        </w:tc>
        <w:tc>
          <w:tcPr>
            <w:tcW w:w="3360" w:type="dxa"/>
            <w:vAlign w:val="bottom"/>
          </w:tcPr>
          <w:p>
            <w:pPr>
              <w:jc w:val="right"/>
              <w:ind w:right="590"/>
              <w:spacing w:after="0" w:line="202" w:lineRule="exact"/>
              <w:rPr>
                <w:sz w:val="20"/>
                <w:szCs w:val="20"/>
                <w:color w:val="auto"/>
              </w:rPr>
            </w:pPr>
            <w:r>
              <w:rPr>
                <w:rFonts w:ascii="Arial" w:cs="Arial" w:eastAsia="Arial" w:hAnsi="Arial"/>
                <w:sz w:val="18"/>
                <w:szCs w:val="18"/>
                <w:b w:val="1"/>
                <w:bCs w:val="1"/>
                <w:color w:val="auto"/>
              </w:rPr>
              <w:t>24,211</w:t>
            </w:r>
          </w:p>
        </w:tc>
        <w:tc>
          <w:tcPr>
            <w:tcW w:w="2040" w:type="dxa"/>
            <w:vAlign w:val="bottom"/>
          </w:tcPr>
          <w:p>
            <w:pPr>
              <w:jc w:val="right"/>
              <w:ind w:right="570"/>
              <w:spacing w:after="0" w:line="202" w:lineRule="exact"/>
              <w:rPr>
                <w:sz w:val="20"/>
                <w:szCs w:val="20"/>
                <w:color w:val="auto"/>
              </w:rPr>
            </w:pPr>
            <w:r>
              <w:rPr>
                <w:rFonts w:ascii="Arial" w:cs="Arial" w:eastAsia="Arial" w:hAnsi="Arial"/>
                <w:sz w:val="18"/>
                <w:szCs w:val="18"/>
                <w:color w:val="auto"/>
              </w:rPr>
              <w:t>12,140</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10,880</w:t>
            </w:r>
          </w:p>
        </w:tc>
        <w:tc>
          <w:tcPr>
            <w:tcW w:w="0" w:type="dxa"/>
            <w:vAlign w:val="bottom"/>
          </w:tcPr>
          <w:p>
            <w:pPr>
              <w:spacing w:after="0"/>
              <w:rPr>
                <w:sz w:val="1"/>
                <w:szCs w:val="1"/>
                <w:color w:val="auto"/>
              </w:rPr>
            </w:pPr>
          </w:p>
        </w:tc>
      </w:tr>
      <w:tr>
        <w:trPr>
          <w:trHeight w:val="225"/>
        </w:trPr>
        <w:tc>
          <w:tcPr>
            <w:tcW w:w="45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Corporate expenses</w:t>
            </w:r>
          </w:p>
        </w:tc>
        <w:tc>
          <w:tcPr>
            <w:tcW w:w="3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6,822</w:t>
            </w:r>
          </w:p>
        </w:tc>
        <w:tc>
          <w:tcPr>
            <w:tcW w:w="20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8,471</w:t>
            </w: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8,346</w:t>
            </w:r>
          </w:p>
        </w:tc>
        <w:tc>
          <w:tcPr>
            <w:tcW w:w="0" w:type="dxa"/>
            <w:vAlign w:val="bottom"/>
          </w:tcPr>
          <w:p>
            <w:pPr>
              <w:spacing w:after="0"/>
              <w:rPr>
                <w:sz w:val="1"/>
                <w:szCs w:val="1"/>
                <w:color w:val="auto"/>
              </w:rPr>
            </w:pPr>
          </w:p>
        </w:tc>
      </w:tr>
      <w:tr>
        <w:trPr>
          <w:trHeight w:val="196"/>
        </w:trPr>
        <w:tc>
          <w:tcPr>
            <w:tcW w:w="454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color w:val="auto"/>
              </w:rPr>
              <w:t>Consolidated total</w:t>
            </w:r>
          </w:p>
        </w:tc>
        <w:tc>
          <w:tcPr>
            <w:tcW w:w="3360" w:type="dxa"/>
            <w:vAlign w:val="bottom"/>
            <w:tcBorders>
              <w:bottom w:val="single" w:sz="8" w:color="auto"/>
            </w:tcBorders>
          </w:tcPr>
          <w:p>
            <w:pPr>
              <w:jc w:val="right"/>
              <w:ind w:right="590"/>
              <w:spacing w:after="0" w:line="196" w:lineRule="exact"/>
              <w:rPr>
                <w:sz w:val="20"/>
                <w:szCs w:val="20"/>
                <w:color w:val="auto"/>
              </w:rPr>
            </w:pPr>
            <w:r>
              <w:rPr>
                <w:rFonts w:ascii="Arial" w:cs="Arial" w:eastAsia="Arial" w:hAnsi="Arial"/>
                <w:sz w:val="18"/>
                <w:szCs w:val="18"/>
                <w:b w:val="1"/>
                <w:bCs w:val="1"/>
                <w:color w:val="auto"/>
              </w:rPr>
              <w:t>$67,461</w:t>
            </w:r>
          </w:p>
        </w:tc>
        <w:tc>
          <w:tcPr>
            <w:tcW w:w="2040" w:type="dxa"/>
            <w:vAlign w:val="bottom"/>
            <w:tcBorders>
              <w:bottom w:val="single" w:sz="8" w:color="auto"/>
            </w:tcBorders>
          </w:tcPr>
          <w:p>
            <w:pPr>
              <w:jc w:val="right"/>
              <w:ind w:right="570"/>
              <w:spacing w:after="0" w:line="196" w:lineRule="exact"/>
              <w:rPr>
                <w:sz w:val="20"/>
                <w:szCs w:val="20"/>
                <w:color w:val="auto"/>
              </w:rPr>
            </w:pPr>
            <w:r>
              <w:rPr>
                <w:rFonts w:ascii="Arial" w:cs="Arial" w:eastAsia="Arial" w:hAnsi="Arial"/>
                <w:sz w:val="18"/>
                <w:szCs w:val="18"/>
                <w:color w:val="auto"/>
              </w:rPr>
              <w:t>$60,114</w:t>
            </w:r>
          </w:p>
        </w:tc>
        <w:tc>
          <w:tcPr>
            <w:tcW w:w="14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$64,292</w:t>
            </w:r>
          </w:p>
        </w:tc>
        <w:tc>
          <w:tcPr>
            <w:tcW w:w="0" w:type="dxa"/>
            <w:vAlign w:val="bottom"/>
          </w:tcPr>
          <w:p>
            <w:pPr>
              <w:spacing w:after="0"/>
              <w:rPr>
                <w:sz w:val="1"/>
                <w:szCs w:val="1"/>
                <w:color w:val="auto"/>
              </w:rPr>
            </w:pPr>
          </w:p>
        </w:tc>
      </w:tr>
      <w:tr>
        <w:trPr>
          <w:trHeight w:val="195"/>
        </w:trPr>
        <w:tc>
          <w:tcPr>
            <w:tcW w:w="4540" w:type="dxa"/>
            <w:vAlign w:val="bottom"/>
          </w:tcPr>
          <w:p>
            <w:pPr>
              <w:ind w:left="40"/>
              <w:spacing w:after="0" w:line="195" w:lineRule="exact"/>
              <w:rPr>
                <w:sz w:val="20"/>
                <w:szCs w:val="20"/>
                <w:color w:val="auto"/>
              </w:rPr>
            </w:pPr>
            <w:r>
              <w:rPr>
                <w:rFonts w:ascii="Arial" w:cs="Arial" w:eastAsia="Arial" w:hAnsi="Arial"/>
                <w:sz w:val="18"/>
                <w:szCs w:val="18"/>
                <w:b w:val="1"/>
                <w:bCs w:val="1"/>
                <w:color w:val="auto"/>
              </w:rPr>
              <w:t>Operating income/(loss)</w:t>
            </w:r>
          </w:p>
        </w:tc>
        <w:tc>
          <w:tcPr>
            <w:tcW w:w="3360" w:type="dxa"/>
            <w:vAlign w:val="bottom"/>
            <w:vMerge w:val="restart"/>
          </w:tcPr>
          <w:p>
            <w:pPr>
              <w:jc w:val="right"/>
              <w:ind w:right="590"/>
              <w:spacing w:after="0"/>
              <w:rPr>
                <w:sz w:val="20"/>
                <w:szCs w:val="20"/>
                <w:color w:val="auto"/>
              </w:rPr>
            </w:pPr>
            <w:r>
              <w:rPr>
                <w:rFonts w:ascii="Arial" w:cs="Arial" w:eastAsia="Arial" w:hAnsi="Arial"/>
                <w:sz w:val="18"/>
                <w:szCs w:val="18"/>
                <w:b w:val="1"/>
                <w:bCs w:val="1"/>
                <w:color w:val="auto"/>
              </w:rPr>
              <w:t>$152,529</w:t>
            </w:r>
          </w:p>
        </w:tc>
        <w:tc>
          <w:tcPr>
            <w:tcW w:w="20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540" w:type="dxa"/>
            <w:vAlign w:val="bottom"/>
          </w:tcPr>
          <w:p>
            <w:pPr>
              <w:ind w:left="40"/>
              <w:spacing w:after="0" w:line="181" w:lineRule="exact"/>
              <w:rPr>
                <w:sz w:val="20"/>
                <w:szCs w:val="20"/>
                <w:color w:val="auto"/>
              </w:rPr>
            </w:pPr>
            <w:r>
              <w:rPr>
                <w:rFonts w:ascii="Arial" w:cs="Arial" w:eastAsia="Arial" w:hAnsi="Arial"/>
                <w:sz w:val="18"/>
                <w:szCs w:val="18"/>
                <w:color w:val="auto"/>
              </w:rPr>
              <w:t>Machine Clothing</w:t>
            </w:r>
          </w:p>
        </w:tc>
        <w:tc>
          <w:tcPr>
            <w:tcW w:w="3360" w:type="dxa"/>
            <w:vAlign w:val="bottom"/>
            <w:vMerge w:val="continue"/>
          </w:tcPr>
          <w:p>
            <w:pPr>
              <w:spacing w:after="0"/>
              <w:rPr>
                <w:sz w:val="15"/>
                <w:szCs w:val="15"/>
                <w:color w:val="auto"/>
              </w:rPr>
            </w:pPr>
          </w:p>
        </w:tc>
        <w:tc>
          <w:tcPr>
            <w:tcW w:w="2040" w:type="dxa"/>
            <w:vAlign w:val="bottom"/>
          </w:tcPr>
          <w:p>
            <w:pPr>
              <w:jc w:val="right"/>
              <w:ind w:right="570"/>
              <w:spacing w:after="0" w:line="181" w:lineRule="exact"/>
              <w:rPr>
                <w:sz w:val="20"/>
                <w:szCs w:val="20"/>
                <w:color w:val="auto"/>
              </w:rPr>
            </w:pPr>
            <w:r>
              <w:rPr>
                <w:rFonts w:ascii="Arial" w:cs="Arial" w:eastAsia="Arial" w:hAnsi="Arial"/>
                <w:sz w:val="18"/>
                <w:szCs w:val="18"/>
                <w:color w:val="auto"/>
              </w:rPr>
              <w:t>$141,311</w:t>
            </w:r>
          </w:p>
        </w:tc>
        <w:tc>
          <w:tcPr>
            <w:tcW w:w="1480" w:type="dxa"/>
            <w:vAlign w:val="bottom"/>
          </w:tcPr>
          <w:p>
            <w:pPr>
              <w:jc w:val="right"/>
              <w:ind w:right="10"/>
              <w:spacing w:after="0" w:line="181" w:lineRule="exact"/>
              <w:rPr>
                <w:sz w:val="20"/>
                <w:szCs w:val="20"/>
                <w:color w:val="auto"/>
              </w:rPr>
            </w:pPr>
            <w:r>
              <w:rPr>
                <w:rFonts w:ascii="Arial" w:cs="Arial" w:eastAsia="Arial" w:hAnsi="Arial"/>
                <w:sz w:val="18"/>
                <w:szCs w:val="18"/>
                <w:color w:val="auto"/>
              </w:rPr>
              <w:t>$136,450</w:t>
            </w:r>
          </w:p>
        </w:tc>
        <w:tc>
          <w:tcPr>
            <w:tcW w:w="0" w:type="dxa"/>
            <w:vAlign w:val="bottom"/>
          </w:tcPr>
          <w:p>
            <w:pPr>
              <w:spacing w:after="0"/>
              <w:rPr>
                <w:sz w:val="1"/>
                <w:szCs w:val="1"/>
                <w:color w:val="auto"/>
              </w:rPr>
            </w:pPr>
          </w:p>
        </w:tc>
      </w:tr>
      <w:tr>
        <w:trPr>
          <w:trHeight w:val="203"/>
        </w:trPr>
        <w:tc>
          <w:tcPr>
            <w:tcW w:w="4540" w:type="dxa"/>
            <w:vAlign w:val="bottom"/>
          </w:tcPr>
          <w:p>
            <w:pPr>
              <w:ind w:left="40"/>
              <w:spacing w:after="0" w:line="202" w:lineRule="exact"/>
              <w:rPr>
                <w:sz w:val="20"/>
                <w:szCs w:val="20"/>
                <w:color w:val="auto"/>
              </w:rPr>
            </w:pPr>
            <w:r>
              <w:rPr>
                <w:rFonts w:ascii="Arial" w:cs="Arial" w:eastAsia="Arial" w:hAnsi="Arial"/>
                <w:sz w:val="18"/>
                <w:szCs w:val="18"/>
                <w:color w:val="auto"/>
              </w:rPr>
              <w:t>Albany Engineered Composites</w:t>
            </w:r>
          </w:p>
        </w:tc>
        <w:tc>
          <w:tcPr>
            <w:tcW w:w="3360" w:type="dxa"/>
            <w:vAlign w:val="bottom"/>
          </w:tcPr>
          <w:p>
            <w:pPr>
              <w:jc w:val="right"/>
              <w:ind w:right="530"/>
              <w:spacing w:after="0" w:line="202" w:lineRule="exact"/>
              <w:rPr>
                <w:sz w:val="20"/>
                <w:szCs w:val="20"/>
                <w:color w:val="auto"/>
              </w:rPr>
            </w:pPr>
            <w:r>
              <w:rPr>
                <w:rFonts w:ascii="Arial" w:cs="Arial" w:eastAsia="Arial" w:hAnsi="Arial"/>
                <w:sz w:val="18"/>
                <w:szCs w:val="18"/>
                <w:b w:val="1"/>
                <w:bCs w:val="1"/>
                <w:color w:val="auto"/>
              </w:rPr>
              <w:t>(15,363)</w:t>
            </w:r>
          </w:p>
        </w:tc>
        <w:tc>
          <w:tcPr>
            <w:tcW w:w="2040" w:type="dxa"/>
            <w:vAlign w:val="bottom"/>
          </w:tcPr>
          <w:p>
            <w:pPr>
              <w:jc w:val="right"/>
              <w:ind w:right="510"/>
              <w:spacing w:after="0" w:line="202" w:lineRule="exact"/>
              <w:rPr>
                <w:sz w:val="20"/>
                <w:szCs w:val="20"/>
                <w:color w:val="auto"/>
              </w:rPr>
            </w:pPr>
            <w:r>
              <w:rPr>
                <w:rFonts w:ascii="Arial" w:cs="Arial" w:eastAsia="Arial" w:hAnsi="Arial"/>
                <w:sz w:val="18"/>
                <w:szCs w:val="18"/>
                <w:color w:val="auto"/>
              </w:rPr>
              <w:t>(28,478)</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(10,483)</w:t>
            </w:r>
          </w:p>
        </w:tc>
        <w:tc>
          <w:tcPr>
            <w:tcW w:w="0" w:type="dxa"/>
            <w:vAlign w:val="bottom"/>
          </w:tcPr>
          <w:p>
            <w:pPr>
              <w:spacing w:after="0"/>
              <w:rPr>
                <w:sz w:val="1"/>
                <w:szCs w:val="1"/>
                <w:color w:val="auto"/>
              </w:rPr>
            </w:pPr>
          </w:p>
        </w:tc>
      </w:tr>
      <w:tr>
        <w:trPr>
          <w:trHeight w:val="225"/>
        </w:trPr>
        <w:tc>
          <w:tcPr>
            <w:tcW w:w="45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Corporate expenses</w:t>
            </w:r>
          </w:p>
        </w:tc>
        <w:tc>
          <w:tcPr>
            <w:tcW w:w="3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(45,390)</w:t>
            </w:r>
          </w:p>
        </w:tc>
        <w:tc>
          <w:tcPr>
            <w:tcW w:w="20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(48,938)</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(54,607)</w:t>
            </w:r>
          </w:p>
        </w:tc>
        <w:tc>
          <w:tcPr>
            <w:tcW w:w="0" w:type="dxa"/>
            <w:vAlign w:val="bottom"/>
          </w:tcPr>
          <w:p>
            <w:pPr>
              <w:spacing w:after="0"/>
              <w:rPr>
                <w:sz w:val="1"/>
                <w:szCs w:val="1"/>
                <w:color w:val="auto"/>
              </w:rPr>
            </w:pPr>
          </w:p>
        </w:tc>
      </w:tr>
      <w:tr>
        <w:trPr>
          <w:trHeight w:val="195"/>
        </w:trPr>
        <w:tc>
          <w:tcPr>
            <w:tcW w:w="4540" w:type="dxa"/>
            <w:vAlign w:val="bottom"/>
          </w:tcPr>
          <w:p>
            <w:pPr>
              <w:ind w:left="40"/>
              <w:spacing w:after="0" w:line="195" w:lineRule="exact"/>
              <w:rPr>
                <w:sz w:val="20"/>
                <w:szCs w:val="20"/>
                <w:color w:val="auto"/>
              </w:rPr>
            </w:pPr>
            <w:r>
              <w:rPr>
                <w:rFonts w:ascii="Arial" w:cs="Arial" w:eastAsia="Arial" w:hAnsi="Arial"/>
                <w:sz w:val="18"/>
                <w:szCs w:val="18"/>
                <w:color w:val="auto"/>
              </w:rPr>
              <w:t>Operating income</w:t>
            </w:r>
          </w:p>
        </w:tc>
        <w:tc>
          <w:tcPr>
            <w:tcW w:w="3360" w:type="dxa"/>
            <w:vAlign w:val="bottom"/>
          </w:tcPr>
          <w:p>
            <w:pPr>
              <w:jc w:val="right"/>
              <w:ind w:right="590"/>
              <w:spacing w:after="0" w:line="195" w:lineRule="exact"/>
              <w:rPr>
                <w:sz w:val="20"/>
                <w:szCs w:val="20"/>
                <w:color w:val="auto"/>
              </w:rPr>
            </w:pPr>
            <w:r>
              <w:rPr>
                <w:rFonts w:ascii="Arial" w:cs="Arial" w:eastAsia="Arial" w:hAnsi="Arial"/>
                <w:sz w:val="18"/>
                <w:szCs w:val="18"/>
                <w:b w:val="1"/>
                <w:bCs w:val="1"/>
                <w:color w:val="auto"/>
              </w:rPr>
              <w:t>91,776</w:t>
            </w:r>
          </w:p>
        </w:tc>
        <w:tc>
          <w:tcPr>
            <w:tcW w:w="2040" w:type="dxa"/>
            <w:vAlign w:val="bottom"/>
          </w:tcPr>
          <w:p>
            <w:pPr>
              <w:jc w:val="right"/>
              <w:ind w:right="570"/>
              <w:spacing w:after="0" w:line="195" w:lineRule="exact"/>
              <w:rPr>
                <w:sz w:val="20"/>
                <w:szCs w:val="20"/>
                <w:color w:val="auto"/>
              </w:rPr>
            </w:pPr>
            <w:r>
              <w:rPr>
                <w:rFonts w:ascii="Arial" w:cs="Arial" w:eastAsia="Arial" w:hAnsi="Arial"/>
                <w:sz w:val="18"/>
                <w:szCs w:val="18"/>
                <w:color w:val="auto"/>
              </w:rPr>
              <w:t>63,895</w:t>
            </w:r>
          </w:p>
        </w:tc>
        <w:tc>
          <w:tcPr>
            <w:tcW w:w="14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71,360</w:t>
            </w:r>
          </w:p>
        </w:tc>
        <w:tc>
          <w:tcPr>
            <w:tcW w:w="0" w:type="dxa"/>
            <w:vAlign w:val="bottom"/>
          </w:tcPr>
          <w:p>
            <w:pPr>
              <w:spacing w:after="0"/>
              <w:rPr>
                <w:sz w:val="1"/>
                <w:szCs w:val="1"/>
                <w:color w:val="auto"/>
              </w:rPr>
            </w:pPr>
          </w:p>
        </w:tc>
      </w:tr>
      <w:tr>
        <w:trPr>
          <w:trHeight w:val="203"/>
        </w:trPr>
        <w:tc>
          <w:tcPr>
            <w:tcW w:w="4540" w:type="dxa"/>
            <w:vAlign w:val="bottom"/>
          </w:tcPr>
          <w:p>
            <w:pPr>
              <w:ind w:left="40"/>
              <w:spacing w:after="0" w:line="202" w:lineRule="exact"/>
              <w:rPr>
                <w:sz w:val="20"/>
                <w:szCs w:val="20"/>
                <w:color w:val="auto"/>
              </w:rPr>
            </w:pPr>
            <w:r>
              <w:rPr>
                <w:rFonts w:ascii="Arial" w:cs="Arial" w:eastAsia="Arial" w:hAnsi="Arial"/>
                <w:sz w:val="18"/>
                <w:szCs w:val="18"/>
                <w:color w:val="auto"/>
              </w:rPr>
              <w:t>Reconciling items:</w:t>
            </w:r>
          </w:p>
        </w:tc>
        <w:tc>
          <w:tcPr>
            <w:tcW w:w="3360" w:type="dxa"/>
            <w:vAlign w:val="bottom"/>
            <w:vMerge w:val="restart"/>
          </w:tcPr>
          <w:p>
            <w:pPr>
              <w:jc w:val="right"/>
              <w:ind w:right="530"/>
              <w:spacing w:after="0"/>
              <w:rPr>
                <w:sz w:val="20"/>
                <w:szCs w:val="20"/>
                <w:color w:val="auto"/>
              </w:rPr>
            </w:pPr>
            <w:r>
              <w:rPr>
                <w:rFonts w:ascii="Arial" w:cs="Arial" w:eastAsia="Arial" w:hAnsi="Arial"/>
                <w:sz w:val="18"/>
                <w:szCs w:val="18"/>
                <w:b w:val="1"/>
                <w:bCs w:val="1"/>
                <w:color w:val="auto"/>
              </w:rPr>
              <w:t>(2,077)</w:t>
            </w:r>
          </w:p>
        </w:tc>
        <w:tc>
          <w:tcPr>
            <w:tcW w:w="20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540" w:type="dxa"/>
            <w:vAlign w:val="bottom"/>
          </w:tcPr>
          <w:p>
            <w:pPr>
              <w:ind w:left="240"/>
              <w:spacing w:after="0" w:line="181" w:lineRule="exact"/>
              <w:rPr>
                <w:sz w:val="20"/>
                <w:szCs w:val="20"/>
                <w:color w:val="auto"/>
              </w:rPr>
            </w:pPr>
            <w:r>
              <w:rPr>
                <w:rFonts w:ascii="Arial" w:cs="Arial" w:eastAsia="Arial" w:hAnsi="Arial"/>
                <w:sz w:val="18"/>
                <w:szCs w:val="18"/>
                <w:color w:val="auto"/>
              </w:rPr>
              <w:t>Interest income</w:t>
            </w:r>
          </w:p>
        </w:tc>
        <w:tc>
          <w:tcPr>
            <w:tcW w:w="3360" w:type="dxa"/>
            <w:vAlign w:val="bottom"/>
            <w:vMerge w:val="continue"/>
          </w:tcPr>
          <w:p>
            <w:pPr>
              <w:spacing w:after="0"/>
              <w:rPr>
                <w:sz w:val="15"/>
                <w:szCs w:val="15"/>
                <w:color w:val="auto"/>
              </w:rPr>
            </w:pPr>
          </w:p>
        </w:tc>
        <w:tc>
          <w:tcPr>
            <w:tcW w:w="2040" w:type="dxa"/>
            <w:vAlign w:val="bottom"/>
          </w:tcPr>
          <w:p>
            <w:pPr>
              <w:jc w:val="right"/>
              <w:ind w:right="510"/>
              <w:spacing w:after="0" w:line="181" w:lineRule="exact"/>
              <w:rPr>
                <w:sz w:val="20"/>
                <w:szCs w:val="20"/>
                <w:color w:val="auto"/>
              </w:rPr>
            </w:pPr>
            <w:r>
              <w:rPr>
                <w:rFonts w:ascii="Arial" w:cs="Arial" w:eastAsia="Arial" w:hAnsi="Arial"/>
                <w:sz w:val="18"/>
                <w:szCs w:val="18"/>
                <w:color w:val="auto"/>
              </w:rPr>
              <w:t>(1,857)</w:t>
            </w:r>
          </w:p>
        </w:tc>
        <w:tc>
          <w:tcPr>
            <w:tcW w:w="1480" w:type="dxa"/>
            <w:vAlign w:val="bottom"/>
          </w:tcPr>
          <w:p>
            <w:pPr>
              <w:jc w:val="right"/>
              <w:spacing w:after="0" w:line="181" w:lineRule="exact"/>
              <w:rPr>
                <w:sz w:val="20"/>
                <w:szCs w:val="20"/>
                <w:color w:val="auto"/>
              </w:rPr>
            </w:pPr>
            <w:r>
              <w:rPr>
                <w:rFonts w:ascii="Arial" w:cs="Arial" w:eastAsia="Arial" w:hAnsi="Arial"/>
                <w:sz w:val="18"/>
                <w:szCs w:val="18"/>
                <w:color w:val="auto"/>
              </w:rPr>
              <w:t>(1,541)</w:t>
            </w:r>
          </w:p>
        </w:tc>
        <w:tc>
          <w:tcPr>
            <w:tcW w:w="0" w:type="dxa"/>
            <w:vAlign w:val="bottom"/>
          </w:tcPr>
          <w:p>
            <w:pPr>
              <w:spacing w:after="0"/>
              <w:rPr>
                <w:sz w:val="1"/>
                <w:szCs w:val="1"/>
                <w:color w:val="auto"/>
              </w:rPr>
            </w:pPr>
          </w:p>
        </w:tc>
      </w:tr>
      <w:tr>
        <w:trPr>
          <w:trHeight w:val="203"/>
        </w:trPr>
        <w:tc>
          <w:tcPr>
            <w:tcW w:w="4540" w:type="dxa"/>
            <w:vAlign w:val="bottom"/>
          </w:tcPr>
          <w:p>
            <w:pPr>
              <w:ind w:left="240"/>
              <w:spacing w:after="0" w:line="202" w:lineRule="exact"/>
              <w:rPr>
                <w:sz w:val="20"/>
                <w:szCs w:val="20"/>
                <w:color w:val="auto"/>
              </w:rPr>
            </w:pPr>
            <w:r>
              <w:rPr>
                <w:rFonts w:ascii="Arial" w:cs="Arial" w:eastAsia="Arial" w:hAnsi="Arial"/>
                <w:sz w:val="18"/>
                <w:szCs w:val="18"/>
                <w:color w:val="auto"/>
              </w:rPr>
              <w:t>Interest expense</w:t>
            </w:r>
          </w:p>
        </w:tc>
        <w:tc>
          <w:tcPr>
            <w:tcW w:w="3360" w:type="dxa"/>
            <w:vAlign w:val="bottom"/>
          </w:tcPr>
          <w:p>
            <w:pPr>
              <w:jc w:val="right"/>
              <w:ind w:right="590"/>
              <w:spacing w:after="0" w:line="202" w:lineRule="exact"/>
              <w:rPr>
                <w:sz w:val="20"/>
                <w:szCs w:val="20"/>
                <w:color w:val="auto"/>
              </w:rPr>
            </w:pPr>
            <w:r>
              <w:rPr>
                <w:rFonts w:ascii="Arial" w:cs="Arial" w:eastAsia="Arial" w:hAnsi="Arial"/>
                <w:sz w:val="18"/>
                <w:szCs w:val="18"/>
                <w:b w:val="1"/>
                <w:bCs w:val="1"/>
                <w:color w:val="auto"/>
              </w:rPr>
              <w:t>15,541</w:t>
            </w:r>
          </w:p>
        </w:tc>
        <w:tc>
          <w:tcPr>
            <w:tcW w:w="2040" w:type="dxa"/>
            <w:vAlign w:val="bottom"/>
          </w:tcPr>
          <w:p>
            <w:pPr>
              <w:jc w:val="right"/>
              <w:ind w:right="570"/>
              <w:spacing w:after="0" w:line="202" w:lineRule="exact"/>
              <w:rPr>
                <w:sz w:val="20"/>
                <w:szCs w:val="20"/>
                <w:color w:val="auto"/>
              </w:rPr>
            </w:pPr>
            <w:r>
              <w:rPr>
                <w:rFonts w:ascii="Arial" w:cs="Arial" w:eastAsia="Arial" w:hAnsi="Arial"/>
                <w:sz w:val="18"/>
                <w:szCs w:val="18"/>
                <w:color w:val="auto"/>
              </w:rPr>
              <w:t>11,841</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12,254</w:t>
            </w:r>
          </w:p>
        </w:tc>
        <w:tc>
          <w:tcPr>
            <w:tcW w:w="0" w:type="dxa"/>
            <w:vAlign w:val="bottom"/>
          </w:tcPr>
          <w:p>
            <w:pPr>
              <w:spacing w:after="0"/>
              <w:rPr>
                <w:sz w:val="1"/>
                <w:szCs w:val="1"/>
                <w:color w:val="auto"/>
              </w:rPr>
            </w:pPr>
          </w:p>
        </w:tc>
      </w:tr>
      <w:tr>
        <w:trPr>
          <w:trHeight w:val="225"/>
        </w:trPr>
        <w:tc>
          <w:tcPr>
            <w:tcW w:w="454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Other expense/(income),net</w:t>
            </w:r>
          </w:p>
        </w:tc>
        <w:tc>
          <w:tcPr>
            <w:tcW w:w="3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46</w:t>
            </w:r>
          </w:p>
        </w:tc>
        <w:tc>
          <w:tcPr>
            <w:tcW w:w="20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2,433</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(6,853)</w:t>
            </w:r>
          </w:p>
        </w:tc>
        <w:tc>
          <w:tcPr>
            <w:tcW w:w="0" w:type="dxa"/>
            <w:vAlign w:val="bottom"/>
          </w:tcPr>
          <w:p>
            <w:pPr>
              <w:spacing w:after="0"/>
              <w:rPr>
                <w:sz w:val="1"/>
                <w:szCs w:val="1"/>
                <w:color w:val="auto"/>
              </w:rPr>
            </w:pPr>
          </w:p>
        </w:tc>
      </w:tr>
      <w:tr>
        <w:trPr>
          <w:trHeight w:val="196"/>
        </w:trPr>
        <w:tc>
          <w:tcPr>
            <w:tcW w:w="454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Income before income taxes</w:t>
            </w:r>
          </w:p>
        </w:tc>
        <w:tc>
          <w:tcPr>
            <w:tcW w:w="3360" w:type="dxa"/>
            <w:vAlign w:val="bottom"/>
            <w:tcBorders>
              <w:bottom w:val="single" w:sz="8" w:color="auto"/>
            </w:tcBorders>
          </w:tcPr>
          <w:p>
            <w:pPr>
              <w:jc w:val="right"/>
              <w:ind w:right="590"/>
              <w:spacing w:after="0" w:line="196" w:lineRule="exact"/>
              <w:rPr>
                <w:sz w:val="20"/>
                <w:szCs w:val="20"/>
                <w:color w:val="auto"/>
              </w:rPr>
            </w:pPr>
            <w:r>
              <w:rPr>
                <w:rFonts w:ascii="Arial" w:cs="Arial" w:eastAsia="Arial" w:hAnsi="Arial"/>
                <w:sz w:val="18"/>
                <w:szCs w:val="18"/>
                <w:b w:val="1"/>
                <w:bCs w:val="1"/>
                <w:color w:val="auto"/>
              </w:rPr>
              <w:t>$78,266</w:t>
            </w:r>
          </w:p>
        </w:tc>
        <w:tc>
          <w:tcPr>
            <w:tcW w:w="2040" w:type="dxa"/>
            <w:vAlign w:val="bottom"/>
            <w:tcBorders>
              <w:bottom w:val="single" w:sz="8" w:color="auto"/>
            </w:tcBorders>
          </w:tcPr>
          <w:p>
            <w:pPr>
              <w:jc w:val="right"/>
              <w:ind w:right="570"/>
              <w:spacing w:after="0" w:line="196" w:lineRule="exact"/>
              <w:rPr>
                <w:sz w:val="20"/>
                <w:szCs w:val="20"/>
                <w:color w:val="auto"/>
              </w:rPr>
            </w:pPr>
            <w:r>
              <w:rPr>
                <w:rFonts w:ascii="Arial" w:cs="Arial" w:eastAsia="Arial" w:hAnsi="Arial"/>
                <w:sz w:val="18"/>
                <w:szCs w:val="18"/>
                <w:color w:val="auto"/>
              </w:rPr>
              <w:t>$51,478</w:t>
            </w:r>
          </w:p>
        </w:tc>
        <w:tc>
          <w:tcPr>
            <w:tcW w:w="14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$67,500</w:t>
            </w:r>
          </w:p>
        </w:tc>
        <w:tc>
          <w:tcPr>
            <w:tcW w:w="0" w:type="dxa"/>
            <w:vAlign w:val="bottom"/>
          </w:tcPr>
          <w:p>
            <w:pPr>
              <w:spacing w:after="0"/>
              <w:rPr>
                <w:sz w:val="1"/>
                <w:szCs w:val="1"/>
                <w:color w:val="auto"/>
              </w:rPr>
            </w:pPr>
          </w:p>
        </w:tc>
      </w:tr>
      <w:tr>
        <w:trPr>
          <w:trHeight w:val="628"/>
        </w:trPr>
        <w:tc>
          <w:tcPr>
            <w:tcW w:w="45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29"/>
        </w:trPr>
        <w:tc>
          <w:tcPr>
            <w:tcW w:w="4540" w:type="dxa"/>
            <w:vAlign w:val="bottom"/>
            <w:tcBorders>
              <w:bottom w:val="single" w:sz="8" w:color="auto"/>
            </w:tcBorders>
          </w:tcPr>
          <w:p>
            <w:pPr>
              <w:spacing w:after="0"/>
              <w:rPr>
                <w:sz w:val="11"/>
                <w:szCs w:val="11"/>
                <w:color w:val="auto"/>
              </w:rPr>
            </w:pPr>
          </w:p>
        </w:tc>
        <w:tc>
          <w:tcPr>
            <w:tcW w:w="3360" w:type="dxa"/>
            <w:vAlign w:val="bottom"/>
            <w:tcBorders>
              <w:bottom w:val="single" w:sz="8" w:color="auto"/>
            </w:tcBorders>
          </w:tcPr>
          <w:p>
            <w:pPr>
              <w:spacing w:after="0"/>
              <w:rPr>
                <w:sz w:val="11"/>
                <w:szCs w:val="11"/>
                <w:color w:val="auto"/>
              </w:rPr>
            </w:pPr>
          </w:p>
        </w:tc>
        <w:tc>
          <w:tcPr>
            <w:tcW w:w="204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1440" w:gutter="0" w:footer="0" w:header="0"/>
        </w:sectPr>
      </w:pPr>
    </w:p>
    <w:bookmarkStart w:id="65" w:name="page66"/>
    <w:bookmarkEnd w:id="65"/>
    <w:p>
      <w:pPr>
        <w:ind w:left="660"/>
        <w:spacing w:after="0"/>
        <w:rPr>
          <w:sz w:val="20"/>
          <w:szCs w:val="20"/>
          <w:color w:val="auto"/>
        </w:rPr>
      </w:pPr>
      <w:r>
        <w:rPr>
          <w:rFonts w:ascii="Arial" w:cs="Arial" w:eastAsia="Arial" w:hAnsi="Arial"/>
          <w:sz w:val="18"/>
          <w:szCs w:val="18"/>
          <w:color w:val="auto"/>
        </w:rPr>
        <w:t>The table below presents pension settlement and restructuring costs by reportable segment (also see Note 5):</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334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2016</w:t>
            </w:r>
          </w:p>
        </w:tc>
        <w:tc>
          <w:tcPr>
            <w:tcW w:w="206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2015</w:t>
            </w:r>
          </w:p>
        </w:tc>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195"/>
        </w:trPr>
        <w:tc>
          <w:tcPr>
            <w:tcW w:w="4620" w:type="dxa"/>
            <w:vAlign w:val="bottom"/>
          </w:tcPr>
          <w:p>
            <w:pPr>
              <w:ind w:left="40"/>
              <w:spacing w:after="0" w:line="195" w:lineRule="exact"/>
              <w:rPr>
                <w:sz w:val="20"/>
                <w:szCs w:val="20"/>
                <w:color w:val="auto"/>
              </w:rPr>
            </w:pPr>
            <w:r>
              <w:rPr>
                <w:rFonts w:ascii="Arial" w:cs="Arial" w:eastAsia="Arial" w:hAnsi="Arial"/>
                <w:sz w:val="18"/>
                <w:szCs w:val="18"/>
                <w:b w:val="1"/>
                <w:bCs w:val="1"/>
                <w:color w:val="auto"/>
              </w:rPr>
              <w:t>Pension settlement expense</w:t>
            </w:r>
          </w:p>
        </w:tc>
        <w:tc>
          <w:tcPr>
            <w:tcW w:w="3340" w:type="dxa"/>
            <w:vAlign w:val="bottom"/>
            <w:vMerge w:val="restart"/>
          </w:tcPr>
          <w:p>
            <w:pPr>
              <w:jc w:val="right"/>
              <w:ind w:right="650"/>
              <w:spacing w:after="0"/>
              <w:rPr>
                <w:sz w:val="20"/>
                <w:szCs w:val="20"/>
                <w:color w:val="auto"/>
              </w:rPr>
            </w:pPr>
            <w:r>
              <w:rPr>
                <w:rFonts w:ascii="Arial" w:cs="Arial" w:eastAsia="Arial" w:hAnsi="Arial"/>
                <w:sz w:val="18"/>
                <w:szCs w:val="18"/>
                <w:b w:val="1"/>
                <w:bCs w:val="1"/>
                <w:color w:val="auto"/>
              </w:rPr>
              <w:t>$ -</w:t>
            </w:r>
          </w:p>
        </w:tc>
        <w:tc>
          <w:tcPr>
            <w:tcW w:w="20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620" w:type="dxa"/>
            <w:vAlign w:val="bottom"/>
            <w:tcBorders>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Corporate expenses</w:t>
            </w:r>
          </w:p>
        </w:tc>
        <w:tc>
          <w:tcPr>
            <w:tcW w:w="3340" w:type="dxa"/>
            <w:vAlign w:val="bottom"/>
            <w:tcBorders>
              <w:bottom w:val="single" w:sz="8" w:color="auto"/>
            </w:tcBorders>
            <w:vMerge w:val="continue"/>
          </w:tcPr>
          <w:p>
            <w:pPr>
              <w:spacing w:after="0"/>
              <w:rPr>
                <w:sz w:val="17"/>
                <w:szCs w:val="17"/>
                <w:color w:val="auto"/>
              </w:rPr>
            </w:pPr>
          </w:p>
        </w:tc>
        <w:tc>
          <w:tcPr>
            <w:tcW w:w="2060" w:type="dxa"/>
            <w:vAlign w:val="bottom"/>
            <w:tcBorders>
              <w:bottom w:val="single" w:sz="8" w:color="auto"/>
            </w:tcBorders>
          </w:tcPr>
          <w:p>
            <w:pPr>
              <w:jc w:val="right"/>
              <w:ind w:right="650"/>
              <w:spacing w:after="0" w:line="203" w:lineRule="exact"/>
              <w:rPr>
                <w:sz w:val="20"/>
                <w:szCs w:val="20"/>
                <w:color w:val="auto"/>
              </w:rPr>
            </w:pPr>
            <w:r>
              <w:rPr>
                <w:rFonts w:ascii="Arial" w:cs="Arial" w:eastAsia="Arial" w:hAnsi="Arial"/>
                <w:sz w:val="18"/>
                <w:szCs w:val="18"/>
                <w:color w:val="auto"/>
              </w:rPr>
              <w:t>$ -</w:t>
            </w:r>
          </w:p>
        </w:tc>
        <w:tc>
          <w:tcPr>
            <w:tcW w:w="14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$8,190</w:t>
            </w:r>
          </w:p>
        </w:tc>
        <w:tc>
          <w:tcPr>
            <w:tcW w:w="0" w:type="dxa"/>
            <w:vAlign w:val="bottom"/>
          </w:tcPr>
          <w:p>
            <w:pPr>
              <w:spacing w:after="0"/>
              <w:rPr>
                <w:sz w:val="1"/>
                <w:szCs w:val="1"/>
                <w:color w:val="auto"/>
              </w:rPr>
            </w:pPr>
          </w:p>
        </w:tc>
      </w:tr>
      <w:tr>
        <w:trPr>
          <w:trHeight w:val="398"/>
        </w:trPr>
        <w:tc>
          <w:tcPr>
            <w:tcW w:w="4620" w:type="dxa"/>
            <w:vAlign w:val="bottom"/>
          </w:tcPr>
          <w:p>
            <w:pPr>
              <w:ind w:left="40"/>
              <w:spacing w:after="0"/>
              <w:rPr>
                <w:sz w:val="20"/>
                <w:szCs w:val="20"/>
                <w:color w:val="auto"/>
              </w:rPr>
            </w:pPr>
            <w:r>
              <w:rPr>
                <w:rFonts w:ascii="Arial" w:cs="Arial" w:eastAsia="Arial" w:hAnsi="Arial"/>
                <w:sz w:val="18"/>
                <w:szCs w:val="18"/>
                <w:b w:val="1"/>
                <w:bCs w:val="1"/>
                <w:color w:val="auto"/>
              </w:rPr>
              <w:t>Restructuring expenses, net</w:t>
            </w:r>
          </w:p>
        </w:tc>
        <w:tc>
          <w:tcPr>
            <w:tcW w:w="3340" w:type="dxa"/>
            <w:vAlign w:val="bottom"/>
            <w:vMerge w:val="restart"/>
          </w:tcPr>
          <w:p>
            <w:pPr>
              <w:jc w:val="right"/>
              <w:ind w:right="650"/>
              <w:spacing w:after="0"/>
              <w:rPr>
                <w:sz w:val="20"/>
                <w:szCs w:val="20"/>
                <w:color w:val="auto"/>
              </w:rPr>
            </w:pPr>
            <w:r>
              <w:rPr>
                <w:rFonts w:ascii="Arial" w:cs="Arial" w:eastAsia="Arial" w:hAnsi="Arial"/>
                <w:sz w:val="18"/>
                <w:szCs w:val="18"/>
                <w:b w:val="1"/>
                <w:bCs w:val="1"/>
                <w:color w:val="auto"/>
              </w:rPr>
              <w:t>$6,069</w:t>
            </w:r>
          </w:p>
        </w:tc>
        <w:tc>
          <w:tcPr>
            <w:tcW w:w="2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4620" w:type="dxa"/>
            <w:vAlign w:val="bottom"/>
          </w:tcPr>
          <w:p>
            <w:pPr>
              <w:ind w:left="40"/>
              <w:spacing w:after="0" w:line="181" w:lineRule="exact"/>
              <w:rPr>
                <w:sz w:val="20"/>
                <w:szCs w:val="20"/>
                <w:color w:val="auto"/>
              </w:rPr>
            </w:pPr>
            <w:r>
              <w:rPr>
                <w:rFonts w:ascii="Arial" w:cs="Arial" w:eastAsia="Arial" w:hAnsi="Arial"/>
                <w:sz w:val="18"/>
                <w:szCs w:val="18"/>
                <w:color w:val="auto"/>
              </w:rPr>
              <w:t>Machine Clothing</w:t>
            </w:r>
          </w:p>
        </w:tc>
        <w:tc>
          <w:tcPr>
            <w:tcW w:w="3340" w:type="dxa"/>
            <w:vAlign w:val="bottom"/>
            <w:vMerge w:val="continue"/>
          </w:tcPr>
          <w:p>
            <w:pPr>
              <w:spacing w:after="0"/>
              <w:rPr>
                <w:sz w:val="15"/>
                <w:szCs w:val="15"/>
                <w:color w:val="auto"/>
              </w:rPr>
            </w:pPr>
          </w:p>
        </w:tc>
        <w:tc>
          <w:tcPr>
            <w:tcW w:w="2060" w:type="dxa"/>
            <w:vAlign w:val="bottom"/>
          </w:tcPr>
          <w:p>
            <w:pPr>
              <w:jc w:val="right"/>
              <w:ind w:right="650"/>
              <w:spacing w:after="0" w:line="181" w:lineRule="exact"/>
              <w:rPr>
                <w:sz w:val="20"/>
                <w:szCs w:val="20"/>
                <w:color w:val="auto"/>
              </w:rPr>
            </w:pPr>
            <w:r>
              <w:rPr>
                <w:rFonts w:ascii="Arial" w:cs="Arial" w:eastAsia="Arial" w:hAnsi="Arial"/>
                <w:sz w:val="18"/>
                <w:szCs w:val="18"/>
                <w:color w:val="auto"/>
              </w:rPr>
              <w:t>$22,211</w:t>
            </w:r>
          </w:p>
        </w:tc>
        <w:tc>
          <w:tcPr>
            <w:tcW w:w="1400" w:type="dxa"/>
            <w:vAlign w:val="bottom"/>
          </w:tcPr>
          <w:p>
            <w:pPr>
              <w:jc w:val="right"/>
              <w:ind w:right="10"/>
              <w:spacing w:after="0" w:line="181" w:lineRule="exact"/>
              <w:rPr>
                <w:sz w:val="20"/>
                <w:szCs w:val="20"/>
                <w:color w:val="auto"/>
              </w:rPr>
            </w:pPr>
            <w:r>
              <w:rPr>
                <w:rFonts w:ascii="Arial" w:cs="Arial" w:eastAsia="Arial" w:hAnsi="Arial"/>
                <w:sz w:val="18"/>
                <w:szCs w:val="18"/>
                <w:color w:val="auto"/>
              </w:rPr>
              <w:t>$4,828</w:t>
            </w:r>
          </w:p>
        </w:tc>
        <w:tc>
          <w:tcPr>
            <w:tcW w:w="0" w:type="dxa"/>
            <w:vAlign w:val="bottom"/>
          </w:tcPr>
          <w:p>
            <w:pPr>
              <w:spacing w:after="0"/>
              <w:rPr>
                <w:sz w:val="1"/>
                <w:szCs w:val="1"/>
                <w:color w:val="auto"/>
              </w:rPr>
            </w:pPr>
          </w:p>
        </w:tc>
      </w:tr>
      <w:tr>
        <w:trPr>
          <w:trHeight w:val="203"/>
        </w:trPr>
        <w:tc>
          <w:tcPr>
            <w:tcW w:w="4620" w:type="dxa"/>
            <w:vAlign w:val="bottom"/>
          </w:tcPr>
          <w:p>
            <w:pPr>
              <w:ind w:left="40"/>
              <w:spacing w:after="0" w:line="202" w:lineRule="exact"/>
              <w:rPr>
                <w:sz w:val="20"/>
                <w:szCs w:val="20"/>
                <w:color w:val="auto"/>
              </w:rPr>
            </w:pPr>
            <w:r>
              <w:rPr>
                <w:rFonts w:ascii="Arial" w:cs="Arial" w:eastAsia="Arial" w:hAnsi="Arial"/>
                <w:sz w:val="18"/>
                <w:szCs w:val="18"/>
                <w:color w:val="auto"/>
              </w:rPr>
              <w:t>Albany Engineered Composites</w:t>
            </w:r>
          </w:p>
        </w:tc>
        <w:tc>
          <w:tcPr>
            <w:tcW w:w="3340" w:type="dxa"/>
            <w:vAlign w:val="bottom"/>
          </w:tcPr>
          <w:p>
            <w:pPr>
              <w:jc w:val="right"/>
              <w:ind w:right="650"/>
              <w:spacing w:after="0" w:line="202" w:lineRule="exact"/>
              <w:rPr>
                <w:sz w:val="20"/>
                <w:szCs w:val="20"/>
                <w:color w:val="auto"/>
              </w:rPr>
            </w:pPr>
            <w:r>
              <w:rPr>
                <w:rFonts w:ascii="Arial" w:cs="Arial" w:eastAsia="Arial" w:hAnsi="Arial"/>
                <w:sz w:val="18"/>
                <w:szCs w:val="18"/>
                <w:b w:val="1"/>
                <w:bCs w:val="1"/>
                <w:color w:val="auto"/>
              </w:rPr>
              <w:t>2,314</w:t>
            </w:r>
          </w:p>
        </w:tc>
        <w:tc>
          <w:tcPr>
            <w:tcW w:w="2060" w:type="dxa"/>
            <w:vAlign w:val="bottom"/>
          </w:tcPr>
          <w:p>
            <w:pPr>
              <w:jc w:val="right"/>
              <w:ind w:right="650"/>
              <w:spacing w:after="0" w:line="202" w:lineRule="exact"/>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25"/>
        </w:trPr>
        <w:tc>
          <w:tcPr>
            <w:tcW w:w="46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Corporate expenses</w:t>
            </w:r>
          </w:p>
        </w:tc>
        <w:tc>
          <w:tcPr>
            <w:tcW w:w="3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(7)</w:t>
            </w:r>
          </w:p>
        </w:tc>
        <w:tc>
          <w:tcPr>
            <w:tcW w:w="20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1,635</w:t>
            </w: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462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Consolidated total</w:t>
            </w:r>
          </w:p>
        </w:tc>
        <w:tc>
          <w:tcPr>
            <w:tcW w:w="3340" w:type="dxa"/>
            <w:vAlign w:val="bottom"/>
            <w:tcBorders>
              <w:bottom w:val="single" w:sz="8" w:color="auto"/>
            </w:tcBorders>
          </w:tcPr>
          <w:p>
            <w:pPr>
              <w:jc w:val="right"/>
              <w:ind w:right="650"/>
              <w:spacing w:after="0" w:line="196" w:lineRule="exact"/>
              <w:rPr>
                <w:sz w:val="20"/>
                <w:szCs w:val="20"/>
                <w:color w:val="auto"/>
              </w:rPr>
            </w:pPr>
            <w:r>
              <w:rPr>
                <w:rFonts w:ascii="Arial" w:cs="Arial" w:eastAsia="Arial" w:hAnsi="Arial"/>
                <w:sz w:val="18"/>
                <w:szCs w:val="18"/>
                <w:b w:val="1"/>
                <w:bCs w:val="1"/>
                <w:color w:val="auto"/>
              </w:rPr>
              <w:t>$8,376</w:t>
            </w:r>
          </w:p>
        </w:tc>
        <w:tc>
          <w:tcPr>
            <w:tcW w:w="2060" w:type="dxa"/>
            <w:vAlign w:val="bottom"/>
            <w:tcBorders>
              <w:bottom w:val="single" w:sz="8" w:color="auto"/>
            </w:tcBorders>
          </w:tcPr>
          <w:p>
            <w:pPr>
              <w:jc w:val="right"/>
              <w:ind w:right="650"/>
              <w:spacing w:after="0" w:line="196" w:lineRule="exact"/>
              <w:rPr>
                <w:sz w:val="20"/>
                <w:szCs w:val="20"/>
                <w:color w:val="auto"/>
              </w:rPr>
            </w:pPr>
            <w:r>
              <w:rPr>
                <w:rFonts w:ascii="Arial" w:cs="Arial" w:eastAsia="Arial" w:hAnsi="Arial"/>
                <w:sz w:val="18"/>
                <w:szCs w:val="18"/>
                <w:color w:val="auto"/>
              </w:rPr>
              <w:t>$23,846</w:t>
            </w:r>
          </w:p>
        </w:tc>
        <w:tc>
          <w:tcPr>
            <w:tcW w:w="14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$5,759</w:t>
            </w:r>
          </w:p>
        </w:tc>
        <w:tc>
          <w:tcPr>
            <w:tcW w:w="0" w:type="dxa"/>
            <w:vAlign w:val="bottom"/>
          </w:tcPr>
          <w:p>
            <w:pPr>
              <w:spacing w:after="0"/>
              <w:rPr>
                <w:sz w:val="1"/>
                <w:szCs w:val="1"/>
                <w:color w:val="auto"/>
              </w:rPr>
            </w:pPr>
          </w:p>
        </w:tc>
      </w:tr>
    </w:tbl>
    <w:p>
      <w:pPr>
        <w:spacing w:after="0" w:line="391"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In the measurement of assets utilized by each reportable segment, we include accounts and contract receivables, inventories, net property, plant and equipment, intangibles and goodwill. Excluded from segment assets are cash, tax related assets, prepaid and other current assets, and certain other assets not directly associated with segment operations.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assets and capital expenditures by reportable segment: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66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2016</w:t>
            </w:r>
          </w:p>
        </w:tc>
        <w:tc>
          <w:tcPr>
            <w:tcW w:w="206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2015</w:t>
            </w:r>
          </w:p>
        </w:tc>
        <w:tc>
          <w:tcPr>
            <w:tcW w:w="15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195"/>
        </w:trPr>
        <w:tc>
          <w:tcPr>
            <w:tcW w:w="5120" w:type="dxa"/>
            <w:vAlign w:val="bottom"/>
          </w:tcPr>
          <w:p>
            <w:pPr>
              <w:spacing w:after="0" w:line="195" w:lineRule="exact"/>
              <w:rPr>
                <w:sz w:val="20"/>
                <w:szCs w:val="20"/>
                <w:color w:val="auto"/>
              </w:rPr>
            </w:pPr>
            <w:r>
              <w:rPr>
                <w:rFonts w:ascii="Arial" w:cs="Arial" w:eastAsia="Arial" w:hAnsi="Arial"/>
                <w:sz w:val="18"/>
                <w:szCs w:val="18"/>
                <w:b w:val="1"/>
                <w:bCs w:val="1"/>
                <w:color w:val="auto"/>
              </w:rPr>
              <w:t>Segment assets</w:t>
            </w:r>
          </w:p>
        </w:tc>
        <w:tc>
          <w:tcPr>
            <w:tcW w:w="266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$454,010</w:t>
            </w:r>
          </w:p>
        </w:tc>
        <w:tc>
          <w:tcPr>
            <w:tcW w:w="20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120" w:type="dxa"/>
            <w:vAlign w:val="bottom"/>
          </w:tcPr>
          <w:p>
            <w:pPr>
              <w:ind w:left="40"/>
              <w:spacing w:after="0" w:line="181" w:lineRule="exact"/>
              <w:rPr>
                <w:sz w:val="20"/>
                <w:szCs w:val="20"/>
                <w:color w:val="auto"/>
              </w:rPr>
            </w:pPr>
            <w:r>
              <w:rPr>
                <w:rFonts w:ascii="Arial" w:cs="Arial" w:eastAsia="Arial" w:hAnsi="Arial"/>
                <w:sz w:val="18"/>
                <w:szCs w:val="18"/>
                <w:color w:val="auto"/>
              </w:rPr>
              <w:t>Machine Clothing</w:t>
            </w:r>
          </w:p>
        </w:tc>
        <w:tc>
          <w:tcPr>
            <w:tcW w:w="2660" w:type="dxa"/>
            <w:vAlign w:val="bottom"/>
            <w:vMerge w:val="continue"/>
          </w:tcPr>
          <w:p>
            <w:pPr>
              <w:spacing w:after="0"/>
              <w:rPr>
                <w:sz w:val="15"/>
                <w:szCs w:val="15"/>
                <w:color w:val="auto"/>
              </w:rPr>
            </w:pPr>
          </w:p>
        </w:tc>
        <w:tc>
          <w:tcPr>
            <w:tcW w:w="2060" w:type="dxa"/>
            <w:vAlign w:val="bottom"/>
          </w:tcPr>
          <w:p>
            <w:pPr>
              <w:jc w:val="right"/>
              <w:ind w:right="470"/>
              <w:spacing w:after="0" w:line="181" w:lineRule="exact"/>
              <w:rPr>
                <w:sz w:val="20"/>
                <w:szCs w:val="20"/>
                <w:color w:val="auto"/>
              </w:rPr>
            </w:pPr>
            <w:r>
              <w:rPr>
                <w:rFonts w:ascii="Arial" w:cs="Arial" w:eastAsia="Arial" w:hAnsi="Arial"/>
                <w:sz w:val="18"/>
                <w:szCs w:val="18"/>
                <w:color w:val="auto"/>
              </w:rPr>
              <w:t>$494,347</w:t>
            </w:r>
          </w:p>
        </w:tc>
        <w:tc>
          <w:tcPr>
            <w:tcW w:w="1580" w:type="dxa"/>
            <w:vAlign w:val="bottom"/>
          </w:tcPr>
          <w:p>
            <w:pPr>
              <w:jc w:val="right"/>
              <w:ind w:right="10"/>
              <w:spacing w:after="0" w:line="181" w:lineRule="exact"/>
              <w:rPr>
                <w:sz w:val="20"/>
                <w:szCs w:val="20"/>
                <w:color w:val="auto"/>
              </w:rPr>
            </w:pPr>
            <w:r>
              <w:rPr>
                <w:rFonts w:ascii="Arial" w:cs="Arial" w:eastAsia="Arial" w:hAnsi="Arial"/>
                <w:sz w:val="18"/>
                <w:szCs w:val="18"/>
                <w:color w:val="auto"/>
              </w:rPr>
              <w:t>$565,853</w:t>
            </w:r>
          </w:p>
        </w:tc>
        <w:tc>
          <w:tcPr>
            <w:tcW w:w="0" w:type="dxa"/>
            <w:vAlign w:val="bottom"/>
          </w:tcPr>
          <w:p>
            <w:pPr>
              <w:spacing w:after="0"/>
              <w:rPr>
                <w:sz w:val="1"/>
                <w:szCs w:val="1"/>
                <w:color w:val="auto"/>
              </w:rPr>
            </w:pPr>
          </w:p>
        </w:tc>
      </w:tr>
      <w:tr>
        <w:trPr>
          <w:trHeight w:val="225"/>
        </w:trPr>
        <w:tc>
          <w:tcPr>
            <w:tcW w:w="5120" w:type="dxa"/>
            <w:vAlign w:val="bottom"/>
          </w:tcPr>
          <w:p>
            <w:pPr>
              <w:ind w:left="40"/>
              <w:spacing w:after="0"/>
              <w:rPr>
                <w:sz w:val="20"/>
                <w:szCs w:val="20"/>
                <w:color w:val="auto"/>
              </w:rPr>
            </w:pPr>
            <w:r>
              <w:rPr>
                <w:rFonts w:ascii="Arial" w:cs="Arial" w:eastAsia="Arial" w:hAnsi="Arial"/>
                <w:sz w:val="18"/>
                <w:szCs w:val="18"/>
                <w:color w:val="auto"/>
              </w:rPr>
              <w:t>Albany Engineered Composites</w:t>
            </w:r>
          </w:p>
        </w:tc>
        <w:tc>
          <w:tcPr>
            <w:tcW w:w="2660" w:type="dxa"/>
            <w:vAlign w:val="bottom"/>
          </w:tcPr>
          <w:p>
            <w:pPr>
              <w:jc w:val="right"/>
              <w:ind w:right="490"/>
              <w:spacing w:after="0"/>
              <w:rPr>
                <w:sz w:val="20"/>
                <w:szCs w:val="20"/>
                <w:color w:val="auto"/>
              </w:rPr>
            </w:pPr>
            <w:r>
              <w:rPr>
                <w:rFonts w:ascii="Arial" w:cs="Arial" w:eastAsia="Arial" w:hAnsi="Arial"/>
                <w:sz w:val="18"/>
                <w:szCs w:val="18"/>
                <w:b w:val="1"/>
                <w:bCs w:val="1"/>
                <w:color w:val="auto"/>
              </w:rPr>
              <w:t>514,527</w:t>
            </w:r>
          </w:p>
        </w:tc>
        <w:tc>
          <w:tcPr>
            <w:tcW w:w="2060" w:type="dxa"/>
            <w:vAlign w:val="bottom"/>
          </w:tcPr>
          <w:p>
            <w:pPr>
              <w:jc w:val="right"/>
              <w:ind w:right="470"/>
              <w:spacing w:after="0"/>
              <w:rPr>
                <w:sz w:val="20"/>
                <w:szCs w:val="20"/>
                <w:color w:val="auto"/>
              </w:rPr>
            </w:pPr>
            <w:r>
              <w:rPr>
                <w:rFonts w:ascii="Arial" w:cs="Arial" w:eastAsia="Arial" w:hAnsi="Arial"/>
                <w:sz w:val="18"/>
                <w:szCs w:val="18"/>
                <w:color w:val="auto"/>
              </w:rPr>
              <w:t>181,825</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175,338</w:t>
            </w:r>
          </w:p>
        </w:tc>
        <w:tc>
          <w:tcPr>
            <w:tcW w:w="0" w:type="dxa"/>
            <w:vAlign w:val="bottom"/>
          </w:tcPr>
          <w:p>
            <w:pPr>
              <w:spacing w:after="0"/>
              <w:rPr>
                <w:sz w:val="1"/>
                <w:szCs w:val="1"/>
                <w:color w:val="auto"/>
              </w:rPr>
            </w:pPr>
          </w:p>
        </w:tc>
      </w:tr>
      <w:tr>
        <w:trPr>
          <w:trHeight w:val="203"/>
        </w:trPr>
        <w:tc>
          <w:tcPr>
            <w:tcW w:w="5120" w:type="dxa"/>
            <w:vAlign w:val="bottom"/>
          </w:tcPr>
          <w:p>
            <w:pPr>
              <w:ind w:left="80"/>
              <w:spacing w:after="0" w:line="202" w:lineRule="exact"/>
              <w:rPr>
                <w:sz w:val="20"/>
                <w:szCs w:val="20"/>
                <w:color w:val="auto"/>
              </w:rPr>
            </w:pPr>
            <w:r>
              <w:rPr>
                <w:rFonts w:ascii="Arial" w:cs="Arial" w:eastAsia="Arial" w:hAnsi="Arial"/>
                <w:sz w:val="18"/>
                <w:szCs w:val="18"/>
                <w:color w:val="auto"/>
              </w:rPr>
              <w:t>Reconciling items:</w:t>
            </w:r>
          </w:p>
        </w:tc>
        <w:tc>
          <w:tcPr>
            <w:tcW w:w="266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181,742</w:t>
            </w:r>
          </w:p>
        </w:tc>
        <w:tc>
          <w:tcPr>
            <w:tcW w:w="20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120" w:type="dxa"/>
            <w:vAlign w:val="bottom"/>
          </w:tcPr>
          <w:p>
            <w:pPr>
              <w:ind w:left="180"/>
              <w:spacing w:after="0" w:line="181" w:lineRule="exact"/>
              <w:rPr>
                <w:sz w:val="20"/>
                <w:szCs w:val="20"/>
                <w:color w:val="auto"/>
              </w:rPr>
            </w:pPr>
            <w:r>
              <w:rPr>
                <w:rFonts w:ascii="Arial" w:cs="Arial" w:eastAsia="Arial" w:hAnsi="Arial"/>
                <w:sz w:val="18"/>
                <w:szCs w:val="18"/>
                <w:color w:val="auto"/>
              </w:rPr>
              <w:t>Cash</w:t>
            </w:r>
          </w:p>
        </w:tc>
        <w:tc>
          <w:tcPr>
            <w:tcW w:w="2660" w:type="dxa"/>
            <w:vAlign w:val="bottom"/>
            <w:vMerge w:val="continue"/>
          </w:tcPr>
          <w:p>
            <w:pPr>
              <w:spacing w:after="0"/>
              <w:rPr>
                <w:sz w:val="15"/>
                <w:szCs w:val="15"/>
                <w:color w:val="auto"/>
              </w:rPr>
            </w:pPr>
          </w:p>
        </w:tc>
        <w:tc>
          <w:tcPr>
            <w:tcW w:w="2060" w:type="dxa"/>
            <w:vAlign w:val="bottom"/>
          </w:tcPr>
          <w:p>
            <w:pPr>
              <w:jc w:val="right"/>
              <w:ind w:right="470"/>
              <w:spacing w:after="0" w:line="181" w:lineRule="exact"/>
              <w:rPr>
                <w:sz w:val="20"/>
                <w:szCs w:val="20"/>
                <w:color w:val="auto"/>
              </w:rPr>
            </w:pPr>
            <w:r>
              <w:rPr>
                <w:rFonts w:ascii="Arial" w:cs="Arial" w:eastAsia="Arial" w:hAnsi="Arial"/>
                <w:sz w:val="18"/>
                <w:szCs w:val="18"/>
                <w:color w:val="auto"/>
              </w:rPr>
              <w:t>185,113</w:t>
            </w:r>
          </w:p>
        </w:tc>
        <w:tc>
          <w:tcPr>
            <w:tcW w:w="1580" w:type="dxa"/>
            <w:vAlign w:val="bottom"/>
          </w:tcPr>
          <w:p>
            <w:pPr>
              <w:jc w:val="right"/>
              <w:ind w:right="10"/>
              <w:spacing w:after="0" w:line="181" w:lineRule="exact"/>
              <w:rPr>
                <w:sz w:val="20"/>
                <w:szCs w:val="20"/>
                <w:color w:val="auto"/>
              </w:rPr>
            </w:pPr>
            <w:r>
              <w:rPr>
                <w:rFonts w:ascii="Arial" w:cs="Arial" w:eastAsia="Arial" w:hAnsi="Arial"/>
                <w:sz w:val="18"/>
                <w:szCs w:val="18"/>
                <w:color w:val="auto"/>
              </w:rPr>
              <w:t>179,802</w:t>
            </w:r>
          </w:p>
        </w:tc>
        <w:tc>
          <w:tcPr>
            <w:tcW w:w="0" w:type="dxa"/>
            <w:vAlign w:val="bottom"/>
          </w:tcPr>
          <w:p>
            <w:pPr>
              <w:spacing w:after="0"/>
              <w:rPr>
                <w:sz w:val="1"/>
                <w:szCs w:val="1"/>
                <w:color w:val="auto"/>
              </w:rPr>
            </w:pPr>
          </w:p>
        </w:tc>
      </w:tr>
      <w:tr>
        <w:trPr>
          <w:trHeight w:val="203"/>
        </w:trPr>
        <w:tc>
          <w:tcPr>
            <w:tcW w:w="5120" w:type="dxa"/>
            <w:vAlign w:val="bottom"/>
          </w:tcPr>
          <w:p>
            <w:pPr>
              <w:ind w:left="180"/>
              <w:spacing w:after="0" w:line="202" w:lineRule="exact"/>
              <w:rPr>
                <w:sz w:val="20"/>
                <w:szCs w:val="20"/>
                <w:color w:val="auto"/>
              </w:rPr>
            </w:pPr>
            <w:r>
              <w:rPr>
                <w:rFonts w:ascii="Arial" w:cs="Arial" w:eastAsia="Arial" w:hAnsi="Arial"/>
                <w:sz w:val="18"/>
                <w:szCs w:val="18"/>
                <w:color w:val="auto"/>
              </w:rPr>
              <w:t>Asset held for sale</w:t>
            </w:r>
          </w:p>
        </w:tc>
        <w:tc>
          <w:tcPr>
            <w:tcW w:w="2660" w:type="dxa"/>
            <w:vAlign w:val="bottom"/>
          </w:tcPr>
          <w:p>
            <w:pPr>
              <w:jc w:val="right"/>
              <w:ind w:right="490"/>
              <w:spacing w:after="0" w:line="202" w:lineRule="exact"/>
              <w:rPr>
                <w:sz w:val="20"/>
                <w:szCs w:val="20"/>
                <w:color w:val="auto"/>
              </w:rPr>
            </w:pPr>
            <w:r>
              <w:rPr>
                <w:rFonts w:ascii="Arial" w:cs="Arial" w:eastAsia="Arial" w:hAnsi="Arial"/>
                <w:sz w:val="18"/>
                <w:szCs w:val="18"/>
                <w:b w:val="1"/>
                <w:bCs w:val="1"/>
                <w:color w:val="auto"/>
              </w:rPr>
              <w:t>-</w:t>
            </w:r>
          </w:p>
        </w:tc>
        <w:tc>
          <w:tcPr>
            <w:tcW w:w="206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4,988</w:t>
            </w:r>
          </w:p>
        </w:tc>
        <w:tc>
          <w:tcPr>
            <w:tcW w:w="1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120" w:type="dxa"/>
            <w:vAlign w:val="bottom"/>
          </w:tcPr>
          <w:p>
            <w:pPr>
              <w:ind w:left="180"/>
              <w:spacing w:after="0" w:line="202" w:lineRule="exact"/>
              <w:rPr>
                <w:sz w:val="20"/>
                <w:szCs w:val="20"/>
                <w:color w:val="auto"/>
              </w:rPr>
            </w:pPr>
            <w:r>
              <w:rPr>
                <w:rFonts w:ascii="Arial" w:cs="Arial" w:eastAsia="Arial" w:hAnsi="Arial"/>
                <w:sz w:val="18"/>
                <w:szCs w:val="18"/>
                <w:color w:val="auto"/>
              </w:rPr>
              <w:t>Income taxes prepaid, receivable and deferred</w:t>
            </w:r>
          </w:p>
        </w:tc>
        <w:tc>
          <w:tcPr>
            <w:tcW w:w="2660" w:type="dxa"/>
            <w:vAlign w:val="bottom"/>
          </w:tcPr>
          <w:p>
            <w:pPr>
              <w:jc w:val="right"/>
              <w:ind w:right="490"/>
              <w:spacing w:after="0" w:line="202" w:lineRule="exact"/>
              <w:rPr>
                <w:sz w:val="20"/>
                <w:szCs w:val="20"/>
                <w:color w:val="auto"/>
              </w:rPr>
            </w:pPr>
            <w:r>
              <w:rPr>
                <w:rFonts w:ascii="Arial" w:cs="Arial" w:eastAsia="Arial" w:hAnsi="Arial"/>
                <w:sz w:val="18"/>
                <w:szCs w:val="18"/>
                <w:b w:val="1"/>
                <w:bCs w:val="1"/>
                <w:color w:val="auto"/>
              </w:rPr>
              <w:t>74,078</w:t>
            </w:r>
          </w:p>
        </w:tc>
        <w:tc>
          <w:tcPr>
            <w:tcW w:w="206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111,872</w:t>
            </w:r>
          </w:p>
        </w:tc>
        <w:tc>
          <w:tcPr>
            <w:tcW w:w="1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76,283</w:t>
            </w:r>
          </w:p>
        </w:tc>
        <w:tc>
          <w:tcPr>
            <w:tcW w:w="0" w:type="dxa"/>
            <w:vAlign w:val="bottom"/>
          </w:tcPr>
          <w:p>
            <w:pPr>
              <w:spacing w:after="0"/>
              <w:rPr>
                <w:sz w:val="1"/>
                <w:szCs w:val="1"/>
                <w:color w:val="auto"/>
              </w:rPr>
            </w:pPr>
          </w:p>
        </w:tc>
      </w:tr>
      <w:tr>
        <w:trPr>
          <w:trHeight w:val="225"/>
        </w:trPr>
        <w:tc>
          <w:tcPr>
            <w:tcW w:w="51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Other assets</w:t>
            </w:r>
          </w:p>
        </w:tc>
        <w:tc>
          <w:tcPr>
            <w:tcW w:w="26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39,076</w:t>
            </w:r>
          </w:p>
        </w:tc>
        <w:tc>
          <w:tcPr>
            <w:tcW w:w="2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31,417</w:t>
            </w: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32,028</w:t>
            </w:r>
          </w:p>
        </w:tc>
        <w:tc>
          <w:tcPr>
            <w:tcW w:w="0" w:type="dxa"/>
            <w:vAlign w:val="bottom"/>
          </w:tcPr>
          <w:p>
            <w:pPr>
              <w:spacing w:after="0"/>
              <w:rPr>
                <w:sz w:val="1"/>
                <w:szCs w:val="1"/>
                <w:color w:val="auto"/>
              </w:rPr>
            </w:pPr>
          </w:p>
        </w:tc>
      </w:tr>
      <w:tr>
        <w:trPr>
          <w:trHeight w:val="196"/>
        </w:trPr>
        <w:tc>
          <w:tcPr>
            <w:tcW w:w="512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color w:val="auto"/>
              </w:rPr>
              <w:t>Consolidated total assets</w:t>
            </w:r>
          </w:p>
        </w:tc>
        <w:tc>
          <w:tcPr>
            <w:tcW w:w="266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$1,263,433</w:t>
            </w:r>
          </w:p>
        </w:tc>
        <w:tc>
          <w:tcPr>
            <w:tcW w:w="206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color w:val="auto"/>
              </w:rPr>
              <w:t>$1,009,562</w:t>
            </w:r>
          </w:p>
        </w:tc>
        <w:tc>
          <w:tcPr>
            <w:tcW w:w="15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$1,029,304</w:t>
            </w:r>
          </w:p>
        </w:tc>
        <w:tc>
          <w:tcPr>
            <w:tcW w:w="0" w:type="dxa"/>
            <w:vAlign w:val="bottom"/>
          </w:tcPr>
          <w:p>
            <w:pPr>
              <w:spacing w:after="0"/>
              <w:rPr>
                <w:sz w:val="1"/>
                <w:szCs w:val="1"/>
                <w:color w:val="auto"/>
              </w:rPr>
            </w:pPr>
          </w:p>
        </w:tc>
      </w:tr>
      <w:tr>
        <w:trPr>
          <w:trHeight w:val="195"/>
        </w:trPr>
        <w:tc>
          <w:tcPr>
            <w:tcW w:w="5120" w:type="dxa"/>
            <w:vAlign w:val="bottom"/>
          </w:tcPr>
          <w:p>
            <w:pPr>
              <w:ind w:left="40"/>
              <w:spacing w:after="0" w:line="195" w:lineRule="exact"/>
              <w:rPr>
                <w:sz w:val="20"/>
                <w:szCs w:val="20"/>
                <w:color w:val="auto"/>
              </w:rPr>
            </w:pPr>
            <w:r>
              <w:rPr>
                <w:rFonts w:ascii="Arial" w:cs="Arial" w:eastAsia="Arial" w:hAnsi="Arial"/>
                <w:sz w:val="18"/>
                <w:szCs w:val="18"/>
                <w:b w:val="1"/>
                <w:bCs w:val="1"/>
                <w:color w:val="auto"/>
              </w:rPr>
              <w:t>Capital expenditures and purchased software</w:t>
            </w:r>
          </w:p>
        </w:tc>
        <w:tc>
          <w:tcPr>
            <w:tcW w:w="266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$16,158</w:t>
            </w:r>
          </w:p>
        </w:tc>
        <w:tc>
          <w:tcPr>
            <w:tcW w:w="20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120" w:type="dxa"/>
            <w:vAlign w:val="bottom"/>
          </w:tcPr>
          <w:p>
            <w:pPr>
              <w:ind w:left="40"/>
              <w:spacing w:after="0" w:line="181" w:lineRule="exact"/>
              <w:rPr>
                <w:sz w:val="20"/>
                <w:szCs w:val="20"/>
                <w:color w:val="auto"/>
              </w:rPr>
            </w:pPr>
            <w:r>
              <w:rPr>
                <w:rFonts w:ascii="Arial" w:cs="Arial" w:eastAsia="Arial" w:hAnsi="Arial"/>
                <w:sz w:val="18"/>
                <w:szCs w:val="18"/>
                <w:color w:val="auto"/>
              </w:rPr>
              <w:t>Machine Clothing</w:t>
            </w:r>
          </w:p>
        </w:tc>
        <w:tc>
          <w:tcPr>
            <w:tcW w:w="2660" w:type="dxa"/>
            <w:vAlign w:val="bottom"/>
            <w:vMerge w:val="continue"/>
          </w:tcPr>
          <w:p>
            <w:pPr>
              <w:spacing w:after="0"/>
              <w:rPr>
                <w:sz w:val="15"/>
                <w:szCs w:val="15"/>
                <w:color w:val="auto"/>
              </w:rPr>
            </w:pPr>
          </w:p>
        </w:tc>
        <w:tc>
          <w:tcPr>
            <w:tcW w:w="2060" w:type="dxa"/>
            <w:vAlign w:val="bottom"/>
          </w:tcPr>
          <w:p>
            <w:pPr>
              <w:jc w:val="right"/>
              <w:ind w:right="470"/>
              <w:spacing w:after="0" w:line="181" w:lineRule="exact"/>
              <w:rPr>
                <w:sz w:val="20"/>
                <w:szCs w:val="20"/>
                <w:color w:val="auto"/>
              </w:rPr>
            </w:pPr>
            <w:r>
              <w:rPr>
                <w:rFonts w:ascii="Arial" w:cs="Arial" w:eastAsia="Arial" w:hAnsi="Arial"/>
                <w:sz w:val="18"/>
                <w:szCs w:val="18"/>
                <w:color w:val="auto"/>
              </w:rPr>
              <w:t>$16,010</w:t>
            </w:r>
          </w:p>
        </w:tc>
        <w:tc>
          <w:tcPr>
            <w:tcW w:w="1580" w:type="dxa"/>
            <w:vAlign w:val="bottom"/>
          </w:tcPr>
          <w:p>
            <w:pPr>
              <w:jc w:val="right"/>
              <w:ind w:right="10"/>
              <w:spacing w:after="0" w:line="181" w:lineRule="exact"/>
              <w:rPr>
                <w:sz w:val="20"/>
                <w:szCs w:val="20"/>
                <w:color w:val="auto"/>
              </w:rPr>
            </w:pPr>
            <w:r>
              <w:rPr>
                <w:rFonts w:ascii="Arial" w:cs="Arial" w:eastAsia="Arial" w:hAnsi="Arial"/>
                <w:sz w:val="18"/>
                <w:szCs w:val="18"/>
                <w:color w:val="auto"/>
              </w:rPr>
              <w:t>$23,202</w:t>
            </w:r>
          </w:p>
        </w:tc>
        <w:tc>
          <w:tcPr>
            <w:tcW w:w="0" w:type="dxa"/>
            <w:vAlign w:val="bottom"/>
          </w:tcPr>
          <w:p>
            <w:pPr>
              <w:spacing w:after="0"/>
              <w:rPr>
                <w:sz w:val="1"/>
                <w:szCs w:val="1"/>
                <w:color w:val="auto"/>
              </w:rPr>
            </w:pPr>
          </w:p>
        </w:tc>
      </w:tr>
      <w:tr>
        <w:trPr>
          <w:trHeight w:val="203"/>
        </w:trPr>
        <w:tc>
          <w:tcPr>
            <w:tcW w:w="5120" w:type="dxa"/>
            <w:vAlign w:val="bottom"/>
          </w:tcPr>
          <w:p>
            <w:pPr>
              <w:ind w:left="40"/>
              <w:spacing w:after="0" w:line="202" w:lineRule="exact"/>
              <w:rPr>
                <w:sz w:val="20"/>
                <w:szCs w:val="20"/>
                <w:color w:val="auto"/>
              </w:rPr>
            </w:pPr>
            <w:r>
              <w:rPr>
                <w:rFonts w:ascii="Arial" w:cs="Arial" w:eastAsia="Arial" w:hAnsi="Arial"/>
                <w:sz w:val="18"/>
                <w:szCs w:val="18"/>
                <w:color w:val="auto"/>
              </w:rPr>
              <w:t>Albany Engineered Composites</w:t>
            </w:r>
          </w:p>
        </w:tc>
        <w:tc>
          <w:tcPr>
            <w:tcW w:w="2660" w:type="dxa"/>
            <w:vAlign w:val="bottom"/>
          </w:tcPr>
          <w:p>
            <w:pPr>
              <w:jc w:val="right"/>
              <w:ind w:right="490"/>
              <w:spacing w:after="0" w:line="202" w:lineRule="exact"/>
              <w:rPr>
                <w:sz w:val="20"/>
                <w:szCs w:val="20"/>
                <w:color w:val="auto"/>
              </w:rPr>
            </w:pPr>
            <w:r>
              <w:rPr>
                <w:rFonts w:ascii="Arial" w:cs="Arial" w:eastAsia="Arial" w:hAnsi="Arial"/>
                <w:sz w:val="18"/>
                <w:szCs w:val="18"/>
                <w:b w:val="1"/>
                <w:bCs w:val="1"/>
                <w:color w:val="auto"/>
              </w:rPr>
              <w:t>59,195</w:t>
            </w:r>
          </w:p>
        </w:tc>
        <w:tc>
          <w:tcPr>
            <w:tcW w:w="206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30,378</w:t>
            </w:r>
          </w:p>
        </w:tc>
        <w:tc>
          <w:tcPr>
            <w:tcW w:w="1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32,141</w:t>
            </w:r>
          </w:p>
        </w:tc>
        <w:tc>
          <w:tcPr>
            <w:tcW w:w="0" w:type="dxa"/>
            <w:vAlign w:val="bottom"/>
          </w:tcPr>
          <w:p>
            <w:pPr>
              <w:spacing w:after="0"/>
              <w:rPr>
                <w:sz w:val="1"/>
                <w:szCs w:val="1"/>
                <w:color w:val="auto"/>
              </w:rPr>
            </w:pPr>
          </w:p>
        </w:tc>
      </w:tr>
      <w:tr>
        <w:trPr>
          <w:trHeight w:val="225"/>
        </w:trPr>
        <w:tc>
          <w:tcPr>
            <w:tcW w:w="51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Corporate expenses</w:t>
            </w:r>
          </w:p>
        </w:tc>
        <w:tc>
          <w:tcPr>
            <w:tcW w:w="26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3,163</w:t>
            </w:r>
          </w:p>
        </w:tc>
        <w:tc>
          <w:tcPr>
            <w:tcW w:w="2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4,207</w:t>
            </w: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3,530</w:t>
            </w:r>
          </w:p>
        </w:tc>
        <w:tc>
          <w:tcPr>
            <w:tcW w:w="0" w:type="dxa"/>
            <w:vAlign w:val="bottom"/>
          </w:tcPr>
          <w:p>
            <w:pPr>
              <w:spacing w:after="0"/>
              <w:rPr>
                <w:sz w:val="1"/>
                <w:szCs w:val="1"/>
                <w:color w:val="auto"/>
              </w:rPr>
            </w:pPr>
          </w:p>
        </w:tc>
      </w:tr>
      <w:tr>
        <w:trPr>
          <w:trHeight w:val="196"/>
        </w:trPr>
        <w:tc>
          <w:tcPr>
            <w:tcW w:w="512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Consolidated total</w:t>
            </w:r>
          </w:p>
        </w:tc>
        <w:tc>
          <w:tcPr>
            <w:tcW w:w="266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$78,516</w:t>
            </w:r>
          </w:p>
        </w:tc>
        <w:tc>
          <w:tcPr>
            <w:tcW w:w="206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color w:val="auto"/>
              </w:rPr>
              <w:t>$50,595</w:t>
            </w:r>
          </w:p>
        </w:tc>
        <w:tc>
          <w:tcPr>
            <w:tcW w:w="15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$58,873</w:t>
            </w:r>
          </w:p>
        </w:tc>
        <w:tc>
          <w:tcPr>
            <w:tcW w:w="0" w:type="dxa"/>
            <w:vAlign w:val="bottom"/>
          </w:tcPr>
          <w:p>
            <w:pPr>
              <w:spacing w:after="0"/>
              <w:rPr>
                <w:sz w:val="1"/>
                <w:szCs w:val="1"/>
                <w:color w:val="auto"/>
              </w:rPr>
            </w:pPr>
          </w:p>
        </w:tc>
      </w:tr>
    </w:tbl>
    <w:p>
      <w:pPr>
        <w:spacing w:after="0" w:line="391" w:lineRule="exact"/>
        <w:rPr>
          <w:sz w:val="20"/>
          <w:szCs w:val="20"/>
          <w:color w:val="auto"/>
        </w:rPr>
      </w:pPr>
    </w:p>
    <w:p>
      <w:pPr>
        <w:ind w:right="60" w:firstLine="648"/>
        <w:spacing w:after="0"/>
        <w:rPr>
          <w:sz w:val="20"/>
          <w:szCs w:val="20"/>
          <w:color w:val="auto"/>
        </w:rPr>
      </w:pPr>
      <w:r>
        <w:rPr>
          <w:rFonts w:ascii="Arial" w:cs="Arial" w:eastAsia="Arial" w:hAnsi="Arial"/>
          <w:sz w:val="18"/>
          <w:szCs w:val="18"/>
          <w:color w:val="auto"/>
        </w:rPr>
        <w:t>Total capital expenditures for 2016 includes an increase from 2015 of $5.0 million of purchases that were included in Accounts payable at year-end. The Consolidated Statements of Cash Flows has been adjusted to remove the non-cash transactions. Non-cash transactions for 2015 and 2014 were negligible.</w:t>
      </w:r>
    </w:p>
    <w:p>
      <w:pPr>
        <w:spacing w:after="0" w:line="162" w:lineRule="exact"/>
        <w:rPr>
          <w:sz w:val="20"/>
          <w:szCs w:val="20"/>
          <w:color w:val="auto"/>
        </w:rPr>
      </w:pPr>
    </w:p>
    <w:p>
      <w:pPr>
        <w:ind w:right="140" w:firstLine="648"/>
        <w:spacing w:after="0" w:line="246" w:lineRule="auto"/>
        <w:rPr>
          <w:sz w:val="20"/>
          <w:szCs w:val="20"/>
          <w:color w:val="auto"/>
        </w:rPr>
      </w:pPr>
      <w:r>
        <w:rPr>
          <w:rFonts w:ascii="Arial" w:cs="Arial" w:eastAsia="Arial" w:hAnsi="Arial"/>
          <w:sz w:val="18"/>
          <w:szCs w:val="18"/>
          <w:color w:val="auto"/>
        </w:rPr>
        <w:t>In 2016, the Company recorded expense of $5.4 million for cost directly related to the acquisition. These costs are included in Selling, general and administrative expenses of AEC segment.</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66" w:name="page67"/>
    <w:bookmarkEnd w:id="66"/>
    <w:p>
      <w:pPr>
        <w:ind w:right="120" w:firstLine="648"/>
        <w:spacing w:after="0"/>
        <w:rPr>
          <w:sz w:val="20"/>
          <w:szCs w:val="20"/>
          <w:color w:val="auto"/>
        </w:rPr>
      </w:pPr>
      <w:r>
        <w:rPr>
          <w:rFonts w:ascii="Arial" w:cs="Arial" w:eastAsia="Arial" w:hAnsi="Arial"/>
          <w:sz w:val="18"/>
          <w:szCs w:val="18"/>
          <w:color w:val="auto"/>
        </w:rPr>
        <w:t>The following table shows data by geographic area. Net sales are based on the location of the operation recording the final sale to the customer. Net sales recorded by our entity in Switzerland are derived from products sold throughout Europe and Asia, and are invoiced in various currencies.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78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2016</w:t>
            </w:r>
          </w:p>
        </w:tc>
        <w:tc>
          <w:tcPr>
            <w:tcW w:w="204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2015</w:t>
            </w:r>
          </w:p>
        </w:tc>
        <w:tc>
          <w:tcPr>
            <w:tcW w:w="15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195"/>
        </w:trPr>
        <w:tc>
          <w:tcPr>
            <w:tcW w:w="5100" w:type="dxa"/>
            <w:vAlign w:val="bottom"/>
          </w:tcPr>
          <w:p>
            <w:pPr>
              <w:ind w:left="60"/>
              <w:spacing w:after="0" w:line="195" w:lineRule="exact"/>
              <w:rPr>
                <w:sz w:val="20"/>
                <w:szCs w:val="20"/>
                <w:color w:val="auto"/>
              </w:rPr>
            </w:pPr>
            <w:r>
              <w:rPr>
                <w:rFonts w:ascii="Arial" w:cs="Arial" w:eastAsia="Arial" w:hAnsi="Arial"/>
                <w:sz w:val="18"/>
                <w:szCs w:val="18"/>
                <w:b w:val="1"/>
                <w:bCs w:val="1"/>
                <w:color w:val="auto"/>
              </w:rPr>
              <w:t>Net sales</w:t>
            </w:r>
          </w:p>
        </w:tc>
        <w:tc>
          <w:tcPr>
            <w:tcW w:w="2780" w:type="dxa"/>
            <w:vAlign w:val="bottom"/>
            <w:vMerge w:val="restart"/>
          </w:tcPr>
          <w:p>
            <w:pPr>
              <w:jc w:val="right"/>
              <w:ind w:right="570"/>
              <w:spacing w:after="0"/>
              <w:rPr>
                <w:sz w:val="20"/>
                <w:szCs w:val="20"/>
                <w:color w:val="auto"/>
              </w:rPr>
            </w:pPr>
            <w:r>
              <w:rPr>
                <w:rFonts w:ascii="Arial" w:cs="Arial" w:eastAsia="Arial" w:hAnsi="Arial"/>
                <w:sz w:val="18"/>
                <w:szCs w:val="18"/>
                <w:b w:val="1"/>
                <w:bCs w:val="1"/>
                <w:color w:val="auto"/>
              </w:rPr>
              <w:t>$396,238</w:t>
            </w:r>
          </w:p>
        </w:tc>
        <w:tc>
          <w:tcPr>
            <w:tcW w:w="20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100" w:type="dxa"/>
            <w:vAlign w:val="bottom"/>
          </w:tcPr>
          <w:p>
            <w:pPr>
              <w:ind w:left="80"/>
              <w:spacing w:after="0" w:line="181" w:lineRule="exact"/>
              <w:rPr>
                <w:sz w:val="20"/>
                <w:szCs w:val="20"/>
                <w:color w:val="auto"/>
              </w:rPr>
            </w:pPr>
            <w:r>
              <w:rPr>
                <w:rFonts w:ascii="Arial" w:cs="Arial" w:eastAsia="Arial" w:hAnsi="Arial"/>
                <w:sz w:val="18"/>
                <w:szCs w:val="18"/>
                <w:color w:val="auto"/>
              </w:rPr>
              <w:t>United States</w:t>
            </w:r>
          </w:p>
        </w:tc>
        <w:tc>
          <w:tcPr>
            <w:tcW w:w="2780" w:type="dxa"/>
            <w:vAlign w:val="bottom"/>
            <w:vMerge w:val="continue"/>
          </w:tcPr>
          <w:p>
            <w:pPr>
              <w:spacing w:after="0"/>
              <w:rPr>
                <w:sz w:val="15"/>
                <w:szCs w:val="15"/>
                <w:color w:val="auto"/>
              </w:rPr>
            </w:pPr>
          </w:p>
        </w:tc>
        <w:tc>
          <w:tcPr>
            <w:tcW w:w="2040" w:type="dxa"/>
            <w:vAlign w:val="bottom"/>
          </w:tcPr>
          <w:p>
            <w:pPr>
              <w:jc w:val="right"/>
              <w:ind w:right="550"/>
              <w:spacing w:after="0" w:line="181" w:lineRule="exact"/>
              <w:rPr>
                <w:sz w:val="20"/>
                <w:szCs w:val="20"/>
                <w:color w:val="auto"/>
              </w:rPr>
            </w:pPr>
            <w:r>
              <w:rPr>
                <w:rFonts w:ascii="Arial" w:cs="Arial" w:eastAsia="Arial" w:hAnsi="Arial"/>
                <w:sz w:val="18"/>
                <w:szCs w:val="18"/>
                <w:color w:val="auto"/>
              </w:rPr>
              <w:t>$323,399</w:t>
            </w:r>
          </w:p>
        </w:tc>
        <w:tc>
          <w:tcPr>
            <w:tcW w:w="1500" w:type="dxa"/>
            <w:vAlign w:val="bottom"/>
          </w:tcPr>
          <w:p>
            <w:pPr>
              <w:jc w:val="right"/>
              <w:ind w:right="10"/>
              <w:spacing w:after="0" w:line="181" w:lineRule="exact"/>
              <w:rPr>
                <w:sz w:val="20"/>
                <w:szCs w:val="20"/>
                <w:color w:val="auto"/>
              </w:rPr>
            </w:pPr>
            <w:r>
              <w:rPr>
                <w:rFonts w:ascii="Arial" w:cs="Arial" w:eastAsia="Arial" w:hAnsi="Arial"/>
                <w:sz w:val="18"/>
                <w:szCs w:val="18"/>
                <w:color w:val="auto"/>
              </w:rPr>
              <w:t>$324,750</w:t>
            </w:r>
          </w:p>
        </w:tc>
        <w:tc>
          <w:tcPr>
            <w:tcW w:w="0" w:type="dxa"/>
            <w:vAlign w:val="bottom"/>
          </w:tcPr>
          <w:p>
            <w:pPr>
              <w:spacing w:after="0"/>
              <w:rPr>
                <w:sz w:val="1"/>
                <w:szCs w:val="1"/>
                <w:color w:val="auto"/>
              </w:rPr>
            </w:pPr>
          </w:p>
        </w:tc>
      </w:tr>
      <w:tr>
        <w:trPr>
          <w:trHeight w:val="203"/>
        </w:trPr>
        <w:tc>
          <w:tcPr>
            <w:tcW w:w="5100" w:type="dxa"/>
            <w:vAlign w:val="bottom"/>
          </w:tcPr>
          <w:p>
            <w:pPr>
              <w:ind w:left="80"/>
              <w:spacing w:after="0" w:line="202" w:lineRule="exact"/>
              <w:rPr>
                <w:sz w:val="20"/>
                <w:szCs w:val="20"/>
                <w:color w:val="auto"/>
              </w:rPr>
            </w:pPr>
            <w:r>
              <w:rPr>
                <w:rFonts w:ascii="Arial" w:cs="Arial" w:eastAsia="Arial" w:hAnsi="Arial"/>
                <w:sz w:val="18"/>
                <w:szCs w:val="18"/>
                <w:color w:val="auto"/>
              </w:rPr>
              <w:t>Switzerland</w:t>
            </w:r>
          </w:p>
        </w:tc>
        <w:tc>
          <w:tcPr>
            <w:tcW w:w="2780" w:type="dxa"/>
            <w:vAlign w:val="bottom"/>
          </w:tcPr>
          <w:p>
            <w:pPr>
              <w:jc w:val="right"/>
              <w:ind w:right="570"/>
              <w:spacing w:after="0" w:line="202" w:lineRule="exact"/>
              <w:rPr>
                <w:sz w:val="20"/>
                <w:szCs w:val="20"/>
                <w:color w:val="auto"/>
              </w:rPr>
            </w:pPr>
            <w:r>
              <w:rPr>
                <w:rFonts w:ascii="Arial" w:cs="Arial" w:eastAsia="Arial" w:hAnsi="Arial"/>
                <w:sz w:val="18"/>
                <w:szCs w:val="18"/>
                <w:b w:val="1"/>
                <w:bCs w:val="1"/>
                <w:color w:val="auto"/>
              </w:rPr>
              <w:t>145,479</w:t>
            </w:r>
          </w:p>
        </w:tc>
        <w:tc>
          <w:tcPr>
            <w:tcW w:w="2040" w:type="dxa"/>
            <w:vAlign w:val="bottom"/>
          </w:tcPr>
          <w:p>
            <w:pPr>
              <w:jc w:val="right"/>
              <w:ind w:right="550"/>
              <w:spacing w:after="0" w:line="202" w:lineRule="exact"/>
              <w:rPr>
                <w:sz w:val="20"/>
                <w:szCs w:val="20"/>
                <w:color w:val="auto"/>
              </w:rPr>
            </w:pPr>
            <w:r>
              <w:rPr>
                <w:rFonts w:ascii="Arial" w:cs="Arial" w:eastAsia="Arial" w:hAnsi="Arial"/>
                <w:sz w:val="18"/>
                <w:szCs w:val="18"/>
                <w:color w:val="auto"/>
              </w:rPr>
              <w:t>159,804</w:t>
            </w:r>
          </w:p>
        </w:tc>
        <w:tc>
          <w:tcPr>
            <w:tcW w:w="15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184,022</w:t>
            </w:r>
          </w:p>
        </w:tc>
        <w:tc>
          <w:tcPr>
            <w:tcW w:w="0" w:type="dxa"/>
            <w:vAlign w:val="bottom"/>
          </w:tcPr>
          <w:p>
            <w:pPr>
              <w:spacing w:after="0"/>
              <w:rPr>
                <w:sz w:val="1"/>
                <w:szCs w:val="1"/>
                <w:color w:val="auto"/>
              </w:rPr>
            </w:pPr>
          </w:p>
        </w:tc>
      </w:tr>
      <w:tr>
        <w:trPr>
          <w:trHeight w:val="203"/>
        </w:trPr>
        <w:tc>
          <w:tcPr>
            <w:tcW w:w="5100" w:type="dxa"/>
            <w:vAlign w:val="bottom"/>
          </w:tcPr>
          <w:p>
            <w:pPr>
              <w:ind w:left="80"/>
              <w:spacing w:after="0" w:line="202" w:lineRule="exact"/>
              <w:rPr>
                <w:sz w:val="20"/>
                <w:szCs w:val="20"/>
                <w:color w:val="auto"/>
              </w:rPr>
            </w:pPr>
            <w:r>
              <w:rPr>
                <w:rFonts w:ascii="Arial" w:cs="Arial" w:eastAsia="Arial" w:hAnsi="Arial"/>
                <w:sz w:val="18"/>
                <w:szCs w:val="18"/>
                <w:color w:val="auto"/>
              </w:rPr>
              <w:t>Brazil</w:t>
            </w:r>
          </w:p>
        </w:tc>
        <w:tc>
          <w:tcPr>
            <w:tcW w:w="2780" w:type="dxa"/>
            <w:vAlign w:val="bottom"/>
          </w:tcPr>
          <w:p>
            <w:pPr>
              <w:jc w:val="right"/>
              <w:ind w:right="570"/>
              <w:spacing w:after="0" w:line="202" w:lineRule="exact"/>
              <w:rPr>
                <w:sz w:val="20"/>
                <w:szCs w:val="20"/>
                <w:color w:val="auto"/>
              </w:rPr>
            </w:pPr>
            <w:r>
              <w:rPr>
                <w:rFonts w:ascii="Arial" w:cs="Arial" w:eastAsia="Arial" w:hAnsi="Arial"/>
                <w:sz w:val="18"/>
                <w:szCs w:val="18"/>
                <w:b w:val="1"/>
                <w:bCs w:val="1"/>
                <w:color w:val="auto"/>
              </w:rPr>
              <w:t>60,287</w:t>
            </w:r>
          </w:p>
        </w:tc>
        <w:tc>
          <w:tcPr>
            <w:tcW w:w="2040" w:type="dxa"/>
            <w:vAlign w:val="bottom"/>
          </w:tcPr>
          <w:p>
            <w:pPr>
              <w:jc w:val="right"/>
              <w:ind w:right="550"/>
              <w:spacing w:after="0" w:line="202" w:lineRule="exact"/>
              <w:rPr>
                <w:sz w:val="20"/>
                <w:szCs w:val="20"/>
                <w:color w:val="auto"/>
              </w:rPr>
            </w:pPr>
            <w:r>
              <w:rPr>
                <w:rFonts w:ascii="Arial" w:cs="Arial" w:eastAsia="Arial" w:hAnsi="Arial"/>
                <w:sz w:val="18"/>
                <w:szCs w:val="18"/>
                <w:color w:val="auto"/>
              </w:rPr>
              <w:t>58,846</w:t>
            </w:r>
          </w:p>
        </w:tc>
        <w:tc>
          <w:tcPr>
            <w:tcW w:w="15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59,332</w:t>
            </w:r>
          </w:p>
        </w:tc>
        <w:tc>
          <w:tcPr>
            <w:tcW w:w="0" w:type="dxa"/>
            <w:vAlign w:val="bottom"/>
          </w:tcPr>
          <w:p>
            <w:pPr>
              <w:spacing w:after="0"/>
              <w:rPr>
                <w:sz w:val="1"/>
                <w:szCs w:val="1"/>
                <w:color w:val="auto"/>
              </w:rPr>
            </w:pPr>
          </w:p>
        </w:tc>
      </w:tr>
      <w:tr>
        <w:trPr>
          <w:trHeight w:val="203"/>
        </w:trPr>
        <w:tc>
          <w:tcPr>
            <w:tcW w:w="5100" w:type="dxa"/>
            <w:vAlign w:val="bottom"/>
          </w:tcPr>
          <w:p>
            <w:pPr>
              <w:ind w:left="80"/>
              <w:spacing w:after="0" w:line="202" w:lineRule="exact"/>
              <w:rPr>
                <w:sz w:val="20"/>
                <w:szCs w:val="20"/>
                <w:color w:val="auto"/>
              </w:rPr>
            </w:pPr>
            <w:r>
              <w:rPr>
                <w:rFonts w:ascii="Arial" w:cs="Arial" w:eastAsia="Arial" w:hAnsi="Arial"/>
                <w:sz w:val="18"/>
                <w:szCs w:val="18"/>
                <w:color w:val="auto"/>
              </w:rPr>
              <w:t>China</w:t>
            </w:r>
          </w:p>
        </w:tc>
        <w:tc>
          <w:tcPr>
            <w:tcW w:w="2780" w:type="dxa"/>
            <w:vAlign w:val="bottom"/>
          </w:tcPr>
          <w:p>
            <w:pPr>
              <w:jc w:val="right"/>
              <w:ind w:right="570"/>
              <w:spacing w:after="0" w:line="202" w:lineRule="exact"/>
              <w:rPr>
                <w:sz w:val="20"/>
                <w:szCs w:val="20"/>
                <w:color w:val="auto"/>
              </w:rPr>
            </w:pPr>
            <w:r>
              <w:rPr>
                <w:rFonts w:ascii="Arial" w:cs="Arial" w:eastAsia="Arial" w:hAnsi="Arial"/>
                <w:sz w:val="18"/>
                <w:szCs w:val="18"/>
                <w:b w:val="1"/>
                <w:bCs w:val="1"/>
                <w:color w:val="auto"/>
              </w:rPr>
              <w:t>48,043</w:t>
            </w:r>
          </w:p>
        </w:tc>
        <w:tc>
          <w:tcPr>
            <w:tcW w:w="2040" w:type="dxa"/>
            <w:vAlign w:val="bottom"/>
          </w:tcPr>
          <w:p>
            <w:pPr>
              <w:jc w:val="right"/>
              <w:ind w:right="550"/>
              <w:spacing w:after="0" w:line="202" w:lineRule="exact"/>
              <w:rPr>
                <w:sz w:val="20"/>
                <w:szCs w:val="20"/>
                <w:color w:val="auto"/>
              </w:rPr>
            </w:pPr>
            <w:r>
              <w:rPr>
                <w:rFonts w:ascii="Arial" w:cs="Arial" w:eastAsia="Arial" w:hAnsi="Arial"/>
                <w:sz w:val="18"/>
                <w:szCs w:val="18"/>
                <w:color w:val="auto"/>
              </w:rPr>
              <w:t>48,490</w:t>
            </w:r>
          </w:p>
        </w:tc>
        <w:tc>
          <w:tcPr>
            <w:tcW w:w="15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52,822</w:t>
            </w:r>
          </w:p>
        </w:tc>
        <w:tc>
          <w:tcPr>
            <w:tcW w:w="0" w:type="dxa"/>
            <w:vAlign w:val="bottom"/>
          </w:tcPr>
          <w:p>
            <w:pPr>
              <w:spacing w:after="0"/>
              <w:rPr>
                <w:sz w:val="1"/>
                <w:szCs w:val="1"/>
                <w:color w:val="auto"/>
              </w:rPr>
            </w:pPr>
          </w:p>
        </w:tc>
      </w:tr>
      <w:tr>
        <w:trPr>
          <w:trHeight w:val="203"/>
        </w:trPr>
        <w:tc>
          <w:tcPr>
            <w:tcW w:w="5100" w:type="dxa"/>
            <w:vAlign w:val="bottom"/>
          </w:tcPr>
          <w:p>
            <w:pPr>
              <w:ind w:left="80"/>
              <w:spacing w:after="0" w:line="202" w:lineRule="exact"/>
              <w:rPr>
                <w:sz w:val="20"/>
                <w:szCs w:val="20"/>
                <w:color w:val="auto"/>
              </w:rPr>
            </w:pPr>
            <w:r>
              <w:rPr>
                <w:rFonts w:ascii="Arial" w:cs="Arial" w:eastAsia="Arial" w:hAnsi="Arial"/>
                <w:sz w:val="18"/>
                <w:szCs w:val="18"/>
                <w:color w:val="auto"/>
              </w:rPr>
              <w:t>France</w:t>
            </w:r>
          </w:p>
        </w:tc>
        <w:tc>
          <w:tcPr>
            <w:tcW w:w="2780" w:type="dxa"/>
            <w:vAlign w:val="bottom"/>
          </w:tcPr>
          <w:p>
            <w:pPr>
              <w:jc w:val="right"/>
              <w:ind w:right="570"/>
              <w:spacing w:after="0" w:line="202" w:lineRule="exact"/>
              <w:rPr>
                <w:sz w:val="20"/>
                <w:szCs w:val="20"/>
                <w:color w:val="auto"/>
              </w:rPr>
            </w:pPr>
            <w:r>
              <w:rPr>
                <w:rFonts w:ascii="Arial" w:cs="Arial" w:eastAsia="Arial" w:hAnsi="Arial"/>
                <w:sz w:val="18"/>
                <w:szCs w:val="18"/>
                <w:b w:val="1"/>
                <w:bCs w:val="1"/>
                <w:color w:val="auto"/>
              </w:rPr>
              <w:t>42,862</w:t>
            </w:r>
          </w:p>
        </w:tc>
        <w:tc>
          <w:tcPr>
            <w:tcW w:w="2040" w:type="dxa"/>
            <w:vAlign w:val="bottom"/>
          </w:tcPr>
          <w:p>
            <w:pPr>
              <w:jc w:val="right"/>
              <w:ind w:right="550"/>
              <w:spacing w:after="0" w:line="202" w:lineRule="exact"/>
              <w:rPr>
                <w:sz w:val="20"/>
                <w:szCs w:val="20"/>
                <w:color w:val="auto"/>
              </w:rPr>
            </w:pPr>
            <w:r>
              <w:rPr>
                <w:rFonts w:ascii="Arial" w:cs="Arial" w:eastAsia="Arial" w:hAnsi="Arial"/>
                <w:sz w:val="18"/>
                <w:szCs w:val="18"/>
                <w:color w:val="auto"/>
              </w:rPr>
              <w:t>26,081</w:t>
            </w:r>
          </w:p>
        </w:tc>
        <w:tc>
          <w:tcPr>
            <w:tcW w:w="15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26,654</w:t>
            </w:r>
          </w:p>
        </w:tc>
        <w:tc>
          <w:tcPr>
            <w:tcW w:w="0" w:type="dxa"/>
            <w:vAlign w:val="bottom"/>
          </w:tcPr>
          <w:p>
            <w:pPr>
              <w:spacing w:after="0"/>
              <w:rPr>
                <w:sz w:val="1"/>
                <w:szCs w:val="1"/>
                <w:color w:val="auto"/>
              </w:rPr>
            </w:pPr>
          </w:p>
        </w:tc>
      </w:tr>
      <w:tr>
        <w:trPr>
          <w:trHeight w:val="203"/>
        </w:trPr>
        <w:tc>
          <w:tcPr>
            <w:tcW w:w="5100" w:type="dxa"/>
            <w:vAlign w:val="bottom"/>
          </w:tcPr>
          <w:p>
            <w:pPr>
              <w:ind w:left="80"/>
              <w:spacing w:after="0" w:line="202" w:lineRule="exact"/>
              <w:rPr>
                <w:sz w:val="20"/>
                <w:szCs w:val="20"/>
                <w:color w:val="auto"/>
              </w:rPr>
            </w:pPr>
            <w:r>
              <w:rPr>
                <w:rFonts w:ascii="Arial" w:cs="Arial" w:eastAsia="Arial" w:hAnsi="Arial"/>
                <w:sz w:val="18"/>
                <w:szCs w:val="18"/>
                <w:color w:val="auto"/>
              </w:rPr>
              <w:t>Mexico</w:t>
            </w:r>
          </w:p>
        </w:tc>
        <w:tc>
          <w:tcPr>
            <w:tcW w:w="2780" w:type="dxa"/>
            <w:vAlign w:val="bottom"/>
          </w:tcPr>
          <w:p>
            <w:pPr>
              <w:jc w:val="right"/>
              <w:ind w:right="570"/>
              <w:spacing w:after="0" w:line="202" w:lineRule="exact"/>
              <w:rPr>
                <w:sz w:val="20"/>
                <w:szCs w:val="20"/>
                <w:color w:val="auto"/>
              </w:rPr>
            </w:pPr>
            <w:r>
              <w:rPr>
                <w:rFonts w:ascii="Arial" w:cs="Arial" w:eastAsia="Arial" w:hAnsi="Arial"/>
                <w:sz w:val="18"/>
                <w:szCs w:val="18"/>
                <w:b w:val="1"/>
                <w:bCs w:val="1"/>
                <w:color w:val="auto"/>
              </w:rPr>
              <w:t>27,526</w:t>
            </w:r>
          </w:p>
        </w:tc>
        <w:tc>
          <w:tcPr>
            <w:tcW w:w="2040" w:type="dxa"/>
            <w:vAlign w:val="bottom"/>
          </w:tcPr>
          <w:p>
            <w:pPr>
              <w:jc w:val="right"/>
              <w:ind w:right="550"/>
              <w:spacing w:after="0" w:line="202" w:lineRule="exact"/>
              <w:rPr>
                <w:sz w:val="20"/>
                <w:szCs w:val="20"/>
                <w:color w:val="auto"/>
              </w:rPr>
            </w:pPr>
            <w:r>
              <w:rPr>
                <w:rFonts w:ascii="Arial" w:cs="Arial" w:eastAsia="Arial" w:hAnsi="Arial"/>
                <w:sz w:val="18"/>
                <w:szCs w:val="18"/>
                <w:color w:val="auto"/>
              </w:rPr>
              <w:t>30,581</w:t>
            </w:r>
          </w:p>
        </w:tc>
        <w:tc>
          <w:tcPr>
            <w:tcW w:w="15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27,431</w:t>
            </w:r>
          </w:p>
        </w:tc>
        <w:tc>
          <w:tcPr>
            <w:tcW w:w="0" w:type="dxa"/>
            <w:vAlign w:val="bottom"/>
          </w:tcPr>
          <w:p>
            <w:pPr>
              <w:spacing w:after="0"/>
              <w:rPr>
                <w:sz w:val="1"/>
                <w:szCs w:val="1"/>
                <w:color w:val="auto"/>
              </w:rPr>
            </w:pPr>
          </w:p>
        </w:tc>
      </w:tr>
      <w:tr>
        <w:trPr>
          <w:trHeight w:val="225"/>
        </w:trPr>
        <w:tc>
          <w:tcPr>
            <w:tcW w:w="51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Other countries</w:t>
            </w:r>
          </w:p>
        </w:tc>
        <w:tc>
          <w:tcPr>
            <w:tcW w:w="27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59,404</w:t>
            </w:r>
          </w:p>
        </w:tc>
        <w:tc>
          <w:tcPr>
            <w:tcW w:w="20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62,667</w:t>
            </w: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70,334</w:t>
            </w:r>
          </w:p>
        </w:tc>
        <w:tc>
          <w:tcPr>
            <w:tcW w:w="0" w:type="dxa"/>
            <w:vAlign w:val="bottom"/>
          </w:tcPr>
          <w:p>
            <w:pPr>
              <w:spacing w:after="0"/>
              <w:rPr>
                <w:sz w:val="1"/>
                <w:szCs w:val="1"/>
                <w:color w:val="auto"/>
              </w:rPr>
            </w:pPr>
          </w:p>
        </w:tc>
      </w:tr>
      <w:tr>
        <w:trPr>
          <w:trHeight w:val="196"/>
        </w:trPr>
        <w:tc>
          <w:tcPr>
            <w:tcW w:w="510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color w:val="auto"/>
              </w:rPr>
              <w:t>Consolidated total</w:t>
            </w:r>
          </w:p>
        </w:tc>
        <w:tc>
          <w:tcPr>
            <w:tcW w:w="2780" w:type="dxa"/>
            <w:vAlign w:val="bottom"/>
            <w:tcBorders>
              <w:bottom w:val="single" w:sz="8" w:color="auto"/>
            </w:tcBorders>
          </w:tcPr>
          <w:p>
            <w:pPr>
              <w:jc w:val="right"/>
              <w:ind w:right="570"/>
              <w:spacing w:after="0" w:line="196" w:lineRule="exact"/>
              <w:rPr>
                <w:sz w:val="20"/>
                <w:szCs w:val="20"/>
                <w:color w:val="auto"/>
              </w:rPr>
            </w:pPr>
            <w:r>
              <w:rPr>
                <w:rFonts w:ascii="Arial" w:cs="Arial" w:eastAsia="Arial" w:hAnsi="Arial"/>
                <w:sz w:val="18"/>
                <w:szCs w:val="18"/>
                <w:b w:val="1"/>
                <w:bCs w:val="1"/>
                <w:color w:val="auto"/>
              </w:rPr>
              <w:t>$779,839</w:t>
            </w:r>
          </w:p>
        </w:tc>
        <w:tc>
          <w:tcPr>
            <w:tcW w:w="2040" w:type="dxa"/>
            <w:vAlign w:val="bottom"/>
            <w:tcBorders>
              <w:bottom w:val="single" w:sz="8" w:color="auto"/>
            </w:tcBorders>
          </w:tcPr>
          <w:p>
            <w:pPr>
              <w:jc w:val="right"/>
              <w:ind w:right="550"/>
              <w:spacing w:after="0" w:line="196" w:lineRule="exact"/>
              <w:rPr>
                <w:sz w:val="20"/>
                <w:szCs w:val="20"/>
                <w:color w:val="auto"/>
              </w:rPr>
            </w:pPr>
            <w:r>
              <w:rPr>
                <w:rFonts w:ascii="Arial" w:cs="Arial" w:eastAsia="Arial" w:hAnsi="Arial"/>
                <w:sz w:val="18"/>
                <w:szCs w:val="18"/>
                <w:color w:val="auto"/>
              </w:rPr>
              <w:t>$709,868</w:t>
            </w:r>
          </w:p>
        </w:tc>
        <w:tc>
          <w:tcPr>
            <w:tcW w:w="15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$745,345</w:t>
            </w:r>
          </w:p>
        </w:tc>
        <w:tc>
          <w:tcPr>
            <w:tcW w:w="0" w:type="dxa"/>
            <w:vAlign w:val="bottom"/>
          </w:tcPr>
          <w:p>
            <w:pPr>
              <w:spacing w:after="0"/>
              <w:rPr>
                <w:sz w:val="1"/>
                <w:szCs w:val="1"/>
                <w:color w:val="auto"/>
              </w:rPr>
            </w:pPr>
          </w:p>
        </w:tc>
      </w:tr>
      <w:tr>
        <w:trPr>
          <w:trHeight w:val="195"/>
        </w:trPr>
        <w:tc>
          <w:tcPr>
            <w:tcW w:w="5100" w:type="dxa"/>
            <w:vAlign w:val="bottom"/>
          </w:tcPr>
          <w:p>
            <w:pPr>
              <w:ind w:left="80"/>
              <w:spacing w:after="0" w:line="195" w:lineRule="exact"/>
              <w:rPr>
                <w:sz w:val="20"/>
                <w:szCs w:val="20"/>
                <w:color w:val="auto"/>
              </w:rPr>
            </w:pPr>
            <w:r>
              <w:rPr>
                <w:rFonts w:ascii="Arial" w:cs="Arial" w:eastAsia="Arial" w:hAnsi="Arial"/>
                <w:sz w:val="18"/>
                <w:szCs w:val="18"/>
                <w:b w:val="1"/>
                <w:bCs w:val="1"/>
                <w:color w:val="auto"/>
              </w:rPr>
              <w:t>Property, plant and equipment, at cost, net</w:t>
            </w:r>
          </w:p>
        </w:tc>
        <w:tc>
          <w:tcPr>
            <w:tcW w:w="2780" w:type="dxa"/>
            <w:vAlign w:val="bottom"/>
            <w:vMerge w:val="restart"/>
          </w:tcPr>
          <w:p>
            <w:pPr>
              <w:jc w:val="right"/>
              <w:ind w:right="570"/>
              <w:spacing w:after="0"/>
              <w:rPr>
                <w:sz w:val="20"/>
                <w:szCs w:val="20"/>
                <w:color w:val="auto"/>
              </w:rPr>
            </w:pPr>
            <w:r>
              <w:rPr>
                <w:rFonts w:ascii="Arial" w:cs="Arial" w:eastAsia="Arial" w:hAnsi="Arial"/>
                <w:sz w:val="18"/>
                <w:szCs w:val="18"/>
                <w:b w:val="1"/>
                <w:bCs w:val="1"/>
                <w:color w:val="auto"/>
              </w:rPr>
              <w:t>$245,626</w:t>
            </w:r>
          </w:p>
        </w:tc>
        <w:tc>
          <w:tcPr>
            <w:tcW w:w="20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100" w:type="dxa"/>
            <w:vAlign w:val="bottom"/>
          </w:tcPr>
          <w:p>
            <w:pPr>
              <w:ind w:left="80"/>
              <w:spacing w:after="0" w:line="181" w:lineRule="exact"/>
              <w:rPr>
                <w:sz w:val="20"/>
                <w:szCs w:val="20"/>
                <w:color w:val="auto"/>
              </w:rPr>
            </w:pPr>
            <w:r>
              <w:rPr>
                <w:rFonts w:ascii="Arial" w:cs="Arial" w:eastAsia="Arial" w:hAnsi="Arial"/>
                <w:sz w:val="18"/>
                <w:szCs w:val="18"/>
                <w:color w:val="auto"/>
              </w:rPr>
              <w:t>United States</w:t>
            </w:r>
          </w:p>
        </w:tc>
        <w:tc>
          <w:tcPr>
            <w:tcW w:w="2780" w:type="dxa"/>
            <w:vAlign w:val="bottom"/>
            <w:vMerge w:val="continue"/>
          </w:tcPr>
          <w:p>
            <w:pPr>
              <w:spacing w:after="0"/>
              <w:rPr>
                <w:sz w:val="15"/>
                <w:szCs w:val="15"/>
                <w:color w:val="auto"/>
              </w:rPr>
            </w:pPr>
          </w:p>
        </w:tc>
        <w:tc>
          <w:tcPr>
            <w:tcW w:w="2040" w:type="dxa"/>
            <w:vAlign w:val="bottom"/>
          </w:tcPr>
          <w:p>
            <w:pPr>
              <w:jc w:val="right"/>
              <w:ind w:right="550"/>
              <w:spacing w:after="0" w:line="181" w:lineRule="exact"/>
              <w:rPr>
                <w:sz w:val="20"/>
                <w:szCs w:val="20"/>
                <w:color w:val="auto"/>
              </w:rPr>
            </w:pPr>
            <w:r>
              <w:rPr>
                <w:rFonts w:ascii="Arial" w:cs="Arial" w:eastAsia="Arial" w:hAnsi="Arial"/>
                <w:sz w:val="18"/>
                <w:szCs w:val="18"/>
                <w:color w:val="auto"/>
              </w:rPr>
              <w:t>$172,372</w:t>
            </w:r>
          </w:p>
        </w:tc>
        <w:tc>
          <w:tcPr>
            <w:tcW w:w="1500" w:type="dxa"/>
            <w:vAlign w:val="bottom"/>
          </w:tcPr>
          <w:p>
            <w:pPr>
              <w:jc w:val="right"/>
              <w:ind w:right="10"/>
              <w:spacing w:after="0" w:line="181" w:lineRule="exact"/>
              <w:rPr>
                <w:sz w:val="20"/>
                <w:szCs w:val="20"/>
                <w:color w:val="auto"/>
              </w:rPr>
            </w:pPr>
            <w:r>
              <w:rPr>
                <w:rFonts w:ascii="Arial" w:cs="Arial" w:eastAsia="Arial" w:hAnsi="Arial"/>
                <w:sz w:val="18"/>
                <w:szCs w:val="18"/>
                <w:color w:val="auto"/>
              </w:rPr>
              <w:t>$168,848</w:t>
            </w:r>
          </w:p>
        </w:tc>
        <w:tc>
          <w:tcPr>
            <w:tcW w:w="0" w:type="dxa"/>
            <w:vAlign w:val="bottom"/>
          </w:tcPr>
          <w:p>
            <w:pPr>
              <w:spacing w:after="0"/>
              <w:rPr>
                <w:sz w:val="1"/>
                <w:szCs w:val="1"/>
                <w:color w:val="auto"/>
              </w:rPr>
            </w:pPr>
          </w:p>
        </w:tc>
      </w:tr>
      <w:tr>
        <w:trPr>
          <w:trHeight w:val="203"/>
        </w:trPr>
        <w:tc>
          <w:tcPr>
            <w:tcW w:w="5100" w:type="dxa"/>
            <w:vAlign w:val="bottom"/>
          </w:tcPr>
          <w:p>
            <w:pPr>
              <w:ind w:left="80"/>
              <w:spacing w:after="0" w:line="202" w:lineRule="exact"/>
              <w:rPr>
                <w:sz w:val="20"/>
                <w:szCs w:val="20"/>
                <w:color w:val="auto"/>
              </w:rPr>
            </w:pPr>
            <w:r>
              <w:rPr>
                <w:rFonts w:ascii="Arial" w:cs="Arial" w:eastAsia="Arial" w:hAnsi="Arial"/>
                <w:sz w:val="18"/>
                <w:szCs w:val="18"/>
                <w:color w:val="auto"/>
              </w:rPr>
              <w:t>China</w:t>
            </w:r>
          </w:p>
        </w:tc>
        <w:tc>
          <w:tcPr>
            <w:tcW w:w="2780" w:type="dxa"/>
            <w:vAlign w:val="bottom"/>
          </w:tcPr>
          <w:p>
            <w:pPr>
              <w:jc w:val="right"/>
              <w:ind w:right="570"/>
              <w:spacing w:after="0" w:line="202" w:lineRule="exact"/>
              <w:rPr>
                <w:sz w:val="20"/>
                <w:szCs w:val="20"/>
                <w:color w:val="auto"/>
              </w:rPr>
            </w:pPr>
            <w:r>
              <w:rPr>
                <w:rFonts w:ascii="Arial" w:cs="Arial" w:eastAsia="Arial" w:hAnsi="Arial"/>
                <w:sz w:val="18"/>
                <w:szCs w:val="18"/>
                <w:b w:val="1"/>
                <w:bCs w:val="1"/>
                <w:color w:val="auto"/>
              </w:rPr>
              <w:t>65,987</w:t>
            </w:r>
          </w:p>
        </w:tc>
        <w:tc>
          <w:tcPr>
            <w:tcW w:w="2040" w:type="dxa"/>
            <w:vAlign w:val="bottom"/>
          </w:tcPr>
          <w:p>
            <w:pPr>
              <w:jc w:val="right"/>
              <w:ind w:right="550"/>
              <w:spacing w:after="0" w:line="202" w:lineRule="exact"/>
              <w:rPr>
                <w:sz w:val="20"/>
                <w:szCs w:val="20"/>
                <w:color w:val="auto"/>
              </w:rPr>
            </w:pPr>
            <w:r>
              <w:rPr>
                <w:rFonts w:ascii="Arial" w:cs="Arial" w:eastAsia="Arial" w:hAnsi="Arial"/>
                <w:sz w:val="18"/>
                <w:szCs w:val="18"/>
                <w:color w:val="auto"/>
              </w:rPr>
              <w:t>80,786</w:t>
            </w:r>
          </w:p>
        </w:tc>
        <w:tc>
          <w:tcPr>
            <w:tcW w:w="15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93,182</w:t>
            </w:r>
          </w:p>
        </w:tc>
        <w:tc>
          <w:tcPr>
            <w:tcW w:w="0" w:type="dxa"/>
            <w:vAlign w:val="bottom"/>
          </w:tcPr>
          <w:p>
            <w:pPr>
              <w:spacing w:after="0"/>
              <w:rPr>
                <w:sz w:val="1"/>
                <w:szCs w:val="1"/>
                <w:color w:val="auto"/>
              </w:rPr>
            </w:pPr>
          </w:p>
        </w:tc>
      </w:tr>
      <w:tr>
        <w:trPr>
          <w:trHeight w:val="203"/>
        </w:trPr>
        <w:tc>
          <w:tcPr>
            <w:tcW w:w="5100" w:type="dxa"/>
            <w:vAlign w:val="bottom"/>
          </w:tcPr>
          <w:p>
            <w:pPr>
              <w:ind w:left="80"/>
              <w:spacing w:after="0" w:line="202" w:lineRule="exact"/>
              <w:rPr>
                <w:sz w:val="20"/>
                <w:szCs w:val="20"/>
                <w:color w:val="auto"/>
              </w:rPr>
            </w:pPr>
            <w:r>
              <w:rPr>
                <w:rFonts w:ascii="Arial" w:cs="Arial" w:eastAsia="Arial" w:hAnsi="Arial"/>
                <w:sz w:val="18"/>
                <w:szCs w:val="18"/>
                <w:color w:val="auto"/>
              </w:rPr>
              <w:t>France</w:t>
            </w:r>
          </w:p>
        </w:tc>
        <w:tc>
          <w:tcPr>
            <w:tcW w:w="2780" w:type="dxa"/>
            <w:vAlign w:val="bottom"/>
          </w:tcPr>
          <w:p>
            <w:pPr>
              <w:jc w:val="right"/>
              <w:ind w:right="570"/>
              <w:spacing w:after="0" w:line="202" w:lineRule="exact"/>
              <w:rPr>
                <w:sz w:val="20"/>
                <w:szCs w:val="20"/>
                <w:color w:val="auto"/>
              </w:rPr>
            </w:pPr>
            <w:r>
              <w:rPr>
                <w:rFonts w:ascii="Arial" w:cs="Arial" w:eastAsia="Arial" w:hAnsi="Arial"/>
                <w:sz w:val="18"/>
                <w:szCs w:val="18"/>
                <w:b w:val="1"/>
                <w:bCs w:val="1"/>
                <w:color w:val="auto"/>
              </w:rPr>
              <w:t>42,272</w:t>
            </w:r>
          </w:p>
        </w:tc>
        <w:tc>
          <w:tcPr>
            <w:tcW w:w="2040" w:type="dxa"/>
            <w:vAlign w:val="bottom"/>
          </w:tcPr>
          <w:p>
            <w:pPr>
              <w:jc w:val="right"/>
              <w:ind w:right="550"/>
              <w:spacing w:after="0" w:line="202" w:lineRule="exact"/>
              <w:rPr>
                <w:sz w:val="20"/>
                <w:szCs w:val="20"/>
                <w:color w:val="auto"/>
              </w:rPr>
            </w:pPr>
            <w:r>
              <w:rPr>
                <w:rFonts w:ascii="Arial" w:cs="Arial" w:eastAsia="Arial" w:hAnsi="Arial"/>
                <w:sz w:val="18"/>
                <w:szCs w:val="18"/>
                <w:color w:val="auto"/>
              </w:rPr>
              <w:t>28,539</w:t>
            </w:r>
          </w:p>
        </w:tc>
        <w:tc>
          <w:tcPr>
            <w:tcW w:w="15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25,091</w:t>
            </w:r>
          </w:p>
        </w:tc>
        <w:tc>
          <w:tcPr>
            <w:tcW w:w="0" w:type="dxa"/>
            <w:vAlign w:val="bottom"/>
          </w:tcPr>
          <w:p>
            <w:pPr>
              <w:spacing w:after="0"/>
              <w:rPr>
                <w:sz w:val="1"/>
                <w:szCs w:val="1"/>
                <w:color w:val="auto"/>
              </w:rPr>
            </w:pPr>
          </w:p>
        </w:tc>
      </w:tr>
      <w:tr>
        <w:trPr>
          <w:trHeight w:val="203"/>
        </w:trPr>
        <w:tc>
          <w:tcPr>
            <w:tcW w:w="5100" w:type="dxa"/>
            <w:vAlign w:val="bottom"/>
          </w:tcPr>
          <w:p>
            <w:pPr>
              <w:ind w:left="80"/>
              <w:spacing w:after="0" w:line="202" w:lineRule="exact"/>
              <w:rPr>
                <w:sz w:val="20"/>
                <w:szCs w:val="20"/>
                <w:color w:val="auto"/>
              </w:rPr>
            </w:pPr>
            <w:r>
              <w:rPr>
                <w:rFonts w:ascii="Arial" w:cs="Arial" w:eastAsia="Arial" w:hAnsi="Arial"/>
                <w:sz w:val="18"/>
                <w:szCs w:val="18"/>
                <w:color w:val="auto"/>
              </w:rPr>
              <w:t>Korea</w:t>
            </w:r>
          </w:p>
        </w:tc>
        <w:tc>
          <w:tcPr>
            <w:tcW w:w="2780" w:type="dxa"/>
            <w:vAlign w:val="bottom"/>
          </w:tcPr>
          <w:p>
            <w:pPr>
              <w:jc w:val="right"/>
              <w:ind w:right="570"/>
              <w:spacing w:after="0" w:line="202" w:lineRule="exact"/>
              <w:rPr>
                <w:sz w:val="20"/>
                <w:szCs w:val="20"/>
                <w:color w:val="auto"/>
              </w:rPr>
            </w:pPr>
            <w:r>
              <w:rPr>
                <w:rFonts w:ascii="Arial" w:cs="Arial" w:eastAsia="Arial" w:hAnsi="Arial"/>
                <w:sz w:val="18"/>
                <w:szCs w:val="18"/>
                <w:b w:val="1"/>
                <w:bCs w:val="1"/>
                <w:color w:val="auto"/>
              </w:rPr>
              <w:t>15,585</w:t>
            </w:r>
          </w:p>
        </w:tc>
        <w:tc>
          <w:tcPr>
            <w:tcW w:w="2040" w:type="dxa"/>
            <w:vAlign w:val="bottom"/>
          </w:tcPr>
          <w:p>
            <w:pPr>
              <w:jc w:val="right"/>
              <w:ind w:right="550"/>
              <w:spacing w:after="0" w:line="202" w:lineRule="exact"/>
              <w:rPr>
                <w:sz w:val="20"/>
                <w:szCs w:val="20"/>
                <w:color w:val="auto"/>
              </w:rPr>
            </w:pPr>
            <w:r>
              <w:rPr>
                <w:rFonts w:ascii="Arial" w:cs="Arial" w:eastAsia="Arial" w:hAnsi="Arial"/>
                <w:sz w:val="18"/>
                <w:szCs w:val="18"/>
                <w:color w:val="auto"/>
              </w:rPr>
              <w:t>19,095</w:t>
            </w:r>
          </w:p>
        </w:tc>
        <w:tc>
          <w:tcPr>
            <w:tcW w:w="15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23,473</w:t>
            </w:r>
          </w:p>
        </w:tc>
        <w:tc>
          <w:tcPr>
            <w:tcW w:w="0" w:type="dxa"/>
            <w:vAlign w:val="bottom"/>
          </w:tcPr>
          <w:p>
            <w:pPr>
              <w:spacing w:after="0"/>
              <w:rPr>
                <w:sz w:val="1"/>
                <w:szCs w:val="1"/>
                <w:color w:val="auto"/>
              </w:rPr>
            </w:pPr>
          </w:p>
        </w:tc>
      </w:tr>
      <w:tr>
        <w:trPr>
          <w:trHeight w:val="203"/>
        </w:trPr>
        <w:tc>
          <w:tcPr>
            <w:tcW w:w="5100" w:type="dxa"/>
            <w:vAlign w:val="bottom"/>
          </w:tcPr>
          <w:p>
            <w:pPr>
              <w:ind w:left="80"/>
              <w:spacing w:after="0" w:line="202" w:lineRule="exact"/>
              <w:rPr>
                <w:sz w:val="20"/>
                <w:szCs w:val="20"/>
                <w:color w:val="auto"/>
              </w:rPr>
            </w:pPr>
            <w:r>
              <w:rPr>
                <w:rFonts w:ascii="Arial" w:cs="Arial" w:eastAsia="Arial" w:hAnsi="Arial"/>
                <w:sz w:val="18"/>
                <w:szCs w:val="18"/>
                <w:color w:val="auto"/>
              </w:rPr>
              <w:t>United Kingdom</w:t>
            </w:r>
          </w:p>
        </w:tc>
        <w:tc>
          <w:tcPr>
            <w:tcW w:w="2780" w:type="dxa"/>
            <w:vAlign w:val="bottom"/>
          </w:tcPr>
          <w:p>
            <w:pPr>
              <w:jc w:val="right"/>
              <w:ind w:right="570"/>
              <w:spacing w:after="0" w:line="202" w:lineRule="exact"/>
              <w:rPr>
                <w:sz w:val="20"/>
                <w:szCs w:val="20"/>
                <w:color w:val="auto"/>
              </w:rPr>
            </w:pPr>
            <w:r>
              <w:rPr>
                <w:rFonts w:ascii="Arial" w:cs="Arial" w:eastAsia="Arial" w:hAnsi="Arial"/>
                <w:sz w:val="18"/>
                <w:szCs w:val="18"/>
                <w:b w:val="1"/>
                <w:bCs w:val="1"/>
                <w:color w:val="auto"/>
              </w:rPr>
              <w:t>14,591</w:t>
            </w:r>
          </w:p>
        </w:tc>
        <w:tc>
          <w:tcPr>
            <w:tcW w:w="2040" w:type="dxa"/>
            <w:vAlign w:val="bottom"/>
          </w:tcPr>
          <w:p>
            <w:pPr>
              <w:jc w:val="right"/>
              <w:ind w:right="550"/>
              <w:spacing w:after="0" w:line="202" w:lineRule="exact"/>
              <w:rPr>
                <w:sz w:val="20"/>
                <w:szCs w:val="20"/>
                <w:color w:val="auto"/>
              </w:rPr>
            </w:pPr>
            <w:r>
              <w:rPr>
                <w:rFonts w:ascii="Arial" w:cs="Arial" w:eastAsia="Arial" w:hAnsi="Arial"/>
                <w:sz w:val="18"/>
                <w:szCs w:val="18"/>
                <w:color w:val="auto"/>
              </w:rPr>
              <w:t>19,029</w:t>
            </w:r>
          </w:p>
        </w:tc>
        <w:tc>
          <w:tcPr>
            <w:tcW w:w="15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22,222</w:t>
            </w:r>
          </w:p>
        </w:tc>
        <w:tc>
          <w:tcPr>
            <w:tcW w:w="0" w:type="dxa"/>
            <w:vAlign w:val="bottom"/>
          </w:tcPr>
          <w:p>
            <w:pPr>
              <w:spacing w:after="0"/>
              <w:rPr>
                <w:sz w:val="1"/>
                <w:szCs w:val="1"/>
                <w:color w:val="auto"/>
              </w:rPr>
            </w:pPr>
          </w:p>
        </w:tc>
      </w:tr>
      <w:tr>
        <w:trPr>
          <w:trHeight w:val="203"/>
        </w:trPr>
        <w:tc>
          <w:tcPr>
            <w:tcW w:w="5100" w:type="dxa"/>
            <w:vAlign w:val="bottom"/>
          </w:tcPr>
          <w:p>
            <w:pPr>
              <w:ind w:left="80"/>
              <w:spacing w:after="0" w:line="202" w:lineRule="exact"/>
              <w:rPr>
                <w:sz w:val="20"/>
                <w:szCs w:val="20"/>
                <w:color w:val="auto"/>
              </w:rPr>
            </w:pPr>
            <w:r>
              <w:rPr>
                <w:rFonts w:ascii="Arial" w:cs="Arial" w:eastAsia="Arial" w:hAnsi="Arial"/>
                <w:sz w:val="18"/>
                <w:szCs w:val="18"/>
                <w:color w:val="auto"/>
              </w:rPr>
              <w:t>Canada</w:t>
            </w:r>
          </w:p>
        </w:tc>
        <w:tc>
          <w:tcPr>
            <w:tcW w:w="2780" w:type="dxa"/>
            <w:vAlign w:val="bottom"/>
          </w:tcPr>
          <w:p>
            <w:pPr>
              <w:jc w:val="right"/>
              <w:ind w:right="570"/>
              <w:spacing w:after="0" w:line="202" w:lineRule="exact"/>
              <w:rPr>
                <w:sz w:val="20"/>
                <w:szCs w:val="20"/>
                <w:color w:val="auto"/>
              </w:rPr>
            </w:pPr>
            <w:r>
              <w:rPr>
                <w:rFonts w:ascii="Arial" w:cs="Arial" w:eastAsia="Arial" w:hAnsi="Arial"/>
                <w:sz w:val="18"/>
                <w:szCs w:val="18"/>
                <w:b w:val="1"/>
                <w:bCs w:val="1"/>
                <w:color w:val="auto"/>
              </w:rPr>
              <w:t>11,455</w:t>
            </w:r>
          </w:p>
        </w:tc>
        <w:tc>
          <w:tcPr>
            <w:tcW w:w="2040" w:type="dxa"/>
            <w:vAlign w:val="bottom"/>
          </w:tcPr>
          <w:p>
            <w:pPr>
              <w:jc w:val="right"/>
              <w:ind w:right="550"/>
              <w:spacing w:after="0" w:line="202" w:lineRule="exact"/>
              <w:rPr>
                <w:sz w:val="20"/>
                <w:szCs w:val="20"/>
                <w:color w:val="auto"/>
              </w:rPr>
            </w:pPr>
            <w:r>
              <w:rPr>
                <w:rFonts w:ascii="Arial" w:cs="Arial" w:eastAsia="Arial" w:hAnsi="Arial"/>
                <w:sz w:val="18"/>
                <w:szCs w:val="18"/>
                <w:color w:val="auto"/>
              </w:rPr>
              <w:t>12,861</w:t>
            </w:r>
          </w:p>
        </w:tc>
        <w:tc>
          <w:tcPr>
            <w:tcW w:w="15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18,236</w:t>
            </w:r>
          </w:p>
        </w:tc>
        <w:tc>
          <w:tcPr>
            <w:tcW w:w="0" w:type="dxa"/>
            <w:vAlign w:val="bottom"/>
          </w:tcPr>
          <w:p>
            <w:pPr>
              <w:spacing w:after="0"/>
              <w:rPr>
                <w:sz w:val="1"/>
                <w:szCs w:val="1"/>
                <w:color w:val="auto"/>
              </w:rPr>
            </w:pPr>
          </w:p>
        </w:tc>
      </w:tr>
      <w:tr>
        <w:trPr>
          <w:trHeight w:val="225"/>
        </w:trPr>
        <w:tc>
          <w:tcPr>
            <w:tcW w:w="51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Other countries</w:t>
            </w:r>
          </w:p>
        </w:tc>
        <w:tc>
          <w:tcPr>
            <w:tcW w:w="27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27,048</w:t>
            </w:r>
          </w:p>
        </w:tc>
        <w:tc>
          <w:tcPr>
            <w:tcW w:w="20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24,788</w:t>
            </w: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44,061</w:t>
            </w:r>
          </w:p>
        </w:tc>
        <w:tc>
          <w:tcPr>
            <w:tcW w:w="0" w:type="dxa"/>
            <w:vAlign w:val="bottom"/>
          </w:tcPr>
          <w:p>
            <w:pPr>
              <w:spacing w:after="0"/>
              <w:rPr>
                <w:sz w:val="1"/>
                <w:szCs w:val="1"/>
                <w:color w:val="auto"/>
              </w:rPr>
            </w:pPr>
          </w:p>
        </w:tc>
      </w:tr>
      <w:tr>
        <w:trPr>
          <w:trHeight w:val="196"/>
        </w:trPr>
        <w:tc>
          <w:tcPr>
            <w:tcW w:w="510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color w:val="auto"/>
              </w:rPr>
              <w:t>Consolidated total</w:t>
            </w:r>
          </w:p>
        </w:tc>
        <w:tc>
          <w:tcPr>
            <w:tcW w:w="2780" w:type="dxa"/>
            <w:vAlign w:val="bottom"/>
            <w:tcBorders>
              <w:bottom w:val="single" w:sz="8" w:color="auto"/>
            </w:tcBorders>
          </w:tcPr>
          <w:p>
            <w:pPr>
              <w:jc w:val="right"/>
              <w:ind w:right="570"/>
              <w:spacing w:after="0" w:line="196" w:lineRule="exact"/>
              <w:rPr>
                <w:sz w:val="20"/>
                <w:szCs w:val="20"/>
                <w:color w:val="auto"/>
              </w:rPr>
            </w:pPr>
            <w:r>
              <w:rPr>
                <w:rFonts w:ascii="Arial" w:cs="Arial" w:eastAsia="Arial" w:hAnsi="Arial"/>
                <w:sz w:val="18"/>
                <w:szCs w:val="18"/>
                <w:b w:val="1"/>
                <w:bCs w:val="1"/>
                <w:color w:val="auto"/>
              </w:rPr>
              <w:t>$422,564</w:t>
            </w:r>
          </w:p>
        </w:tc>
        <w:tc>
          <w:tcPr>
            <w:tcW w:w="2040" w:type="dxa"/>
            <w:vAlign w:val="bottom"/>
            <w:tcBorders>
              <w:bottom w:val="single" w:sz="8" w:color="auto"/>
            </w:tcBorders>
          </w:tcPr>
          <w:p>
            <w:pPr>
              <w:jc w:val="right"/>
              <w:ind w:right="550"/>
              <w:spacing w:after="0" w:line="196" w:lineRule="exact"/>
              <w:rPr>
                <w:sz w:val="20"/>
                <w:szCs w:val="20"/>
                <w:color w:val="auto"/>
              </w:rPr>
            </w:pPr>
            <w:r>
              <w:rPr>
                <w:rFonts w:ascii="Arial" w:cs="Arial" w:eastAsia="Arial" w:hAnsi="Arial"/>
                <w:sz w:val="18"/>
                <w:szCs w:val="18"/>
                <w:color w:val="auto"/>
              </w:rPr>
              <w:t>$357,470</w:t>
            </w:r>
          </w:p>
        </w:tc>
        <w:tc>
          <w:tcPr>
            <w:tcW w:w="15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$395,113</w:t>
            </w:r>
          </w:p>
        </w:tc>
        <w:tc>
          <w:tcPr>
            <w:tcW w:w="0" w:type="dxa"/>
            <w:vAlign w:val="bottom"/>
          </w:tcPr>
          <w:p>
            <w:pPr>
              <w:spacing w:after="0"/>
              <w:rPr>
                <w:sz w:val="1"/>
                <w:szCs w:val="1"/>
                <w:color w:val="auto"/>
              </w:rPr>
            </w:pPr>
          </w:p>
        </w:tc>
      </w:tr>
    </w:tbl>
    <w:p>
      <w:pPr>
        <w:spacing w:after="0" w:line="369" w:lineRule="exact"/>
        <w:rPr>
          <w:sz w:val="20"/>
          <w:szCs w:val="20"/>
          <w:color w:val="auto"/>
        </w:rPr>
      </w:pPr>
    </w:p>
    <w:p>
      <w:pPr>
        <w:ind w:right="7000" w:firstLine="8"/>
        <w:spacing w:after="0" w:line="451" w:lineRule="auto"/>
        <w:tabs>
          <w:tab w:leader="none" w:pos="20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Pensions and Other Postretirement Benefit Plans Pension Plans</w:t>
      </w:r>
    </w:p>
    <w:p>
      <w:pPr>
        <w:ind w:right="120" w:firstLine="648"/>
        <w:spacing w:after="0" w:line="237" w:lineRule="auto"/>
        <w:rPr>
          <w:sz w:val="20"/>
          <w:szCs w:val="20"/>
          <w:color w:val="auto"/>
        </w:rPr>
      </w:pPr>
      <w:r>
        <w:rPr>
          <w:rFonts w:ascii="Arial" w:cs="Arial" w:eastAsia="Arial" w:hAnsi="Arial"/>
          <w:sz w:val="18"/>
          <w:szCs w:val="18"/>
          <w:color w:val="auto"/>
        </w:rPr>
        <w:t>The Company has defined benefit pension plans covering certain U.S. and non-U.S. employees. The U.S. qualified defined benefit pension plan has been closed to new participants since October 1998 and, as of February 2009, benefits accrued under this plan were frozen. As a result of the freeze, employees covered by the pension plan will receive, at retirement, benefits already accrued through February 2009, but no new benefits accrue after that date. Benefit accruals under the U.S. Supplemental Executive Retirement Plan ("SERP") were similarly frozen. The U.S. pension plan accounts for 43 percent of consolidated pension plan assets, and 44 percent of consolidated pension plan obligations. The eligibility, benefit formulas, and contribution requirements for plans outside of the U.S. vary by location.</w:t>
      </w:r>
    </w:p>
    <w:p>
      <w:pPr>
        <w:spacing w:after="0" w:line="17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December 31, 2016 and 2015 benefit obligations for the U.S. pension and postretirement plans were calculated using the RP-2014 with generational projection using scale BB-2D from the 2006 mortality basis. For U.S. pension funding purposes, the Company uses the plan’s IRS-basis current liability as its funding target, which is determined based on mandated assumptions. Weak investment returns and low interest rates could result in higher than expected contributions to pension plans in future years.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Postretirement Benefits</w:t>
      </w:r>
    </w:p>
    <w:p>
      <w:pPr>
        <w:spacing w:after="0" w:line="193" w:lineRule="exact"/>
        <w:rPr>
          <w:sz w:val="20"/>
          <w:szCs w:val="20"/>
          <w:color w:val="auto"/>
        </w:rPr>
      </w:pPr>
    </w:p>
    <w:p>
      <w:pPr>
        <w:ind w:right="100" w:firstLine="648"/>
        <w:spacing w:after="0" w:line="237" w:lineRule="auto"/>
        <w:rPr>
          <w:sz w:val="20"/>
          <w:szCs w:val="20"/>
          <w:color w:val="auto"/>
        </w:rPr>
      </w:pPr>
      <w:r>
        <w:rPr>
          <w:rFonts w:ascii="Arial" w:cs="Arial" w:eastAsia="Arial" w:hAnsi="Arial"/>
          <w:sz w:val="18"/>
          <w:szCs w:val="18"/>
          <w:color w:val="auto"/>
        </w:rPr>
        <w:t>In addition to providing pension benefits, the Company provides various medical, dental, and life insurance benefits for certain retired United States employees. U.S. employees hired prior to 2005 may become eligible for these benefits if they reach normal retirement age while working for the Company. Benefits provided under this plan are subject to change. Retirees share in the cost of these benefits. Effective January 2005, any new employees who wish to be covered under this plan will be responsible for the full cost of such benefits. In September 2008, we changed the cost-sharing arrangement under this program such that increases in health care costs are the responsibility of plan participants. In August 2013, we reduced the life insurance benefit for retirees and eliminated the benefit for active employees.</w:t>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67" w:name="page68"/>
    <w:bookmarkEnd w:id="67"/>
    <w:p>
      <w:pPr>
        <w:ind w:right="200" w:firstLine="648"/>
        <w:spacing w:after="0"/>
        <w:rPr>
          <w:sz w:val="20"/>
          <w:szCs w:val="20"/>
          <w:color w:val="auto"/>
        </w:rPr>
      </w:pPr>
      <w:r>
        <w:rPr>
          <w:rFonts w:ascii="Arial" w:cs="Arial" w:eastAsia="Arial" w:hAnsi="Arial"/>
          <w:sz w:val="18"/>
          <w:szCs w:val="18"/>
          <w:color w:val="auto"/>
        </w:rPr>
        <w:t>The Company also provides certain postretirement life insurance benefits to retired employees in Canada. As of December 31, 2016, the accrued postretirement liability was $ 56.5 million in the U.S. and $1.0 million in Canada. The Company accrues the cost of providing postretirement benefits during the active service period of the employees. The Company currently funds the plans as claims are paid.</w:t>
      </w:r>
    </w:p>
    <w:p>
      <w:pPr>
        <w:spacing w:after="0" w:line="161" w:lineRule="exact"/>
        <w:rPr>
          <w:sz w:val="20"/>
          <w:szCs w:val="20"/>
          <w:color w:val="auto"/>
        </w:rPr>
      </w:pPr>
    </w:p>
    <w:p>
      <w:pPr>
        <w:ind w:right="160" w:firstLine="648"/>
        <w:spacing w:after="0"/>
        <w:rPr>
          <w:sz w:val="20"/>
          <w:szCs w:val="20"/>
          <w:color w:val="auto"/>
        </w:rPr>
      </w:pPr>
      <w:r>
        <w:rPr>
          <w:rFonts w:ascii="Arial" w:cs="Arial" w:eastAsia="Arial" w:hAnsi="Arial"/>
          <w:sz w:val="18"/>
          <w:szCs w:val="18"/>
          <w:color w:val="auto"/>
        </w:rPr>
        <w:t>Accounting guidance requires the recognition of the funded status of each defined benefit and other postretirement benefit plan. Each overfunded plan is recognized as an asset and each underfunded plan is recognized as a liability. Company pension plan data for U.S. and non-U.S. plans has been combined for both 2016 and 2015, except where indicated below.</w:t>
      </w:r>
    </w:p>
    <w:p>
      <w:pPr>
        <w:spacing w:after="0" w:line="176"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The Company’s pension and postretirement benefit costs and benefit obligations are based on actuarial valuations that are affected by many assumptions, the most significant of which are the assumed discount rate, expected rate of return on pension plan assets, and mortality. Each of the assumptions is reviewed and updated annually, as appropriate. The assumed rates of return for pension plan assets are determined for each major asset category based on historical rates of return for assets in that category and expectations of future rates of return based, in part, on simulated future capital market performance. The assumed discount rate is based on yields from a portfolio of currently available high-quality fixed-income investments with durations matching the expected future payments, based on the demographics of the plan participants and the plan provisions.</w:t>
      </w:r>
    </w:p>
    <w:p>
      <w:pPr>
        <w:spacing w:after="0" w:line="163" w:lineRule="exact"/>
        <w:rPr>
          <w:sz w:val="20"/>
          <w:szCs w:val="20"/>
          <w:color w:val="auto"/>
        </w:rPr>
      </w:pPr>
    </w:p>
    <w:p>
      <w:pPr>
        <w:ind w:right="200" w:firstLine="648"/>
        <w:spacing w:after="0" w:line="236" w:lineRule="auto"/>
        <w:rPr>
          <w:sz w:val="20"/>
          <w:szCs w:val="20"/>
          <w:color w:val="auto"/>
        </w:rPr>
      </w:pPr>
      <w:r>
        <w:rPr>
          <w:rFonts w:ascii="Arial" w:cs="Arial" w:eastAsia="Arial" w:hAnsi="Arial"/>
          <w:sz w:val="18"/>
          <w:szCs w:val="18"/>
          <w:color w:val="auto"/>
        </w:rPr>
        <w:t>Gains and losses arise from changes in the assumptions used to measure the benefit obligations, and experience different from what had been assumed, including asset returns different than what had been expected. The Company amortizes gains and losses in excess of a “corridor” over the average future service of the plan’s current participants. The corridor is defined as 10 percent of the greater of the plan’s projected benefit obligation or market-related value of plan assets. The market-related value of plan assets is also used to determine the expected return on plan assets component of net periodic cost. The Company’s market-related value for its U.S. plan is measured by first determining the absolute difference between the actual and the expected return on the plan assets. The absolute difference in excess of 5 percent of the expected return is added to the market-related value over two years; the remainder is added to the market-related value immediately.</w:t>
      </w:r>
    </w:p>
    <w:p>
      <w:pPr>
        <w:spacing w:after="0" w:line="168" w:lineRule="exact"/>
        <w:rPr>
          <w:sz w:val="20"/>
          <w:szCs w:val="20"/>
          <w:color w:val="auto"/>
        </w:rPr>
      </w:pPr>
    </w:p>
    <w:p>
      <w:pPr>
        <w:ind w:right="60" w:firstLine="648"/>
        <w:spacing w:after="0"/>
        <w:rPr>
          <w:sz w:val="20"/>
          <w:szCs w:val="20"/>
          <w:color w:val="auto"/>
        </w:rPr>
      </w:pPr>
      <w:r>
        <w:rPr>
          <w:rFonts w:ascii="Arial" w:cs="Arial" w:eastAsia="Arial" w:hAnsi="Arial"/>
          <w:sz w:val="18"/>
          <w:szCs w:val="18"/>
          <w:color w:val="auto"/>
        </w:rPr>
        <w:t>To the extent the Company’s unrecognized net losses and unrecognized prior service costs, including the amount recognized through accumulated other comprehensive income, are not reduced by future favorable plan experience, they will be recognized as a component of the net periodic cost in future years.</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68" w:name="page69"/>
    <w:bookmarkEnd w:id="68"/>
    <w:p>
      <w:pPr>
        <w:ind w:left="660"/>
        <w:spacing w:after="0"/>
        <w:rPr>
          <w:sz w:val="20"/>
          <w:szCs w:val="20"/>
          <w:color w:val="auto"/>
        </w:rPr>
      </w:pPr>
      <w:r>
        <w:rPr>
          <w:rFonts w:ascii="Arial" w:cs="Arial" w:eastAsia="Arial" w:hAnsi="Arial"/>
          <w:sz w:val="18"/>
          <w:szCs w:val="18"/>
          <w:color w:val="auto"/>
        </w:rPr>
        <w:t>The following table sets forth the plan benefit obligations: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220" w:type="dxa"/>
            <w:vAlign w:val="bottom"/>
            <w:tcBorders>
              <w:top w:val="single" w:sz="8" w:color="auto"/>
            </w:tcBorders>
          </w:tcPr>
          <w:p>
            <w:pPr>
              <w:spacing w:after="0"/>
              <w:rPr>
                <w:sz w:val="16"/>
                <w:szCs w:val="16"/>
                <w:color w:val="auto"/>
              </w:rPr>
            </w:pPr>
          </w:p>
        </w:tc>
        <w:tc>
          <w:tcPr>
            <w:tcW w:w="4000" w:type="dxa"/>
            <w:vAlign w:val="bottom"/>
            <w:tcBorders>
              <w:top w:val="single" w:sz="8" w:color="auto"/>
            </w:tcBorders>
            <w:gridSpan w:val="2"/>
          </w:tcPr>
          <w:p>
            <w:pPr>
              <w:jc w:val="right"/>
              <w:ind w:right="570"/>
              <w:spacing w:after="0" w:line="194" w:lineRule="exact"/>
              <w:rPr>
                <w:sz w:val="20"/>
                <w:szCs w:val="20"/>
                <w:color w:val="auto"/>
              </w:rPr>
            </w:pPr>
            <w:r>
              <w:rPr>
                <w:rFonts w:ascii="Arial" w:cs="Arial" w:eastAsia="Arial" w:hAnsi="Arial"/>
                <w:sz w:val="18"/>
                <w:szCs w:val="18"/>
                <w:b w:val="1"/>
                <w:bCs w:val="1"/>
                <w:color w:val="auto"/>
              </w:rPr>
              <w:t>As of December 31, 2016</w:t>
            </w:r>
          </w:p>
        </w:tc>
        <w:tc>
          <w:tcPr>
            <w:tcW w:w="3200" w:type="dxa"/>
            <w:vAlign w:val="bottom"/>
            <w:tcBorders>
              <w:top w:val="single" w:sz="8" w:color="auto"/>
            </w:tcBorders>
            <w:gridSpan w:val="2"/>
          </w:tcPr>
          <w:p>
            <w:pPr>
              <w:jc w:val="right"/>
              <w:ind w:right="370"/>
              <w:spacing w:after="0" w:line="194" w:lineRule="exact"/>
              <w:rPr>
                <w:sz w:val="20"/>
                <w:szCs w:val="20"/>
                <w:color w:val="auto"/>
              </w:rPr>
            </w:pPr>
            <w:r>
              <w:rPr>
                <w:rFonts w:ascii="Arial" w:cs="Arial" w:eastAsia="Arial" w:hAnsi="Arial"/>
                <w:sz w:val="18"/>
                <w:szCs w:val="18"/>
                <w:b w:val="1"/>
                <w:bCs w:val="1"/>
                <w:color w:val="auto"/>
              </w:rPr>
              <w:t>As of December 31, 2015</w:t>
            </w:r>
          </w:p>
        </w:tc>
        <w:tc>
          <w:tcPr>
            <w:tcW w:w="0" w:type="dxa"/>
            <w:vAlign w:val="bottom"/>
          </w:tcPr>
          <w:p>
            <w:pPr>
              <w:spacing w:after="0"/>
              <w:rPr>
                <w:sz w:val="1"/>
                <w:szCs w:val="1"/>
                <w:color w:val="auto"/>
              </w:rPr>
            </w:pPr>
          </w:p>
        </w:tc>
      </w:tr>
      <w:tr>
        <w:trPr>
          <w:trHeight w:val="203"/>
        </w:trPr>
        <w:tc>
          <w:tcPr>
            <w:tcW w:w="42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7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Other</w:t>
            </w:r>
          </w:p>
        </w:tc>
        <w:tc>
          <w:tcPr>
            <w:tcW w:w="1680" w:type="dxa"/>
            <w:vAlign w:val="bottom"/>
          </w:tcPr>
          <w:p>
            <w:pPr>
              <w:spacing w:after="0"/>
              <w:rPr>
                <w:sz w:val="17"/>
                <w:szCs w:val="17"/>
                <w:color w:val="auto"/>
              </w:rPr>
            </w:pPr>
          </w:p>
        </w:tc>
        <w:tc>
          <w:tcPr>
            <w:tcW w:w="1520" w:type="dxa"/>
            <w:vAlign w:val="bottom"/>
          </w:tcPr>
          <w:p>
            <w:pPr>
              <w:jc w:val="center"/>
              <w:ind w:left="70"/>
              <w:spacing w:after="0" w:line="202" w:lineRule="exact"/>
              <w:rPr>
                <w:sz w:val="20"/>
                <w:szCs w:val="20"/>
                <w:color w:val="auto"/>
              </w:rPr>
            </w:pPr>
            <w:r>
              <w:rPr>
                <w:rFonts w:ascii="Arial" w:cs="Arial" w:eastAsia="Arial" w:hAnsi="Arial"/>
                <w:sz w:val="18"/>
                <w:szCs w:val="18"/>
                <w:b w:val="1"/>
                <w:bCs w:val="1"/>
                <w:color w:val="auto"/>
                <w:w w:val="99"/>
              </w:rPr>
              <w:t>Other</w:t>
            </w:r>
          </w:p>
        </w:tc>
        <w:tc>
          <w:tcPr>
            <w:tcW w:w="0" w:type="dxa"/>
            <w:vAlign w:val="bottom"/>
          </w:tcPr>
          <w:p>
            <w:pPr>
              <w:spacing w:after="0"/>
              <w:rPr>
                <w:sz w:val="1"/>
                <w:szCs w:val="1"/>
                <w:color w:val="auto"/>
              </w:rPr>
            </w:pPr>
          </w:p>
        </w:tc>
      </w:tr>
      <w:tr>
        <w:trPr>
          <w:trHeight w:val="203"/>
        </w:trPr>
        <w:tc>
          <w:tcPr>
            <w:tcW w:w="42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7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postretirement</w:t>
            </w:r>
          </w:p>
        </w:tc>
        <w:tc>
          <w:tcPr>
            <w:tcW w:w="1680" w:type="dxa"/>
            <w:vAlign w:val="bottom"/>
          </w:tcPr>
          <w:p>
            <w:pPr>
              <w:spacing w:after="0"/>
              <w:rPr>
                <w:sz w:val="17"/>
                <w:szCs w:val="17"/>
                <w:color w:val="auto"/>
              </w:rPr>
            </w:pPr>
          </w:p>
        </w:tc>
        <w:tc>
          <w:tcPr>
            <w:tcW w:w="1520" w:type="dxa"/>
            <w:vAlign w:val="bottom"/>
          </w:tcPr>
          <w:p>
            <w:pPr>
              <w:jc w:val="center"/>
              <w:ind w:left="90"/>
              <w:spacing w:after="0" w:line="202" w:lineRule="exact"/>
              <w:rPr>
                <w:sz w:val="20"/>
                <w:szCs w:val="20"/>
                <w:color w:val="auto"/>
              </w:rPr>
            </w:pPr>
            <w:r>
              <w:rPr>
                <w:rFonts w:ascii="Arial" w:cs="Arial" w:eastAsia="Arial" w:hAnsi="Arial"/>
                <w:sz w:val="18"/>
                <w:szCs w:val="18"/>
                <w:b w:val="1"/>
                <w:bCs w:val="1"/>
                <w:color w:val="auto"/>
                <w:w w:val="99"/>
              </w:rPr>
              <w:t>postretirement</w:t>
            </w:r>
          </w:p>
        </w:tc>
        <w:tc>
          <w:tcPr>
            <w:tcW w:w="0" w:type="dxa"/>
            <w:vAlign w:val="bottom"/>
          </w:tcPr>
          <w:p>
            <w:pPr>
              <w:spacing w:after="0"/>
              <w:rPr>
                <w:sz w:val="1"/>
                <w:szCs w:val="1"/>
                <w:color w:val="auto"/>
              </w:rPr>
            </w:pPr>
          </w:p>
        </w:tc>
      </w:tr>
      <w:tr>
        <w:trPr>
          <w:trHeight w:val="225"/>
        </w:trPr>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2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Pension plans</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benefits</w:t>
            </w:r>
          </w:p>
        </w:tc>
        <w:tc>
          <w:tcPr>
            <w:tcW w:w="1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Pension plans</w:t>
            </w:r>
          </w:p>
        </w:tc>
        <w:tc>
          <w:tcPr>
            <w:tcW w:w="152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b w:val="1"/>
                <w:bCs w:val="1"/>
                <w:color w:val="auto"/>
                <w:w w:val="98"/>
              </w:rPr>
              <w:t>benefits</w:t>
            </w:r>
          </w:p>
        </w:tc>
        <w:tc>
          <w:tcPr>
            <w:tcW w:w="0" w:type="dxa"/>
            <w:vAlign w:val="bottom"/>
          </w:tcPr>
          <w:p>
            <w:pPr>
              <w:spacing w:after="0"/>
              <w:rPr>
                <w:sz w:val="1"/>
                <w:szCs w:val="1"/>
                <w:color w:val="auto"/>
              </w:rPr>
            </w:pPr>
          </w:p>
        </w:tc>
      </w:tr>
      <w:tr>
        <w:trPr>
          <w:trHeight w:val="376"/>
        </w:trPr>
        <w:tc>
          <w:tcPr>
            <w:tcW w:w="4220" w:type="dxa"/>
            <w:vAlign w:val="bottom"/>
          </w:tcPr>
          <w:p>
            <w:pPr>
              <w:ind w:left="40"/>
              <w:spacing w:after="0"/>
              <w:rPr>
                <w:sz w:val="20"/>
                <w:szCs w:val="20"/>
                <w:color w:val="auto"/>
              </w:rPr>
            </w:pPr>
            <w:r>
              <w:rPr>
                <w:rFonts w:ascii="Arial" w:cs="Arial" w:eastAsia="Arial" w:hAnsi="Arial"/>
                <w:sz w:val="18"/>
                <w:szCs w:val="18"/>
                <w:color w:val="auto"/>
              </w:rPr>
              <w:t>Benefit obligation, beginning of year</w:t>
            </w:r>
          </w:p>
        </w:tc>
        <w:tc>
          <w:tcPr>
            <w:tcW w:w="2260" w:type="dxa"/>
            <w:vAlign w:val="bottom"/>
          </w:tcPr>
          <w:p>
            <w:pPr>
              <w:jc w:val="right"/>
              <w:ind w:right="190"/>
              <w:spacing w:after="0"/>
              <w:rPr>
                <w:sz w:val="20"/>
                <w:szCs w:val="20"/>
                <w:color w:val="auto"/>
              </w:rPr>
            </w:pPr>
            <w:r>
              <w:rPr>
                <w:rFonts w:ascii="Arial" w:cs="Arial" w:eastAsia="Arial" w:hAnsi="Arial"/>
                <w:sz w:val="18"/>
                <w:szCs w:val="18"/>
                <w:b w:val="1"/>
                <w:bCs w:val="1"/>
                <w:color w:val="auto"/>
              </w:rPr>
              <w:t>$199,856</w:t>
            </w:r>
          </w:p>
        </w:tc>
        <w:tc>
          <w:tcPr>
            <w:tcW w:w="1740" w:type="dxa"/>
            <w:vAlign w:val="bottom"/>
          </w:tcPr>
          <w:p>
            <w:pPr>
              <w:jc w:val="right"/>
              <w:ind w:right="210"/>
              <w:spacing w:after="0"/>
              <w:rPr>
                <w:sz w:val="20"/>
                <w:szCs w:val="20"/>
                <w:color w:val="auto"/>
              </w:rPr>
            </w:pPr>
            <w:r>
              <w:rPr>
                <w:rFonts w:ascii="Arial" w:cs="Arial" w:eastAsia="Arial" w:hAnsi="Arial"/>
                <w:sz w:val="18"/>
                <w:szCs w:val="18"/>
                <w:b w:val="1"/>
                <w:bCs w:val="1"/>
                <w:color w:val="auto"/>
              </w:rPr>
              <w:t>$59,970</w:t>
            </w:r>
          </w:p>
        </w:tc>
        <w:tc>
          <w:tcPr>
            <w:tcW w:w="1680" w:type="dxa"/>
            <w:vAlign w:val="bottom"/>
          </w:tcPr>
          <w:p>
            <w:pPr>
              <w:jc w:val="right"/>
              <w:ind w:right="190"/>
              <w:spacing w:after="0"/>
              <w:rPr>
                <w:sz w:val="20"/>
                <w:szCs w:val="20"/>
                <w:color w:val="auto"/>
              </w:rPr>
            </w:pPr>
            <w:r>
              <w:rPr>
                <w:rFonts w:ascii="Arial" w:cs="Arial" w:eastAsia="Arial" w:hAnsi="Arial"/>
                <w:sz w:val="18"/>
                <w:szCs w:val="18"/>
                <w:color w:val="auto"/>
              </w:rPr>
              <w:t>$213,110</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$64,987</w:t>
            </w:r>
          </w:p>
        </w:tc>
        <w:tc>
          <w:tcPr>
            <w:tcW w:w="0" w:type="dxa"/>
            <w:vAlign w:val="bottom"/>
          </w:tcPr>
          <w:p>
            <w:pPr>
              <w:spacing w:after="0"/>
              <w:rPr>
                <w:sz w:val="1"/>
                <w:szCs w:val="1"/>
                <w:color w:val="auto"/>
              </w:rPr>
            </w:pPr>
          </w:p>
        </w:tc>
      </w:tr>
      <w:tr>
        <w:trPr>
          <w:trHeight w:val="203"/>
        </w:trPr>
        <w:tc>
          <w:tcPr>
            <w:tcW w:w="4220" w:type="dxa"/>
            <w:vAlign w:val="bottom"/>
          </w:tcPr>
          <w:p>
            <w:pPr>
              <w:ind w:left="180"/>
              <w:spacing w:after="0" w:line="202" w:lineRule="exact"/>
              <w:rPr>
                <w:sz w:val="20"/>
                <w:szCs w:val="20"/>
                <w:color w:val="auto"/>
              </w:rPr>
            </w:pPr>
            <w:r>
              <w:rPr>
                <w:rFonts w:ascii="Arial" w:cs="Arial" w:eastAsia="Arial" w:hAnsi="Arial"/>
                <w:sz w:val="18"/>
                <w:szCs w:val="18"/>
                <w:color w:val="auto"/>
              </w:rPr>
              <w:t>Service cost</w:t>
            </w:r>
          </w:p>
        </w:tc>
        <w:tc>
          <w:tcPr>
            <w:tcW w:w="226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2,656</w:t>
            </w:r>
          </w:p>
        </w:tc>
        <w:tc>
          <w:tcPr>
            <w:tcW w:w="174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254</w:t>
            </w:r>
          </w:p>
        </w:tc>
        <w:tc>
          <w:tcPr>
            <w:tcW w:w="16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2,959</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03"/>
        </w:trPr>
        <w:tc>
          <w:tcPr>
            <w:tcW w:w="4220" w:type="dxa"/>
            <w:vAlign w:val="bottom"/>
          </w:tcPr>
          <w:p>
            <w:pPr>
              <w:ind w:left="180"/>
              <w:spacing w:after="0" w:line="202" w:lineRule="exact"/>
              <w:rPr>
                <w:sz w:val="20"/>
                <w:szCs w:val="20"/>
                <w:color w:val="auto"/>
              </w:rPr>
            </w:pPr>
            <w:r>
              <w:rPr>
                <w:rFonts w:ascii="Arial" w:cs="Arial" w:eastAsia="Arial" w:hAnsi="Arial"/>
                <w:sz w:val="18"/>
                <w:szCs w:val="18"/>
                <w:color w:val="auto"/>
              </w:rPr>
              <w:t>Interest cost</w:t>
            </w:r>
          </w:p>
        </w:tc>
        <w:tc>
          <w:tcPr>
            <w:tcW w:w="226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7,885</w:t>
            </w:r>
          </w:p>
        </w:tc>
        <w:tc>
          <w:tcPr>
            <w:tcW w:w="174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2,443</w:t>
            </w:r>
          </w:p>
        </w:tc>
        <w:tc>
          <w:tcPr>
            <w:tcW w:w="16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7,787</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2,437</w:t>
            </w:r>
          </w:p>
        </w:tc>
        <w:tc>
          <w:tcPr>
            <w:tcW w:w="0" w:type="dxa"/>
            <w:vAlign w:val="bottom"/>
          </w:tcPr>
          <w:p>
            <w:pPr>
              <w:spacing w:after="0"/>
              <w:rPr>
                <w:sz w:val="1"/>
                <w:szCs w:val="1"/>
                <w:color w:val="auto"/>
              </w:rPr>
            </w:pPr>
          </w:p>
        </w:tc>
      </w:tr>
      <w:tr>
        <w:trPr>
          <w:trHeight w:val="203"/>
        </w:trPr>
        <w:tc>
          <w:tcPr>
            <w:tcW w:w="4220" w:type="dxa"/>
            <w:vAlign w:val="bottom"/>
          </w:tcPr>
          <w:p>
            <w:pPr>
              <w:ind w:left="180"/>
              <w:spacing w:after="0" w:line="202" w:lineRule="exact"/>
              <w:rPr>
                <w:sz w:val="20"/>
                <w:szCs w:val="20"/>
                <w:color w:val="auto"/>
              </w:rPr>
            </w:pPr>
            <w:r>
              <w:rPr>
                <w:rFonts w:ascii="Arial" w:cs="Arial" w:eastAsia="Arial" w:hAnsi="Arial"/>
                <w:sz w:val="18"/>
                <w:szCs w:val="18"/>
                <w:color w:val="auto"/>
              </w:rPr>
              <w:t>Plan participants' contributions</w:t>
            </w:r>
          </w:p>
        </w:tc>
        <w:tc>
          <w:tcPr>
            <w:tcW w:w="226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249</w:t>
            </w:r>
          </w:p>
        </w:tc>
        <w:tc>
          <w:tcPr>
            <w:tcW w:w="174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w:t>
            </w:r>
          </w:p>
        </w:tc>
        <w:tc>
          <w:tcPr>
            <w:tcW w:w="16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304</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220" w:type="dxa"/>
            <w:vAlign w:val="bottom"/>
          </w:tcPr>
          <w:p>
            <w:pPr>
              <w:ind w:left="180"/>
              <w:spacing w:after="0" w:line="202" w:lineRule="exact"/>
              <w:rPr>
                <w:sz w:val="20"/>
                <w:szCs w:val="20"/>
                <w:color w:val="auto"/>
              </w:rPr>
            </w:pPr>
            <w:r>
              <w:rPr>
                <w:rFonts w:ascii="Arial" w:cs="Arial" w:eastAsia="Arial" w:hAnsi="Arial"/>
                <w:sz w:val="18"/>
                <w:szCs w:val="18"/>
                <w:color w:val="auto"/>
              </w:rPr>
              <w:t>Actuarial (gain)/loss</w:t>
            </w:r>
          </w:p>
        </w:tc>
        <w:tc>
          <w:tcPr>
            <w:tcW w:w="226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17,676</w:t>
            </w:r>
          </w:p>
        </w:tc>
        <w:tc>
          <w:tcPr>
            <w:tcW w:w="174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(395)</w:t>
            </w:r>
          </w:p>
        </w:tc>
        <w:tc>
          <w:tcPr>
            <w:tcW w:w="168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(4,209)</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(2,855)</w:t>
            </w:r>
          </w:p>
        </w:tc>
        <w:tc>
          <w:tcPr>
            <w:tcW w:w="0" w:type="dxa"/>
            <w:vAlign w:val="bottom"/>
          </w:tcPr>
          <w:p>
            <w:pPr>
              <w:spacing w:after="0"/>
              <w:rPr>
                <w:sz w:val="1"/>
                <w:szCs w:val="1"/>
                <w:color w:val="auto"/>
              </w:rPr>
            </w:pPr>
          </w:p>
        </w:tc>
      </w:tr>
      <w:tr>
        <w:trPr>
          <w:trHeight w:val="203"/>
        </w:trPr>
        <w:tc>
          <w:tcPr>
            <w:tcW w:w="4220" w:type="dxa"/>
            <w:vAlign w:val="bottom"/>
          </w:tcPr>
          <w:p>
            <w:pPr>
              <w:ind w:left="180"/>
              <w:spacing w:after="0" w:line="202" w:lineRule="exact"/>
              <w:rPr>
                <w:sz w:val="20"/>
                <w:szCs w:val="20"/>
                <w:color w:val="auto"/>
              </w:rPr>
            </w:pPr>
            <w:r>
              <w:rPr>
                <w:rFonts w:ascii="Arial" w:cs="Arial" w:eastAsia="Arial" w:hAnsi="Arial"/>
                <w:sz w:val="18"/>
                <w:szCs w:val="18"/>
                <w:color w:val="auto"/>
              </w:rPr>
              <w:t>Benefits paid</w:t>
            </w:r>
          </w:p>
        </w:tc>
        <w:tc>
          <w:tcPr>
            <w:tcW w:w="226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(7,057)</w:t>
            </w:r>
          </w:p>
        </w:tc>
        <w:tc>
          <w:tcPr>
            <w:tcW w:w="174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(4,812)</w:t>
            </w:r>
          </w:p>
        </w:tc>
        <w:tc>
          <w:tcPr>
            <w:tcW w:w="168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(6,530)</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(4,758)</w:t>
            </w:r>
          </w:p>
        </w:tc>
        <w:tc>
          <w:tcPr>
            <w:tcW w:w="0" w:type="dxa"/>
            <w:vAlign w:val="bottom"/>
          </w:tcPr>
          <w:p>
            <w:pPr>
              <w:spacing w:after="0"/>
              <w:rPr>
                <w:sz w:val="1"/>
                <w:szCs w:val="1"/>
                <w:color w:val="auto"/>
              </w:rPr>
            </w:pPr>
          </w:p>
        </w:tc>
      </w:tr>
      <w:tr>
        <w:trPr>
          <w:trHeight w:val="203"/>
        </w:trPr>
        <w:tc>
          <w:tcPr>
            <w:tcW w:w="4220" w:type="dxa"/>
            <w:vAlign w:val="bottom"/>
          </w:tcPr>
          <w:p>
            <w:pPr>
              <w:ind w:left="180"/>
              <w:spacing w:after="0" w:line="202" w:lineRule="exact"/>
              <w:rPr>
                <w:sz w:val="20"/>
                <w:szCs w:val="20"/>
                <w:color w:val="auto"/>
              </w:rPr>
            </w:pPr>
            <w:r>
              <w:rPr>
                <w:rFonts w:ascii="Arial" w:cs="Arial" w:eastAsia="Arial" w:hAnsi="Arial"/>
                <w:sz w:val="18"/>
                <w:szCs w:val="18"/>
                <w:color w:val="auto"/>
              </w:rPr>
              <w:t>Settlements and curtailments</w:t>
            </w:r>
          </w:p>
        </w:tc>
        <w:tc>
          <w:tcPr>
            <w:tcW w:w="226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(2,436)</w:t>
            </w:r>
          </w:p>
        </w:tc>
        <w:tc>
          <w:tcPr>
            <w:tcW w:w="174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w:t>
            </w:r>
          </w:p>
        </w:tc>
        <w:tc>
          <w:tcPr>
            <w:tcW w:w="168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(321)</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220" w:type="dxa"/>
            <w:vAlign w:val="bottom"/>
          </w:tcPr>
          <w:p>
            <w:pPr>
              <w:ind w:left="180"/>
              <w:spacing w:after="0" w:line="202" w:lineRule="exact"/>
              <w:rPr>
                <w:sz w:val="20"/>
                <w:szCs w:val="20"/>
                <w:color w:val="auto"/>
              </w:rPr>
            </w:pPr>
            <w:r>
              <w:rPr>
                <w:rFonts w:ascii="Arial" w:cs="Arial" w:eastAsia="Arial" w:hAnsi="Arial"/>
                <w:sz w:val="18"/>
                <w:szCs w:val="18"/>
                <w:color w:val="auto"/>
              </w:rPr>
              <w:t>Plan amendments and other</w:t>
            </w:r>
          </w:p>
        </w:tc>
        <w:tc>
          <w:tcPr>
            <w:tcW w:w="226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36</w:t>
            </w:r>
          </w:p>
        </w:tc>
        <w:tc>
          <w:tcPr>
            <w:tcW w:w="174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w:t>
            </w:r>
          </w:p>
        </w:tc>
        <w:tc>
          <w:tcPr>
            <w:tcW w:w="168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(37)</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2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Foreign currency changes</w:t>
            </w:r>
          </w:p>
        </w:tc>
        <w:tc>
          <w:tcPr>
            <w:tcW w:w="2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(8,009)</w:t>
            </w:r>
          </w:p>
        </w:tc>
        <w:tc>
          <w:tcPr>
            <w:tcW w:w="1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28</w:t>
            </w:r>
          </w:p>
        </w:tc>
        <w:tc>
          <w:tcPr>
            <w:tcW w:w="1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(13,207)</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196"/>
        </w:trPr>
        <w:tc>
          <w:tcPr>
            <w:tcW w:w="422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Benefit obligation, end of year</w:t>
            </w:r>
          </w:p>
        </w:tc>
        <w:tc>
          <w:tcPr>
            <w:tcW w:w="226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b w:val="1"/>
                <w:bCs w:val="1"/>
                <w:color w:val="auto"/>
              </w:rPr>
              <w:t>$210,856</w:t>
            </w:r>
          </w:p>
        </w:tc>
        <w:tc>
          <w:tcPr>
            <w:tcW w:w="174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$57,488</w:t>
            </w:r>
          </w:p>
        </w:tc>
        <w:tc>
          <w:tcPr>
            <w:tcW w:w="16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$199,856</w:t>
            </w:r>
          </w:p>
        </w:tc>
        <w:tc>
          <w:tcPr>
            <w:tcW w:w="15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$59,970</w:t>
            </w:r>
          </w:p>
        </w:tc>
        <w:tc>
          <w:tcPr>
            <w:tcW w:w="0" w:type="dxa"/>
            <w:vAlign w:val="bottom"/>
          </w:tcPr>
          <w:p>
            <w:pPr>
              <w:spacing w:after="0"/>
              <w:rPr>
                <w:sz w:val="1"/>
                <w:szCs w:val="1"/>
                <w:color w:val="auto"/>
              </w:rPr>
            </w:pPr>
          </w:p>
        </w:tc>
      </w:tr>
      <w:tr>
        <w:trPr>
          <w:trHeight w:val="196"/>
        </w:trPr>
        <w:tc>
          <w:tcPr>
            <w:tcW w:w="422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2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Accumulated benefit obligation</w:t>
            </w:r>
          </w:p>
        </w:tc>
        <w:tc>
          <w:tcPr>
            <w:tcW w:w="226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b w:val="1"/>
                <w:bCs w:val="1"/>
                <w:color w:val="auto"/>
              </w:rPr>
              <w:t>$200,790</w:t>
            </w:r>
          </w:p>
        </w:tc>
        <w:tc>
          <w:tcPr>
            <w:tcW w:w="174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w:t>
            </w:r>
          </w:p>
        </w:tc>
        <w:tc>
          <w:tcPr>
            <w:tcW w:w="16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$188,909</w:t>
            </w:r>
          </w:p>
        </w:tc>
        <w:tc>
          <w:tcPr>
            <w:tcW w:w="15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8"/>
        </w:trPr>
        <w:tc>
          <w:tcPr>
            <w:tcW w:w="4220" w:type="dxa"/>
            <w:vAlign w:val="bottom"/>
          </w:tcPr>
          <w:p>
            <w:pPr>
              <w:ind w:left="40"/>
              <w:spacing w:after="0"/>
              <w:rPr>
                <w:sz w:val="20"/>
                <w:szCs w:val="20"/>
                <w:color w:val="auto"/>
              </w:rPr>
            </w:pPr>
            <w:r>
              <w:rPr>
                <w:rFonts w:ascii="Arial" w:cs="Arial" w:eastAsia="Arial" w:hAnsi="Arial"/>
                <w:sz w:val="18"/>
                <w:szCs w:val="18"/>
                <w:color w:val="auto"/>
              </w:rPr>
              <w:t>Weighted average assumptions used to</w:t>
            </w:r>
          </w:p>
        </w:tc>
        <w:tc>
          <w:tcPr>
            <w:tcW w:w="2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220" w:type="dxa"/>
            <w:vAlign w:val="bottom"/>
          </w:tcPr>
          <w:p>
            <w:pPr>
              <w:ind w:left="40"/>
              <w:spacing w:after="0" w:line="202" w:lineRule="exact"/>
              <w:rPr>
                <w:sz w:val="20"/>
                <w:szCs w:val="20"/>
                <w:color w:val="auto"/>
              </w:rPr>
            </w:pPr>
            <w:r>
              <w:rPr>
                <w:rFonts w:ascii="Arial" w:cs="Arial" w:eastAsia="Arial" w:hAnsi="Arial"/>
                <w:sz w:val="18"/>
                <w:szCs w:val="18"/>
                <w:color w:val="auto"/>
              </w:rPr>
              <w:t>determine benefit obligations, end of year:</w:t>
            </w:r>
          </w:p>
        </w:tc>
        <w:tc>
          <w:tcPr>
            <w:tcW w:w="226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4.20%</w:t>
            </w:r>
          </w:p>
        </w:tc>
        <w:tc>
          <w:tcPr>
            <w:tcW w:w="174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4.00%</w:t>
            </w:r>
          </w:p>
        </w:tc>
        <w:tc>
          <w:tcPr>
            <w:tcW w:w="16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220" w:type="dxa"/>
            <w:vAlign w:val="bottom"/>
          </w:tcPr>
          <w:p>
            <w:pPr>
              <w:ind w:left="180"/>
              <w:spacing w:after="0" w:line="181" w:lineRule="exact"/>
              <w:rPr>
                <w:sz w:val="20"/>
                <w:szCs w:val="20"/>
                <w:color w:val="auto"/>
              </w:rPr>
            </w:pPr>
            <w:r>
              <w:rPr>
                <w:rFonts w:ascii="Arial" w:cs="Arial" w:eastAsia="Arial" w:hAnsi="Arial"/>
                <w:sz w:val="18"/>
                <w:szCs w:val="18"/>
                <w:color w:val="auto"/>
              </w:rPr>
              <w:t>Discount rate - U.S. plan</w:t>
            </w:r>
          </w:p>
        </w:tc>
        <w:tc>
          <w:tcPr>
            <w:tcW w:w="2260" w:type="dxa"/>
            <w:vAlign w:val="bottom"/>
            <w:vMerge w:val="continue"/>
          </w:tcPr>
          <w:p>
            <w:pPr>
              <w:spacing w:after="0"/>
              <w:rPr>
                <w:sz w:val="15"/>
                <w:szCs w:val="15"/>
                <w:color w:val="auto"/>
              </w:rPr>
            </w:pPr>
          </w:p>
        </w:tc>
        <w:tc>
          <w:tcPr>
            <w:tcW w:w="1740" w:type="dxa"/>
            <w:vAlign w:val="bottom"/>
            <w:vMerge w:val="continue"/>
          </w:tcPr>
          <w:p>
            <w:pPr>
              <w:spacing w:after="0"/>
              <w:rPr>
                <w:sz w:val="15"/>
                <w:szCs w:val="15"/>
                <w:color w:val="auto"/>
              </w:rPr>
            </w:pPr>
          </w:p>
        </w:tc>
        <w:tc>
          <w:tcPr>
            <w:tcW w:w="1680" w:type="dxa"/>
            <w:vAlign w:val="bottom"/>
          </w:tcPr>
          <w:p>
            <w:pPr>
              <w:jc w:val="right"/>
              <w:ind w:right="190"/>
              <w:spacing w:after="0" w:line="181" w:lineRule="exact"/>
              <w:rPr>
                <w:sz w:val="20"/>
                <w:szCs w:val="20"/>
                <w:color w:val="auto"/>
              </w:rPr>
            </w:pPr>
            <w:r>
              <w:rPr>
                <w:rFonts w:ascii="Arial" w:cs="Arial" w:eastAsia="Arial" w:hAnsi="Arial"/>
                <w:sz w:val="18"/>
                <w:szCs w:val="18"/>
                <w:color w:val="auto"/>
              </w:rPr>
              <w:t>4.54%</w:t>
            </w:r>
          </w:p>
        </w:tc>
        <w:tc>
          <w:tcPr>
            <w:tcW w:w="1520" w:type="dxa"/>
            <w:vAlign w:val="bottom"/>
          </w:tcPr>
          <w:p>
            <w:pPr>
              <w:jc w:val="right"/>
              <w:ind w:right="10"/>
              <w:spacing w:after="0" w:line="181" w:lineRule="exact"/>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03"/>
        </w:trPr>
        <w:tc>
          <w:tcPr>
            <w:tcW w:w="4220" w:type="dxa"/>
            <w:vAlign w:val="bottom"/>
          </w:tcPr>
          <w:p>
            <w:pPr>
              <w:ind w:left="180"/>
              <w:spacing w:after="0" w:line="202" w:lineRule="exact"/>
              <w:rPr>
                <w:sz w:val="20"/>
                <w:szCs w:val="20"/>
                <w:color w:val="auto"/>
              </w:rPr>
            </w:pPr>
            <w:r>
              <w:rPr>
                <w:rFonts w:ascii="Arial" w:cs="Arial" w:eastAsia="Arial" w:hAnsi="Arial"/>
                <w:sz w:val="18"/>
                <w:szCs w:val="18"/>
                <w:color w:val="auto"/>
              </w:rPr>
              <w:t>Discount rate - non-U.S. plans</w:t>
            </w:r>
          </w:p>
        </w:tc>
        <w:tc>
          <w:tcPr>
            <w:tcW w:w="226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2.98%</w:t>
            </w:r>
          </w:p>
        </w:tc>
        <w:tc>
          <w:tcPr>
            <w:tcW w:w="174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3.70%</w:t>
            </w:r>
          </w:p>
        </w:tc>
        <w:tc>
          <w:tcPr>
            <w:tcW w:w="16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3.67%</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03"/>
        </w:trPr>
        <w:tc>
          <w:tcPr>
            <w:tcW w:w="4220" w:type="dxa"/>
            <w:vAlign w:val="bottom"/>
          </w:tcPr>
          <w:p>
            <w:pPr>
              <w:ind w:left="180"/>
              <w:spacing w:after="0" w:line="202" w:lineRule="exact"/>
              <w:rPr>
                <w:sz w:val="20"/>
                <w:szCs w:val="20"/>
                <w:color w:val="auto"/>
              </w:rPr>
            </w:pPr>
            <w:r>
              <w:rPr>
                <w:rFonts w:ascii="Arial" w:cs="Arial" w:eastAsia="Arial" w:hAnsi="Arial"/>
                <w:sz w:val="18"/>
                <w:szCs w:val="18"/>
                <w:color w:val="auto"/>
              </w:rPr>
              <w:t>Compensation increase - U.S. plan</w:t>
            </w:r>
          </w:p>
        </w:tc>
        <w:tc>
          <w:tcPr>
            <w:tcW w:w="226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w:t>
            </w:r>
          </w:p>
        </w:tc>
        <w:tc>
          <w:tcPr>
            <w:tcW w:w="174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w:t>
            </w:r>
          </w:p>
        </w:tc>
        <w:tc>
          <w:tcPr>
            <w:tcW w:w="16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4220" w:type="dxa"/>
            <w:vAlign w:val="bottom"/>
          </w:tcPr>
          <w:p>
            <w:pPr>
              <w:ind w:left="180"/>
              <w:spacing w:after="0"/>
              <w:rPr>
                <w:sz w:val="20"/>
                <w:szCs w:val="20"/>
                <w:color w:val="auto"/>
              </w:rPr>
            </w:pPr>
            <w:r>
              <w:rPr>
                <w:rFonts w:ascii="Arial" w:cs="Arial" w:eastAsia="Arial" w:hAnsi="Arial"/>
                <w:sz w:val="18"/>
                <w:szCs w:val="18"/>
                <w:color w:val="auto"/>
              </w:rPr>
              <w:t>Compensation increase - non-U.S. plans</w:t>
            </w:r>
          </w:p>
        </w:tc>
        <w:tc>
          <w:tcPr>
            <w:tcW w:w="2260" w:type="dxa"/>
            <w:vAlign w:val="bottom"/>
          </w:tcPr>
          <w:p>
            <w:pPr>
              <w:jc w:val="right"/>
              <w:ind w:right="190"/>
              <w:spacing w:after="0"/>
              <w:rPr>
                <w:sz w:val="20"/>
                <w:szCs w:val="20"/>
                <w:color w:val="auto"/>
              </w:rPr>
            </w:pPr>
            <w:r>
              <w:rPr>
                <w:rFonts w:ascii="Arial" w:cs="Arial" w:eastAsia="Arial" w:hAnsi="Arial"/>
                <w:sz w:val="18"/>
                <w:szCs w:val="18"/>
                <w:b w:val="1"/>
                <w:bCs w:val="1"/>
                <w:color w:val="auto"/>
              </w:rPr>
              <w:t>3.29%</w:t>
            </w:r>
          </w:p>
        </w:tc>
        <w:tc>
          <w:tcPr>
            <w:tcW w:w="1740" w:type="dxa"/>
            <w:vAlign w:val="bottom"/>
          </w:tcPr>
          <w:p>
            <w:pPr>
              <w:jc w:val="right"/>
              <w:ind w:right="210"/>
              <w:spacing w:after="0"/>
              <w:rPr>
                <w:sz w:val="20"/>
                <w:szCs w:val="20"/>
                <w:color w:val="auto"/>
              </w:rPr>
            </w:pPr>
            <w:r>
              <w:rPr>
                <w:rFonts w:ascii="Arial" w:cs="Arial" w:eastAsia="Arial" w:hAnsi="Arial"/>
                <w:sz w:val="18"/>
                <w:szCs w:val="18"/>
                <w:b w:val="1"/>
                <w:bCs w:val="1"/>
                <w:color w:val="auto"/>
              </w:rPr>
              <w:t>3.00%</w:t>
            </w:r>
          </w:p>
        </w:tc>
        <w:tc>
          <w:tcPr>
            <w:tcW w:w="1680" w:type="dxa"/>
            <w:vAlign w:val="bottom"/>
          </w:tcPr>
          <w:p>
            <w:pPr>
              <w:jc w:val="right"/>
              <w:ind w:right="190"/>
              <w:spacing w:after="0"/>
              <w:rPr>
                <w:sz w:val="20"/>
                <w:szCs w:val="20"/>
                <w:color w:val="auto"/>
              </w:rPr>
            </w:pPr>
            <w:r>
              <w:rPr>
                <w:rFonts w:ascii="Arial" w:cs="Arial" w:eastAsia="Arial" w:hAnsi="Arial"/>
                <w:sz w:val="18"/>
                <w:szCs w:val="18"/>
                <w:color w:val="auto"/>
              </w:rPr>
              <w:t>3.24%</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bl>
    <w:p>
      <w:pPr>
        <w:spacing w:after="0" w:line="3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sets forth information about plan assets: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420" w:type="dxa"/>
            <w:vAlign w:val="bottom"/>
            <w:tcBorders>
              <w:top w:val="single" w:sz="8" w:color="auto"/>
            </w:tcBorders>
          </w:tcPr>
          <w:p>
            <w:pPr>
              <w:spacing w:after="0"/>
              <w:rPr>
                <w:sz w:val="16"/>
                <w:szCs w:val="16"/>
                <w:color w:val="auto"/>
              </w:rPr>
            </w:pPr>
          </w:p>
        </w:tc>
        <w:tc>
          <w:tcPr>
            <w:tcW w:w="3820" w:type="dxa"/>
            <w:vAlign w:val="bottom"/>
            <w:tcBorders>
              <w:top w:val="single" w:sz="8" w:color="auto"/>
            </w:tcBorders>
            <w:gridSpan w:val="2"/>
          </w:tcPr>
          <w:p>
            <w:pPr>
              <w:jc w:val="right"/>
              <w:ind w:right="550"/>
              <w:spacing w:after="0" w:line="194" w:lineRule="exact"/>
              <w:rPr>
                <w:sz w:val="20"/>
                <w:szCs w:val="20"/>
                <w:color w:val="auto"/>
              </w:rPr>
            </w:pPr>
            <w:r>
              <w:rPr>
                <w:rFonts w:ascii="Arial" w:cs="Arial" w:eastAsia="Arial" w:hAnsi="Arial"/>
                <w:sz w:val="18"/>
                <w:szCs w:val="18"/>
                <w:b w:val="1"/>
                <w:bCs w:val="1"/>
                <w:color w:val="auto"/>
              </w:rPr>
              <w:t>As of December 31, 2016</w:t>
            </w:r>
          </w:p>
        </w:tc>
        <w:tc>
          <w:tcPr>
            <w:tcW w:w="3180" w:type="dxa"/>
            <w:vAlign w:val="bottom"/>
            <w:tcBorders>
              <w:top w:val="single" w:sz="8" w:color="auto"/>
            </w:tcBorders>
            <w:gridSpan w:val="2"/>
          </w:tcPr>
          <w:p>
            <w:pPr>
              <w:jc w:val="right"/>
              <w:ind w:right="410"/>
              <w:spacing w:after="0" w:line="194" w:lineRule="exact"/>
              <w:rPr>
                <w:sz w:val="20"/>
                <w:szCs w:val="20"/>
                <w:color w:val="auto"/>
              </w:rPr>
            </w:pPr>
            <w:r>
              <w:rPr>
                <w:rFonts w:ascii="Arial" w:cs="Arial" w:eastAsia="Arial" w:hAnsi="Arial"/>
                <w:sz w:val="18"/>
                <w:szCs w:val="18"/>
                <w:color w:val="auto"/>
              </w:rPr>
              <w:t>As of December 31, 2015</w:t>
            </w:r>
          </w:p>
        </w:tc>
        <w:tc>
          <w:tcPr>
            <w:tcW w:w="20" w:type="dxa"/>
            <w:vAlign w:val="bottom"/>
          </w:tcPr>
          <w:p>
            <w:pPr>
              <w:spacing w:after="0"/>
              <w:rPr>
                <w:sz w:val="16"/>
                <w:szCs w:val="16"/>
                <w:color w:val="auto"/>
              </w:rPr>
            </w:pPr>
          </w:p>
        </w:tc>
      </w:tr>
      <w:tr>
        <w:trPr>
          <w:trHeight w:val="203"/>
        </w:trPr>
        <w:tc>
          <w:tcPr>
            <w:tcW w:w="44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7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Other</w:t>
            </w:r>
          </w:p>
        </w:tc>
        <w:tc>
          <w:tcPr>
            <w:tcW w:w="1680" w:type="dxa"/>
            <w:vAlign w:val="bottom"/>
          </w:tcPr>
          <w:p>
            <w:pPr>
              <w:spacing w:after="0"/>
              <w:rPr>
                <w:sz w:val="17"/>
                <w:szCs w:val="17"/>
                <w:color w:val="auto"/>
              </w:rPr>
            </w:pPr>
          </w:p>
        </w:tc>
        <w:tc>
          <w:tcPr>
            <w:tcW w:w="1520" w:type="dxa"/>
            <w:vAlign w:val="bottom"/>
            <w:gridSpan w:val="2"/>
          </w:tcPr>
          <w:p>
            <w:pPr>
              <w:jc w:val="center"/>
              <w:ind w:left="30"/>
              <w:spacing w:after="0" w:line="202" w:lineRule="exact"/>
              <w:rPr>
                <w:sz w:val="20"/>
                <w:szCs w:val="20"/>
                <w:color w:val="auto"/>
              </w:rPr>
            </w:pPr>
            <w:r>
              <w:rPr>
                <w:rFonts w:ascii="Arial" w:cs="Arial" w:eastAsia="Arial" w:hAnsi="Arial"/>
                <w:sz w:val="18"/>
                <w:szCs w:val="18"/>
                <w:color w:val="auto"/>
                <w:w w:val="97"/>
              </w:rPr>
              <w:t>Other</w:t>
            </w:r>
          </w:p>
        </w:tc>
      </w:tr>
      <w:tr>
        <w:trPr>
          <w:trHeight w:val="203"/>
        </w:trPr>
        <w:tc>
          <w:tcPr>
            <w:tcW w:w="44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7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postretirement</w:t>
            </w:r>
          </w:p>
        </w:tc>
        <w:tc>
          <w:tcPr>
            <w:tcW w:w="1680" w:type="dxa"/>
            <w:vAlign w:val="bottom"/>
          </w:tcPr>
          <w:p>
            <w:pPr>
              <w:spacing w:after="0"/>
              <w:rPr>
                <w:sz w:val="17"/>
                <w:szCs w:val="17"/>
                <w:color w:val="auto"/>
              </w:rPr>
            </w:pPr>
          </w:p>
        </w:tc>
        <w:tc>
          <w:tcPr>
            <w:tcW w:w="1520" w:type="dxa"/>
            <w:vAlign w:val="bottom"/>
            <w:gridSpan w:val="2"/>
          </w:tcPr>
          <w:p>
            <w:pPr>
              <w:jc w:val="center"/>
              <w:ind w:left="30"/>
              <w:spacing w:after="0" w:line="202" w:lineRule="exact"/>
              <w:rPr>
                <w:sz w:val="20"/>
                <w:szCs w:val="20"/>
                <w:color w:val="auto"/>
              </w:rPr>
            </w:pPr>
            <w:r>
              <w:rPr>
                <w:rFonts w:ascii="Arial" w:cs="Arial" w:eastAsia="Arial" w:hAnsi="Arial"/>
                <w:sz w:val="18"/>
                <w:szCs w:val="18"/>
                <w:color w:val="auto"/>
              </w:rPr>
              <w:t>postretirement</w:t>
            </w:r>
          </w:p>
        </w:tc>
      </w:tr>
      <w:tr>
        <w:trPr>
          <w:trHeight w:val="225"/>
        </w:trPr>
        <w:tc>
          <w:tcPr>
            <w:tcW w:w="442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2080" w:type="dxa"/>
            <w:vAlign w:val="bottom"/>
          </w:tcPr>
          <w:p>
            <w:pPr>
              <w:jc w:val="right"/>
              <w:ind w:right="110"/>
              <w:spacing w:after="0"/>
              <w:rPr>
                <w:sz w:val="20"/>
                <w:szCs w:val="20"/>
                <w:color w:val="auto"/>
              </w:rPr>
            </w:pPr>
            <w:r>
              <w:rPr>
                <w:rFonts w:ascii="Arial" w:cs="Arial" w:eastAsia="Arial" w:hAnsi="Arial"/>
                <w:sz w:val="18"/>
                <w:szCs w:val="18"/>
                <w:b w:val="1"/>
                <w:bCs w:val="1"/>
                <w:color w:val="auto"/>
              </w:rPr>
              <w:t>Pension plans</w:t>
            </w: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rPr>
              <w:t>benefits</w:t>
            </w:r>
          </w:p>
        </w:tc>
        <w:tc>
          <w:tcPr>
            <w:tcW w:w="1680" w:type="dxa"/>
            <w:vAlign w:val="bottom"/>
          </w:tcPr>
          <w:p>
            <w:pPr>
              <w:jc w:val="right"/>
              <w:ind w:right="210"/>
              <w:spacing w:after="0"/>
              <w:rPr>
                <w:sz w:val="20"/>
                <w:szCs w:val="20"/>
                <w:color w:val="auto"/>
              </w:rPr>
            </w:pPr>
            <w:r>
              <w:rPr>
                <w:rFonts w:ascii="Arial" w:cs="Arial" w:eastAsia="Arial" w:hAnsi="Arial"/>
                <w:sz w:val="18"/>
                <w:szCs w:val="18"/>
                <w:color w:val="auto"/>
              </w:rPr>
              <w:t>Pension plans</w:t>
            </w:r>
          </w:p>
        </w:tc>
        <w:tc>
          <w:tcPr>
            <w:tcW w:w="1520" w:type="dxa"/>
            <w:vAlign w:val="bottom"/>
            <w:gridSpan w:val="2"/>
          </w:tcPr>
          <w:p>
            <w:pPr>
              <w:jc w:val="center"/>
              <w:ind w:left="30"/>
              <w:spacing w:after="0"/>
              <w:rPr>
                <w:sz w:val="20"/>
                <w:szCs w:val="20"/>
                <w:color w:val="auto"/>
              </w:rPr>
            </w:pPr>
            <w:r>
              <w:rPr>
                <w:rFonts w:ascii="Arial" w:cs="Arial" w:eastAsia="Arial" w:hAnsi="Arial"/>
                <w:sz w:val="18"/>
                <w:szCs w:val="18"/>
                <w:color w:val="auto"/>
              </w:rPr>
              <w:t>benefits</w:t>
            </w:r>
          </w:p>
        </w:tc>
      </w:tr>
      <w:tr>
        <w:trPr>
          <w:trHeight w:val="376"/>
        </w:trPr>
        <w:tc>
          <w:tcPr>
            <w:tcW w:w="44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Fair value of plan assets, beginning of year</w:t>
            </w:r>
          </w:p>
        </w:tc>
        <w:tc>
          <w:tcPr>
            <w:tcW w:w="20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$171,387</w:t>
            </w:r>
          </w:p>
        </w:tc>
        <w:tc>
          <w:tcPr>
            <w:tcW w:w="17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16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$183,199</w:t>
            </w: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203"/>
        </w:trPr>
        <w:tc>
          <w:tcPr>
            <w:tcW w:w="4420" w:type="dxa"/>
            <w:vAlign w:val="bottom"/>
          </w:tcPr>
          <w:p>
            <w:pPr>
              <w:ind w:left="180"/>
              <w:spacing w:after="0" w:line="202" w:lineRule="exact"/>
              <w:rPr>
                <w:sz w:val="20"/>
                <w:szCs w:val="20"/>
                <w:color w:val="auto"/>
              </w:rPr>
            </w:pPr>
            <w:r>
              <w:rPr>
                <w:rFonts w:ascii="Arial" w:cs="Arial" w:eastAsia="Arial" w:hAnsi="Arial"/>
                <w:sz w:val="18"/>
                <w:szCs w:val="18"/>
                <w:color w:val="auto"/>
              </w:rPr>
              <w:t>Actual return on plan assets, net of expenses</w:t>
            </w:r>
          </w:p>
        </w:tc>
        <w:tc>
          <w:tcPr>
            <w:tcW w:w="208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19,740</w:t>
            </w:r>
          </w:p>
        </w:tc>
        <w:tc>
          <w:tcPr>
            <w:tcW w:w="174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w:t>
            </w:r>
          </w:p>
        </w:tc>
        <w:tc>
          <w:tcPr>
            <w:tcW w:w="168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730</w:t>
            </w:r>
          </w:p>
        </w:tc>
        <w:tc>
          <w:tcPr>
            <w:tcW w:w="15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3"/>
        </w:trPr>
        <w:tc>
          <w:tcPr>
            <w:tcW w:w="4420" w:type="dxa"/>
            <w:vAlign w:val="bottom"/>
          </w:tcPr>
          <w:p>
            <w:pPr>
              <w:ind w:left="180"/>
              <w:spacing w:after="0" w:line="202" w:lineRule="exact"/>
              <w:rPr>
                <w:sz w:val="20"/>
                <w:szCs w:val="20"/>
                <w:color w:val="auto"/>
              </w:rPr>
            </w:pPr>
            <w:r>
              <w:rPr>
                <w:rFonts w:ascii="Arial" w:cs="Arial" w:eastAsia="Arial" w:hAnsi="Arial"/>
                <w:sz w:val="18"/>
                <w:szCs w:val="18"/>
                <w:color w:val="auto"/>
              </w:rPr>
              <w:t>Employer contributions</w:t>
            </w:r>
          </w:p>
        </w:tc>
        <w:tc>
          <w:tcPr>
            <w:tcW w:w="208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6,605</w:t>
            </w:r>
          </w:p>
        </w:tc>
        <w:tc>
          <w:tcPr>
            <w:tcW w:w="174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4,812</w:t>
            </w:r>
          </w:p>
        </w:tc>
        <w:tc>
          <w:tcPr>
            <w:tcW w:w="168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5,287</w:t>
            </w:r>
          </w:p>
        </w:tc>
        <w:tc>
          <w:tcPr>
            <w:tcW w:w="15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4,758</w:t>
            </w:r>
          </w:p>
        </w:tc>
        <w:tc>
          <w:tcPr>
            <w:tcW w:w="20" w:type="dxa"/>
            <w:vAlign w:val="bottom"/>
          </w:tcPr>
          <w:p>
            <w:pPr>
              <w:spacing w:after="0"/>
              <w:rPr>
                <w:sz w:val="17"/>
                <w:szCs w:val="17"/>
                <w:color w:val="auto"/>
              </w:rPr>
            </w:pPr>
          </w:p>
        </w:tc>
      </w:tr>
      <w:tr>
        <w:trPr>
          <w:trHeight w:val="203"/>
        </w:trPr>
        <w:tc>
          <w:tcPr>
            <w:tcW w:w="4420" w:type="dxa"/>
            <w:vAlign w:val="bottom"/>
          </w:tcPr>
          <w:p>
            <w:pPr>
              <w:ind w:left="180"/>
              <w:spacing w:after="0" w:line="202" w:lineRule="exact"/>
              <w:rPr>
                <w:sz w:val="20"/>
                <w:szCs w:val="20"/>
                <w:color w:val="auto"/>
              </w:rPr>
            </w:pPr>
            <w:r>
              <w:rPr>
                <w:rFonts w:ascii="Arial" w:cs="Arial" w:eastAsia="Arial" w:hAnsi="Arial"/>
                <w:sz w:val="18"/>
                <w:szCs w:val="18"/>
                <w:color w:val="auto"/>
              </w:rPr>
              <w:t>Plan participants' contributions</w:t>
            </w:r>
          </w:p>
        </w:tc>
        <w:tc>
          <w:tcPr>
            <w:tcW w:w="208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249</w:t>
            </w:r>
          </w:p>
        </w:tc>
        <w:tc>
          <w:tcPr>
            <w:tcW w:w="174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72</w:t>
            </w:r>
          </w:p>
        </w:tc>
        <w:tc>
          <w:tcPr>
            <w:tcW w:w="168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304</w:t>
            </w:r>
          </w:p>
        </w:tc>
        <w:tc>
          <w:tcPr>
            <w:tcW w:w="15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1,068</w:t>
            </w:r>
          </w:p>
        </w:tc>
        <w:tc>
          <w:tcPr>
            <w:tcW w:w="20" w:type="dxa"/>
            <w:vAlign w:val="bottom"/>
          </w:tcPr>
          <w:p>
            <w:pPr>
              <w:spacing w:after="0"/>
              <w:rPr>
                <w:sz w:val="17"/>
                <w:szCs w:val="17"/>
                <w:color w:val="auto"/>
              </w:rPr>
            </w:pPr>
          </w:p>
        </w:tc>
      </w:tr>
      <w:tr>
        <w:trPr>
          <w:trHeight w:val="203"/>
        </w:trPr>
        <w:tc>
          <w:tcPr>
            <w:tcW w:w="4420" w:type="dxa"/>
            <w:vAlign w:val="bottom"/>
          </w:tcPr>
          <w:p>
            <w:pPr>
              <w:ind w:left="180"/>
              <w:spacing w:after="0" w:line="202" w:lineRule="exact"/>
              <w:rPr>
                <w:sz w:val="20"/>
                <w:szCs w:val="20"/>
                <w:color w:val="auto"/>
              </w:rPr>
            </w:pPr>
            <w:r>
              <w:rPr>
                <w:rFonts w:ascii="Arial" w:cs="Arial" w:eastAsia="Arial" w:hAnsi="Arial"/>
                <w:sz w:val="18"/>
                <w:szCs w:val="18"/>
                <w:color w:val="auto"/>
              </w:rPr>
              <w:t>Benefits paid</w:t>
            </w:r>
          </w:p>
        </w:tc>
        <w:tc>
          <w:tcPr>
            <w:tcW w:w="208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(7,057)</w:t>
            </w:r>
          </w:p>
        </w:tc>
        <w:tc>
          <w:tcPr>
            <w:tcW w:w="1740" w:type="dxa"/>
            <w:vAlign w:val="bottom"/>
          </w:tcPr>
          <w:p>
            <w:pPr>
              <w:jc w:val="right"/>
              <w:ind w:right="170"/>
              <w:spacing w:after="0" w:line="202" w:lineRule="exact"/>
              <w:rPr>
                <w:sz w:val="20"/>
                <w:szCs w:val="20"/>
                <w:color w:val="auto"/>
              </w:rPr>
            </w:pPr>
            <w:r>
              <w:rPr>
                <w:rFonts w:ascii="Arial" w:cs="Arial" w:eastAsia="Arial" w:hAnsi="Arial"/>
                <w:sz w:val="18"/>
                <w:szCs w:val="18"/>
                <w:b w:val="1"/>
                <w:bCs w:val="1"/>
                <w:color w:val="auto"/>
              </w:rPr>
              <w:t>(4,884)</w:t>
            </w:r>
          </w:p>
        </w:tc>
        <w:tc>
          <w:tcPr>
            <w:tcW w:w="168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(6,530)</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(5,826)</w:t>
            </w:r>
          </w:p>
        </w:tc>
        <w:tc>
          <w:tcPr>
            <w:tcW w:w="20" w:type="dxa"/>
            <w:vAlign w:val="bottom"/>
          </w:tcPr>
          <w:p>
            <w:pPr>
              <w:spacing w:after="0"/>
              <w:rPr>
                <w:sz w:val="17"/>
                <w:szCs w:val="17"/>
                <w:color w:val="auto"/>
              </w:rPr>
            </w:pPr>
          </w:p>
        </w:tc>
      </w:tr>
      <w:tr>
        <w:trPr>
          <w:trHeight w:val="203"/>
        </w:trPr>
        <w:tc>
          <w:tcPr>
            <w:tcW w:w="4420" w:type="dxa"/>
            <w:vAlign w:val="bottom"/>
          </w:tcPr>
          <w:p>
            <w:pPr>
              <w:ind w:left="180"/>
              <w:spacing w:after="0" w:line="202" w:lineRule="exact"/>
              <w:rPr>
                <w:sz w:val="20"/>
                <w:szCs w:val="20"/>
                <w:color w:val="auto"/>
              </w:rPr>
            </w:pPr>
            <w:r>
              <w:rPr>
                <w:rFonts w:ascii="Arial" w:cs="Arial" w:eastAsia="Arial" w:hAnsi="Arial"/>
                <w:sz w:val="18"/>
                <w:szCs w:val="18"/>
                <w:color w:val="auto"/>
              </w:rPr>
              <w:t>Settlements</w:t>
            </w:r>
          </w:p>
        </w:tc>
        <w:tc>
          <w:tcPr>
            <w:tcW w:w="208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(2,308)</w:t>
            </w:r>
          </w:p>
        </w:tc>
        <w:tc>
          <w:tcPr>
            <w:tcW w:w="174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w:t>
            </w:r>
          </w:p>
        </w:tc>
        <w:tc>
          <w:tcPr>
            <w:tcW w:w="168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(688)</w:t>
            </w:r>
          </w:p>
        </w:tc>
        <w:tc>
          <w:tcPr>
            <w:tcW w:w="15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25"/>
        </w:trPr>
        <w:tc>
          <w:tcPr>
            <w:tcW w:w="44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Foreign currency changes</w:t>
            </w:r>
          </w:p>
        </w:tc>
        <w:tc>
          <w:tcPr>
            <w:tcW w:w="2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(7,944)</w:t>
            </w:r>
          </w:p>
        </w:tc>
        <w:tc>
          <w:tcPr>
            <w:tcW w:w="1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1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(10,915)</w:t>
            </w: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196"/>
        </w:trPr>
        <w:tc>
          <w:tcPr>
            <w:tcW w:w="442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Fair value of plan assets, end of year</w:t>
            </w:r>
          </w:p>
        </w:tc>
        <w:tc>
          <w:tcPr>
            <w:tcW w:w="208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$180,672</w:t>
            </w:r>
          </w:p>
        </w:tc>
        <w:tc>
          <w:tcPr>
            <w:tcW w:w="174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w:t>
            </w:r>
          </w:p>
        </w:tc>
        <w:tc>
          <w:tcPr>
            <w:tcW w:w="168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$171,387</w:t>
            </w:r>
          </w:p>
        </w:tc>
        <w:tc>
          <w:tcPr>
            <w:tcW w:w="15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628"/>
        </w:trPr>
        <w:tc>
          <w:tcPr>
            <w:tcW w:w="44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r>
      <w:tr>
        <w:trPr>
          <w:trHeight w:val="129"/>
        </w:trPr>
        <w:tc>
          <w:tcPr>
            <w:tcW w:w="4420" w:type="dxa"/>
            <w:vAlign w:val="bottom"/>
            <w:tcBorders>
              <w:bottom w:val="single" w:sz="8" w:color="auto"/>
            </w:tcBorders>
          </w:tcPr>
          <w:p>
            <w:pPr>
              <w:spacing w:after="0"/>
              <w:rPr>
                <w:sz w:val="11"/>
                <w:szCs w:val="11"/>
                <w:color w:val="auto"/>
              </w:rPr>
            </w:pPr>
          </w:p>
        </w:tc>
        <w:tc>
          <w:tcPr>
            <w:tcW w:w="208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bl>
    <w:p>
      <w:pPr>
        <w:sectPr>
          <w:pgSz w:w="11900" w:h="16838" w:orient="portrait"/>
          <w:cols w:equalWidth="0" w:num="1">
            <w:col w:w="11420"/>
          </w:cols>
          <w:pgMar w:left="240" w:top="140" w:right="239" w:bottom="1440" w:gutter="0" w:footer="0" w:header="0"/>
        </w:sectPr>
      </w:pPr>
    </w:p>
    <w:bookmarkStart w:id="69" w:name="page70"/>
    <w:bookmarkEnd w:id="69"/>
    <w:p>
      <w:pPr>
        <w:ind w:left="660"/>
        <w:spacing w:after="0"/>
        <w:rPr>
          <w:sz w:val="20"/>
          <w:szCs w:val="20"/>
          <w:color w:val="auto"/>
        </w:rPr>
      </w:pPr>
      <w:r>
        <w:rPr>
          <w:rFonts w:ascii="Arial" w:cs="Arial" w:eastAsia="Arial" w:hAnsi="Arial"/>
          <w:sz w:val="18"/>
          <w:szCs w:val="18"/>
          <w:color w:val="auto"/>
        </w:rPr>
        <w:t>The funded status of the plans was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700" w:type="dxa"/>
            <w:vAlign w:val="bottom"/>
            <w:tcBorders>
              <w:top w:val="single" w:sz="8" w:color="auto"/>
            </w:tcBorders>
          </w:tcPr>
          <w:p>
            <w:pPr>
              <w:spacing w:after="0"/>
              <w:rPr>
                <w:sz w:val="16"/>
                <w:szCs w:val="16"/>
                <w:color w:val="auto"/>
              </w:rPr>
            </w:pPr>
          </w:p>
        </w:tc>
        <w:tc>
          <w:tcPr>
            <w:tcW w:w="3520" w:type="dxa"/>
            <w:vAlign w:val="bottom"/>
            <w:tcBorders>
              <w:top w:val="single" w:sz="8" w:color="auto"/>
            </w:tcBorders>
            <w:gridSpan w:val="2"/>
          </w:tcPr>
          <w:p>
            <w:pPr>
              <w:jc w:val="right"/>
              <w:ind w:right="570"/>
              <w:spacing w:after="0" w:line="194" w:lineRule="exact"/>
              <w:rPr>
                <w:sz w:val="20"/>
                <w:szCs w:val="20"/>
                <w:color w:val="auto"/>
              </w:rPr>
            </w:pPr>
            <w:r>
              <w:rPr>
                <w:rFonts w:ascii="Arial" w:cs="Arial" w:eastAsia="Arial" w:hAnsi="Arial"/>
                <w:sz w:val="18"/>
                <w:szCs w:val="18"/>
                <w:b w:val="1"/>
                <w:bCs w:val="1"/>
                <w:color w:val="auto"/>
              </w:rPr>
              <w:t>As of December 31, 2016</w:t>
            </w:r>
          </w:p>
        </w:tc>
        <w:tc>
          <w:tcPr>
            <w:tcW w:w="3200" w:type="dxa"/>
            <w:vAlign w:val="bottom"/>
            <w:tcBorders>
              <w:top w:val="single" w:sz="8" w:color="auto"/>
            </w:tcBorders>
            <w:gridSpan w:val="2"/>
          </w:tcPr>
          <w:p>
            <w:pPr>
              <w:jc w:val="right"/>
              <w:ind w:right="370"/>
              <w:spacing w:after="0" w:line="194" w:lineRule="exact"/>
              <w:rPr>
                <w:sz w:val="20"/>
                <w:szCs w:val="20"/>
                <w:color w:val="auto"/>
              </w:rPr>
            </w:pPr>
            <w:r>
              <w:rPr>
                <w:rFonts w:ascii="Arial" w:cs="Arial" w:eastAsia="Arial" w:hAnsi="Arial"/>
                <w:sz w:val="18"/>
                <w:szCs w:val="18"/>
                <w:b w:val="1"/>
                <w:bCs w:val="1"/>
                <w:color w:val="auto"/>
              </w:rPr>
              <w:t>As of December 31, 2015</w:t>
            </w:r>
          </w:p>
        </w:tc>
        <w:tc>
          <w:tcPr>
            <w:tcW w:w="0" w:type="dxa"/>
            <w:vAlign w:val="bottom"/>
          </w:tcPr>
          <w:p>
            <w:pPr>
              <w:spacing w:after="0"/>
              <w:rPr>
                <w:sz w:val="1"/>
                <w:szCs w:val="1"/>
                <w:color w:val="auto"/>
              </w:rPr>
            </w:pPr>
          </w:p>
        </w:tc>
      </w:tr>
      <w:tr>
        <w:trPr>
          <w:trHeight w:val="203"/>
        </w:trPr>
        <w:tc>
          <w:tcPr>
            <w:tcW w:w="47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7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Other</w:t>
            </w:r>
          </w:p>
        </w:tc>
        <w:tc>
          <w:tcPr>
            <w:tcW w:w="1680" w:type="dxa"/>
            <w:vAlign w:val="bottom"/>
          </w:tcPr>
          <w:p>
            <w:pPr>
              <w:spacing w:after="0"/>
              <w:rPr>
                <w:sz w:val="17"/>
                <w:szCs w:val="17"/>
                <w:color w:val="auto"/>
              </w:rPr>
            </w:pPr>
          </w:p>
        </w:tc>
        <w:tc>
          <w:tcPr>
            <w:tcW w:w="1520" w:type="dxa"/>
            <w:vAlign w:val="bottom"/>
          </w:tcPr>
          <w:p>
            <w:pPr>
              <w:jc w:val="center"/>
              <w:ind w:left="70"/>
              <w:spacing w:after="0" w:line="202" w:lineRule="exact"/>
              <w:rPr>
                <w:sz w:val="20"/>
                <w:szCs w:val="20"/>
                <w:color w:val="auto"/>
              </w:rPr>
            </w:pPr>
            <w:r>
              <w:rPr>
                <w:rFonts w:ascii="Arial" w:cs="Arial" w:eastAsia="Arial" w:hAnsi="Arial"/>
                <w:sz w:val="18"/>
                <w:szCs w:val="18"/>
                <w:b w:val="1"/>
                <w:bCs w:val="1"/>
                <w:color w:val="auto"/>
                <w:w w:val="99"/>
              </w:rPr>
              <w:t>Other</w:t>
            </w:r>
          </w:p>
        </w:tc>
        <w:tc>
          <w:tcPr>
            <w:tcW w:w="0" w:type="dxa"/>
            <w:vAlign w:val="bottom"/>
          </w:tcPr>
          <w:p>
            <w:pPr>
              <w:spacing w:after="0"/>
              <w:rPr>
                <w:sz w:val="1"/>
                <w:szCs w:val="1"/>
                <w:color w:val="auto"/>
              </w:rPr>
            </w:pPr>
          </w:p>
        </w:tc>
      </w:tr>
      <w:tr>
        <w:trPr>
          <w:trHeight w:val="203"/>
        </w:trPr>
        <w:tc>
          <w:tcPr>
            <w:tcW w:w="47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7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postretirement</w:t>
            </w:r>
          </w:p>
        </w:tc>
        <w:tc>
          <w:tcPr>
            <w:tcW w:w="1680" w:type="dxa"/>
            <w:vAlign w:val="bottom"/>
          </w:tcPr>
          <w:p>
            <w:pPr>
              <w:spacing w:after="0"/>
              <w:rPr>
                <w:sz w:val="17"/>
                <w:szCs w:val="17"/>
                <w:color w:val="auto"/>
              </w:rPr>
            </w:pPr>
          </w:p>
        </w:tc>
        <w:tc>
          <w:tcPr>
            <w:tcW w:w="1520" w:type="dxa"/>
            <w:vAlign w:val="bottom"/>
          </w:tcPr>
          <w:p>
            <w:pPr>
              <w:jc w:val="center"/>
              <w:ind w:left="90"/>
              <w:spacing w:after="0" w:line="202" w:lineRule="exact"/>
              <w:rPr>
                <w:sz w:val="20"/>
                <w:szCs w:val="20"/>
                <w:color w:val="auto"/>
              </w:rPr>
            </w:pPr>
            <w:r>
              <w:rPr>
                <w:rFonts w:ascii="Arial" w:cs="Arial" w:eastAsia="Arial" w:hAnsi="Arial"/>
                <w:sz w:val="18"/>
                <w:szCs w:val="18"/>
                <w:b w:val="1"/>
                <w:bCs w:val="1"/>
                <w:color w:val="auto"/>
                <w:w w:val="99"/>
              </w:rPr>
              <w:t>postretirement</w:t>
            </w:r>
          </w:p>
        </w:tc>
        <w:tc>
          <w:tcPr>
            <w:tcW w:w="0" w:type="dxa"/>
            <w:vAlign w:val="bottom"/>
          </w:tcPr>
          <w:p>
            <w:pPr>
              <w:spacing w:after="0"/>
              <w:rPr>
                <w:sz w:val="1"/>
                <w:szCs w:val="1"/>
                <w:color w:val="auto"/>
              </w:rPr>
            </w:pPr>
          </w:p>
        </w:tc>
      </w:tr>
      <w:tr>
        <w:trPr>
          <w:trHeight w:val="225"/>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17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Pension plans</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benefits</w:t>
            </w:r>
          </w:p>
        </w:tc>
        <w:tc>
          <w:tcPr>
            <w:tcW w:w="1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Pension plans</w:t>
            </w:r>
          </w:p>
        </w:tc>
        <w:tc>
          <w:tcPr>
            <w:tcW w:w="152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b w:val="1"/>
                <w:bCs w:val="1"/>
                <w:color w:val="auto"/>
                <w:w w:val="98"/>
              </w:rPr>
              <w:t>benefits</w:t>
            </w:r>
          </w:p>
        </w:tc>
        <w:tc>
          <w:tcPr>
            <w:tcW w:w="0" w:type="dxa"/>
            <w:vAlign w:val="bottom"/>
          </w:tcPr>
          <w:p>
            <w:pPr>
              <w:spacing w:after="0"/>
              <w:rPr>
                <w:sz w:val="1"/>
                <w:szCs w:val="1"/>
                <w:color w:val="auto"/>
              </w:rPr>
            </w:pPr>
          </w:p>
        </w:tc>
      </w:tr>
      <w:tr>
        <w:trPr>
          <w:trHeight w:val="376"/>
        </w:trPr>
        <w:tc>
          <w:tcPr>
            <w:tcW w:w="4700" w:type="dxa"/>
            <w:vAlign w:val="bottom"/>
          </w:tcPr>
          <w:p>
            <w:pPr>
              <w:ind w:left="40"/>
              <w:spacing w:after="0"/>
              <w:rPr>
                <w:sz w:val="20"/>
                <w:szCs w:val="20"/>
                <w:color w:val="auto"/>
              </w:rPr>
            </w:pPr>
            <w:r>
              <w:rPr>
                <w:rFonts w:ascii="Arial" w:cs="Arial" w:eastAsia="Arial" w:hAnsi="Arial"/>
                <w:sz w:val="18"/>
                <w:szCs w:val="18"/>
                <w:color w:val="auto"/>
              </w:rPr>
              <w:t>Fair value of plan assets</w:t>
            </w:r>
          </w:p>
        </w:tc>
        <w:tc>
          <w:tcPr>
            <w:tcW w:w="1780" w:type="dxa"/>
            <w:vAlign w:val="bottom"/>
          </w:tcPr>
          <w:p>
            <w:pPr>
              <w:jc w:val="right"/>
              <w:ind w:right="190"/>
              <w:spacing w:after="0"/>
              <w:rPr>
                <w:sz w:val="20"/>
                <w:szCs w:val="20"/>
                <w:color w:val="auto"/>
              </w:rPr>
            </w:pPr>
            <w:r>
              <w:rPr>
                <w:rFonts w:ascii="Arial" w:cs="Arial" w:eastAsia="Arial" w:hAnsi="Arial"/>
                <w:sz w:val="18"/>
                <w:szCs w:val="18"/>
                <w:b w:val="1"/>
                <w:bCs w:val="1"/>
                <w:color w:val="auto"/>
              </w:rPr>
              <w:t>$180,672</w:t>
            </w:r>
          </w:p>
        </w:tc>
        <w:tc>
          <w:tcPr>
            <w:tcW w:w="174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680" w:type="dxa"/>
            <w:vAlign w:val="bottom"/>
          </w:tcPr>
          <w:p>
            <w:pPr>
              <w:jc w:val="right"/>
              <w:ind w:right="190"/>
              <w:spacing w:after="0"/>
              <w:rPr>
                <w:sz w:val="20"/>
                <w:szCs w:val="20"/>
                <w:color w:val="auto"/>
              </w:rPr>
            </w:pPr>
            <w:r>
              <w:rPr>
                <w:rFonts w:ascii="Arial" w:cs="Arial" w:eastAsia="Arial" w:hAnsi="Arial"/>
                <w:sz w:val="18"/>
                <w:szCs w:val="18"/>
                <w:color w:val="auto"/>
              </w:rPr>
              <w:t>$171,387</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Benefit obligation</w:t>
            </w:r>
          </w:p>
        </w:tc>
        <w:tc>
          <w:tcPr>
            <w:tcW w:w="1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210,856</w:t>
            </w:r>
          </w:p>
        </w:tc>
        <w:tc>
          <w:tcPr>
            <w:tcW w:w="1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57,488</w:t>
            </w:r>
          </w:p>
        </w:tc>
        <w:tc>
          <w:tcPr>
            <w:tcW w:w="1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199,856</w:t>
            </w: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59,970</w:t>
            </w:r>
          </w:p>
        </w:tc>
        <w:tc>
          <w:tcPr>
            <w:tcW w:w="0" w:type="dxa"/>
            <w:vAlign w:val="bottom"/>
          </w:tcPr>
          <w:p>
            <w:pPr>
              <w:spacing w:after="0"/>
              <w:rPr>
                <w:sz w:val="1"/>
                <w:szCs w:val="1"/>
                <w:color w:val="auto"/>
              </w:rPr>
            </w:pPr>
          </w:p>
        </w:tc>
      </w:tr>
      <w:tr>
        <w:trPr>
          <w:trHeight w:val="196"/>
        </w:trPr>
        <w:tc>
          <w:tcPr>
            <w:tcW w:w="470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Funded status</w:t>
            </w:r>
          </w:p>
        </w:tc>
        <w:tc>
          <w:tcPr>
            <w:tcW w:w="178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($30,184)</w:t>
            </w:r>
          </w:p>
        </w:tc>
        <w:tc>
          <w:tcPr>
            <w:tcW w:w="17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b w:val="1"/>
                <w:bCs w:val="1"/>
                <w:color w:val="auto"/>
              </w:rPr>
              <w:t>($57,488)</w:t>
            </w:r>
          </w:p>
        </w:tc>
        <w:tc>
          <w:tcPr>
            <w:tcW w:w="168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($28,469)</w:t>
            </w:r>
          </w:p>
        </w:tc>
        <w:tc>
          <w:tcPr>
            <w:tcW w:w="1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($59,970)</w:t>
            </w:r>
          </w:p>
        </w:tc>
        <w:tc>
          <w:tcPr>
            <w:tcW w:w="0" w:type="dxa"/>
            <w:vAlign w:val="bottom"/>
          </w:tcPr>
          <w:p>
            <w:pPr>
              <w:spacing w:after="0"/>
              <w:rPr>
                <w:sz w:val="1"/>
                <w:szCs w:val="1"/>
                <w:color w:val="auto"/>
              </w:rPr>
            </w:pPr>
          </w:p>
        </w:tc>
      </w:tr>
      <w:tr>
        <w:trPr>
          <w:trHeight w:val="196"/>
        </w:trPr>
        <w:tc>
          <w:tcPr>
            <w:tcW w:w="47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0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Accrued benefit cost, end of year</w:t>
            </w:r>
          </w:p>
        </w:tc>
        <w:tc>
          <w:tcPr>
            <w:tcW w:w="178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($30,184)</w:t>
            </w:r>
          </w:p>
        </w:tc>
        <w:tc>
          <w:tcPr>
            <w:tcW w:w="17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b w:val="1"/>
                <w:bCs w:val="1"/>
                <w:color w:val="auto"/>
              </w:rPr>
              <w:t>($57,488)</w:t>
            </w:r>
          </w:p>
        </w:tc>
        <w:tc>
          <w:tcPr>
            <w:tcW w:w="168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($28,469)</w:t>
            </w:r>
          </w:p>
        </w:tc>
        <w:tc>
          <w:tcPr>
            <w:tcW w:w="1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($59,970)</w:t>
            </w:r>
          </w:p>
        </w:tc>
        <w:tc>
          <w:tcPr>
            <w:tcW w:w="0" w:type="dxa"/>
            <w:vAlign w:val="bottom"/>
          </w:tcPr>
          <w:p>
            <w:pPr>
              <w:spacing w:after="0"/>
              <w:rPr>
                <w:sz w:val="1"/>
                <w:szCs w:val="1"/>
                <w:color w:val="auto"/>
              </w:rPr>
            </w:pPr>
          </w:p>
        </w:tc>
      </w:tr>
      <w:tr>
        <w:trPr>
          <w:trHeight w:val="398"/>
        </w:trPr>
        <w:tc>
          <w:tcPr>
            <w:tcW w:w="4700" w:type="dxa"/>
            <w:vAlign w:val="bottom"/>
          </w:tcPr>
          <w:p>
            <w:pPr>
              <w:ind w:left="40"/>
              <w:spacing w:after="0"/>
              <w:rPr>
                <w:sz w:val="20"/>
                <w:szCs w:val="20"/>
                <w:color w:val="auto"/>
              </w:rPr>
            </w:pPr>
            <w:r>
              <w:rPr>
                <w:rFonts w:ascii="Arial" w:cs="Arial" w:eastAsia="Arial" w:hAnsi="Arial"/>
                <w:sz w:val="18"/>
                <w:szCs w:val="18"/>
                <w:color w:val="auto"/>
              </w:rPr>
              <w:t>Amounts recognized in the consolidated balance sheet</w:t>
            </w:r>
          </w:p>
        </w:tc>
        <w:tc>
          <w:tcPr>
            <w:tcW w:w="17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700" w:type="dxa"/>
            <w:vAlign w:val="bottom"/>
          </w:tcPr>
          <w:p>
            <w:pPr>
              <w:ind w:left="40"/>
              <w:spacing w:after="0" w:line="202" w:lineRule="exact"/>
              <w:rPr>
                <w:sz w:val="20"/>
                <w:szCs w:val="20"/>
                <w:color w:val="auto"/>
              </w:rPr>
            </w:pPr>
            <w:r>
              <w:rPr>
                <w:rFonts w:ascii="Arial" w:cs="Arial" w:eastAsia="Arial" w:hAnsi="Arial"/>
                <w:sz w:val="18"/>
                <w:szCs w:val="18"/>
                <w:color w:val="auto"/>
              </w:rPr>
              <w:t>consist of the following:</w:t>
            </w:r>
          </w:p>
        </w:tc>
        <w:tc>
          <w:tcPr>
            <w:tcW w:w="178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$7,794</w:t>
            </w:r>
          </w:p>
        </w:tc>
        <w:tc>
          <w:tcPr>
            <w:tcW w:w="174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w:t>
            </w:r>
          </w:p>
        </w:tc>
        <w:tc>
          <w:tcPr>
            <w:tcW w:w="16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700" w:type="dxa"/>
            <w:vAlign w:val="bottom"/>
          </w:tcPr>
          <w:p>
            <w:pPr>
              <w:ind w:left="40"/>
              <w:spacing w:after="0" w:line="181" w:lineRule="exact"/>
              <w:rPr>
                <w:sz w:val="20"/>
                <w:szCs w:val="20"/>
                <w:color w:val="auto"/>
              </w:rPr>
            </w:pPr>
            <w:r>
              <w:rPr>
                <w:rFonts w:ascii="Arial" w:cs="Arial" w:eastAsia="Arial" w:hAnsi="Arial"/>
                <w:sz w:val="18"/>
                <w:szCs w:val="18"/>
                <w:color w:val="auto"/>
              </w:rPr>
              <w:t>Noncurrent asset</w:t>
            </w:r>
          </w:p>
        </w:tc>
        <w:tc>
          <w:tcPr>
            <w:tcW w:w="1780" w:type="dxa"/>
            <w:vAlign w:val="bottom"/>
            <w:vMerge w:val="continue"/>
          </w:tcPr>
          <w:p>
            <w:pPr>
              <w:spacing w:after="0"/>
              <w:rPr>
                <w:sz w:val="15"/>
                <w:szCs w:val="15"/>
                <w:color w:val="auto"/>
              </w:rPr>
            </w:pPr>
          </w:p>
        </w:tc>
        <w:tc>
          <w:tcPr>
            <w:tcW w:w="1740" w:type="dxa"/>
            <w:vAlign w:val="bottom"/>
            <w:vMerge w:val="continue"/>
          </w:tcPr>
          <w:p>
            <w:pPr>
              <w:spacing w:after="0"/>
              <w:rPr>
                <w:sz w:val="15"/>
                <w:szCs w:val="15"/>
                <w:color w:val="auto"/>
              </w:rPr>
            </w:pPr>
          </w:p>
        </w:tc>
        <w:tc>
          <w:tcPr>
            <w:tcW w:w="1680" w:type="dxa"/>
            <w:vAlign w:val="bottom"/>
          </w:tcPr>
          <w:p>
            <w:pPr>
              <w:jc w:val="right"/>
              <w:ind w:right="190"/>
              <w:spacing w:after="0" w:line="181" w:lineRule="exact"/>
              <w:rPr>
                <w:sz w:val="20"/>
                <w:szCs w:val="20"/>
                <w:color w:val="auto"/>
              </w:rPr>
            </w:pPr>
            <w:r>
              <w:rPr>
                <w:rFonts w:ascii="Arial" w:cs="Arial" w:eastAsia="Arial" w:hAnsi="Arial"/>
                <w:sz w:val="18"/>
                <w:szCs w:val="18"/>
                <w:color w:val="auto"/>
              </w:rPr>
              <w:t>$10,423</w:t>
            </w:r>
          </w:p>
        </w:tc>
        <w:tc>
          <w:tcPr>
            <w:tcW w:w="1520" w:type="dxa"/>
            <w:vAlign w:val="bottom"/>
          </w:tcPr>
          <w:p>
            <w:pPr>
              <w:jc w:val="right"/>
              <w:ind w:right="10"/>
              <w:spacing w:after="0" w:line="18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700" w:type="dxa"/>
            <w:vAlign w:val="bottom"/>
          </w:tcPr>
          <w:p>
            <w:pPr>
              <w:ind w:left="40"/>
              <w:spacing w:after="0" w:line="202" w:lineRule="exact"/>
              <w:rPr>
                <w:sz w:val="20"/>
                <w:szCs w:val="20"/>
                <w:color w:val="auto"/>
              </w:rPr>
            </w:pPr>
            <w:r>
              <w:rPr>
                <w:rFonts w:ascii="Arial" w:cs="Arial" w:eastAsia="Arial" w:hAnsi="Arial"/>
                <w:sz w:val="18"/>
                <w:szCs w:val="18"/>
                <w:color w:val="auto"/>
              </w:rPr>
              <w:t>Current liability</w:t>
            </w:r>
          </w:p>
        </w:tc>
        <w:tc>
          <w:tcPr>
            <w:tcW w:w="178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(2,057)</w:t>
            </w:r>
          </w:p>
        </w:tc>
        <w:tc>
          <w:tcPr>
            <w:tcW w:w="174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(4,195)</w:t>
            </w:r>
          </w:p>
        </w:tc>
        <w:tc>
          <w:tcPr>
            <w:tcW w:w="168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(2,110)</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(4,660)</w:t>
            </w:r>
          </w:p>
        </w:tc>
        <w:tc>
          <w:tcPr>
            <w:tcW w:w="0" w:type="dxa"/>
            <w:vAlign w:val="bottom"/>
          </w:tcPr>
          <w:p>
            <w:pPr>
              <w:spacing w:after="0"/>
              <w:rPr>
                <w:sz w:val="1"/>
                <w:szCs w:val="1"/>
                <w:color w:val="auto"/>
              </w:rPr>
            </w:pPr>
          </w:p>
        </w:tc>
      </w:tr>
      <w:tr>
        <w:trPr>
          <w:trHeight w:val="225"/>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Noncurrent liability</w:t>
            </w:r>
          </w:p>
        </w:tc>
        <w:tc>
          <w:tcPr>
            <w:tcW w:w="1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(35,921)</w:t>
            </w:r>
          </w:p>
        </w:tc>
        <w:tc>
          <w:tcPr>
            <w:tcW w:w="1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(53,293)</w:t>
            </w:r>
          </w:p>
        </w:tc>
        <w:tc>
          <w:tcPr>
            <w:tcW w:w="1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(36,782)</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(55,310)</w:t>
            </w:r>
          </w:p>
        </w:tc>
        <w:tc>
          <w:tcPr>
            <w:tcW w:w="0" w:type="dxa"/>
            <w:vAlign w:val="bottom"/>
          </w:tcPr>
          <w:p>
            <w:pPr>
              <w:spacing w:after="0"/>
              <w:rPr>
                <w:sz w:val="1"/>
                <w:szCs w:val="1"/>
                <w:color w:val="auto"/>
              </w:rPr>
            </w:pPr>
          </w:p>
        </w:tc>
      </w:tr>
      <w:tr>
        <w:trPr>
          <w:trHeight w:val="196"/>
        </w:trPr>
        <w:tc>
          <w:tcPr>
            <w:tcW w:w="470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Net amount recognized</w:t>
            </w:r>
          </w:p>
        </w:tc>
        <w:tc>
          <w:tcPr>
            <w:tcW w:w="178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($30,184)</w:t>
            </w:r>
          </w:p>
        </w:tc>
        <w:tc>
          <w:tcPr>
            <w:tcW w:w="17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b w:val="1"/>
                <w:bCs w:val="1"/>
                <w:color w:val="auto"/>
              </w:rPr>
              <w:t>($57,488)</w:t>
            </w:r>
          </w:p>
        </w:tc>
        <w:tc>
          <w:tcPr>
            <w:tcW w:w="168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($28,469)</w:t>
            </w:r>
          </w:p>
        </w:tc>
        <w:tc>
          <w:tcPr>
            <w:tcW w:w="1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($59,970)</w:t>
            </w:r>
          </w:p>
        </w:tc>
        <w:tc>
          <w:tcPr>
            <w:tcW w:w="0" w:type="dxa"/>
            <w:vAlign w:val="bottom"/>
          </w:tcPr>
          <w:p>
            <w:pPr>
              <w:spacing w:after="0"/>
              <w:rPr>
                <w:sz w:val="1"/>
                <w:szCs w:val="1"/>
                <w:color w:val="auto"/>
              </w:rPr>
            </w:pPr>
          </w:p>
        </w:tc>
      </w:tr>
      <w:tr>
        <w:trPr>
          <w:trHeight w:val="398"/>
        </w:trPr>
        <w:tc>
          <w:tcPr>
            <w:tcW w:w="4700" w:type="dxa"/>
            <w:vAlign w:val="bottom"/>
          </w:tcPr>
          <w:p>
            <w:pPr>
              <w:ind w:left="40"/>
              <w:spacing w:after="0"/>
              <w:rPr>
                <w:sz w:val="20"/>
                <w:szCs w:val="20"/>
                <w:color w:val="auto"/>
              </w:rPr>
            </w:pPr>
            <w:r>
              <w:rPr>
                <w:rFonts w:ascii="Arial" w:cs="Arial" w:eastAsia="Arial" w:hAnsi="Arial"/>
                <w:sz w:val="18"/>
                <w:szCs w:val="18"/>
                <w:color w:val="auto"/>
              </w:rPr>
              <w:t>Amounts recognized in accumulated other</w:t>
            </w:r>
          </w:p>
        </w:tc>
        <w:tc>
          <w:tcPr>
            <w:tcW w:w="17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700" w:type="dxa"/>
            <w:vAlign w:val="bottom"/>
          </w:tcPr>
          <w:p>
            <w:pPr>
              <w:ind w:left="40"/>
              <w:spacing w:after="0" w:line="202" w:lineRule="exact"/>
              <w:rPr>
                <w:sz w:val="20"/>
                <w:szCs w:val="20"/>
                <w:color w:val="auto"/>
              </w:rPr>
            </w:pPr>
            <w:r>
              <w:rPr>
                <w:rFonts w:ascii="Arial" w:cs="Arial" w:eastAsia="Arial" w:hAnsi="Arial"/>
                <w:sz w:val="18"/>
                <w:szCs w:val="18"/>
                <w:color w:val="auto"/>
              </w:rPr>
              <w:t>comprehensive income consist of:</w:t>
            </w:r>
          </w:p>
        </w:tc>
        <w:tc>
          <w:tcPr>
            <w:tcW w:w="178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$72,400</w:t>
            </w:r>
          </w:p>
        </w:tc>
        <w:tc>
          <w:tcPr>
            <w:tcW w:w="174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$34,782</w:t>
            </w:r>
          </w:p>
        </w:tc>
        <w:tc>
          <w:tcPr>
            <w:tcW w:w="16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700" w:type="dxa"/>
            <w:vAlign w:val="bottom"/>
          </w:tcPr>
          <w:p>
            <w:pPr>
              <w:ind w:left="40"/>
              <w:spacing w:after="0" w:line="181" w:lineRule="exact"/>
              <w:rPr>
                <w:sz w:val="20"/>
                <w:szCs w:val="20"/>
                <w:color w:val="auto"/>
              </w:rPr>
            </w:pPr>
            <w:r>
              <w:rPr>
                <w:rFonts w:ascii="Arial" w:cs="Arial" w:eastAsia="Arial" w:hAnsi="Arial"/>
                <w:sz w:val="18"/>
                <w:szCs w:val="18"/>
                <w:color w:val="auto"/>
              </w:rPr>
              <w:t>Net actuarial loss</w:t>
            </w:r>
          </w:p>
        </w:tc>
        <w:tc>
          <w:tcPr>
            <w:tcW w:w="1780" w:type="dxa"/>
            <w:vAlign w:val="bottom"/>
            <w:vMerge w:val="continue"/>
          </w:tcPr>
          <w:p>
            <w:pPr>
              <w:spacing w:after="0"/>
              <w:rPr>
                <w:sz w:val="15"/>
                <w:szCs w:val="15"/>
                <w:color w:val="auto"/>
              </w:rPr>
            </w:pPr>
          </w:p>
        </w:tc>
        <w:tc>
          <w:tcPr>
            <w:tcW w:w="1740" w:type="dxa"/>
            <w:vAlign w:val="bottom"/>
            <w:vMerge w:val="continue"/>
          </w:tcPr>
          <w:p>
            <w:pPr>
              <w:spacing w:after="0"/>
              <w:rPr>
                <w:sz w:val="15"/>
                <w:szCs w:val="15"/>
                <w:color w:val="auto"/>
              </w:rPr>
            </w:pPr>
          </w:p>
        </w:tc>
        <w:tc>
          <w:tcPr>
            <w:tcW w:w="1680" w:type="dxa"/>
            <w:vAlign w:val="bottom"/>
          </w:tcPr>
          <w:p>
            <w:pPr>
              <w:jc w:val="right"/>
              <w:ind w:right="190"/>
              <w:spacing w:after="0" w:line="181" w:lineRule="exact"/>
              <w:rPr>
                <w:sz w:val="20"/>
                <w:szCs w:val="20"/>
                <w:color w:val="auto"/>
              </w:rPr>
            </w:pPr>
            <w:r>
              <w:rPr>
                <w:rFonts w:ascii="Arial" w:cs="Arial" w:eastAsia="Arial" w:hAnsi="Arial"/>
                <w:sz w:val="18"/>
                <w:szCs w:val="18"/>
                <w:color w:val="auto"/>
              </w:rPr>
              <w:t>$69,896</w:t>
            </w:r>
          </w:p>
        </w:tc>
        <w:tc>
          <w:tcPr>
            <w:tcW w:w="1520" w:type="dxa"/>
            <w:vAlign w:val="bottom"/>
          </w:tcPr>
          <w:p>
            <w:pPr>
              <w:jc w:val="right"/>
              <w:ind w:right="10"/>
              <w:spacing w:after="0" w:line="181" w:lineRule="exact"/>
              <w:rPr>
                <w:sz w:val="20"/>
                <w:szCs w:val="20"/>
                <w:color w:val="auto"/>
              </w:rPr>
            </w:pPr>
            <w:r>
              <w:rPr>
                <w:rFonts w:ascii="Arial" w:cs="Arial" w:eastAsia="Arial" w:hAnsi="Arial"/>
                <w:sz w:val="18"/>
                <w:szCs w:val="18"/>
                <w:color w:val="auto"/>
              </w:rPr>
              <w:t>$37,997</w:t>
            </w:r>
          </w:p>
        </w:tc>
        <w:tc>
          <w:tcPr>
            <w:tcW w:w="0" w:type="dxa"/>
            <w:vAlign w:val="bottom"/>
          </w:tcPr>
          <w:p>
            <w:pPr>
              <w:spacing w:after="0"/>
              <w:rPr>
                <w:sz w:val="1"/>
                <w:szCs w:val="1"/>
                <w:color w:val="auto"/>
              </w:rPr>
            </w:pPr>
          </w:p>
        </w:tc>
      </w:tr>
      <w:tr>
        <w:trPr>
          <w:trHeight w:val="225"/>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Prior service cost/(credit)</w:t>
            </w:r>
          </w:p>
        </w:tc>
        <w:tc>
          <w:tcPr>
            <w:tcW w:w="1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597</w:t>
            </w:r>
          </w:p>
        </w:tc>
        <w:tc>
          <w:tcPr>
            <w:tcW w:w="1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(30,899)</w:t>
            </w:r>
          </w:p>
        </w:tc>
        <w:tc>
          <w:tcPr>
            <w:tcW w:w="1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608</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(35,387)</w:t>
            </w:r>
          </w:p>
        </w:tc>
        <w:tc>
          <w:tcPr>
            <w:tcW w:w="0" w:type="dxa"/>
            <w:vAlign w:val="bottom"/>
          </w:tcPr>
          <w:p>
            <w:pPr>
              <w:spacing w:after="0"/>
              <w:rPr>
                <w:sz w:val="1"/>
                <w:szCs w:val="1"/>
                <w:color w:val="auto"/>
              </w:rPr>
            </w:pPr>
          </w:p>
        </w:tc>
      </w:tr>
      <w:tr>
        <w:trPr>
          <w:trHeight w:val="196"/>
        </w:trPr>
        <w:tc>
          <w:tcPr>
            <w:tcW w:w="470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Net amount recognized</w:t>
            </w:r>
          </w:p>
        </w:tc>
        <w:tc>
          <w:tcPr>
            <w:tcW w:w="17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b w:val="1"/>
                <w:bCs w:val="1"/>
                <w:color w:val="auto"/>
              </w:rPr>
              <w:t>$72,997</w:t>
            </w:r>
          </w:p>
        </w:tc>
        <w:tc>
          <w:tcPr>
            <w:tcW w:w="174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$3,883</w:t>
            </w:r>
          </w:p>
        </w:tc>
        <w:tc>
          <w:tcPr>
            <w:tcW w:w="16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$70,504</w:t>
            </w:r>
          </w:p>
        </w:tc>
        <w:tc>
          <w:tcPr>
            <w:tcW w:w="15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$2,610</w:t>
            </w:r>
          </w:p>
        </w:tc>
        <w:tc>
          <w:tcPr>
            <w:tcW w:w="0" w:type="dxa"/>
            <w:vAlign w:val="bottom"/>
          </w:tcPr>
          <w:p>
            <w:pPr>
              <w:spacing w:after="0"/>
              <w:rPr>
                <w:sz w:val="1"/>
                <w:szCs w:val="1"/>
                <w:color w:val="auto"/>
              </w:rPr>
            </w:pPr>
          </w:p>
        </w:tc>
      </w:tr>
    </w:tbl>
    <w:p>
      <w:pPr>
        <w:spacing w:after="0" w:line="3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composition of the net pension plan funded status as of December 31, 2016 was as follows:</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620" w:type="dxa"/>
            <w:vAlign w:val="bottom"/>
            <w:tcBorders>
              <w:top w:val="single" w:sz="8" w:color="auto"/>
            </w:tcBorders>
          </w:tcPr>
          <w:p>
            <w:pPr>
              <w:spacing w:after="0"/>
              <w:rPr>
                <w:sz w:val="16"/>
                <w:szCs w:val="16"/>
                <w:color w:val="auto"/>
              </w:rPr>
            </w:pPr>
          </w:p>
        </w:tc>
        <w:tc>
          <w:tcPr>
            <w:tcW w:w="3160" w:type="dxa"/>
            <w:vAlign w:val="bottom"/>
            <w:tcBorders>
              <w:top w:val="single" w:sz="8" w:color="auto"/>
            </w:tcBorders>
          </w:tcPr>
          <w:p>
            <w:pPr>
              <w:spacing w:after="0"/>
              <w:rPr>
                <w:sz w:val="16"/>
                <w:szCs w:val="16"/>
                <w:color w:val="auto"/>
              </w:rPr>
            </w:pPr>
          </w:p>
        </w:tc>
        <w:tc>
          <w:tcPr>
            <w:tcW w:w="2120" w:type="dxa"/>
            <w:vAlign w:val="bottom"/>
            <w:tcBorders>
              <w:top w:val="single" w:sz="8" w:color="auto"/>
            </w:tcBorders>
          </w:tcPr>
          <w:p>
            <w:pPr>
              <w:jc w:val="right"/>
              <w:ind w:right="790"/>
              <w:spacing w:after="0" w:line="194" w:lineRule="exact"/>
              <w:rPr>
                <w:sz w:val="20"/>
                <w:szCs w:val="20"/>
                <w:color w:val="auto"/>
              </w:rPr>
            </w:pPr>
            <w:r>
              <w:rPr>
                <w:rFonts w:ascii="Arial" w:cs="Arial" w:eastAsia="Arial" w:hAnsi="Arial"/>
                <w:sz w:val="18"/>
                <w:szCs w:val="18"/>
                <w:b w:val="1"/>
                <w:bCs w:val="1"/>
                <w:color w:val="auto"/>
              </w:rPr>
              <w:t>Non-U.S.</w:t>
            </w:r>
          </w:p>
        </w:tc>
        <w:tc>
          <w:tcPr>
            <w:tcW w:w="1520" w:type="dxa"/>
            <w:vAlign w:val="bottom"/>
            <w:tcBorders>
              <w:top w:val="single" w:sz="8" w:color="auto"/>
            </w:tcBorders>
          </w:tcPr>
          <w:p>
            <w:pPr>
              <w:spacing w:after="0"/>
              <w:rPr>
                <w:sz w:val="16"/>
                <w:szCs w:val="16"/>
                <w:color w:val="auto"/>
              </w:rPr>
            </w:pPr>
          </w:p>
        </w:tc>
      </w:tr>
      <w:tr>
        <w:trPr>
          <w:trHeight w:val="225"/>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316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U.S. plan</w:t>
            </w:r>
          </w:p>
        </w:tc>
        <w:tc>
          <w:tcPr>
            <w:tcW w:w="212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b w:val="1"/>
                <w:bCs w:val="1"/>
                <w:color w:val="auto"/>
              </w:rPr>
              <w:t>plans</w:t>
            </w:r>
          </w:p>
        </w:tc>
        <w:tc>
          <w:tcPr>
            <w:tcW w:w="15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Total</w:t>
            </w:r>
          </w:p>
        </w:tc>
      </w:tr>
      <w:tr>
        <w:trPr>
          <w:trHeight w:val="398"/>
        </w:trPr>
        <w:tc>
          <w:tcPr>
            <w:tcW w:w="4620" w:type="dxa"/>
            <w:vAlign w:val="bottom"/>
          </w:tcPr>
          <w:p>
            <w:pPr>
              <w:ind w:left="40"/>
              <w:spacing w:after="0"/>
              <w:rPr>
                <w:sz w:val="20"/>
                <w:szCs w:val="20"/>
                <w:color w:val="auto"/>
              </w:rPr>
            </w:pPr>
            <w:r>
              <w:rPr>
                <w:rFonts w:ascii="Arial" w:cs="Arial" w:eastAsia="Arial" w:hAnsi="Arial"/>
                <w:sz w:val="18"/>
                <w:szCs w:val="18"/>
                <w:color w:val="auto"/>
              </w:rPr>
              <w:t>Pension plans with pension assets</w:t>
            </w:r>
          </w:p>
        </w:tc>
        <w:tc>
          <w:tcPr>
            <w:tcW w:w="3160" w:type="dxa"/>
            <w:vAlign w:val="bottom"/>
          </w:tcPr>
          <w:p>
            <w:pPr>
              <w:jc w:val="right"/>
              <w:ind w:right="410"/>
              <w:spacing w:after="0"/>
              <w:rPr>
                <w:sz w:val="20"/>
                <w:szCs w:val="20"/>
                <w:color w:val="auto"/>
              </w:rPr>
            </w:pPr>
            <w:r>
              <w:rPr>
                <w:rFonts w:ascii="Arial" w:cs="Arial" w:eastAsia="Arial" w:hAnsi="Arial"/>
                <w:sz w:val="18"/>
                <w:szCs w:val="18"/>
                <w:color w:val="auto"/>
              </w:rPr>
              <w:t>($5,197)</w:t>
            </w:r>
          </w:p>
        </w:tc>
        <w:tc>
          <w:tcPr>
            <w:tcW w:w="2120" w:type="dxa"/>
            <w:vAlign w:val="bottom"/>
          </w:tcPr>
          <w:p>
            <w:pPr>
              <w:jc w:val="right"/>
              <w:ind w:right="530"/>
              <w:spacing w:after="0"/>
              <w:rPr>
                <w:sz w:val="20"/>
                <w:szCs w:val="20"/>
                <w:color w:val="auto"/>
              </w:rPr>
            </w:pPr>
            <w:r>
              <w:rPr>
                <w:rFonts w:ascii="Arial" w:cs="Arial" w:eastAsia="Arial" w:hAnsi="Arial"/>
                <w:sz w:val="18"/>
                <w:szCs w:val="18"/>
                <w:color w:val="auto"/>
              </w:rPr>
              <w:t>$5,648</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$451</w:t>
            </w:r>
          </w:p>
        </w:tc>
      </w:tr>
      <w:tr>
        <w:trPr>
          <w:trHeight w:val="203"/>
        </w:trPr>
        <w:tc>
          <w:tcPr>
            <w:tcW w:w="4620" w:type="dxa"/>
            <w:vAlign w:val="bottom"/>
            <w:tcBorders>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Pension plans without pension assets</w:t>
            </w:r>
          </w:p>
        </w:tc>
        <w:tc>
          <w:tcPr>
            <w:tcW w:w="3160" w:type="dxa"/>
            <w:vAlign w:val="bottom"/>
            <w:tcBorders>
              <w:bottom w:val="single" w:sz="8" w:color="auto"/>
            </w:tcBorders>
          </w:tcPr>
          <w:p>
            <w:pPr>
              <w:jc w:val="right"/>
              <w:ind w:right="410"/>
              <w:spacing w:after="0" w:line="203" w:lineRule="exact"/>
              <w:rPr>
                <w:sz w:val="20"/>
                <w:szCs w:val="20"/>
                <w:color w:val="auto"/>
              </w:rPr>
            </w:pPr>
            <w:r>
              <w:rPr>
                <w:rFonts w:ascii="Arial" w:cs="Arial" w:eastAsia="Arial" w:hAnsi="Arial"/>
                <w:sz w:val="18"/>
                <w:szCs w:val="18"/>
                <w:color w:val="auto"/>
              </w:rPr>
              <w:t>(7,761)</w:t>
            </w:r>
          </w:p>
        </w:tc>
        <w:tc>
          <w:tcPr>
            <w:tcW w:w="2120" w:type="dxa"/>
            <w:vAlign w:val="bottom"/>
            <w:tcBorders>
              <w:bottom w:val="single" w:sz="8" w:color="auto"/>
            </w:tcBorders>
          </w:tcPr>
          <w:p>
            <w:pPr>
              <w:jc w:val="right"/>
              <w:ind w:right="470"/>
              <w:spacing w:after="0" w:line="203" w:lineRule="exact"/>
              <w:rPr>
                <w:sz w:val="20"/>
                <w:szCs w:val="20"/>
                <w:color w:val="auto"/>
              </w:rPr>
            </w:pPr>
            <w:r>
              <w:rPr>
                <w:rFonts w:ascii="Arial" w:cs="Arial" w:eastAsia="Arial" w:hAnsi="Arial"/>
                <w:sz w:val="18"/>
                <w:szCs w:val="18"/>
                <w:color w:val="auto"/>
              </w:rPr>
              <w:t>(22,874)</w:t>
            </w:r>
          </w:p>
        </w:tc>
        <w:tc>
          <w:tcPr>
            <w:tcW w:w="15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(30,635)</w:t>
            </w:r>
          </w:p>
        </w:tc>
      </w:tr>
      <w:tr>
        <w:trPr>
          <w:trHeight w:val="196"/>
        </w:trPr>
        <w:tc>
          <w:tcPr>
            <w:tcW w:w="462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Total</w:t>
            </w:r>
          </w:p>
        </w:tc>
        <w:tc>
          <w:tcPr>
            <w:tcW w:w="316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color w:val="auto"/>
              </w:rPr>
              <w:t>($12,958)</w:t>
            </w:r>
          </w:p>
        </w:tc>
        <w:tc>
          <w:tcPr>
            <w:tcW w:w="212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color w:val="auto"/>
              </w:rPr>
              <w:t>($17,226)</w:t>
            </w:r>
          </w:p>
        </w:tc>
        <w:tc>
          <w:tcPr>
            <w:tcW w:w="1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($30,184)</w:t>
            </w:r>
          </w:p>
        </w:tc>
      </w:tr>
      <w:tr>
        <w:trPr>
          <w:trHeight w:val="628"/>
        </w:trPr>
        <w:tc>
          <w:tcPr>
            <w:tcW w:w="46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129"/>
        </w:trPr>
        <w:tc>
          <w:tcPr>
            <w:tcW w:w="4620" w:type="dxa"/>
            <w:vAlign w:val="bottom"/>
            <w:tcBorders>
              <w:bottom w:val="single" w:sz="8" w:color="auto"/>
            </w:tcBorders>
          </w:tcPr>
          <w:p>
            <w:pPr>
              <w:spacing w:after="0"/>
              <w:rPr>
                <w:sz w:val="11"/>
                <w:szCs w:val="11"/>
                <w:color w:val="auto"/>
              </w:rPr>
            </w:pPr>
          </w:p>
        </w:tc>
        <w:tc>
          <w:tcPr>
            <w:tcW w:w="3160" w:type="dxa"/>
            <w:vAlign w:val="bottom"/>
            <w:tcBorders>
              <w:bottom w:val="single" w:sz="8" w:color="auto"/>
            </w:tcBorders>
          </w:tcPr>
          <w:p>
            <w:pPr>
              <w:spacing w:after="0"/>
              <w:rPr>
                <w:sz w:val="11"/>
                <w:szCs w:val="11"/>
                <w:color w:val="auto"/>
              </w:rPr>
            </w:pPr>
          </w:p>
        </w:tc>
        <w:tc>
          <w:tcPr>
            <w:tcW w:w="212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r>
    </w:tbl>
    <w:p>
      <w:pPr>
        <w:sectPr>
          <w:pgSz w:w="11900" w:h="16838" w:orient="portrait"/>
          <w:cols w:equalWidth="0" w:num="1">
            <w:col w:w="11420"/>
          </w:cols>
          <w:pgMar w:left="240" w:top="140" w:right="239" w:bottom="1440" w:gutter="0" w:footer="0" w:header="0"/>
        </w:sectPr>
      </w:pPr>
    </w:p>
    <w:bookmarkStart w:id="70" w:name="page71"/>
    <w:bookmarkEnd w:id="70"/>
    <w:p>
      <w:pPr>
        <w:jc w:val="center"/>
        <w:ind w:right="60"/>
        <w:spacing w:after="0"/>
        <w:rPr>
          <w:sz w:val="20"/>
          <w:szCs w:val="20"/>
          <w:color w:val="auto"/>
        </w:rPr>
      </w:pPr>
      <w:r>
        <w:rPr>
          <w:rFonts w:ascii="Arial" w:cs="Arial" w:eastAsia="Arial" w:hAnsi="Arial"/>
          <w:sz w:val="18"/>
          <w:szCs w:val="18"/>
          <w:color w:val="auto"/>
        </w:rPr>
        <w:t>The composition of the net periodic benefit plan cost for the years ended December 31, 2016, 2015, and 2014, was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720" w:type="dxa"/>
            <w:vAlign w:val="bottom"/>
            <w:tcBorders>
              <w:top w:val="single" w:sz="8" w:color="auto"/>
            </w:tcBorders>
          </w:tcPr>
          <w:p>
            <w:pPr>
              <w:spacing w:after="0"/>
              <w:rPr>
                <w:sz w:val="16"/>
                <w:szCs w:val="16"/>
                <w:color w:val="auto"/>
              </w:rPr>
            </w:pPr>
          </w:p>
        </w:tc>
        <w:tc>
          <w:tcPr>
            <w:tcW w:w="2360" w:type="dxa"/>
            <w:vAlign w:val="bottom"/>
            <w:tcBorders>
              <w:top w:val="single" w:sz="8" w:color="auto"/>
            </w:tcBorders>
            <w:gridSpan w:val="2"/>
          </w:tcPr>
          <w:p>
            <w:pPr>
              <w:jc w:val="right"/>
              <w:ind w:right="510"/>
              <w:spacing w:after="0" w:line="194" w:lineRule="exact"/>
              <w:rPr>
                <w:sz w:val="20"/>
                <w:szCs w:val="20"/>
                <w:color w:val="auto"/>
              </w:rPr>
            </w:pPr>
            <w:r>
              <w:rPr>
                <w:rFonts w:ascii="Arial" w:cs="Arial" w:eastAsia="Arial" w:hAnsi="Arial"/>
                <w:sz w:val="18"/>
                <w:szCs w:val="18"/>
                <w:b w:val="1"/>
                <w:bCs w:val="1"/>
                <w:color w:val="auto"/>
              </w:rPr>
              <w:t>Pension plans</w:t>
            </w:r>
          </w:p>
        </w:tc>
        <w:tc>
          <w:tcPr>
            <w:tcW w:w="1180" w:type="dxa"/>
            <w:vAlign w:val="bottom"/>
            <w:tcBorders>
              <w:top w:val="single" w:sz="8" w:color="auto"/>
            </w:tcBorders>
          </w:tcPr>
          <w:p>
            <w:pPr>
              <w:spacing w:after="0"/>
              <w:rPr>
                <w:sz w:val="16"/>
                <w:szCs w:val="16"/>
                <w:color w:val="auto"/>
              </w:rPr>
            </w:pPr>
          </w:p>
        </w:tc>
        <w:tc>
          <w:tcPr>
            <w:tcW w:w="3160" w:type="dxa"/>
            <w:vAlign w:val="bottom"/>
            <w:tcBorders>
              <w:top w:val="single" w:sz="8" w:color="auto"/>
            </w:tcBorders>
            <w:gridSpan w:val="3"/>
          </w:tcPr>
          <w:p>
            <w:pPr>
              <w:jc w:val="right"/>
              <w:ind w:right="210"/>
              <w:spacing w:after="0" w:line="194" w:lineRule="exact"/>
              <w:rPr>
                <w:sz w:val="20"/>
                <w:szCs w:val="20"/>
                <w:color w:val="auto"/>
              </w:rPr>
            </w:pPr>
            <w:r>
              <w:rPr>
                <w:rFonts w:ascii="Arial" w:cs="Arial" w:eastAsia="Arial" w:hAnsi="Arial"/>
                <w:sz w:val="18"/>
                <w:szCs w:val="18"/>
                <w:b w:val="1"/>
                <w:bCs w:val="1"/>
                <w:color w:val="auto"/>
              </w:rPr>
              <w:t>Other postretirement benefits</w:t>
            </w:r>
          </w:p>
        </w:tc>
        <w:tc>
          <w:tcPr>
            <w:tcW w:w="0" w:type="dxa"/>
            <w:vAlign w:val="bottom"/>
          </w:tcPr>
          <w:p>
            <w:pPr>
              <w:spacing w:after="0"/>
              <w:rPr>
                <w:sz w:val="1"/>
                <w:szCs w:val="1"/>
                <w:color w:val="auto"/>
              </w:rPr>
            </w:pPr>
          </w:p>
        </w:tc>
      </w:tr>
      <w:tr>
        <w:trPr>
          <w:trHeight w:val="225"/>
        </w:trPr>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12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398"/>
        </w:trPr>
        <w:tc>
          <w:tcPr>
            <w:tcW w:w="4720" w:type="dxa"/>
            <w:vAlign w:val="bottom"/>
          </w:tcPr>
          <w:p>
            <w:pPr>
              <w:ind w:left="40"/>
              <w:spacing w:after="0"/>
              <w:rPr>
                <w:sz w:val="20"/>
                <w:szCs w:val="20"/>
                <w:color w:val="auto"/>
              </w:rPr>
            </w:pPr>
            <w:r>
              <w:rPr>
                <w:rFonts w:ascii="Arial" w:cs="Arial" w:eastAsia="Arial" w:hAnsi="Arial"/>
                <w:sz w:val="18"/>
                <w:szCs w:val="18"/>
                <w:color w:val="auto"/>
              </w:rPr>
              <w:t>Components of net periodic benefit cost:</w:t>
            </w:r>
          </w:p>
        </w:tc>
        <w:tc>
          <w:tcPr>
            <w:tcW w:w="128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$2,656</w:t>
            </w: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2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$254</w:t>
            </w: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4720" w:type="dxa"/>
            <w:vAlign w:val="bottom"/>
          </w:tcPr>
          <w:p>
            <w:pPr>
              <w:ind w:left="40"/>
              <w:spacing w:after="0" w:line="181" w:lineRule="exact"/>
              <w:rPr>
                <w:sz w:val="20"/>
                <w:szCs w:val="20"/>
                <w:color w:val="auto"/>
              </w:rPr>
            </w:pPr>
            <w:r>
              <w:rPr>
                <w:rFonts w:ascii="Arial" w:cs="Arial" w:eastAsia="Arial" w:hAnsi="Arial"/>
                <w:sz w:val="18"/>
                <w:szCs w:val="18"/>
                <w:color w:val="auto"/>
              </w:rPr>
              <w:t>Service cost</w:t>
            </w:r>
          </w:p>
        </w:tc>
        <w:tc>
          <w:tcPr>
            <w:tcW w:w="1280" w:type="dxa"/>
            <w:vAlign w:val="bottom"/>
            <w:vMerge w:val="continue"/>
          </w:tcPr>
          <w:p>
            <w:pPr>
              <w:spacing w:after="0"/>
              <w:rPr>
                <w:sz w:val="15"/>
                <w:szCs w:val="15"/>
                <w:color w:val="auto"/>
              </w:rPr>
            </w:pPr>
          </w:p>
        </w:tc>
        <w:tc>
          <w:tcPr>
            <w:tcW w:w="1080" w:type="dxa"/>
            <w:vAlign w:val="bottom"/>
          </w:tcPr>
          <w:p>
            <w:pPr>
              <w:jc w:val="right"/>
              <w:ind w:right="210"/>
              <w:spacing w:after="0" w:line="181" w:lineRule="exact"/>
              <w:rPr>
                <w:sz w:val="20"/>
                <w:szCs w:val="20"/>
                <w:color w:val="auto"/>
              </w:rPr>
            </w:pPr>
            <w:r>
              <w:rPr>
                <w:rFonts w:ascii="Arial" w:cs="Arial" w:eastAsia="Arial" w:hAnsi="Arial"/>
                <w:sz w:val="18"/>
                <w:szCs w:val="18"/>
                <w:color w:val="auto"/>
              </w:rPr>
              <w:t>$2,959</w:t>
            </w:r>
          </w:p>
        </w:tc>
        <w:tc>
          <w:tcPr>
            <w:tcW w:w="1180" w:type="dxa"/>
            <w:vAlign w:val="bottom"/>
          </w:tcPr>
          <w:p>
            <w:pPr>
              <w:jc w:val="right"/>
              <w:ind w:right="230"/>
              <w:spacing w:after="0" w:line="181" w:lineRule="exact"/>
              <w:rPr>
                <w:sz w:val="20"/>
                <w:szCs w:val="20"/>
                <w:color w:val="auto"/>
              </w:rPr>
            </w:pPr>
            <w:r>
              <w:rPr>
                <w:rFonts w:ascii="Arial" w:cs="Arial" w:eastAsia="Arial" w:hAnsi="Arial"/>
                <w:sz w:val="18"/>
                <w:szCs w:val="18"/>
                <w:color w:val="auto"/>
              </w:rPr>
              <w:t>$3,269</w:t>
            </w:r>
          </w:p>
        </w:tc>
        <w:tc>
          <w:tcPr>
            <w:tcW w:w="1120" w:type="dxa"/>
            <w:vAlign w:val="bottom"/>
            <w:vMerge w:val="continue"/>
          </w:tcPr>
          <w:p>
            <w:pPr>
              <w:spacing w:after="0"/>
              <w:rPr>
                <w:sz w:val="15"/>
                <w:szCs w:val="15"/>
                <w:color w:val="auto"/>
              </w:rPr>
            </w:pPr>
          </w:p>
        </w:tc>
        <w:tc>
          <w:tcPr>
            <w:tcW w:w="1120" w:type="dxa"/>
            <w:vAlign w:val="bottom"/>
          </w:tcPr>
          <w:p>
            <w:pPr>
              <w:jc w:val="right"/>
              <w:ind w:right="210"/>
              <w:spacing w:after="0" w:line="181" w:lineRule="exact"/>
              <w:rPr>
                <w:sz w:val="20"/>
                <w:szCs w:val="20"/>
                <w:color w:val="auto"/>
              </w:rPr>
            </w:pPr>
            <w:r>
              <w:rPr>
                <w:rFonts w:ascii="Arial" w:cs="Arial" w:eastAsia="Arial" w:hAnsi="Arial"/>
                <w:sz w:val="18"/>
                <w:szCs w:val="18"/>
                <w:color w:val="auto"/>
              </w:rPr>
              <w:t>$330</w:t>
            </w:r>
          </w:p>
        </w:tc>
        <w:tc>
          <w:tcPr>
            <w:tcW w:w="920" w:type="dxa"/>
            <w:vAlign w:val="bottom"/>
          </w:tcPr>
          <w:p>
            <w:pPr>
              <w:jc w:val="right"/>
              <w:ind w:right="10"/>
              <w:spacing w:after="0" w:line="181" w:lineRule="exact"/>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03"/>
        </w:trPr>
        <w:tc>
          <w:tcPr>
            <w:tcW w:w="4720" w:type="dxa"/>
            <w:vAlign w:val="bottom"/>
          </w:tcPr>
          <w:p>
            <w:pPr>
              <w:ind w:left="40"/>
              <w:spacing w:after="0" w:line="202" w:lineRule="exact"/>
              <w:rPr>
                <w:sz w:val="20"/>
                <w:szCs w:val="20"/>
                <w:color w:val="auto"/>
              </w:rPr>
            </w:pPr>
            <w:r>
              <w:rPr>
                <w:rFonts w:ascii="Arial" w:cs="Arial" w:eastAsia="Arial" w:hAnsi="Arial"/>
                <w:sz w:val="18"/>
                <w:szCs w:val="18"/>
                <w:color w:val="auto"/>
              </w:rPr>
              <w:t>Interest cost</w:t>
            </w:r>
          </w:p>
        </w:tc>
        <w:tc>
          <w:tcPr>
            <w:tcW w:w="1280" w:type="dxa"/>
            <w:vAlign w:val="bottom"/>
          </w:tcPr>
          <w:p>
            <w:pPr>
              <w:jc w:val="right"/>
              <w:ind w:right="290"/>
              <w:spacing w:after="0" w:line="202" w:lineRule="exact"/>
              <w:rPr>
                <w:sz w:val="20"/>
                <w:szCs w:val="20"/>
                <w:color w:val="auto"/>
              </w:rPr>
            </w:pPr>
            <w:r>
              <w:rPr>
                <w:rFonts w:ascii="Arial" w:cs="Arial" w:eastAsia="Arial" w:hAnsi="Arial"/>
                <w:sz w:val="18"/>
                <w:szCs w:val="18"/>
                <w:b w:val="1"/>
                <w:bCs w:val="1"/>
                <w:color w:val="auto"/>
              </w:rPr>
              <w:t>7,885</w:t>
            </w:r>
          </w:p>
        </w:tc>
        <w:tc>
          <w:tcPr>
            <w:tcW w:w="108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7,787</w:t>
            </w:r>
          </w:p>
        </w:tc>
        <w:tc>
          <w:tcPr>
            <w:tcW w:w="11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9,505</w:t>
            </w:r>
          </w:p>
        </w:tc>
        <w:tc>
          <w:tcPr>
            <w:tcW w:w="112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2,443</w:t>
            </w:r>
          </w:p>
        </w:tc>
        <w:tc>
          <w:tcPr>
            <w:tcW w:w="112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2,437</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2,741</w:t>
            </w:r>
          </w:p>
        </w:tc>
        <w:tc>
          <w:tcPr>
            <w:tcW w:w="0" w:type="dxa"/>
            <w:vAlign w:val="bottom"/>
          </w:tcPr>
          <w:p>
            <w:pPr>
              <w:spacing w:after="0"/>
              <w:rPr>
                <w:sz w:val="1"/>
                <w:szCs w:val="1"/>
                <w:color w:val="auto"/>
              </w:rPr>
            </w:pPr>
          </w:p>
        </w:tc>
      </w:tr>
      <w:tr>
        <w:trPr>
          <w:trHeight w:val="203"/>
        </w:trPr>
        <w:tc>
          <w:tcPr>
            <w:tcW w:w="4720" w:type="dxa"/>
            <w:vAlign w:val="bottom"/>
          </w:tcPr>
          <w:p>
            <w:pPr>
              <w:ind w:left="40"/>
              <w:spacing w:after="0" w:line="202" w:lineRule="exact"/>
              <w:rPr>
                <w:sz w:val="20"/>
                <w:szCs w:val="20"/>
                <w:color w:val="auto"/>
              </w:rPr>
            </w:pPr>
            <w:r>
              <w:rPr>
                <w:rFonts w:ascii="Arial" w:cs="Arial" w:eastAsia="Arial" w:hAnsi="Arial"/>
                <w:sz w:val="18"/>
                <w:szCs w:val="18"/>
                <w:color w:val="auto"/>
              </w:rPr>
              <w:t>Expected return on assets</w:t>
            </w:r>
          </w:p>
        </w:tc>
        <w:tc>
          <w:tcPr>
            <w:tcW w:w="128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(8,675)</w:t>
            </w:r>
          </w:p>
        </w:tc>
        <w:tc>
          <w:tcPr>
            <w:tcW w:w="108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(8,630)</w:t>
            </w:r>
          </w:p>
        </w:tc>
        <w:tc>
          <w:tcPr>
            <w:tcW w:w="118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(9,577)</w:t>
            </w:r>
          </w:p>
        </w:tc>
        <w:tc>
          <w:tcPr>
            <w:tcW w:w="112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720" w:type="dxa"/>
            <w:vAlign w:val="bottom"/>
          </w:tcPr>
          <w:p>
            <w:pPr>
              <w:ind w:left="40"/>
              <w:spacing w:after="0" w:line="202" w:lineRule="exact"/>
              <w:rPr>
                <w:sz w:val="20"/>
                <w:szCs w:val="20"/>
                <w:color w:val="auto"/>
              </w:rPr>
            </w:pPr>
            <w:r>
              <w:rPr>
                <w:rFonts w:ascii="Arial" w:cs="Arial" w:eastAsia="Arial" w:hAnsi="Arial"/>
                <w:sz w:val="18"/>
                <w:szCs w:val="18"/>
                <w:color w:val="auto"/>
              </w:rPr>
              <w:t>Amortization of prior service cost/(credit)</w:t>
            </w:r>
          </w:p>
        </w:tc>
        <w:tc>
          <w:tcPr>
            <w:tcW w:w="1280" w:type="dxa"/>
            <w:vAlign w:val="bottom"/>
          </w:tcPr>
          <w:p>
            <w:pPr>
              <w:jc w:val="right"/>
              <w:ind w:right="290"/>
              <w:spacing w:after="0" w:line="202" w:lineRule="exact"/>
              <w:rPr>
                <w:sz w:val="20"/>
                <w:szCs w:val="20"/>
                <w:color w:val="auto"/>
              </w:rPr>
            </w:pPr>
            <w:r>
              <w:rPr>
                <w:rFonts w:ascii="Arial" w:cs="Arial" w:eastAsia="Arial" w:hAnsi="Arial"/>
                <w:sz w:val="18"/>
                <w:szCs w:val="18"/>
                <w:b w:val="1"/>
                <w:bCs w:val="1"/>
                <w:color w:val="auto"/>
              </w:rPr>
              <w:t>38</w:t>
            </w:r>
          </w:p>
        </w:tc>
        <w:tc>
          <w:tcPr>
            <w:tcW w:w="108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48</w:t>
            </w:r>
          </w:p>
        </w:tc>
        <w:tc>
          <w:tcPr>
            <w:tcW w:w="11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53</w:t>
            </w:r>
          </w:p>
        </w:tc>
        <w:tc>
          <w:tcPr>
            <w:tcW w:w="112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(4,488)</w:t>
            </w:r>
          </w:p>
        </w:tc>
        <w:tc>
          <w:tcPr>
            <w:tcW w:w="112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(4,488)</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(4,488)</w:t>
            </w:r>
          </w:p>
        </w:tc>
        <w:tc>
          <w:tcPr>
            <w:tcW w:w="0" w:type="dxa"/>
            <w:vAlign w:val="bottom"/>
          </w:tcPr>
          <w:p>
            <w:pPr>
              <w:spacing w:after="0"/>
              <w:rPr>
                <w:sz w:val="1"/>
                <w:szCs w:val="1"/>
                <w:color w:val="auto"/>
              </w:rPr>
            </w:pPr>
          </w:p>
        </w:tc>
      </w:tr>
      <w:tr>
        <w:trPr>
          <w:trHeight w:val="203"/>
        </w:trPr>
        <w:tc>
          <w:tcPr>
            <w:tcW w:w="4720" w:type="dxa"/>
            <w:vAlign w:val="bottom"/>
          </w:tcPr>
          <w:p>
            <w:pPr>
              <w:ind w:left="40"/>
              <w:spacing w:after="0" w:line="202" w:lineRule="exact"/>
              <w:rPr>
                <w:sz w:val="20"/>
                <w:szCs w:val="20"/>
                <w:color w:val="auto"/>
              </w:rPr>
            </w:pPr>
            <w:r>
              <w:rPr>
                <w:rFonts w:ascii="Arial" w:cs="Arial" w:eastAsia="Arial" w:hAnsi="Arial"/>
                <w:sz w:val="18"/>
                <w:szCs w:val="18"/>
                <w:color w:val="auto"/>
              </w:rPr>
              <w:t>Amortization of transition obligation</w:t>
            </w:r>
          </w:p>
        </w:tc>
        <w:tc>
          <w:tcPr>
            <w:tcW w:w="1280" w:type="dxa"/>
            <w:vAlign w:val="bottom"/>
          </w:tcPr>
          <w:p>
            <w:pPr>
              <w:jc w:val="right"/>
              <w:ind w:right="290"/>
              <w:spacing w:after="0" w:line="202" w:lineRule="exact"/>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720" w:type="dxa"/>
            <w:vAlign w:val="bottom"/>
          </w:tcPr>
          <w:p>
            <w:pPr>
              <w:ind w:left="40"/>
              <w:spacing w:after="0" w:line="202" w:lineRule="exact"/>
              <w:rPr>
                <w:sz w:val="20"/>
                <w:szCs w:val="20"/>
                <w:color w:val="auto"/>
              </w:rPr>
            </w:pPr>
            <w:r>
              <w:rPr>
                <w:rFonts w:ascii="Arial" w:cs="Arial" w:eastAsia="Arial" w:hAnsi="Arial"/>
                <w:sz w:val="18"/>
                <w:szCs w:val="18"/>
                <w:color w:val="auto"/>
              </w:rPr>
              <w:t>Amortization of net actuarial loss</w:t>
            </w:r>
          </w:p>
        </w:tc>
        <w:tc>
          <w:tcPr>
            <w:tcW w:w="1280" w:type="dxa"/>
            <w:vAlign w:val="bottom"/>
          </w:tcPr>
          <w:p>
            <w:pPr>
              <w:jc w:val="right"/>
              <w:ind w:right="290"/>
              <w:spacing w:after="0" w:line="202" w:lineRule="exact"/>
              <w:rPr>
                <w:sz w:val="20"/>
                <w:szCs w:val="20"/>
                <w:color w:val="auto"/>
              </w:rPr>
            </w:pPr>
            <w:r>
              <w:rPr>
                <w:rFonts w:ascii="Arial" w:cs="Arial" w:eastAsia="Arial" w:hAnsi="Arial"/>
                <w:sz w:val="18"/>
                <w:szCs w:val="18"/>
                <w:b w:val="1"/>
                <w:bCs w:val="1"/>
                <w:color w:val="auto"/>
              </w:rPr>
              <w:t>2,283</w:t>
            </w:r>
          </w:p>
        </w:tc>
        <w:tc>
          <w:tcPr>
            <w:tcW w:w="108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2,594</w:t>
            </w:r>
          </w:p>
        </w:tc>
        <w:tc>
          <w:tcPr>
            <w:tcW w:w="11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2,421</w:t>
            </w:r>
          </w:p>
        </w:tc>
        <w:tc>
          <w:tcPr>
            <w:tcW w:w="112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2,819</w:t>
            </w:r>
          </w:p>
        </w:tc>
        <w:tc>
          <w:tcPr>
            <w:tcW w:w="112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3,338</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2,908</w:t>
            </w:r>
          </w:p>
        </w:tc>
        <w:tc>
          <w:tcPr>
            <w:tcW w:w="0" w:type="dxa"/>
            <w:vAlign w:val="bottom"/>
          </w:tcPr>
          <w:p>
            <w:pPr>
              <w:spacing w:after="0"/>
              <w:rPr>
                <w:sz w:val="1"/>
                <w:szCs w:val="1"/>
                <w:color w:val="auto"/>
              </w:rPr>
            </w:pPr>
          </w:p>
        </w:tc>
      </w:tr>
      <w:tr>
        <w:trPr>
          <w:trHeight w:val="203"/>
        </w:trPr>
        <w:tc>
          <w:tcPr>
            <w:tcW w:w="4720" w:type="dxa"/>
            <w:vAlign w:val="bottom"/>
          </w:tcPr>
          <w:p>
            <w:pPr>
              <w:ind w:left="40"/>
              <w:spacing w:after="0" w:line="202" w:lineRule="exact"/>
              <w:rPr>
                <w:sz w:val="20"/>
                <w:szCs w:val="20"/>
                <w:color w:val="auto"/>
              </w:rPr>
            </w:pPr>
            <w:r>
              <w:rPr>
                <w:rFonts w:ascii="Arial" w:cs="Arial" w:eastAsia="Arial" w:hAnsi="Arial"/>
                <w:sz w:val="18"/>
                <w:szCs w:val="18"/>
                <w:color w:val="auto"/>
              </w:rPr>
              <w:t>Settlement</w:t>
            </w:r>
          </w:p>
        </w:tc>
        <w:tc>
          <w:tcPr>
            <w:tcW w:w="1280" w:type="dxa"/>
            <w:vAlign w:val="bottom"/>
          </w:tcPr>
          <w:p>
            <w:pPr>
              <w:jc w:val="right"/>
              <w:ind w:right="290"/>
              <w:spacing w:after="0" w:line="202" w:lineRule="exact"/>
              <w:rPr>
                <w:sz w:val="20"/>
                <w:szCs w:val="20"/>
                <w:color w:val="auto"/>
              </w:rPr>
            </w:pPr>
            <w:r>
              <w:rPr>
                <w:rFonts w:ascii="Arial" w:cs="Arial" w:eastAsia="Arial" w:hAnsi="Arial"/>
                <w:sz w:val="18"/>
                <w:szCs w:val="18"/>
                <w:b w:val="1"/>
                <w:bCs w:val="1"/>
                <w:color w:val="auto"/>
              </w:rPr>
              <w:t>162</w:t>
            </w:r>
          </w:p>
        </w:tc>
        <w:tc>
          <w:tcPr>
            <w:tcW w:w="108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103</w:t>
            </w:r>
          </w:p>
        </w:tc>
        <w:tc>
          <w:tcPr>
            <w:tcW w:w="11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8,331</w:t>
            </w:r>
          </w:p>
        </w:tc>
        <w:tc>
          <w:tcPr>
            <w:tcW w:w="112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720" w:type="dxa"/>
            <w:vAlign w:val="bottom"/>
          </w:tcPr>
          <w:p>
            <w:pPr>
              <w:ind w:left="40"/>
              <w:spacing w:after="0" w:line="202" w:lineRule="exact"/>
              <w:rPr>
                <w:sz w:val="20"/>
                <w:szCs w:val="20"/>
                <w:color w:val="auto"/>
              </w:rPr>
            </w:pPr>
            <w:r>
              <w:rPr>
                <w:rFonts w:ascii="Arial" w:cs="Arial" w:eastAsia="Arial" w:hAnsi="Arial"/>
                <w:sz w:val="18"/>
                <w:szCs w:val="18"/>
                <w:color w:val="auto"/>
              </w:rPr>
              <w:t>Curtailment (gain)/loss</w:t>
            </w:r>
          </w:p>
        </w:tc>
        <w:tc>
          <w:tcPr>
            <w:tcW w:w="128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(111)</w:t>
            </w:r>
          </w:p>
        </w:tc>
        <w:tc>
          <w:tcPr>
            <w:tcW w:w="108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(942)</w:t>
            </w:r>
          </w:p>
        </w:tc>
        <w:tc>
          <w:tcPr>
            <w:tcW w:w="112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7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Special/contractual termination of benefits</w:t>
            </w:r>
          </w:p>
        </w:tc>
        <w:tc>
          <w:tcPr>
            <w:tcW w:w="12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44</w:t>
            </w:r>
          </w:p>
        </w:tc>
        <w:tc>
          <w:tcPr>
            <w:tcW w:w="11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472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Net periodic benefit cost</w:t>
            </w:r>
          </w:p>
        </w:tc>
        <w:tc>
          <w:tcPr>
            <w:tcW w:w="128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$4,238</w:t>
            </w:r>
          </w:p>
        </w:tc>
        <w:tc>
          <w:tcPr>
            <w:tcW w:w="108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$4,905</w:t>
            </w:r>
          </w:p>
        </w:tc>
        <w:tc>
          <w:tcPr>
            <w:tcW w:w="118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$13,060</w:t>
            </w:r>
          </w:p>
        </w:tc>
        <w:tc>
          <w:tcPr>
            <w:tcW w:w="112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$1,028</w:t>
            </w:r>
          </w:p>
        </w:tc>
        <w:tc>
          <w:tcPr>
            <w:tcW w:w="112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$1,617</w:t>
            </w:r>
          </w:p>
        </w:tc>
        <w:tc>
          <w:tcPr>
            <w:tcW w:w="9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$1,475</w:t>
            </w:r>
          </w:p>
        </w:tc>
        <w:tc>
          <w:tcPr>
            <w:tcW w:w="0" w:type="dxa"/>
            <w:vAlign w:val="bottom"/>
          </w:tcPr>
          <w:p>
            <w:pPr>
              <w:spacing w:after="0"/>
              <w:rPr>
                <w:sz w:val="1"/>
                <w:szCs w:val="1"/>
                <w:color w:val="auto"/>
              </w:rPr>
            </w:pPr>
          </w:p>
        </w:tc>
      </w:tr>
      <w:tr>
        <w:trPr>
          <w:trHeight w:val="398"/>
        </w:trPr>
        <w:tc>
          <w:tcPr>
            <w:tcW w:w="4720" w:type="dxa"/>
            <w:vAlign w:val="bottom"/>
          </w:tcPr>
          <w:p>
            <w:pPr>
              <w:ind w:left="40"/>
              <w:spacing w:after="0"/>
              <w:rPr>
                <w:sz w:val="20"/>
                <w:szCs w:val="20"/>
                <w:color w:val="auto"/>
              </w:rPr>
            </w:pPr>
            <w:r>
              <w:rPr>
                <w:rFonts w:ascii="Arial" w:cs="Arial" w:eastAsia="Arial" w:hAnsi="Arial"/>
                <w:sz w:val="18"/>
                <w:szCs w:val="18"/>
                <w:color w:val="auto"/>
              </w:rPr>
              <w:t>Weighted average assumptions used to determine net</w:t>
            </w:r>
          </w:p>
        </w:tc>
        <w:tc>
          <w:tcPr>
            <w:tcW w:w="1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720" w:type="dxa"/>
            <w:vAlign w:val="bottom"/>
          </w:tcPr>
          <w:p>
            <w:pPr>
              <w:ind w:left="40"/>
              <w:spacing w:after="0" w:line="202" w:lineRule="exact"/>
              <w:rPr>
                <w:sz w:val="20"/>
                <w:szCs w:val="20"/>
                <w:color w:val="auto"/>
              </w:rPr>
            </w:pPr>
            <w:r>
              <w:rPr>
                <w:rFonts w:ascii="Arial" w:cs="Arial" w:eastAsia="Arial" w:hAnsi="Arial"/>
                <w:sz w:val="18"/>
                <w:szCs w:val="18"/>
                <w:color w:val="auto"/>
              </w:rPr>
              <w:t>cost:</w:t>
            </w:r>
          </w:p>
        </w:tc>
        <w:tc>
          <w:tcPr>
            <w:tcW w:w="128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4.54%</w:t>
            </w:r>
          </w:p>
        </w:tc>
        <w:tc>
          <w:tcPr>
            <w:tcW w:w="1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4.24%</w:t>
            </w: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720" w:type="dxa"/>
            <w:vAlign w:val="bottom"/>
          </w:tcPr>
          <w:p>
            <w:pPr>
              <w:ind w:left="40"/>
              <w:spacing w:after="0" w:line="181" w:lineRule="exact"/>
              <w:rPr>
                <w:sz w:val="20"/>
                <w:szCs w:val="20"/>
                <w:color w:val="auto"/>
              </w:rPr>
            </w:pPr>
            <w:r>
              <w:rPr>
                <w:rFonts w:ascii="Arial" w:cs="Arial" w:eastAsia="Arial" w:hAnsi="Arial"/>
                <w:sz w:val="18"/>
                <w:szCs w:val="18"/>
                <w:color w:val="auto"/>
              </w:rPr>
              <w:t>Discount rate - U.S. plan</w:t>
            </w:r>
          </w:p>
        </w:tc>
        <w:tc>
          <w:tcPr>
            <w:tcW w:w="1280" w:type="dxa"/>
            <w:vAlign w:val="bottom"/>
            <w:vMerge w:val="continue"/>
          </w:tcPr>
          <w:p>
            <w:pPr>
              <w:spacing w:after="0"/>
              <w:rPr>
                <w:sz w:val="15"/>
                <w:szCs w:val="15"/>
                <w:color w:val="auto"/>
              </w:rPr>
            </w:pPr>
          </w:p>
        </w:tc>
        <w:tc>
          <w:tcPr>
            <w:tcW w:w="1080" w:type="dxa"/>
            <w:vAlign w:val="bottom"/>
          </w:tcPr>
          <w:p>
            <w:pPr>
              <w:jc w:val="right"/>
              <w:ind w:right="210"/>
              <w:spacing w:after="0" w:line="181" w:lineRule="exact"/>
              <w:rPr>
                <w:sz w:val="20"/>
                <w:szCs w:val="20"/>
                <w:color w:val="auto"/>
              </w:rPr>
            </w:pPr>
            <w:r>
              <w:rPr>
                <w:rFonts w:ascii="Arial" w:cs="Arial" w:eastAsia="Arial" w:hAnsi="Arial"/>
                <w:sz w:val="18"/>
                <w:szCs w:val="18"/>
                <w:color w:val="auto"/>
              </w:rPr>
              <w:t>4.18%</w:t>
            </w:r>
          </w:p>
        </w:tc>
        <w:tc>
          <w:tcPr>
            <w:tcW w:w="1180" w:type="dxa"/>
            <w:vAlign w:val="bottom"/>
          </w:tcPr>
          <w:p>
            <w:pPr>
              <w:jc w:val="right"/>
              <w:ind w:right="230"/>
              <w:spacing w:after="0" w:line="181" w:lineRule="exact"/>
              <w:rPr>
                <w:sz w:val="20"/>
                <w:szCs w:val="20"/>
                <w:color w:val="auto"/>
              </w:rPr>
            </w:pPr>
            <w:r>
              <w:rPr>
                <w:rFonts w:ascii="Arial" w:cs="Arial" w:eastAsia="Arial" w:hAnsi="Arial"/>
                <w:sz w:val="18"/>
                <w:szCs w:val="18"/>
                <w:color w:val="auto"/>
              </w:rPr>
              <w:t>5.22%</w:t>
            </w:r>
          </w:p>
        </w:tc>
        <w:tc>
          <w:tcPr>
            <w:tcW w:w="1120" w:type="dxa"/>
            <w:vAlign w:val="bottom"/>
            <w:vMerge w:val="continue"/>
          </w:tcPr>
          <w:p>
            <w:pPr>
              <w:spacing w:after="0"/>
              <w:rPr>
                <w:sz w:val="15"/>
                <w:szCs w:val="15"/>
                <w:color w:val="auto"/>
              </w:rPr>
            </w:pPr>
          </w:p>
        </w:tc>
        <w:tc>
          <w:tcPr>
            <w:tcW w:w="1120" w:type="dxa"/>
            <w:vAlign w:val="bottom"/>
          </w:tcPr>
          <w:p>
            <w:pPr>
              <w:jc w:val="right"/>
              <w:ind w:right="210"/>
              <w:spacing w:after="0" w:line="181" w:lineRule="exact"/>
              <w:rPr>
                <w:sz w:val="20"/>
                <w:szCs w:val="20"/>
                <w:color w:val="auto"/>
              </w:rPr>
            </w:pPr>
            <w:r>
              <w:rPr>
                <w:rFonts w:ascii="Arial" w:cs="Arial" w:eastAsia="Arial" w:hAnsi="Arial"/>
                <w:sz w:val="18"/>
                <w:szCs w:val="18"/>
                <w:color w:val="auto"/>
              </w:rPr>
              <w:t>3.90%</w:t>
            </w:r>
          </w:p>
        </w:tc>
        <w:tc>
          <w:tcPr>
            <w:tcW w:w="920" w:type="dxa"/>
            <w:vAlign w:val="bottom"/>
          </w:tcPr>
          <w:p>
            <w:pPr>
              <w:jc w:val="right"/>
              <w:ind w:right="10"/>
              <w:spacing w:after="0" w:line="181" w:lineRule="exact"/>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03"/>
        </w:trPr>
        <w:tc>
          <w:tcPr>
            <w:tcW w:w="4720" w:type="dxa"/>
            <w:vAlign w:val="bottom"/>
          </w:tcPr>
          <w:p>
            <w:pPr>
              <w:ind w:left="40"/>
              <w:spacing w:after="0" w:line="202" w:lineRule="exact"/>
              <w:rPr>
                <w:sz w:val="20"/>
                <w:szCs w:val="20"/>
                <w:color w:val="auto"/>
              </w:rPr>
            </w:pPr>
            <w:r>
              <w:rPr>
                <w:rFonts w:ascii="Arial" w:cs="Arial" w:eastAsia="Arial" w:hAnsi="Arial"/>
                <w:sz w:val="18"/>
                <w:szCs w:val="18"/>
                <w:color w:val="auto"/>
              </w:rPr>
              <w:t>Discount rate - non-U.S. plan</w:t>
            </w:r>
          </w:p>
        </w:tc>
        <w:tc>
          <w:tcPr>
            <w:tcW w:w="1280" w:type="dxa"/>
            <w:vAlign w:val="bottom"/>
          </w:tcPr>
          <w:p>
            <w:pPr>
              <w:jc w:val="right"/>
              <w:ind w:right="290"/>
              <w:spacing w:after="0" w:line="202" w:lineRule="exact"/>
              <w:rPr>
                <w:sz w:val="20"/>
                <w:szCs w:val="20"/>
                <w:color w:val="auto"/>
              </w:rPr>
            </w:pPr>
            <w:r>
              <w:rPr>
                <w:rFonts w:ascii="Arial" w:cs="Arial" w:eastAsia="Arial" w:hAnsi="Arial"/>
                <w:sz w:val="18"/>
                <w:szCs w:val="18"/>
                <w:b w:val="1"/>
                <w:bCs w:val="1"/>
                <w:color w:val="auto"/>
              </w:rPr>
              <w:t>3.67%</w:t>
            </w:r>
          </w:p>
        </w:tc>
        <w:tc>
          <w:tcPr>
            <w:tcW w:w="108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3.58%</w:t>
            </w:r>
          </w:p>
        </w:tc>
        <w:tc>
          <w:tcPr>
            <w:tcW w:w="11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4.50%</w:t>
            </w:r>
          </w:p>
        </w:tc>
        <w:tc>
          <w:tcPr>
            <w:tcW w:w="112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4.00%</w:t>
            </w:r>
          </w:p>
        </w:tc>
        <w:tc>
          <w:tcPr>
            <w:tcW w:w="112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3.85%</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03"/>
        </w:trPr>
        <w:tc>
          <w:tcPr>
            <w:tcW w:w="4720" w:type="dxa"/>
            <w:vAlign w:val="bottom"/>
          </w:tcPr>
          <w:p>
            <w:pPr>
              <w:ind w:left="40"/>
              <w:spacing w:after="0" w:line="202" w:lineRule="exact"/>
              <w:rPr>
                <w:sz w:val="20"/>
                <w:szCs w:val="20"/>
                <w:color w:val="auto"/>
              </w:rPr>
            </w:pPr>
            <w:r>
              <w:rPr>
                <w:rFonts w:ascii="Arial" w:cs="Arial" w:eastAsia="Arial" w:hAnsi="Arial"/>
                <w:sz w:val="18"/>
                <w:szCs w:val="18"/>
                <w:color w:val="auto"/>
              </w:rPr>
              <w:t>Expected return on plan assets - U.S. plan</w:t>
            </w:r>
          </w:p>
        </w:tc>
        <w:tc>
          <w:tcPr>
            <w:tcW w:w="1280" w:type="dxa"/>
            <w:vAlign w:val="bottom"/>
          </w:tcPr>
          <w:p>
            <w:pPr>
              <w:jc w:val="right"/>
              <w:ind w:right="290"/>
              <w:spacing w:after="0" w:line="202" w:lineRule="exact"/>
              <w:rPr>
                <w:sz w:val="20"/>
                <w:szCs w:val="20"/>
                <w:color w:val="auto"/>
              </w:rPr>
            </w:pPr>
            <w:r>
              <w:rPr>
                <w:rFonts w:ascii="Arial" w:cs="Arial" w:eastAsia="Arial" w:hAnsi="Arial"/>
                <w:sz w:val="18"/>
                <w:szCs w:val="18"/>
                <w:b w:val="1"/>
                <w:bCs w:val="1"/>
                <w:color w:val="auto"/>
              </w:rPr>
              <w:t>4.74%</w:t>
            </w:r>
          </w:p>
        </w:tc>
        <w:tc>
          <w:tcPr>
            <w:tcW w:w="108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4.43%</w:t>
            </w:r>
          </w:p>
        </w:tc>
        <w:tc>
          <w:tcPr>
            <w:tcW w:w="11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5.40%</w:t>
            </w:r>
          </w:p>
        </w:tc>
        <w:tc>
          <w:tcPr>
            <w:tcW w:w="112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720" w:type="dxa"/>
            <w:vAlign w:val="bottom"/>
          </w:tcPr>
          <w:p>
            <w:pPr>
              <w:ind w:left="40"/>
              <w:spacing w:after="0" w:line="202" w:lineRule="exact"/>
              <w:rPr>
                <w:sz w:val="20"/>
                <w:szCs w:val="20"/>
                <w:color w:val="auto"/>
              </w:rPr>
            </w:pPr>
            <w:r>
              <w:rPr>
                <w:rFonts w:ascii="Arial" w:cs="Arial" w:eastAsia="Arial" w:hAnsi="Arial"/>
                <w:sz w:val="18"/>
                <w:szCs w:val="18"/>
                <w:color w:val="auto"/>
              </w:rPr>
              <w:t>Expected return on plan assets - non-U.S. plans</w:t>
            </w:r>
          </w:p>
        </w:tc>
        <w:tc>
          <w:tcPr>
            <w:tcW w:w="1280" w:type="dxa"/>
            <w:vAlign w:val="bottom"/>
          </w:tcPr>
          <w:p>
            <w:pPr>
              <w:jc w:val="right"/>
              <w:ind w:right="290"/>
              <w:spacing w:after="0" w:line="202" w:lineRule="exact"/>
              <w:rPr>
                <w:sz w:val="20"/>
                <w:szCs w:val="20"/>
                <w:color w:val="auto"/>
              </w:rPr>
            </w:pPr>
            <w:r>
              <w:rPr>
                <w:rFonts w:ascii="Arial" w:cs="Arial" w:eastAsia="Arial" w:hAnsi="Arial"/>
                <w:sz w:val="18"/>
                <w:szCs w:val="18"/>
                <w:b w:val="1"/>
                <w:bCs w:val="1"/>
                <w:color w:val="auto"/>
              </w:rPr>
              <w:t>5.39%</w:t>
            </w:r>
          </w:p>
        </w:tc>
        <w:tc>
          <w:tcPr>
            <w:tcW w:w="108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5.52%</w:t>
            </w:r>
          </w:p>
        </w:tc>
        <w:tc>
          <w:tcPr>
            <w:tcW w:w="11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5.65%</w:t>
            </w:r>
          </w:p>
        </w:tc>
        <w:tc>
          <w:tcPr>
            <w:tcW w:w="112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720" w:type="dxa"/>
            <w:vAlign w:val="bottom"/>
          </w:tcPr>
          <w:p>
            <w:pPr>
              <w:ind w:left="40"/>
              <w:spacing w:after="0" w:line="202" w:lineRule="exact"/>
              <w:rPr>
                <w:sz w:val="20"/>
                <w:szCs w:val="20"/>
                <w:color w:val="auto"/>
              </w:rPr>
            </w:pPr>
            <w:r>
              <w:rPr>
                <w:rFonts w:ascii="Arial" w:cs="Arial" w:eastAsia="Arial" w:hAnsi="Arial"/>
                <w:sz w:val="18"/>
                <w:szCs w:val="18"/>
                <w:color w:val="auto"/>
              </w:rPr>
              <w:t>Rate of compensation increase - U.S. plan</w:t>
            </w:r>
          </w:p>
        </w:tc>
        <w:tc>
          <w:tcPr>
            <w:tcW w:w="1280" w:type="dxa"/>
            <w:vAlign w:val="bottom"/>
          </w:tcPr>
          <w:p>
            <w:pPr>
              <w:jc w:val="right"/>
              <w:ind w:right="290"/>
              <w:spacing w:after="0" w:line="202" w:lineRule="exact"/>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720" w:type="dxa"/>
            <w:vAlign w:val="bottom"/>
          </w:tcPr>
          <w:p>
            <w:pPr>
              <w:ind w:left="40"/>
              <w:spacing w:after="0"/>
              <w:rPr>
                <w:sz w:val="20"/>
                <w:szCs w:val="20"/>
                <w:color w:val="auto"/>
              </w:rPr>
            </w:pPr>
            <w:r>
              <w:rPr>
                <w:rFonts w:ascii="Arial" w:cs="Arial" w:eastAsia="Arial" w:hAnsi="Arial"/>
                <w:sz w:val="18"/>
                <w:szCs w:val="18"/>
                <w:color w:val="auto"/>
              </w:rPr>
              <w:t>Rate of compensation increase - non-U.S. plans</w:t>
            </w:r>
          </w:p>
        </w:tc>
        <w:tc>
          <w:tcPr>
            <w:tcW w:w="1280" w:type="dxa"/>
            <w:vAlign w:val="bottom"/>
          </w:tcPr>
          <w:p>
            <w:pPr>
              <w:jc w:val="right"/>
              <w:ind w:right="290"/>
              <w:spacing w:after="0"/>
              <w:rPr>
                <w:sz w:val="20"/>
                <w:szCs w:val="20"/>
                <w:color w:val="auto"/>
              </w:rPr>
            </w:pPr>
            <w:r>
              <w:rPr>
                <w:rFonts w:ascii="Arial" w:cs="Arial" w:eastAsia="Arial" w:hAnsi="Arial"/>
                <w:sz w:val="18"/>
                <w:szCs w:val="18"/>
                <w:b w:val="1"/>
                <w:bCs w:val="1"/>
                <w:color w:val="auto"/>
              </w:rPr>
              <w:t>3.24%</w:t>
            </w: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3.23%</w:t>
            </w:r>
          </w:p>
        </w:tc>
        <w:tc>
          <w:tcPr>
            <w:tcW w:w="1180" w:type="dxa"/>
            <w:vAlign w:val="bottom"/>
          </w:tcPr>
          <w:p>
            <w:pPr>
              <w:jc w:val="right"/>
              <w:ind w:right="230"/>
              <w:spacing w:after="0"/>
              <w:rPr>
                <w:sz w:val="20"/>
                <w:szCs w:val="20"/>
                <w:color w:val="auto"/>
              </w:rPr>
            </w:pPr>
            <w:r>
              <w:rPr>
                <w:rFonts w:ascii="Arial" w:cs="Arial" w:eastAsia="Arial" w:hAnsi="Arial"/>
                <w:sz w:val="18"/>
                <w:szCs w:val="18"/>
                <w:color w:val="auto"/>
              </w:rPr>
              <w:t>3.39%</w:t>
            </w:r>
          </w:p>
        </w:tc>
        <w:tc>
          <w:tcPr>
            <w:tcW w:w="1120" w:type="dxa"/>
            <w:vAlign w:val="bottom"/>
          </w:tcPr>
          <w:p>
            <w:pPr>
              <w:jc w:val="right"/>
              <w:ind w:right="210"/>
              <w:spacing w:after="0"/>
              <w:rPr>
                <w:sz w:val="20"/>
                <w:szCs w:val="20"/>
                <w:color w:val="auto"/>
              </w:rPr>
            </w:pPr>
            <w:r>
              <w:rPr>
                <w:rFonts w:ascii="Arial" w:cs="Arial" w:eastAsia="Arial" w:hAnsi="Arial"/>
                <w:sz w:val="18"/>
                <w:szCs w:val="18"/>
                <w:b w:val="1"/>
                <w:bCs w:val="1"/>
                <w:color w:val="auto"/>
              </w:rPr>
              <w:t>3.00%</w:t>
            </w:r>
          </w:p>
        </w:tc>
        <w:tc>
          <w:tcPr>
            <w:tcW w:w="1120" w:type="dxa"/>
            <w:vAlign w:val="bottom"/>
          </w:tcPr>
          <w:p>
            <w:pPr>
              <w:jc w:val="right"/>
              <w:ind w:right="210"/>
              <w:spacing w:after="0"/>
              <w:rPr>
                <w:sz w:val="20"/>
                <w:szCs w:val="20"/>
                <w:color w:val="auto"/>
              </w:rPr>
            </w:pPr>
            <w:r>
              <w:rPr>
                <w:rFonts w:ascii="Arial" w:cs="Arial" w:eastAsia="Arial" w:hAnsi="Arial"/>
                <w:sz w:val="18"/>
                <w:szCs w:val="18"/>
                <w:color w:val="auto"/>
              </w:rPr>
              <w:t>3.00%</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03"/>
        </w:trPr>
        <w:tc>
          <w:tcPr>
            <w:tcW w:w="4720" w:type="dxa"/>
            <w:vAlign w:val="bottom"/>
          </w:tcPr>
          <w:p>
            <w:pPr>
              <w:ind w:left="40"/>
              <w:spacing w:after="0" w:line="202" w:lineRule="exact"/>
              <w:rPr>
                <w:sz w:val="20"/>
                <w:szCs w:val="20"/>
                <w:color w:val="auto"/>
              </w:rPr>
            </w:pPr>
            <w:r>
              <w:rPr>
                <w:rFonts w:ascii="Arial" w:cs="Arial" w:eastAsia="Arial" w:hAnsi="Arial"/>
                <w:sz w:val="18"/>
                <w:szCs w:val="18"/>
                <w:color w:val="auto"/>
              </w:rPr>
              <w:t>Health care cost trend rate (U.S. and non-U.S. plans):</w:t>
            </w:r>
          </w:p>
        </w:tc>
        <w:tc>
          <w:tcPr>
            <w:tcW w:w="128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720" w:type="dxa"/>
            <w:vAlign w:val="bottom"/>
          </w:tcPr>
          <w:p>
            <w:pPr>
              <w:ind w:left="40"/>
              <w:spacing w:after="0" w:line="181" w:lineRule="exact"/>
              <w:rPr>
                <w:sz w:val="20"/>
                <w:szCs w:val="20"/>
                <w:color w:val="auto"/>
              </w:rPr>
            </w:pPr>
            <w:r>
              <w:rPr>
                <w:rFonts w:ascii="Arial" w:cs="Arial" w:eastAsia="Arial" w:hAnsi="Arial"/>
                <w:sz w:val="18"/>
                <w:szCs w:val="18"/>
                <w:color w:val="auto"/>
              </w:rPr>
              <w:t>Initial rate</w:t>
            </w:r>
          </w:p>
        </w:tc>
        <w:tc>
          <w:tcPr>
            <w:tcW w:w="1280" w:type="dxa"/>
            <w:vAlign w:val="bottom"/>
            <w:vMerge w:val="continue"/>
          </w:tcPr>
          <w:p>
            <w:pPr>
              <w:spacing w:after="0"/>
              <w:rPr>
                <w:sz w:val="15"/>
                <w:szCs w:val="15"/>
                <w:color w:val="auto"/>
              </w:rPr>
            </w:pPr>
          </w:p>
        </w:tc>
        <w:tc>
          <w:tcPr>
            <w:tcW w:w="1080" w:type="dxa"/>
            <w:vAlign w:val="bottom"/>
          </w:tcPr>
          <w:p>
            <w:pPr>
              <w:jc w:val="right"/>
              <w:ind w:right="210"/>
              <w:spacing w:after="0" w:line="181"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230"/>
              <w:spacing w:after="0" w:line="181" w:lineRule="exact"/>
              <w:rPr>
                <w:sz w:val="20"/>
                <w:szCs w:val="20"/>
                <w:color w:val="auto"/>
              </w:rPr>
            </w:pPr>
            <w:r>
              <w:rPr>
                <w:rFonts w:ascii="Arial" w:cs="Arial" w:eastAsia="Arial" w:hAnsi="Arial"/>
                <w:sz w:val="18"/>
                <w:szCs w:val="18"/>
                <w:color w:val="auto"/>
              </w:rPr>
              <w:t>-</w:t>
            </w:r>
          </w:p>
        </w:tc>
        <w:tc>
          <w:tcPr>
            <w:tcW w:w="1120" w:type="dxa"/>
            <w:vAlign w:val="bottom"/>
            <w:vMerge w:val="continue"/>
          </w:tcPr>
          <w:p>
            <w:pPr>
              <w:spacing w:after="0"/>
              <w:rPr>
                <w:sz w:val="15"/>
                <w:szCs w:val="15"/>
                <w:color w:val="auto"/>
              </w:rPr>
            </w:pPr>
          </w:p>
        </w:tc>
        <w:tc>
          <w:tcPr>
            <w:tcW w:w="1120" w:type="dxa"/>
            <w:vAlign w:val="bottom"/>
          </w:tcPr>
          <w:p>
            <w:pPr>
              <w:jc w:val="right"/>
              <w:ind w:right="210"/>
              <w:spacing w:after="0" w:line="181"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line="18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720" w:type="dxa"/>
            <w:vAlign w:val="bottom"/>
          </w:tcPr>
          <w:p>
            <w:pPr>
              <w:ind w:left="40"/>
              <w:spacing w:after="0" w:line="202" w:lineRule="exact"/>
              <w:rPr>
                <w:sz w:val="20"/>
                <w:szCs w:val="20"/>
                <w:color w:val="auto"/>
              </w:rPr>
            </w:pPr>
            <w:r>
              <w:rPr>
                <w:rFonts w:ascii="Arial" w:cs="Arial" w:eastAsia="Arial" w:hAnsi="Arial"/>
                <w:sz w:val="18"/>
                <w:szCs w:val="18"/>
                <w:color w:val="auto"/>
              </w:rPr>
              <w:t>Ultimate rate</w:t>
            </w:r>
          </w:p>
        </w:tc>
        <w:tc>
          <w:tcPr>
            <w:tcW w:w="1280" w:type="dxa"/>
            <w:vAlign w:val="bottom"/>
          </w:tcPr>
          <w:p>
            <w:pPr>
              <w:jc w:val="right"/>
              <w:ind w:right="290"/>
              <w:spacing w:after="0" w:line="202" w:lineRule="exact"/>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4720" w:type="dxa"/>
            <w:vAlign w:val="bottom"/>
          </w:tcPr>
          <w:p>
            <w:pPr>
              <w:ind w:left="40"/>
              <w:spacing w:after="0"/>
              <w:rPr>
                <w:sz w:val="20"/>
                <w:szCs w:val="20"/>
                <w:color w:val="auto"/>
              </w:rPr>
            </w:pPr>
            <w:r>
              <w:rPr>
                <w:rFonts w:ascii="Arial" w:cs="Arial" w:eastAsia="Arial" w:hAnsi="Arial"/>
                <w:sz w:val="18"/>
                <w:szCs w:val="18"/>
                <w:color w:val="auto"/>
              </w:rPr>
              <w:t>Years to ultimate</w:t>
            </w:r>
          </w:p>
        </w:tc>
        <w:tc>
          <w:tcPr>
            <w:tcW w:w="128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Pretax (gains)/losses in plan assets and benefit obligations recognized in other comprehensive income during 2016 were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860" w:type="dxa"/>
            <w:vAlign w:val="bottom"/>
            <w:tcBorders>
              <w:top w:val="single" w:sz="8" w:color="auto"/>
            </w:tcBorders>
          </w:tcPr>
          <w:p>
            <w:pPr>
              <w:spacing w:after="0"/>
              <w:rPr>
                <w:sz w:val="16"/>
                <w:szCs w:val="16"/>
                <w:color w:val="auto"/>
              </w:rPr>
            </w:pPr>
          </w:p>
        </w:tc>
        <w:tc>
          <w:tcPr>
            <w:tcW w:w="2580" w:type="dxa"/>
            <w:vAlign w:val="bottom"/>
            <w:tcBorders>
              <w:top w:val="single" w:sz="8" w:color="auto"/>
            </w:tcBorders>
          </w:tcPr>
          <w:p>
            <w:pPr>
              <w:spacing w:after="0"/>
              <w:rPr>
                <w:sz w:val="16"/>
                <w:szCs w:val="16"/>
                <w:color w:val="auto"/>
              </w:rPr>
            </w:pPr>
          </w:p>
        </w:tc>
        <w:tc>
          <w:tcPr>
            <w:tcW w:w="1980" w:type="dxa"/>
            <w:vAlign w:val="bottom"/>
            <w:tcBorders>
              <w:top w:val="single" w:sz="8" w:color="auto"/>
            </w:tcBorders>
          </w:tcPr>
          <w:p>
            <w:pPr>
              <w:jc w:val="center"/>
              <w:ind w:left="330"/>
              <w:spacing w:after="0" w:line="194" w:lineRule="exact"/>
              <w:rPr>
                <w:sz w:val="20"/>
                <w:szCs w:val="20"/>
                <w:color w:val="auto"/>
              </w:rPr>
            </w:pPr>
            <w:r>
              <w:rPr>
                <w:rFonts w:ascii="Arial" w:cs="Arial" w:eastAsia="Arial" w:hAnsi="Arial"/>
                <w:sz w:val="18"/>
                <w:szCs w:val="18"/>
                <w:b w:val="1"/>
                <w:bCs w:val="1"/>
                <w:color w:val="auto"/>
                <w:w w:val="99"/>
              </w:rPr>
              <w:t>Other</w:t>
            </w:r>
          </w:p>
        </w:tc>
      </w:tr>
      <w:tr>
        <w:trPr>
          <w:trHeight w:val="203"/>
        </w:trPr>
        <w:tc>
          <w:tcPr>
            <w:tcW w:w="6860" w:type="dxa"/>
            <w:vAlign w:val="bottom"/>
          </w:tcPr>
          <w:p>
            <w:pPr>
              <w:spacing w:after="0"/>
              <w:rPr>
                <w:sz w:val="17"/>
                <w:szCs w:val="17"/>
                <w:color w:val="auto"/>
              </w:rPr>
            </w:pPr>
          </w:p>
        </w:tc>
        <w:tc>
          <w:tcPr>
            <w:tcW w:w="2580" w:type="dxa"/>
            <w:vAlign w:val="bottom"/>
          </w:tcPr>
          <w:p>
            <w:pPr>
              <w:jc w:val="right"/>
              <w:ind w:right="870"/>
              <w:spacing w:after="0" w:line="202" w:lineRule="exact"/>
              <w:rPr>
                <w:sz w:val="20"/>
                <w:szCs w:val="20"/>
                <w:color w:val="auto"/>
              </w:rPr>
            </w:pPr>
            <w:r>
              <w:rPr>
                <w:rFonts w:ascii="Arial" w:cs="Arial" w:eastAsia="Arial" w:hAnsi="Arial"/>
                <w:sz w:val="18"/>
                <w:szCs w:val="18"/>
                <w:b w:val="1"/>
                <w:bCs w:val="1"/>
                <w:color w:val="auto"/>
              </w:rPr>
              <w:t>Pension</w:t>
            </w:r>
          </w:p>
        </w:tc>
        <w:tc>
          <w:tcPr>
            <w:tcW w:w="1980" w:type="dxa"/>
            <w:vAlign w:val="bottom"/>
          </w:tcPr>
          <w:p>
            <w:pPr>
              <w:jc w:val="center"/>
              <w:ind w:left="310"/>
              <w:spacing w:after="0" w:line="202" w:lineRule="exact"/>
              <w:rPr>
                <w:sz w:val="20"/>
                <w:szCs w:val="20"/>
                <w:color w:val="auto"/>
              </w:rPr>
            </w:pPr>
            <w:r>
              <w:rPr>
                <w:rFonts w:ascii="Arial" w:cs="Arial" w:eastAsia="Arial" w:hAnsi="Arial"/>
                <w:sz w:val="18"/>
                <w:szCs w:val="18"/>
                <w:b w:val="1"/>
                <w:bCs w:val="1"/>
                <w:color w:val="auto"/>
                <w:w w:val="99"/>
              </w:rPr>
              <w:t>postretirement</w:t>
            </w:r>
          </w:p>
        </w:tc>
      </w:tr>
      <w:tr>
        <w:trPr>
          <w:trHeight w:val="225"/>
        </w:trPr>
        <w:tc>
          <w:tcPr>
            <w:tcW w:w="6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58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b w:val="1"/>
                <w:bCs w:val="1"/>
                <w:color w:val="auto"/>
              </w:rPr>
              <w:t>plan</w:t>
            </w:r>
          </w:p>
        </w:tc>
        <w:tc>
          <w:tcPr>
            <w:tcW w:w="198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b w:val="1"/>
                <w:bCs w:val="1"/>
                <w:color w:val="auto"/>
              </w:rPr>
              <w:t>benefits</w:t>
            </w:r>
          </w:p>
        </w:tc>
      </w:tr>
      <w:tr>
        <w:trPr>
          <w:trHeight w:val="195"/>
        </w:trPr>
        <w:tc>
          <w:tcPr>
            <w:tcW w:w="6860" w:type="dxa"/>
            <w:vAlign w:val="bottom"/>
          </w:tcPr>
          <w:p>
            <w:pPr>
              <w:ind w:left="40"/>
              <w:spacing w:after="0" w:line="195" w:lineRule="exact"/>
              <w:rPr>
                <w:sz w:val="20"/>
                <w:szCs w:val="20"/>
                <w:color w:val="auto"/>
              </w:rPr>
            </w:pPr>
            <w:r>
              <w:rPr>
                <w:rFonts w:ascii="Arial" w:cs="Arial" w:eastAsia="Arial" w:hAnsi="Arial"/>
                <w:sz w:val="18"/>
                <w:szCs w:val="18"/>
                <w:color w:val="auto"/>
              </w:rPr>
              <w:t>Settlements/curtailments</w:t>
            </w:r>
          </w:p>
        </w:tc>
        <w:tc>
          <w:tcPr>
            <w:tcW w:w="2580" w:type="dxa"/>
            <w:vAlign w:val="bottom"/>
          </w:tcPr>
          <w:p>
            <w:pPr>
              <w:jc w:val="right"/>
              <w:ind w:right="470"/>
              <w:spacing w:after="0" w:line="195" w:lineRule="exact"/>
              <w:rPr>
                <w:sz w:val="20"/>
                <w:szCs w:val="20"/>
                <w:color w:val="auto"/>
              </w:rPr>
            </w:pPr>
            <w:r>
              <w:rPr>
                <w:rFonts w:ascii="Arial" w:cs="Arial" w:eastAsia="Arial" w:hAnsi="Arial"/>
                <w:sz w:val="18"/>
                <w:szCs w:val="18"/>
                <w:color w:val="auto"/>
              </w:rPr>
              <w:t>($51)</w:t>
            </w:r>
          </w:p>
        </w:tc>
        <w:tc>
          <w:tcPr>
            <w:tcW w:w="19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 -</w:t>
            </w:r>
          </w:p>
        </w:tc>
      </w:tr>
      <w:tr>
        <w:trPr>
          <w:trHeight w:val="203"/>
        </w:trPr>
        <w:tc>
          <w:tcPr>
            <w:tcW w:w="6860" w:type="dxa"/>
            <w:vAlign w:val="bottom"/>
          </w:tcPr>
          <w:p>
            <w:pPr>
              <w:ind w:left="40"/>
              <w:spacing w:after="0" w:line="202" w:lineRule="exact"/>
              <w:rPr>
                <w:sz w:val="20"/>
                <w:szCs w:val="20"/>
                <w:color w:val="auto"/>
              </w:rPr>
            </w:pPr>
            <w:r>
              <w:rPr>
                <w:rFonts w:ascii="Arial" w:cs="Arial" w:eastAsia="Arial" w:hAnsi="Arial"/>
                <w:sz w:val="18"/>
                <w:szCs w:val="18"/>
                <w:color w:val="auto"/>
              </w:rPr>
              <w:t>Asset/liability loss/(gain)</w:t>
            </w:r>
          </w:p>
        </w:tc>
        <w:tc>
          <w:tcPr>
            <w:tcW w:w="258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6,519</w:t>
            </w:r>
          </w:p>
        </w:tc>
        <w:tc>
          <w:tcPr>
            <w:tcW w:w="1980" w:type="dxa"/>
            <w:vAlign w:val="bottom"/>
          </w:tcPr>
          <w:p>
            <w:pPr>
              <w:jc w:val="right"/>
              <w:spacing w:after="0" w:line="202" w:lineRule="exact"/>
              <w:rPr>
                <w:sz w:val="20"/>
                <w:szCs w:val="20"/>
                <w:color w:val="auto"/>
              </w:rPr>
            </w:pPr>
            <w:r>
              <w:rPr>
                <w:rFonts w:ascii="Arial" w:cs="Arial" w:eastAsia="Arial" w:hAnsi="Arial"/>
                <w:sz w:val="18"/>
                <w:szCs w:val="18"/>
                <w:color w:val="auto"/>
              </w:rPr>
              <w:t>(395)</w:t>
            </w:r>
          </w:p>
        </w:tc>
      </w:tr>
      <w:tr>
        <w:trPr>
          <w:trHeight w:val="203"/>
        </w:trPr>
        <w:tc>
          <w:tcPr>
            <w:tcW w:w="6860" w:type="dxa"/>
            <w:vAlign w:val="bottom"/>
          </w:tcPr>
          <w:p>
            <w:pPr>
              <w:ind w:left="40"/>
              <w:spacing w:after="0" w:line="202" w:lineRule="exact"/>
              <w:rPr>
                <w:sz w:val="20"/>
                <w:szCs w:val="20"/>
                <w:color w:val="auto"/>
              </w:rPr>
            </w:pPr>
            <w:r>
              <w:rPr>
                <w:rFonts w:ascii="Arial" w:cs="Arial" w:eastAsia="Arial" w:hAnsi="Arial"/>
                <w:sz w:val="18"/>
                <w:szCs w:val="18"/>
                <w:color w:val="auto"/>
              </w:rPr>
              <w:t>Amortization of actuarial (loss)</w:t>
            </w:r>
          </w:p>
        </w:tc>
        <w:tc>
          <w:tcPr>
            <w:tcW w:w="258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(2,283)</w:t>
            </w:r>
          </w:p>
        </w:tc>
        <w:tc>
          <w:tcPr>
            <w:tcW w:w="1980" w:type="dxa"/>
            <w:vAlign w:val="bottom"/>
          </w:tcPr>
          <w:p>
            <w:pPr>
              <w:jc w:val="right"/>
              <w:spacing w:after="0" w:line="202" w:lineRule="exact"/>
              <w:rPr>
                <w:sz w:val="20"/>
                <w:szCs w:val="20"/>
                <w:color w:val="auto"/>
              </w:rPr>
            </w:pPr>
            <w:r>
              <w:rPr>
                <w:rFonts w:ascii="Arial" w:cs="Arial" w:eastAsia="Arial" w:hAnsi="Arial"/>
                <w:sz w:val="18"/>
                <w:szCs w:val="18"/>
                <w:color w:val="auto"/>
              </w:rPr>
              <w:t>(2,819)</w:t>
            </w:r>
          </w:p>
        </w:tc>
      </w:tr>
      <w:tr>
        <w:trPr>
          <w:trHeight w:val="203"/>
        </w:trPr>
        <w:tc>
          <w:tcPr>
            <w:tcW w:w="6860" w:type="dxa"/>
            <w:vAlign w:val="bottom"/>
          </w:tcPr>
          <w:p>
            <w:pPr>
              <w:ind w:left="40"/>
              <w:spacing w:after="0" w:line="202" w:lineRule="exact"/>
              <w:rPr>
                <w:sz w:val="20"/>
                <w:szCs w:val="20"/>
                <w:color w:val="auto"/>
              </w:rPr>
            </w:pPr>
            <w:r>
              <w:rPr>
                <w:rFonts w:ascii="Arial" w:cs="Arial" w:eastAsia="Arial" w:hAnsi="Arial"/>
                <w:sz w:val="18"/>
                <w:szCs w:val="18"/>
                <w:color w:val="auto"/>
              </w:rPr>
              <w:t>Amortization of prior service (cost)/credit</w:t>
            </w:r>
          </w:p>
        </w:tc>
        <w:tc>
          <w:tcPr>
            <w:tcW w:w="258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(38)</w:t>
            </w:r>
          </w:p>
        </w:tc>
        <w:tc>
          <w:tcPr>
            <w:tcW w:w="1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4,488</w:t>
            </w:r>
          </w:p>
        </w:tc>
      </w:tr>
      <w:tr>
        <w:trPr>
          <w:trHeight w:val="203"/>
        </w:trPr>
        <w:tc>
          <w:tcPr>
            <w:tcW w:w="6860" w:type="dxa"/>
            <w:vAlign w:val="bottom"/>
          </w:tcPr>
          <w:p>
            <w:pPr>
              <w:ind w:left="40"/>
              <w:spacing w:after="0" w:line="202" w:lineRule="exact"/>
              <w:rPr>
                <w:sz w:val="20"/>
                <w:szCs w:val="20"/>
                <w:color w:val="auto"/>
              </w:rPr>
            </w:pPr>
            <w:r>
              <w:rPr>
                <w:rFonts w:ascii="Arial" w:cs="Arial" w:eastAsia="Arial" w:hAnsi="Arial"/>
                <w:sz w:val="18"/>
                <w:szCs w:val="18"/>
                <w:color w:val="auto"/>
              </w:rPr>
              <w:t>Amortization of transition (obligation)</w:t>
            </w:r>
          </w:p>
        </w:tc>
        <w:tc>
          <w:tcPr>
            <w:tcW w:w="258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w:t>
            </w:r>
          </w:p>
        </w:tc>
        <w:tc>
          <w:tcPr>
            <w:tcW w:w="1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6860" w:type="dxa"/>
            <w:vAlign w:val="bottom"/>
            <w:tcBorders>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Currency impact</w:t>
            </w:r>
          </w:p>
        </w:tc>
        <w:tc>
          <w:tcPr>
            <w:tcW w:w="2580" w:type="dxa"/>
            <w:vAlign w:val="bottom"/>
            <w:tcBorders>
              <w:bottom w:val="single" w:sz="8" w:color="auto"/>
            </w:tcBorders>
          </w:tcPr>
          <w:p>
            <w:pPr>
              <w:jc w:val="right"/>
              <w:ind w:right="470"/>
              <w:spacing w:after="0" w:line="203" w:lineRule="exact"/>
              <w:rPr>
                <w:sz w:val="20"/>
                <w:szCs w:val="20"/>
                <w:color w:val="auto"/>
              </w:rPr>
            </w:pPr>
            <w:r>
              <w:rPr>
                <w:rFonts w:ascii="Arial" w:cs="Arial" w:eastAsia="Arial" w:hAnsi="Arial"/>
                <w:sz w:val="18"/>
                <w:szCs w:val="18"/>
                <w:color w:val="auto"/>
              </w:rPr>
              <w:t>(1,655)</w:t>
            </w:r>
          </w:p>
        </w:tc>
        <w:tc>
          <w:tcPr>
            <w:tcW w:w="1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w:t>
            </w:r>
          </w:p>
        </w:tc>
      </w:tr>
      <w:tr>
        <w:trPr>
          <w:trHeight w:val="196"/>
        </w:trPr>
        <w:tc>
          <w:tcPr>
            <w:tcW w:w="686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Cost in other comprehensive income</w:t>
            </w:r>
          </w:p>
        </w:tc>
        <w:tc>
          <w:tcPr>
            <w:tcW w:w="258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color w:val="auto"/>
              </w:rPr>
              <w:t>$2,492</w:t>
            </w:r>
          </w:p>
        </w:tc>
        <w:tc>
          <w:tcPr>
            <w:tcW w:w="19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$1,273</w:t>
            </w:r>
          </w:p>
        </w:tc>
      </w:tr>
      <w:tr>
        <w:trPr>
          <w:trHeight w:val="195"/>
        </w:trPr>
        <w:tc>
          <w:tcPr>
            <w:tcW w:w="6860" w:type="dxa"/>
            <w:vAlign w:val="bottom"/>
          </w:tcPr>
          <w:p>
            <w:pPr>
              <w:ind w:left="40"/>
              <w:spacing w:after="0" w:line="195" w:lineRule="exact"/>
              <w:rPr>
                <w:sz w:val="20"/>
                <w:szCs w:val="20"/>
                <w:color w:val="auto"/>
              </w:rPr>
            </w:pPr>
            <w:r>
              <w:rPr>
                <w:rFonts w:ascii="Arial" w:cs="Arial" w:eastAsia="Arial" w:hAnsi="Arial"/>
                <w:sz w:val="18"/>
                <w:szCs w:val="18"/>
                <w:color w:val="auto"/>
              </w:rPr>
              <w:t>Total cost recognized in net periodic benefit cost and other comprehensive</w:t>
            </w:r>
          </w:p>
        </w:tc>
        <w:tc>
          <w:tcPr>
            <w:tcW w:w="2580" w:type="dxa"/>
            <w:vAlign w:val="bottom"/>
          </w:tcPr>
          <w:p>
            <w:pPr>
              <w:spacing w:after="0"/>
              <w:rPr>
                <w:sz w:val="16"/>
                <w:szCs w:val="16"/>
                <w:color w:val="auto"/>
              </w:rPr>
            </w:pPr>
          </w:p>
        </w:tc>
        <w:tc>
          <w:tcPr>
            <w:tcW w:w="1980" w:type="dxa"/>
            <w:vAlign w:val="bottom"/>
          </w:tcPr>
          <w:p>
            <w:pPr>
              <w:spacing w:after="0"/>
              <w:rPr>
                <w:sz w:val="16"/>
                <w:szCs w:val="16"/>
                <w:color w:val="auto"/>
              </w:rPr>
            </w:pPr>
          </w:p>
        </w:tc>
      </w:tr>
      <w:tr>
        <w:trPr>
          <w:trHeight w:val="203"/>
        </w:trPr>
        <w:tc>
          <w:tcPr>
            <w:tcW w:w="6860" w:type="dxa"/>
            <w:vAlign w:val="bottom"/>
            <w:tcBorders>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income</w:t>
            </w:r>
          </w:p>
        </w:tc>
        <w:tc>
          <w:tcPr>
            <w:tcW w:w="2580" w:type="dxa"/>
            <w:vAlign w:val="bottom"/>
            <w:tcBorders>
              <w:bottom w:val="single" w:sz="8" w:color="auto"/>
            </w:tcBorders>
          </w:tcPr>
          <w:p>
            <w:pPr>
              <w:jc w:val="right"/>
              <w:ind w:right="530"/>
              <w:spacing w:after="0" w:line="203" w:lineRule="exact"/>
              <w:rPr>
                <w:sz w:val="20"/>
                <w:szCs w:val="20"/>
                <w:color w:val="auto"/>
              </w:rPr>
            </w:pPr>
            <w:r>
              <w:rPr>
                <w:rFonts w:ascii="Arial" w:cs="Arial" w:eastAsia="Arial" w:hAnsi="Arial"/>
                <w:sz w:val="18"/>
                <w:szCs w:val="18"/>
                <w:color w:val="auto"/>
              </w:rPr>
              <w:t>$6,730</w:t>
            </w:r>
          </w:p>
        </w:tc>
        <w:tc>
          <w:tcPr>
            <w:tcW w:w="19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$2,301</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1220"/>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342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71" w:name="page72"/>
    <w:bookmarkEnd w:id="71"/>
    <w:p>
      <w:pPr>
        <w:ind w:right="60" w:firstLine="648"/>
        <w:spacing w:after="0" w:line="245" w:lineRule="auto"/>
        <w:rPr>
          <w:sz w:val="20"/>
          <w:szCs w:val="20"/>
          <w:color w:val="auto"/>
        </w:rPr>
      </w:pPr>
      <w:r>
        <w:rPr>
          <w:rFonts w:ascii="Arial" w:cs="Arial" w:eastAsia="Arial" w:hAnsi="Arial"/>
          <w:sz w:val="18"/>
          <w:szCs w:val="18"/>
          <w:color w:val="auto"/>
        </w:rPr>
        <w:t>The estimated amounts that will be amortized from accumulated other comprehensive income into net periodic benefit cost in 2017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960" w:type="dxa"/>
            <w:vAlign w:val="bottom"/>
            <w:tcBorders>
              <w:top w:val="single" w:sz="8" w:color="auto"/>
            </w:tcBorders>
          </w:tcPr>
          <w:p>
            <w:pPr>
              <w:spacing w:after="0"/>
              <w:rPr>
                <w:sz w:val="16"/>
                <w:szCs w:val="16"/>
                <w:color w:val="auto"/>
              </w:rPr>
            </w:pPr>
          </w:p>
        </w:tc>
        <w:tc>
          <w:tcPr>
            <w:tcW w:w="4440" w:type="dxa"/>
            <w:vAlign w:val="bottom"/>
            <w:tcBorders>
              <w:top w:val="single" w:sz="8" w:color="auto"/>
            </w:tcBorders>
          </w:tcPr>
          <w:p>
            <w:pPr>
              <w:spacing w:after="0"/>
              <w:rPr>
                <w:sz w:val="16"/>
                <w:szCs w:val="16"/>
                <w:color w:val="auto"/>
              </w:rPr>
            </w:pPr>
          </w:p>
        </w:tc>
        <w:tc>
          <w:tcPr>
            <w:tcW w:w="2020" w:type="dxa"/>
            <w:vAlign w:val="bottom"/>
            <w:tcBorders>
              <w:top w:val="single" w:sz="8" w:color="auto"/>
            </w:tcBorders>
          </w:tcPr>
          <w:p>
            <w:pPr>
              <w:jc w:val="center"/>
              <w:ind w:left="350"/>
              <w:spacing w:after="0" w:line="194" w:lineRule="exact"/>
              <w:rPr>
                <w:sz w:val="20"/>
                <w:szCs w:val="20"/>
                <w:color w:val="auto"/>
              </w:rPr>
            </w:pPr>
            <w:r>
              <w:rPr>
                <w:rFonts w:ascii="Arial" w:cs="Arial" w:eastAsia="Arial" w:hAnsi="Arial"/>
                <w:sz w:val="18"/>
                <w:szCs w:val="18"/>
                <w:b w:val="1"/>
                <w:bCs w:val="1"/>
                <w:color w:val="auto"/>
                <w:w w:val="97"/>
              </w:rPr>
              <w:t>Total</w:t>
            </w:r>
          </w:p>
        </w:tc>
      </w:tr>
      <w:tr>
        <w:trPr>
          <w:trHeight w:val="203"/>
        </w:trPr>
        <w:tc>
          <w:tcPr>
            <w:tcW w:w="4960" w:type="dxa"/>
            <w:vAlign w:val="bottom"/>
          </w:tcPr>
          <w:p>
            <w:pPr>
              <w:spacing w:after="0"/>
              <w:rPr>
                <w:sz w:val="17"/>
                <w:szCs w:val="17"/>
                <w:color w:val="auto"/>
              </w:rPr>
            </w:pPr>
          </w:p>
        </w:tc>
        <w:tc>
          <w:tcPr>
            <w:tcW w:w="4440" w:type="dxa"/>
            <w:vAlign w:val="bottom"/>
          </w:tcPr>
          <w:p>
            <w:pPr>
              <w:jc w:val="right"/>
              <w:ind w:right="970"/>
              <w:spacing w:after="0" w:line="202" w:lineRule="exact"/>
              <w:rPr>
                <w:sz w:val="20"/>
                <w:szCs w:val="20"/>
                <w:color w:val="auto"/>
              </w:rPr>
            </w:pPr>
            <w:r>
              <w:rPr>
                <w:rFonts w:ascii="Arial" w:cs="Arial" w:eastAsia="Arial" w:hAnsi="Arial"/>
                <w:sz w:val="18"/>
                <w:szCs w:val="18"/>
                <w:b w:val="1"/>
                <w:bCs w:val="1"/>
                <w:color w:val="auto"/>
              </w:rPr>
              <w:t>Total</w:t>
            </w:r>
          </w:p>
        </w:tc>
        <w:tc>
          <w:tcPr>
            <w:tcW w:w="2020" w:type="dxa"/>
            <w:vAlign w:val="bottom"/>
          </w:tcPr>
          <w:p>
            <w:pPr>
              <w:jc w:val="center"/>
              <w:ind w:left="350"/>
              <w:spacing w:after="0" w:line="202" w:lineRule="exact"/>
              <w:rPr>
                <w:sz w:val="20"/>
                <w:szCs w:val="20"/>
                <w:color w:val="auto"/>
              </w:rPr>
            </w:pPr>
            <w:r>
              <w:rPr>
                <w:rFonts w:ascii="Arial" w:cs="Arial" w:eastAsia="Arial" w:hAnsi="Arial"/>
                <w:sz w:val="18"/>
                <w:szCs w:val="18"/>
                <w:b w:val="1"/>
                <w:bCs w:val="1"/>
                <w:color w:val="auto"/>
                <w:w w:val="99"/>
              </w:rPr>
              <w:t>postretirement</w:t>
            </w:r>
          </w:p>
        </w:tc>
      </w:tr>
      <w:tr>
        <w:trPr>
          <w:trHeight w:val="225"/>
        </w:trPr>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44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pension</w:t>
            </w:r>
          </w:p>
        </w:tc>
        <w:tc>
          <w:tcPr>
            <w:tcW w:w="202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rPr>
              <w:t>benefits</w:t>
            </w:r>
          </w:p>
        </w:tc>
      </w:tr>
      <w:tr>
        <w:trPr>
          <w:trHeight w:val="195"/>
        </w:trPr>
        <w:tc>
          <w:tcPr>
            <w:tcW w:w="4960" w:type="dxa"/>
            <w:vAlign w:val="bottom"/>
          </w:tcPr>
          <w:p>
            <w:pPr>
              <w:ind w:left="40"/>
              <w:spacing w:after="0" w:line="195" w:lineRule="exact"/>
              <w:rPr>
                <w:sz w:val="20"/>
                <w:szCs w:val="20"/>
                <w:color w:val="auto"/>
              </w:rPr>
            </w:pPr>
            <w:r>
              <w:rPr>
                <w:rFonts w:ascii="Arial" w:cs="Arial" w:eastAsia="Arial" w:hAnsi="Arial"/>
                <w:sz w:val="18"/>
                <w:szCs w:val="18"/>
                <w:color w:val="auto"/>
              </w:rPr>
              <w:t>Actuarial loss</w:t>
            </w:r>
          </w:p>
        </w:tc>
        <w:tc>
          <w:tcPr>
            <w:tcW w:w="4440" w:type="dxa"/>
            <w:vAlign w:val="bottom"/>
          </w:tcPr>
          <w:p>
            <w:pPr>
              <w:jc w:val="right"/>
              <w:ind w:right="490"/>
              <w:spacing w:after="0" w:line="195" w:lineRule="exact"/>
              <w:rPr>
                <w:sz w:val="20"/>
                <w:szCs w:val="20"/>
                <w:color w:val="auto"/>
              </w:rPr>
            </w:pPr>
            <w:r>
              <w:rPr>
                <w:rFonts w:ascii="Arial" w:cs="Arial" w:eastAsia="Arial" w:hAnsi="Arial"/>
                <w:sz w:val="18"/>
                <w:szCs w:val="18"/>
                <w:color w:val="auto"/>
              </w:rPr>
              <w:t>$2,578</w:t>
            </w:r>
          </w:p>
        </w:tc>
        <w:tc>
          <w:tcPr>
            <w:tcW w:w="2020" w:type="dxa"/>
            <w:vAlign w:val="bottom"/>
          </w:tcPr>
          <w:p>
            <w:pPr>
              <w:jc w:val="right"/>
              <w:ind w:right="10"/>
              <w:spacing w:after="0" w:line="195" w:lineRule="exact"/>
              <w:rPr>
                <w:sz w:val="20"/>
                <w:szCs w:val="20"/>
                <w:color w:val="auto"/>
              </w:rPr>
            </w:pPr>
            <w:r>
              <w:rPr>
                <w:rFonts w:ascii="Arial" w:cs="Arial" w:eastAsia="Arial" w:hAnsi="Arial"/>
                <w:sz w:val="18"/>
                <w:szCs w:val="18"/>
                <w:color w:val="auto"/>
              </w:rPr>
              <w:t>$2,811</w:t>
            </w:r>
          </w:p>
        </w:tc>
      </w:tr>
      <w:tr>
        <w:trPr>
          <w:trHeight w:val="203"/>
        </w:trPr>
        <w:tc>
          <w:tcPr>
            <w:tcW w:w="4960" w:type="dxa"/>
            <w:vAlign w:val="bottom"/>
            <w:tcBorders>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Prior service cost/(benefit)</w:t>
            </w:r>
          </w:p>
        </w:tc>
        <w:tc>
          <w:tcPr>
            <w:tcW w:w="4440" w:type="dxa"/>
            <w:vAlign w:val="bottom"/>
            <w:tcBorders>
              <w:bottom w:val="single" w:sz="8" w:color="auto"/>
            </w:tcBorders>
          </w:tcPr>
          <w:p>
            <w:pPr>
              <w:jc w:val="right"/>
              <w:ind w:right="490"/>
              <w:spacing w:after="0" w:line="203" w:lineRule="exact"/>
              <w:rPr>
                <w:sz w:val="20"/>
                <w:szCs w:val="20"/>
                <w:color w:val="auto"/>
              </w:rPr>
            </w:pPr>
            <w:r>
              <w:rPr>
                <w:rFonts w:ascii="Arial" w:cs="Arial" w:eastAsia="Arial" w:hAnsi="Arial"/>
                <w:sz w:val="18"/>
                <w:szCs w:val="18"/>
                <w:color w:val="auto"/>
              </w:rPr>
              <w:t>38</w:t>
            </w:r>
          </w:p>
        </w:tc>
        <w:tc>
          <w:tcPr>
            <w:tcW w:w="2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(4,488)</w:t>
            </w:r>
          </w:p>
        </w:tc>
      </w:tr>
      <w:tr>
        <w:trPr>
          <w:trHeight w:val="196"/>
        </w:trPr>
        <w:tc>
          <w:tcPr>
            <w:tcW w:w="496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Total</w:t>
            </w:r>
          </w:p>
        </w:tc>
        <w:tc>
          <w:tcPr>
            <w:tcW w:w="444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color w:val="auto"/>
              </w:rPr>
              <w:t>$2,616</w:t>
            </w:r>
          </w:p>
        </w:tc>
        <w:tc>
          <w:tcPr>
            <w:tcW w:w="2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($1,677)</w:t>
            </w: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Strategy</w:t>
      </w:r>
    </w:p>
    <w:p>
      <w:pPr>
        <w:spacing w:after="0" w:line="189" w:lineRule="exact"/>
        <w:rPr>
          <w:sz w:val="20"/>
          <w:szCs w:val="20"/>
          <w:color w:val="auto"/>
        </w:rPr>
      </w:pPr>
    </w:p>
    <w:p>
      <w:pPr>
        <w:jc w:val="both"/>
        <w:ind w:right="260" w:firstLine="648"/>
        <w:spacing w:after="0"/>
        <w:rPr>
          <w:sz w:val="20"/>
          <w:szCs w:val="20"/>
          <w:color w:val="auto"/>
        </w:rPr>
      </w:pPr>
      <w:r>
        <w:rPr>
          <w:rFonts w:ascii="Arial" w:cs="Arial" w:eastAsia="Arial" w:hAnsi="Arial"/>
          <w:sz w:val="18"/>
          <w:szCs w:val="18"/>
          <w:color w:val="auto"/>
        </w:rPr>
        <w:t>Our investment strategy for pension assets differs for the various countries in which we have defined benefit pension plans. Some of our defined benefit plans do not require funded trusts and, in those arrangements, the Company funds the plans on a “pay as you go” basis. The largest of the funded defined benefit plans is the United States plan.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United States plan:</w:t>
      </w:r>
    </w:p>
    <w:p>
      <w:pPr>
        <w:spacing w:after="0" w:line="185" w:lineRule="exact"/>
        <w:rPr>
          <w:sz w:val="20"/>
          <w:szCs w:val="20"/>
          <w:color w:val="auto"/>
        </w:rPr>
      </w:pPr>
    </w:p>
    <w:p>
      <w:pPr>
        <w:ind w:right="120" w:firstLine="648"/>
        <w:spacing w:after="0" w:line="239" w:lineRule="auto"/>
        <w:rPr>
          <w:sz w:val="20"/>
          <w:szCs w:val="20"/>
          <w:color w:val="auto"/>
        </w:rPr>
      </w:pPr>
      <w:r>
        <w:rPr>
          <w:rFonts w:ascii="Arial" w:cs="Arial" w:eastAsia="Arial" w:hAnsi="Arial"/>
          <w:sz w:val="18"/>
          <w:szCs w:val="18"/>
          <w:color w:val="auto"/>
        </w:rPr>
        <w:t>During 2009, we changed our investment strategy for the United States pension plan by adopting a liability-driven investment strategy. Under this arrangement, the Company seeks to invest in assets that track closely to the discount rate that is used to measure the plan liabilities. Accordingly, the plan assets are primarily debt securities. The change in investment strategy is reflective of the Company’s 2008 decision to freeze benefit accruals under the plan.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Non-United States plans:</w:t>
      </w:r>
    </w:p>
    <w:p>
      <w:pPr>
        <w:spacing w:after="0" w:line="171" w:lineRule="exact"/>
        <w:rPr>
          <w:sz w:val="20"/>
          <w:szCs w:val="20"/>
          <w:color w:val="auto"/>
        </w:rPr>
      </w:pPr>
    </w:p>
    <w:p>
      <w:pPr>
        <w:ind w:right="220" w:firstLine="648"/>
        <w:spacing w:after="0" w:line="238" w:lineRule="auto"/>
        <w:rPr>
          <w:sz w:val="20"/>
          <w:szCs w:val="20"/>
          <w:color w:val="auto"/>
        </w:rPr>
      </w:pPr>
      <w:r>
        <w:rPr>
          <w:rFonts w:ascii="Arial" w:cs="Arial" w:eastAsia="Arial" w:hAnsi="Arial"/>
          <w:sz w:val="18"/>
          <w:szCs w:val="18"/>
          <w:color w:val="auto"/>
        </w:rPr>
        <w:t>For the countries in which the Company has funded pension trusts, the investment strategy is to achieve a competitive, total investment return, achieving diversification between and within asset classes and managing other risks. Investment objectives for each asset class are determined based on specific risks and investment opportunities identified. Actual allocations to each asset class vary from target allocations due to periodic investment strategy changes, market value fluctuations, the length of time it takes to fully implement investment allocation positions, and the timing of benefit payments and contributions.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Fair-Value Measurements</w:t>
      </w:r>
    </w:p>
    <w:p>
      <w:pPr>
        <w:spacing w:after="0" w:line="189"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The following tables present plan assets as of December 31, 2016, and 2015, using the fair-value hierarchy, which has three levels based on the reliability of inputs used, as described in Note 15. Certain investments that are measured at fair value using net asset value (NAV) as a practical expedient are not required to be categorized in the fair value hierarchy table. The total fair value of these investments is included in the table below to permit reconciliation of the fair value hierarchy to amounts presented in the funded status table above. As of December 31, 2016 and 2015, there were no investments expected to be sold at a value materially different than NAV.</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25"/>
        </w:trPr>
        <w:tc>
          <w:tcPr>
            <w:tcW w:w="42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spacing w:after="0"/>
              <w:rPr>
                <w:sz w:val="19"/>
                <w:szCs w:val="19"/>
                <w:color w:val="auto"/>
              </w:rPr>
            </w:pPr>
          </w:p>
        </w:tc>
        <w:tc>
          <w:tcPr>
            <w:tcW w:w="40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Assets at Fair Value as of December 31, 2016</w:t>
            </w:r>
          </w:p>
        </w:tc>
        <w:tc>
          <w:tcPr>
            <w:tcW w:w="1100" w:type="dxa"/>
            <w:vAlign w:val="bottom"/>
            <w:tcBorders>
              <w:bottom w:val="single" w:sz="8" w:color="auto"/>
            </w:tcBorders>
          </w:tcPr>
          <w:p>
            <w:pPr>
              <w:spacing w:after="0"/>
              <w:rPr>
                <w:sz w:val="19"/>
                <w:szCs w:val="19"/>
                <w:color w:val="auto"/>
              </w:rPr>
            </w:pPr>
          </w:p>
        </w:tc>
      </w:tr>
      <w:tr>
        <w:trPr>
          <w:trHeight w:val="173"/>
        </w:trPr>
        <w:tc>
          <w:tcPr>
            <w:tcW w:w="42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960" w:type="dxa"/>
            <w:vAlign w:val="bottom"/>
          </w:tcPr>
          <w:p>
            <w:pPr>
              <w:jc w:val="center"/>
              <w:ind w:left="190"/>
              <w:spacing w:after="0" w:line="173" w:lineRule="exact"/>
              <w:rPr>
                <w:sz w:val="20"/>
                <w:szCs w:val="20"/>
                <w:color w:val="auto"/>
              </w:rPr>
            </w:pPr>
            <w:r>
              <w:rPr>
                <w:rFonts w:ascii="Arial" w:cs="Arial" w:eastAsia="Arial" w:hAnsi="Arial"/>
                <w:sz w:val="18"/>
                <w:szCs w:val="18"/>
                <w:b w:val="1"/>
                <w:bCs w:val="1"/>
                <w:color w:val="auto"/>
                <w:w w:val="99"/>
              </w:rPr>
              <w:t>Significant</w:t>
            </w:r>
          </w:p>
        </w:tc>
        <w:tc>
          <w:tcPr>
            <w:tcW w:w="1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3"/>
        </w:trPr>
        <w:tc>
          <w:tcPr>
            <w:tcW w:w="4280" w:type="dxa"/>
            <w:vAlign w:val="bottom"/>
          </w:tcPr>
          <w:p>
            <w:pPr>
              <w:spacing w:after="0"/>
              <w:rPr>
                <w:sz w:val="17"/>
                <w:szCs w:val="17"/>
                <w:color w:val="auto"/>
              </w:rPr>
            </w:pPr>
          </w:p>
        </w:tc>
        <w:tc>
          <w:tcPr>
            <w:tcW w:w="1960" w:type="dxa"/>
            <w:vAlign w:val="bottom"/>
          </w:tcPr>
          <w:p>
            <w:pPr>
              <w:jc w:val="center"/>
              <w:ind w:left="650"/>
              <w:spacing w:after="0" w:line="202" w:lineRule="exact"/>
              <w:rPr>
                <w:sz w:val="20"/>
                <w:szCs w:val="20"/>
                <w:color w:val="auto"/>
              </w:rPr>
            </w:pPr>
            <w:r>
              <w:rPr>
                <w:rFonts w:ascii="Arial" w:cs="Arial" w:eastAsia="Arial" w:hAnsi="Arial"/>
                <w:sz w:val="18"/>
                <w:szCs w:val="18"/>
                <w:b w:val="1"/>
                <w:bCs w:val="1"/>
                <w:color w:val="auto"/>
              </w:rPr>
              <w:t>Quoted prices</w:t>
            </w:r>
          </w:p>
        </w:tc>
        <w:tc>
          <w:tcPr>
            <w:tcW w:w="1960" w:type="dxa"/>
            <w:vAlign w:val="bottom"/>
          </w:tcPr>
          <w:p>
            <w:pPr>
              <w:jc w:val="center"/>
              <w:ind w:left="190"/>
              <w:spacing w:after="0" w:line="202" w:lineRule="exact"/>
              <w:rPr>
                <w:sz w:val="20"/>
                <w:szCs w:val="20"/>
                <w:color w:val="auto"/>
              </w:rPr>
            </w:pPr>
            <w:r>
              <w:rPr>
                <w:rFonts w:ascii="Arial" w:cs="Arial" w:eastAsia="Arial" w:hAnsi="Arial"/>
                <w:sz w:val="18"/>
                <w:szCs w:val="18"/>
                <w:b w:val="1"/>
                <w:bCs w:val="1"/>
                <w:color w:val="auto"/>
                <w:w w:val="97"/>
              </w:rPr>
              <w:t>other</w:t>
            </w:r>
          </w:p>
        </w:tc>
        <w:tc>
          <w:tcPr>
            <w:tcW w:w="2120" w:type="dxa"/>
            <w:vAlign w:val="bottom"/>
            <w:gridSpan w:val="2"/>
          </w:tcPr>
          <w:p>
            <w:pPr>
              <w:jc w:val="center"/>
              <w:ind w:right="400"/>
              <w:spacing w:after="0" w:line="202" w:lineRule="exact"/>
              <w:rPr>
                <w:sz w:val="20"/>
                <w:szCs w:val="20"/>
                <w:color w:val="auto"/>
              </w:rPr>
            </w:pPr>
            <w:r>
              <w:rPr>
                <w:rFonts w:ascii="Arial" w:cs="Arial" w:eastAsia="Arial" w:hAnsi="Arial"/>
                <w:sz w:val="18"/>
                <w:szCs w:val="18"/>
                <w:b w:val="1"/>
                <w:bCs w:val="1"/>
                <w:color w:val="auto"/>
                <w:w w:val="99"/>
              </w:rPr>
              <w:t>Significant</w:t>
            </w:r>
          </w:p>
        </w:tc>
        <w:tc>
          <w:tcPr>
            <w:tcW w:w="1100" w:type="dxa"/>
            <w:vAlign w:val="bottom"/>
          </w:tcPr>
          <w:p>
            <w:pPr>
              <w:spacing w:after="0"/>
              <w:rPr>
                <w:sz w:val="17"/>
                <w:szCs w:val="17"/>
                <w:color w:val="auto"/>
              </w:rPr>
            </w:pPr>
          </w:p>
        </w:tc>
      </w:tr>
      <w:tr>
        <w:trPr>
          <w:trHeight w:val="203"/>
        </w:trPr>
        <w:tc>
          <w:tcPr>
            <w:tcW w:w="4280" w:type="dxa"/>
            <w:vAlign w:val="bottom"/>
          </w:tcPr>
          <w:p>
            <w:pPr>
              <w:spacing w:after="0"/>
              <w:rPr>
                <w:sz w:val="17"/>
                <w:szCs w:val="17"/>
                <w:color w:val="auto"/>
              </w:rPr>
            </w:pPr>
          </w:p>
        </w:tc>
        <w:tc>
          <w:tcPr>
            <w:tcW w:w="1960" w:type="dxa"/>
            <w:vAlign w:val="bottom"/>
          </w:tcPr>
          <w:p>
            <w:pPr>
              <w:jc w:val="center"/>
              <w:ind w:left="630"/>
              <w:spacing w:after="0" w:line="202" w:lineRule="exact"/>
              <w:rPr>
                <w:sz w:val="20"/>
                <w:szCs w:val="20"/>
                <w:color w:val="auto"/>
              </w:rPr>
            </w:pPr>
            <w:r>
              <w:rPr>
                <w:rFonts w:ascii="Arial" w:cs="Arial" w:eastAsia="Arial" w:hAnsi="Arial"/>
                <w:sz w:val="18"/>
                <w:szCs w:val="18"/>
                <w:b w:val="1"/>
                <w:bCs w:val="1"/>
                <w:color w:val="auto"/>
                <w:w w:val="99"/>
              </w:rPr>
              <w:t>in active</w:t>
            </w:r>
          </w:p>
        </w:tc>
        <w:tc>
          <w:tcPr>
            <w:tcW w:w="1960" w:type="dxa"/>
            <w:vAlign w:val="bottom"/>
          </w:tcPr>
          <w:p>
            <w:pPr>
              <w:jc w:val="center"/>
              <w:ind w:left="190"/>
              <w:spacing w:after="0" w:line="202" w:lineRule="exact"/>
              <w:rPr>
                <w:sz w:val="20"/>
                <w:szCs w:val="20"/>
                <w:color w:val="auto"/>
              </w:rPr>
            </w:pPr>
            <w:r>
              <w:rPr>
                <w:rFonts w:ascii="Arial" w:cs="Arial" w:eastAsia="Arial" w:hAnsi="Arial"/>
                <w:sz w:val="18"/>
                <w:szCs w:val="18"/>
                <w:b w:val="1"/>
                <w:bCs w:val="1"/>
                <w:color w:val="auto"/>
              </w:rPr>
              <w:t>observable</w:t>
            </w:r>
          </w:p>
        </w:tc>
        <w:tc>
          <w:tcPr>
            <w:tcW w:w="2120" w:type="dxa"/>
            <w:vAlign w:val="bottom"/>
            <w:gridSpan w:val="2"/>
          </w:tcPr>
          <w:p>
            <w:pPr>
              <w:jc w:val="center"/>
              <w:ind w:right="400"/>
              <w:spacing w:after="0" w:line="202" w:lineRule="exact"/>
              <w:rPr>
                <w:sz w:val="20"/>
                <w:szCs w:val="20"/>
                <w:color w:val="auto"/>
              </w:rPr>
            </w:pPr>
            <w:r>
              <w:rPr>
                <w:rFonts w:ascii="Arial" w:cs="Arial" w:eastAsia="Arial" w:hAnsi="Arial"/>
                <w:sz w:val="18"/>
                <w:szCs w:val="18"/>
                <w:b w:val="1"/>
                <w:bCs w:val="1"/>
                <w:color w:val="auto"/>
                <w:w w:val="99"/>
              </w:rPr>
              <w:t>unobservable</w:t>
            </w:r>
          </w:p>
        </w:tc>
        <w:tc>
          <w:tcPr>
            <w:tcW w:w="1100" w:type="dxa"/>
            <w:vAlign w:val="bottom"/>
          </w:tcPr>
          <w:p>
            <w:pPr>
              <w:spacing w:after="0"/>
              <w:rPr>
                <w:sz w:val="17"/>
                <w:szCs w:val="17"/>
                <w:color w:val="auto"/>
              </w:rPr>
            </w:pPr>
          </w:p>
        </w:tc>
      </w:tr>
      <w:tr>
        <w:trPr>
          <w:trHeight w:val="203"/>
        </w:trPr>
        <w:tc>
          <w:tcPr>
            <w:tcW w:w="4280" w:type="dxa"/>
            <w:vAlign w:val="bottom"/>
          </w:tcPr>
          <w:p>
            <w:pPr>
              <w:spacing w:after="0"/>
              <w:rPr>
                <w:sz w:val="17"/>
                <w:szCs w:val="17"/>
                <w:color w:val="auto"/>
              </w:rPr>
            </w:pPr>
          </w:p>
        </w:tc>
        <w:tc>
          <w:tcPr>
            <w:tcW w:w="1960" w:type="dxa"/>
            <w:vAlign w:val="bottom"/>
          </w:tcPr>
          <w:p>
            <w:pPr>
              <w:jc w:val="center"/>
              <w:ind w:left="650"/>
              <w:spacing w:after="0" w:line="202" w:lineRule="exact"/>
              <w:rPr>
                <w:sz w:val="20"/>
                <w:szCs w:val="20"/>
                <w:color w:val="auto"/>
              </w:rPr>
            </w:pPr>
            <w:r>
              <w:rPr>
                <w:rFonts w:ascii="Arial" w:cs="Arial" w:eastAsia="Arial" w:hAnsi="Arial"/>
                <w:sz w:val="18"/>
                <w:szCs w:val="18"/>
                <w:b w:val="1"/>
                <w:bCs w:val="1"/>
                <w:color w:val="auto"/>
              </w:rPr>
              <w:t>markets</w:t>
            </w:r>
          </w:p>
        </w:tc>
        <w:tc>
          <w:tcPr>
            <w:tcW w:w="1960" w:type="dxa"/>
            <w:vAlign w:val="bottom"/>
          </w:tcPr>
          <w:p>
            <w:pPr>
              <w:jc w:val="center"/>
              <w:ind w:left="170"/>
              <w:spacing w:after="0" w:line="202" w:lineRule="exact"/>
              <w:rPr>
                <w:sz w:val="20"/>
                <w:szCs w:val="20"/>
                <w:color w:val="auto"/>
              </w:rPr>
            </w:pPr>
            <w:r>
              <w:rPr>
                <w:rFonts w:ascii="Arial" w:cs="Arial" w:eastAsia="Arial" w:hAnsi="Arial"/>
                <w:sz w:val="18"/>
                <w:szCs w:val="18"/>
                <w:b w:val="1"/>
                <w:bCs w:val="1"/>
                <w:color w:val="auto"/>
                <w:w w:val="99"/>
              </w:rPr>
              <w:t>inputs</w:t>
            </w:r>
          </w:p>
        </w:tc>
        <w:tc>
          <w:tcPr>
            <w:tcW w:w="2120" w:type="dxa"/>
            <w:vAlign w:val="bottom"/>
            <w:gridSpan w:val="2"/>
          </w:tcPr>
          <w:p>
            <w:pPr>
              <w:jc w:val="center"/>
              <w:ind w:right="420"/>
              <w:spacing w:after="0" w:line="202" w:lineRule="exact"/>
              <w:rPr>
                <w:sz w:val="20"/>
                <w:szCs w:val="20"/>
                <w:color w:val="auto"/>
              </w:rPr>
            </w:pPr>
            <w:r>
              <w:rPr>
                <w:rFonts w:ascii="Arial" w:cs="Arial" w:eastAsia="Arial" w:hAnsi="Arial"/>
                <w:sz w:val="18"/>
                <w:szCs w:val="18"/>
                <w:b w:val="1"/>
                <w:bCs w:val="1"/>
                <w:color w:val="auto"/>
                <w:w w:val="99"/>
              </w:rPr>
              <w:t>inputs</w:t>
            </w:r>
          </w:p>
        </w:tc>
        <w:tc>
          <w:tcPr>
            <w:tcW w:w="1100" w:type="dxa"/>
            <w:vAlign w:val="bottom"/>
          </w:tcPr>
          <w:p>
            <w:pPr>
              <w:spacing w:after="0"/>
              <w:rPr>
                <w:sz w:val="17"/>
                <w:szCs w:val="17"/>
                <w:color w:val="auto"/>
              </w:rPr>
            </w:pPr>
          </w:p>
        </w:tc>
      </w:tr>
      <w:tr>
        <w:trPr>
          <w:trHeight w:val="225"/>
        </w:trPr>
        <w:tc>
          <w:tcPr>
            <w:tcW w:w="4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(in thousands)</w:t>
            </w:r>
          </w:p>
        </w:tc>
        <w:tc>
          <w:tcPr>
            <w:tcW w:w="1960" w:type="dxa"/>
            <w:vAlign w:val="bottom"/>
            <w:tcBorders>
              <w:bottom w:val="single" w:sz="8" w:color="auto"/>
            </w:tcBorders>
          </w:tcPr>
          <w:p>
            <w:pPr>
              <w:jc w:val="center"/>
              <w:ind w:left="650"/>
              <w:spacing w:after="0"/>
              <w:rPr>
                <w:sz w:val="20"/>
                <w:szCs w:val="20"/>
                <w:color w:val="auto"/>
              </w:rPr>
            </w:pPr>
            <w:r>
              <w:rPr>
                <w:rFonts w:ascii="Arial" w:cs="Arial" w:eastAsia="Arial" w:hAnsi="Arial"/>
                <w:sz w:val="18"/>
                <w:szCs w:val="18"/>
                <w:b w:val="1"/>
                <w:bCs w:val="1"/>
                <w:color w:val="auto"/>
              </w:rPr>
              <w:t>Level 1</w:t>
            </w:r>
          </w:p>
        </w:tc>
        <w:tc>
          <w:tcPr>
            <w:tcW w:w="1960" w:type="dxa"/>
            <w:vAlign w:val="bottom"/>
            <w:tcBorders>
              <w:bottom w:val="single" w:sz="8" w:color="auto"/>
            </w:tcBorders>
          </w:tcPr>
          <w:p>
            <w:pPr>
              <w:jc w:val="center"/>
              <w:ind w:left="170"/>
              <w:spacing w:after="0"/>
              <w:rPr>
                <w:sz w:val="20"/>
                <w:szCs w:val="20"/>
                <w:color w:val="auto"/>
              </w:rPr>
            </w:pPr>
            <w:r>
              <w:rPr>
                <w:rFonts w:ascii="Arial" w:cs="Arial" w:eastAsia="Arial" w:hAnsi="Arial"/>
                <w:sz w:val="18"/>
                <w:szCs w:val="18"/>
                <w:b w:val="1"/>
                <w:bCs w:val="1"/>
                <w:color w:val="auto"/>
              </w:rPr>
              <w:t>Level 2</w:t>
            </w:r>
          </w:p>
        </w:tc>
        <w:tc>
          <w:tcPr>
            <w:tcW w:w="212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8"/>
                <w:szCs w:val="18"/>
                <w:b w:val="1"/>
                <w:bCs w:val="1"/>
                <w:color w:val="auto"/>
                <w:w w:val="98"/>
              </w:rPr>
              <w:t>Level 3</w:t>
            </w: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398"/>
        </w:trPr>
        <w:tc>
          <w:tcPr>
            <w:tcW w:w="4280" w:type="dxa"/>
            <w:vAlign w:val="bottom"/>
          </w:tcPr>
          <w:p>
            <w:pPr>
              <w:ind w:left="100"/>
              <w:spacing w:after="0"/>
              <w:rPr>
                <w:sz w:val="20"/>
                <w:szCs w:val="20"/>
                <w:color w:val="auto"/>
              </w:rPr>
            </w:pPr>
            <w:r>
              <w:rPr>
                <w:rFonts w:ascii="Arial" w:cs="Arial" w:eastAsia="Arial" w:hAnsi="Arial"/>
                <w:sz w:val="18"/>
                <w:szCs w:val="18"/>
                <w:color w:val="auto"/>
              </w:rPr>
              <w:t>Common Stocks and equity funds</w:t>
            </w:r>
          </w:p>
        </w:tc>
        <w:tc>
          <w:tcPr>
            <w:tcW w:w="1960" w:type="dxa"/>
            <w:vAlign w:val="bottom"/>
          </w:tcPr>
          <w:p>
            <w:pPr>
              <w:jc w:val="right"/>
              <w:spacing w:after="0"/>
              <w:rPr>
                <w:sz w:val="20"/>
                <w:szCs w:val="20"/>
                <w:color w:val="auto"/>
              </w:rPr>
            </w:pPr>
            <w:r>
              <w:rPr>
                <w:rFonts w:ascii="Arial" w:cs="Arial" w:eastAsia="Arial" w:hAnsi="Arial"/>
                <w:sz w:val="18"/>
                <w:szCs w:val="18"/>
                <w:color w:val="auto"/>
              </w:rPr>
              <w:t>$309</w:t>
            </w:r>
          </w:p>
        </w:tc>
        <w:tc>
          <w:tcPr>
            <w:tcW w:w="19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4"/>
                <w:szCs w:val="24"/>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$309</w:t>
            </w:r>
          </w:p>
        </w:tc>
      </w:tr>
      <w:tr>
        <w:trPr>
          <w:trHeight w:val="203"/>
        </w:trPr>
        <w:tc>
          <w:tcPr>
            <w:tcW w:w="4280" w:type="dxa"/>
            <w:vAlign w:val="bottom"/>
          </w:tcPr>
          <w:p>
            <w:pPr>
              <w:ind w:left="100"/>
              <w:spacing w:after="0" w:line="202" w:lineRule="exact"/>
              <w:rPr>
                <w:sz w:val="20"/>
                <w:szCs w:val="20"/>
                <w:color w:val="auto"/>
              </w:rPr>
            </w:pPr>
            <w:r>
              <w:rPr>
                <w:rFonts w:ascii="Arial" w:cs="Arial" w:eastAsia="Arial" w:hAnsi="Arial"/>
                <w:sz w:val="18"/>
                <w:szCs w:val="18"/>
                <w:color w:val="auto"/>
              </w:rPr>
              <w:t>Debt securities</w:t>
            </w:r>
          </w:p>
        </w:tc>
        <w:tc>
          <w:tcPr>
            <w:tcW w:w="1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9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74,449</w:t>
            </w:r>
          </w:p>
        </w:tc>
        <w:tc>
          <w:tcPr>
            <w:tcW w:w="15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7"/>
                <w:szCs w:val="17"/>
                <w:color w:val="auto"/>
              </w:rPr>
            </w:pPr>
          </w:p>
        </w:tc>
        <w:tc>
          <w:tcPr>
            <w:tcW w:w="11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74,449</w:t>
            </w:r>
          </w:p>
        </w:tc>
      </w:tr>
      <w:tr>
        <w:trPr>
          <w:trHeight w:val="203"/>
        </w:trPr>
        <w:tc>
          <w:tcPr>
            <w:tcW w:w="4280" w:type="dxa"/>
            <w:vAlign w:val="bottom"/>
          </w:tcPr>
          <w:p>
            <w:pPr>
              <w:ind w:left="100"/>
              <w:spacing w:after="0" w:line="202" w:lineRule="exact"/>
              <w:rPr>
                <w:sz w:val="20"/>
                <w:szCs w:val="20"/>
                <w:color w:val="auto"/>
              </w:rPr>
            </w:pPr>
            <w:r>
              <w:rPr>
                <w:rFonts w:ascii="Arial" w:cs="Arial" w:eastAsia="Arial" w:hAnsi="Arial"/>
                <w:sz w:val="18"/>
                <w:szCs w:val="18"/>
                <w:color w:val="auto"/>
              </w:rPr>
              <w:t>Insurance contracts</w:t>
            </w:r>
          </w:p>
        </w:tc>
        <w:tc>
          <w:tcPr>
            <w:tcW w:w="1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9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2,238</w:t>
            </w:r>
          </w:p>
        </w:tc>
        <w:tc>
          <w:tcPr>
            <w:tcW w:w="580" w:type="dxa"/>
            <w:vAlign w:val="bottom"/>
          </w:tcPr>
          <w:p>
            <w:pPr>
              <w:spacing w:after="0"/>
              <w:rPr>
                <w:sz w:val="17"/>
                <w:szCs w:val="17"/>
                <w:color w:val="auto"/>
              </w:rPr>
            </w:pPr>
          </w:p>
        </w:tc>
        <w:tc>
          <w:tcPr>
            <w:tcW w:w="11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2,238</w:t>
            </w:r>
          </w:p>
        </w:tc>
      </w:tr>
      <w:tr>
        <w:trPr>
          <w:trHeight w:val="203"/>
        </w:trPr>
        <w:tc>
          <w:tcPr>
            <w:tcW w:w="4280" w:type="dxa"/>
            <w:vAlign w:val="bottom"/>
            <w:tcBorders>
              <w:bottom w:val="single" w:sz="8" w:color="auto"/>
            </w:tcBorders>
          </w:tcPr>
          <w:p>
            <w:pPr>
              <w:ind w:left="100"/>
              <w:spacing w:after="0" w:line="203" w:lineRule="exact"/>
              <w:rPr>
                <w:sz w:val="20"/>
                <w:szCs w:val="20"/>
                <w:color w:val="auto"/>
              </w:rPr>
            </w:pPr>
            <w:r>
              <w:rPr>
                <w:rFonts w:ascii="Arial" w:cs="Arial" w:eastAsia="Arial" w:hAnsi="Arial"/>
                <w:sz w:val="18"/>
                <w:szCs w:val="18"/>
                <w:color w:val="auto"/>
              </w:rPr>
              <w:t>Cash and short-term investments</w:t>
            </w:r>
          </w:p>
        </w:tc>
        <w:tc>
          <w:tcPr>
            <w:tcW w:w="1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3,401</w:t>
            </w:r>
          </w:p>
        </w:tc>
        <w:tc>
          <w:tcPr>
            <w:tcW w:w="196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3,401</w:t>
            </w:r>
          </w:p>
        </w:tc>
      </w:tr>
      <w:tr>
        <w:trPr>
          <w:trHeight w:val="196"/>
        </w:trPr>
        <w:tc>
          <w:tcPr>
            <w:tcW w:w="428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Total investments in the fair value hierarchy</w:t>
            </w:r>
          </w:p>
        </w:tc>
        <w:tc>
          <w:tcPr>
            <w:tcW w:w="1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$3,710</w:t>
            </w:r>
          </w:p>
        </w:tc>
        <w:tc>
          <w:tcPr>
            <w:tcW w:w="196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$74,449</w:t>
            </w:r>
          </w:p>
        </w:tc>
        <w:tc>
          <w:tcPr>
            <w:tcW w:w="15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$2,238</w:t>
            </w:r>
          </w:p>
        </w:tc>
        <w:tc>
          <w:tcPr>
            <w:tcW w:w="580" w:type="dxa"/>
            <w:vAlign w:val="bottom"/>
          </w:tcPr>
          <w:p>
            <w:pPr>
              <w:spacing w:after="0"/>
              <w:rPr>
                <w:sz w:val="17"/>
                <w:szCs w:val="17"/>
                <w:color w:val="auto"/>
              </w:rPr>
            </w:pPr>
          </w:p>
        </w:tc>
        <w:tc>
          <w:tcPr>
            <w:tcW w:w="1100" w:type="dxa"/>
            <w:vAlign w:val="bottom"/>
          </w:tcPr>
          <w:p>
            <w:pPr>
              <w:jc w:val="right"/>
              <w:ind w:right="10"/>
              <w:spacing w:after="0" w:line="196" w:lineRule="exact"/>
              <w:rPr>
                <w:sz w:val="20"/>
                <w:szCs w:val="20"/>
                <w:color w:val="auto"/>
              </w:rPr>
            </w:pPr>
            <w:r>
              <w:rPr>
                <w:rFonts w:ascii="Arial" w:cs="Arial" w:eastAsia="Arial" w:hAnsi="Arial"/>
                <w:sz w:val="18"/>
                <w:szCs w:val="18"/>
                <w:color w:val="auto"/>
              </w:rPr>
              <w:t>80,397</w:t>
            </w:r>
          </w:p>
        </w:tc>
      </w:tr>
      <w:tr>
        <w:trPr>
          <w:trHeight w:val="398"/>
        </w:trPr>
        <w:tc>
          <w:tcPr>
            <w:tcW w:w="4280" w:type="dxa"/>
            <w:vAlign w:val="bottom"/>
          </w:tcPr>
          <w:p>
            <w:pPr>
              <w:ind w:left="100"/>
              <w:spacing w:after="0"/>
              <w:rPr>
                <w:sz w:val="20"/>
                <w:szCs w:val="20"/>
                <w:color w:val="auto"/>
              </w:rPr>
            </w:pPr>
            <w:r>
              <w:rPr>
                <w:rFonts w:ascii="Arial" w:cs="Arial" w:eastAsia="Arial" w:hAnsi="Arial"/>
                <w:sz w:val="18"/>
                <w:szCs w:val="18"/>
                <w:color w:val="auto"/>
              </w:rPr>
              <w:t>Investments at net asset value:</w:t>
            </w:r>
          </w:p>
        </w:tc>
        <w:tc>
          <w:tcPr>
            <w:tcW w:w="19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4280" w:type="dxa"/>
            <w:vAlign w:val="bottom"/>
          </w:tcPr>
          <w:p>
            <w:pPr>
              <w:ind w:left="180"/>
              <w:spacing w:after="0" w:line="202" w:lineRule="exact"/>
              <w:rPr>
                <w:sz w:val="20"/>
                <w:szCs w:val="20"/>
                <w:color w:val="auto"/>
              </w:rPr>
            </w:pPr>
            <w:r>
              <w:rPr>
                <w:rFonts w:ascii="Arial" w:cs="Arial" w:eastAsia="Arial" w:hAnsi="Arial"/>
                <w:sz w:val="18"/>
                <w:szCs w:val="18"/>
                <w:color w:val="auto"/>
              </w:rPr>
              <w:t>Common Stocks and equity funds</w:t>
            </w:r>
          </w:p>
        </w:tc>
        <w:tc>
          <w:tcPr>
            <w:tcW w:w="19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35,510</w:t>
            </w:r>
          </w:p>
        </w:tc>
      </w:tr>
      <w:tr>
        <w:trPr>
          <w:trHeight w:val="203"/>
        </w:trPr>
        <w:tc>
          <w:tcPr>
            <w:tcW w:w="4280" w:type="dxa"/>
            <w:vAlign w:val="bottom"/>
          </w:tcPr>
          <w:p>
            <w:pPr>
              <w:ind w:left="180"/>
              <w:spacing w:after="0" w:line="202" w:lineRule="exact"/>
              <w:rPr>
                <w:sz w:val="20"/>
                <w:szCs w:val="20"/>
                <w:color w:val="auto"/>
              </w:rPr>
            </w:pPr>
            <w:r>
              <w:rPr>
                <w:rFonts w:ascii="Arial" w:cs="Arial" w:eastAsia="Arial" w:hAnsi="Arial"/>
                <w:sz w:val="18"/>
                <w:szCs w:val="18"/>
                <w:color w:val="auto"/>
              </w:rPr>
              <w:t>Fixed income funds</w:t>
            </w:r>
          </w:p>
        </w:tc>
        <w:tc>
          <w:tcPr>
            <w:tcW w:w="19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59,662</w:t>
            </w:r>
          </w:p>
        </w:tc>
      </w:tr>
      <w:tr>
        <w:trPr>
          <w:trHeight w:val="203"/>
        </w:trPr>
        <w:tc>
          <w:tcPr>
            <w:tcW w:w="4280" w:type="dxa"/>
            <w:vAlign w:val="bottom"/>
          </w:tcPr>
          <w:p>
            <w:pPr>
              <w:ind w:left="180"/>
              <w:spacing w:after="0" w:line="202" w:lineRule="exact"/>
              <w:rPr>
                <w:sz w:val="20"/>
                <w:szCs w:val="20"/>
                <w:color w:val="auto"/>
              </w:rPr>
            </w:pPr>
            <w:r>
              <w:rPr>
                <w:rFonts w:ascii="Arial" w:cs="Arial" w:eastAsia="Arial" w:hAnsi="Arial"/>
                <w:sz w:val="18"/>
                <w:szCs w:val="18"/>
                <w:color w:val="auto"/>
              </w:rPr>
              <w:t>Limited partnerships</w:t>
            </w:r>
          </w:p>
        </w:tc>
        <w:tc>
          <w:tcPr>
            <w:tcW w:w="19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5,065</w:t>
            </w:r>
          </w:p>
        </w:tc>
      </w:tr>
      <w:tr>
        <w:trPr>
          <w:trHeight w:val="203"/>
        </w:trPr>
        <w:tc>
          <w:tcPr>
            <w:tcW w:w="4280" w:type="dxa"/>
            <w:vAlign w:val="bottom"/>
            <w:tcBorders>
              <w:bottom w:val="single" w:sz="8" w:color="auto"/>
            </w:tcBorders>
          </w:tcPr>
          <w:p>
            <w:pPr>
              <w:ind w:left="180"/>
              <w:spacing w:after="0" w:line="203" w:lineRule="exact"/>
              <w:rPr>
                <w:sz w:val="20"/>
                <w:szCs w:val="20"/>
                <w:color w:val="auto"/>
              </w:rPr>
            </w:pPr>
            <w:r>
              <w:rPr>
                <w:rFonts w:ascii="Arial" w:cs="Arial" w:eastAsia="Arial" w:hAnsi="Arial"/>
                <w:sz w:val="18"/>
                <w:szCs w:val="18"/>
                <w:color w:val="auto"/>
              </w:rPr>
              <w:t>Hedge funds</w:t>
            </w:r>
          </w:p>
        </w:tc>
        <w:tc>
          <w:tcPr>
            <w:tcW w:w="196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38</w:t>
            </w:r>
          </w:p>
        </w:tc>
      </w:tr>
      <w:tr>
        <w:trPr>
          <w:trHeight w:val="196"/>
        </w:trPr>
        <w:tc>
          <w:tcPr>
            <w:tcW w:w="428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Total plan assets</w:t>
            </w:r>
          </w:p>
        </w:tc>
        <w:tc>
          <w:tcPr>
            <w:tcW w:w="196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$180,672</w:t>
            </w:r>
          </w:p>
        </w:tc>
      </w:tr>
      <w:tr>
        <w:trPr>
          <w:trHeight w:val="588"/>
        </w:trPr>
        <w:tc>
          <w:tcPr>
            <w:tcW w:w="42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Assets at Fair Value as of December 31, 2015</w:t>
            </w:r>
          </w:p>
        </w:tc>
        <w:tc>
          <w:tcPr>
            <w:tcW w:w="1100" w:type="dxa"/>
            <w:vAlign w:val="bottom"/>
            <w:tcBorders>
              <w:bottom w:val="single" w:sz="8" w:color="auto"/>
            </w:tcBorders>
          </w:tcPr>
          <w:p>
            <w:pPr>
              <w:spacing w:after="0"/>
              <w:rPr>
                <w:sz w:val="24"/>
                <w:szCs w:val="24"/>
                <w:color w:val="auto"/>
              </w:rPr>
            </w:pPr>
          </w:p>
        </w:tc>
      </w:tr>
      <w:tr>
        <w:trPr>
          <w:trHeight w:val="173"/>
        </w:trPr>
        <w:tc>
          <w:tcPr>
            <w:tcW w:w="42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960" w:type="dxa"/>
            <w:vAlign w:val="bottom"/>
          </w:tcPr>
          <w:p>
            <w:pPr>
              <w:jc w:val="center"/>
              <w:ind w:left="190"/>
              <w:spacing w:after="0" w:line="173" w:lineRule="exact"/>
              <w:rPr>
                <w:sz w:val="20"/>
                <w:szCs w:val="20"/>
                <w:color w:val="auto"/>
              </w:rPr>
            </w:pPr>
            <w:r>
              <w:rPr>
                <w:rFonts w:ascii="Arial" w:cs="Arial" w:eastAsia="Arial" w:hAnsi="Arial"/>
                <w:sz w:val="18"/>
                <w:szCs w:val="18"/>
                <w:b w:val="1"/>
                <w:bCs w:val="1"/>
                <w:color w:val="auto"/>
                <w:w w:val="99"/>
              </w:rPr>
              <w:t>Significant</w:t>
            </w:r>
          </w:p>
        </w:tc>
        <w:tc>
          <w:tcPr>
            <w:tcW w:w="1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3"/>
        </w:trPr>
        <w:tc>
          <w:tcPr>
            <w:tcW w:w="4280" w:type="dxa"/>
            <w:vAlign w:val="bottom"/>
          </w:tcPr>
          <w:p>
            <w:pPr>
              <w:spacing w:after="0"/>
              <w:rPr>
                <w:sz w:val="17"/>
                <w:szCs w:val="17"/>
                <w:color w:val="auto"/>
              </w:rPr>
            </w:pPr>
          </w:p>
        </w:tc>
        <w:tc>
          <w:tcPr>
            <w:tcW w:w="1960" w:type="dxa"/>
            <w:vAlign w:val="bottom"/>
          </w:tcPr>
          <w:p>
            <w:pPr>
              <w:jc w:val="center"/>
              <w:ind w:left="650"/>
              <w:spacing w:after="0" w:line="202" w:lineRule="exact"/>
              <w:rPr>
                <w:sz w:val="20"/>
                <w:szCs w:val="20"/>
                <w:color w:val="auto"/>
              </w:rPr>
            </w:pPr>
            <w:r>
              <w:rPr>
                <w:rFonts w:ascii="Arial" w:cs="Arial" w:eastAsia="Arial" w:hAnsi="Arial"/>
                <w:sz w:val="18"/>
                <w:szCs w:val="18"/>
                <w:b w:val="1"/>
                <w:bCs w:val="1"/>
                <w:color w:val="auto"/>
              </w:rPr>
              <w:t>Quoted prices</w:t>
            </w:r>
          </w:p>
        </w:tc>
        <w:tc>
          <w:tcPr>
            <w:tcW w:w="1960" w:type="dxa"/>
            <w:vAlign w:val="bottom"/>
          </w:tcPr>
          <w:p>
            <w:pPr>
              <w:jc w:val="center"/>
              <w:ind w:left="190"/>
              <w:spacing w:after="0" w:line="202" w:lineRule="exact"/>
              <w:rPr>
                <w:sz w:val="20"/>
                <w:szCs w:val="20"/>
                <w:color w:val="auto"/>
              </w:rPr>
            </w:pPr>
            <w:r>
              <w:rPr>
                <w:rFonts w:ascii="Arial" w:cs="Arial" w:eastAsia="Arial" w:hAnsi="Arial"/>
                <w:sz w:val="18"/>
                <w:szCs w:val="18"/>
                <w:b w:val="1"/>
                <w:bCs w:val="1"/>
                <w:color w:val="auto"/>
                <w:w w:val="97"/>
              </w:rPr>
              <w:t>other</w:t>
            </w:r>
          </w:p>
        </w:tc>
        <w:tc>
          <w:tcPr>
            <w:tcW w:w="2120" w:type="dxa"/>
            <w:vAlign w:val="bottom"/>
            <w:gridSpan w:val="2"/>
          </w:tcPr>
          <w:p>
            <w:pPr>
              <w:jc w:val="center"/>
              <w:ind w:right="400"/>
              <w:spacing w:after="0" w:line="202" w:lineRule="exact"/>
              <w:rPr>
                <w:sz w:val="20"/>
                <w:szCs w:val="20"/>
                <w:color w:val="auto"/>
              </w:rPr>
            </w:pPr>
            <w:r>
              <w:rPr>
                <w:rFonts w:ascii="Arial" w:cs="Arial" w:eastAsia="Arial" w:hAnsi="Arial"/>
                <w:sz w:val="18"/>
                <w:szCs w:val="18"/>
                <w:b w:val="1"/>
                <w:bCs w:val="1"/>
                <w:color w:val="auto"/>
                <w:w w:val="99"/>
              </w:rPr>
              <w:t>Significant</w:t>
            </w:r>
          </w:p>
        </w:tc>
        <w:tc>
          <w:tcPr>
            <w:tcW w:w="1100" w:type="dxa"/>
            <w:vAlign w:val="bottom"/>
          </w:tcPr>
          <w:p>
            <w:pPr>
              <w:spacing w:after="0"/>
              <w:rPr>
                <w:sz w:val="17"/>
                <w:szCs w:val="17"/>
                <w:color w:val="auto"/>
              </w:rPr>
            </w:pPr>
          </w:p>
        </w:tc>
      </w:tr>
      <w:tr>
        <w:trPr>
          <w:trHeight w:val="203"/>
        </w:trPr>
        <w:tc>
          <w:tcPr>
            <w:tcW w:w="4280" w:type="dxa"/>
            <w:vAlign w:val="bottom"/>
          </w:tcPr>
          <w:p>
            <w:pPr>
              <w:spacing w:after="0"/>
              <w:rPr>
                <w:sz w:val="17"/>
                <w:szCs w:val="17"/>
                <w:color w:val="auto"/>
              </w:rPr>
            </w:pPr>
          </w:p>
        </w:tc>
        <w:tc>
          <w:tcPr>
            <w:tcW w:w="1960" w:type="dxa"/>
            <w:vAlign w:val="bottom"/>
          </w:tcPr>
          <w:p>
            <w:pPr>
              <w:jc w:val="center"/>
              <w:ind w:left="630"/>
              <w:spacing w:after="0" w:line="202" w:lineRule="exact"/>
              <w:rPr>
                <w:sz w:val="20"/>
                <w:szCs w:val="20"/>
                <w:color w:val="auto"/>
              </w:rPr>
            </w:pPr>
            <w:r>
              <w:rPr>
                <w:rFonts w:ascii="Arial" w:cs="Arial" w:eastAsia="Arial" w:hAnsi="Arial"/>
                <w:sz w:val="18"/>
                <w:szCs w:val="18"/>
                <w:b w:val="1"/>
                <w:bCs w:val="1"/>
                <w:color w:val="auto"/>
                <w:w w:val="99"/>
              </w:rPr>
              <w:t>in active</w:t>
            </w:r>
          </w:p>
        </w:tc>
        <w:tc>
          <w:tcPr>
            <w:tcW w:w="1960" w:type="dxa"/>
            <w:vAlign w:val="bottom"/>
          </w:tcPr>
          <w:p>
            <w:pPr>
              <w:jc w:val="center"/>
              <w:ind w:left="190"/>
              <w:spacing w:after="0" w:line="202" w:lineRule="exact"/>
              <w:rPr>
                <w:sz w:val="20"/>
                <w:szCs w:val="20"/>
                <w:color w:val="auto"/>
              </w:rPr>
            </w:pPr>
            <w:r>
              <w:rPr>
                <w:rFonts w:ascii="Arial" w:cs="Arial" w:eastAsia="Arial" w:hAnsi="Arial"/>
                <w:sz w:val="18"/>
                <w:szCs w:val="18"/>
                <w:b w:val="1"/>
                <w:bCs w:val="1"/>
                <w:color w:val="auto"/>
              </w:rPr>
              <w:t>observable</w:t>
            </w:r>
          </w:p>
        </w:tc>
        <w:tc>
          <w:tcPr>
            <w:tcW w:w="2120" w:type="dxa"/>
            <w:vAlign w:val="bottom"/>
            <w:gridSpan w:val="2"/>
          </w:tcPr>
          <w:p>
            <w:pPr>
              <w:jc w:val="center"/>
              <w:ind w:right="400"/>
              <w:spacing w:after="0" w:line="202" w:lineRule="exact"/>
              <w:rPr>
                <w:sz w:val="20"/>
                <w:szCs w:val="20"/>
                <w:color w:val="auto"/>
              </w:rPr>
            </w:pPr>
            <w:r>
              <w:rPr>
                <w:rFonts w:ascii="Arial" w:cs="Arial" w:eastAsia="Arial" w:hAnsi="Arial"/>
                <w:sz w:val="18"/>
                <w:szCs w:val="18"/>
                <w:b w:val="1"/>
                <w:bCs w:val="1"/>
                <w:color w:val="auto"/>
                <w:w w:val="99"/>
              </w:rPr>
              <w:t>unobservable</w:t>
            </w:r>
          </w:p>
        </w:tc>
        <w:tc>
          <w:tcPr>
            <w:tcW w:w="1100" w:type="dxa"/>
            <w:vAlign w:val="bottom"/>
          </w:tcPr>
          <w:p>
            <w:pPr>
              <w:spacing w:after="0"/>
              <w:rPr>
                <w:sz w:val="17"/>
                <w:szCs w:val="17"/>
                <w:color w:val="auto"/>
              </w:rPr>
            </w:pPr>
          </w:p>
        </w:tc>
      </w:tr>
      <w:tr>
        <w:trPr>
          <w:trHeight w:val="203"/>
        </w:trPr>
        <w:tc>
          <w:tcPr>
            <w:tcW w:w="4280" w:type="dxa"/>
            <w:vAlign w:val="bottom"/>
          </w:tcPr>
          <w:p>
            <w:pPr>
              <w:spacing w:after="0"/>
              <w:rPr>
                <w:sz w:val="17"/>
                <w:szCs w:val="17"/>
                <w:color w:val="auto"/>
              </w:rPr>
            </w:pPr>
          </w:p>
        </w:tc>
        <w:tc>
          <w:tcPr>
            <w:tcW w:w="1960" w:type="dxa"/>
            <w:vAlign w:val="bottom"/>
          </w:tcPr>
          <w:p>
            <w:pPr>
              <w:jc w:val="center"/>
              <w:ind w:left="650"/>
              <w:spacing w:after="0" w:line="202" w:lineRule="exact"/>
              <w:rPr>
                <w:sz w:val="20"/>
                <w:szCs w:val="20"/>
                <w:color w:val="auto"/>
              </w:rPr>
            </w:pPr>
            <w:r>
              <w:rPr>
                <w:rFonts w:ascii="Arial" w:cs="Arial" w:eastAsia="Arial" w:hAnsi="Arial"/>
                <w:sz w:val="18"/>
                <w:szCs w:val="18"/>
                <w:b w:val="1"/>
                <w:bCs w:val="1"/>
                <w:color w:val="auto"/>
              </w:rPr>
              <w:t>markets</w:t>
            </w:r>
          </w:p>
        </w:tc>
        <w:tc>
          <w:tcPr>
            <w:tcW w:w="1960" w:type="dxa"/>
            <w:vAlign w:val="bottom"/>
          </w:tcPr>
          <w:p>
            <w:pPr>
              <w:jc w:val="center"/>
              <w:ind w:left="170"/>
              <w:spacing w:after="0" w:line="202" w:lineRule="exact"/>
              <w:rPr>
                <w:sz w:val="20"/>
                <w:szCs w:val="20"/>
                <w:color w:val="auto"/>
              </w:rPr>
            </w:pPr>
            <w:r>
              <w:rPr>
                <w:rFonts w:ascii="Arial" w:cs="Arial" w:eastAsia="Arial" w:hAnsi="Arial"/>
                <w:sz w:val="18"/>
                <w:szCs w:val="18"/>
                <w:b w:val="1"/>
                <w:bCs w:val="1"/>
                <w:color w:val="auto"/>
                <w:w w:val="99"/>
              </w:rPr>
              <w:t>inputs</w:t>
            </w:r>
          </w:p>
        </w:tc>
        <w:tc>
          <w:tcPr>
            <w:tcW w:w="2120" w:type="dxa"/>
            <w:vAlign w:val="bottom"/>
            <w:gridSpan w:val="2"/>
          </w:tcPr>
          <w:p>
            <w:pPr>
              <w:jc w:val="center"/>
              <w:ind w:right="420"/>
              <w:spacing w:after="0" w:line="202" w:lineRule="exact"/>
              <w:rPr>
                <w:sz w:val="20"/>
                <w:szCs w:val="20"/>
                <w:color w:val="auto"/>
              </w:rPr>
            </w:pPr>
            <w:r>
              <w:rPr>
                <w:rFonts w:ascii="Arial" w:cs="Arial" w:eastAsia="Arial" w:hAnsi="Arial"/>
                <w:sz w:val="18"/>
                <w:szCs w:val="18"/>
                <w:b w:val="1"/>
                <w:bCs w:val="1"/>
                <w:color w:val="auto"/>
                <w:w w:val="99"/>
              </w:rPr>
              <w:t>inputs</w:t>
            </w:r>
          </w:p>
        </w:tc>
        <w:tc>
          <w:tcPr>
            <w:tcW w:w="1100" w:type="dxa"/>
            <w:vAlign w:val="bottom"/>
          </w:tcPr>
          <w:p>
            <w:pPr>
              <w:spacing w:after="0"/>
              <w:rPr>
                <w:sz w:val="17"/>
                <w:szCs w:val="17"/>
                <w:color w:val="auto"/>
              </w:rPr>
            </w:pPr>
          </w:p>
        </w:tc>
      </w:tr>
      <w:tr>
        <w:trPr>
          <w:trHeight w:val="225"/>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1960" w:type="dxa"/>
            <w:vAlign w:val="bottom"/>
            <w:tcBorders>
              <w:bottom w:val="single" w:sz="8" w:color="auto"/>
            </w:tcBorders>
          </w:tcPr>
          <w:p>
            <w:pPr>
              <w:jc w:val="center"/>
              <w:ind w:left="650"/>
              <w:spacing w:after="0"/>
              <w:rPr>
                <w:sz w:val="20"/>
                <w:szCs w:val="20"/>
                <w:color w:val="auto"/>
              </w:rPr>
            </w:pPr>
            <w:r>
              <w:rPr>
                <w:rFonts w:ascii="Arial" w:cs="Arial" w:eastAsia="Arial" w:hAnsi="Arial"/>
                <w:sz w:val="18"/>
                <w:szCs w:val="18"/>
                <w:b w:val="1"/>
                <w:bCs w:val="1"/>
                <w:color w:val="auto"/>
              </w:rPr>
              <w:t>Level 1</w:t>
            </w:r>
          </w:p>
        </w:tc>
        <w:tc>
          <w:tcPr>
            <w:tcW w:w="1960" w:type="dxa"/>
            <w:vAlign w:val="bottom"/>
            <w:tcBorders>
              <w:bottom w:val="single" w:sz="8" w:color="auto"/>
            </w:tcBorders>
          </w:tcPr>
          <w:p>
            <w:pPr>
              <w:jc w:val="center"/>
              <w:ind w:left="170"/>
              <w:spacing w:after="0"/>
              <w:rPr>
                <w:sz w:val="20"/>
                <w:szCs w:val="20"/>
                <w:color w:val="auto"/>
              </w:rPr>
            </w:pPr>
            <w:r>
              <w:rPr>
                <w:rFonts w:ascii="Arial" w:cs="Arial" w:eastAsia="Arial" w:hAnsi="Arial"/>
                <w:sz w:val="18"/>
                <w:szCs w:val="18"/>
                <w:b w:val="1"/>
                <w:bCs w:val="1"/>
                <w:color w:val="auto"/>
              </w:rPr>
              <w:t>Level 2</w:t>
            </w:r>
          </w:p>
        </w:tc>
        <w:tc>
          <w:tcPr>
            <w:tcW w:w="212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8"/>
                <w:szCs w:val="18"/>
                <w:b w:val="1"/>
                <w:bCs w:val="1"/>
                <w:color w:val="auto"/>
                <w:w w:val="98"/>
              </w:rPr>
              <w:t>Level 3</w:t>
            </w: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398"/>
        </w:trPr>
        <w:tc>
          <w:tcPr>
            <w:tcW w:w="4280" w:type="dxa"/>
            <w:vAlign w:val="bottom"/>
          </w:tcPr>
          <w:p>
            <w:pPr>
              <w:ind w:left="40"/>
              <w:spacing w:after="0"/>
              <w:rPr>
                <w:sz w:val="20"/>
                <w:szCs w:val="20"/>
                <w:color w:val="auto"/>
              </w:rPr>
            </w:pPr>
            <w:r>
              <w:rPr>
                <w:rFonts w:ascii="Arial" w:cs="Arial" w:eastAsia="Arial" w:hAnsi="Arial"/>
                <w:sz w:val="18"/>
                <w:szCs w:val="18"/>
                <w:color w:val="auto"/>
              </w:rPr>
              <w:t>Common Stocks and equity funds</w:t>
            </w:r>
          </w:p>
        </w:tc>
        <w:tc>
          <w:tcPr>
            <w:tcW w:w="1960" w:type="dxa"/>
            <w:vAlign w:val="bottom"/>
          </w:tcPr>
          <w:p>
            <w:pPr>
              <w:jc w:val="right"/>
              <w:spacing w:after="0"/>
              <w:rPr>
                <w:sz w:val="20"/>
                <w:szCs w:val="20"/>
                <w:color w:val="auto"/>
              </w:rPr>
            </w:pPr>
            <w:r>
              <w:rPr>
                <w:rFonts w:ascii="Arial" w:cs="Arial" w:eastAsia="Arial" w:hAnsi="Arial"/>
                <w:sz w:val="18"/>
                <w:szCs w:val="18"/>
                <w:color w:val="auto"/>
              </w:rPr>
              <w:t>$404</w:t>
            </w:r>
          </w:p>
        </w:tc>
        <w:tc>
          <w:tcPr>
            <w:tcW w:w="19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4"/>
                <w:szCs w:val="24"/>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$404</w:t>
            </w:r>
          </w:p>
        </w:tc>
      </w:tr>
      <w:tr>
        <w:trPr>
          <w:trHeight w:val="203"/>
        </w:trPr>
        <w:tc>
          <w:tcPr>
            <w:tcW w:w="4280" w:type="dxa"/>
            <w:vAlign w:val="bottom"/>
          </w:tcPr>
          <w:p>
            <w:pPr>
              <w:ind w:left="40"/>
              <w:spacing w:after="0" w:line="202" w:lineRule="exact"/>
              <w:rPr>
                <w:sz w:val="20"/>
                <w:szCs w:val="20"/>
                <w:color w:val="auto"/>
              </w:rPr>
            </w:pPr>
            <w:r>
              <w:rPr>
                <w:rFonts w:ascii="Arial" w:cs="Arial" w:eastAsia="Arial" w:hAnsi="Arial"/>
                <w:sz w:val="18"/>
                <w:szCs w:val="18"/>
                <w:color w:val="auto"/>
              </w:rPr>
              <w:t>Debt securities</w:t>
            </w:r>
          </w:p>
        </w:tc>
        <w:tc>
          <w:tcPr>
            <w:tcW w:w="1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9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71,886</w:t>
            </w:r>
          </w:p>
        </w:tc>
        <w:tc>
          <w:tcPr>
            <w:tcW w:w="15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7"/>
                <w:szCs w:val="17"/>
                <w:color w:val="auto"/>
              </w:rPr>
            </w:pPr>
          </w:p>
        </w:tc>
        <w:tc>
          <w:tcPr>
            <w:tcW w:w="11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71,886</w:t>
            </w:r>
          </w:p>
        </w:tc>
      </w:tr>
      <w:tr>
        <w:trPr>
          <w:trHeight w:val="203"/>
        </w:trPr>
        <w:tc>
          <w:tcPr>
            <w:tcW w:w="4280" w:type="dxa"/>
            <w:vAlign w:val="bottom"/>
          </w:tcPr>
          <w:p>
            <w:pPr>
              <w:ind w:left="40"/>
              <w:spacing w:after="0" w:line="202" w:lineRule="exact"/>
              <w:rPr>
                <w:sz w:val="20"/>
                <w:szCs w:val="20"/>
                <w:color w:val="auto"/>
              </w:rPr>
            </w:pPr>
            <w:r>
              <w:rPr>
                <w:rFonts w:ascii="Arial" w:cs="Arial" w:eastAsia="Arial" w:hAnsi="Arial"/>
                <w:sz w:val="18"/>
                <w:szCs w:val="18"/>
                <w:color w:val="auto"/>
              </w:rPr>
              <w:t>Insurance contracts</w:t>
            </w:r>
          </w:p>
        </w:tc>
        <w:tc>
          <w:tcPr>
            <w:tcW w:w="1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9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2,403</w:t>
            </w:r>
          </w:p>
        </w:tc>
        <w:tc>
          <w:tcPr>
            <w:tcW w:w="580" w:type="dxa"/>
            <w:vAlign w:val="bottom"/>
          </w:tcPr>
          <w:p>
            <w:pPr>
              <w:spacing w:after="0"/>
              <w:rPr>
                <w:sz w:val="17"/>
                <w:szCs w:val="17"/>
                <w:color w:val="auto"/>
              </w:rPr>
            </w:pPr>
          </w:p>
        </w:tc>
        <w:tc>
          <w:tcPr>
            <w:tcW w:w="11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2,403</w:t>
            </w:r>
          </w:p>
        </w:tc>
      </w:tr>
      <w:tr>
        <w:trPr>
          <w:trHeight w:val="203"/>
        </w:trPr>
        <w:tc>
          <w:tcPr>
            <w:tcW w:w="4280" w:type="dxa"/>
            <w:vAlign w:val="bottom"/>
            <w:tcBorders>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Cash and short-term investments</w:t>
            </w:r>
          </w:p>
        </w:tc>
        <w:tc>
          <w:tcPr>
            <w:tcW w:w="1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2,501</w:t>
            </w:r>
          </w:p>
        </w:tc>
        <w:tc>
          <w:tcPr>
            <w:tcW w:w="196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2,501</w:t>
            </w:r>
          </w:p>
        </w:tc>
      </w:tr>
      <w:tr>
        <w:trPr>
          <w:trHeight w:val="196"/>
        </w:trPr>
        <w:tc>
          <w:tcPr>
            <w:tcW w:w="428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Total investments in the fair value hierarchy</w:t>
            </w:r>
          </w:p>
        </w:tc>
        <w:tc>
          <w:tcPr>
            <w:tcW w:w="1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$2,905</w:t>
            </w:r>
          </w:p>
        </w:tc>
        <w:tc>
          <w:tcPr>
            <w:tcW w:w="196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$71,886</w:t>
            </w:r>
          </w:p>
        </w:tc>
        <w:tc>
          <w:tcPr>
            <w:tcW w:w="15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$2,403</w:t>
            </w:r>
          </w:p>
        </w:tc>
        <w:tc>
          <w:tcPr>
            <w:tcW w:w="580" w:type="dxa"/>
            <w:vAlign w:val="bottom"/>
          </w:tcPr>
          <w:p>
            <w:pPr>
              <w:spacing w:after="0"/>
              <w:rPr>
                <w:sz w:val="17"/>
                <w:szCs w:val="17"/>
                <w:color w:val="auto"/>
              </w:rPr>
            </w:pPr>
          </w:p>
        </w:tc>
        <w:tc>
          <w:tcPr>
            <w:tcW w:w="1100" w:type="dxa"/>
            <w:vAlign w:val="bottom"/>
          </w:tcPr>
          <w:p>
            <w:pPr>
              <w:jc w:val="right"/>
              <w:ind w:right="10"/>
              <w:spacing w:after="0" w:line="196" w:lineRule="exact"/>
              <w:rPr>
                <w:sz w:val="20"/>
                <w:szCs w:val="20"/>
                <w:color w:val="auto"/>
              </w:rPr>
            </w:pPr>
            <w:r>
              <w:rPr>
                <w:rFonts w:ascii="Arial" w:cs="Arial" w:eastAsia="Arial" w:hAnsi="Arial"/>
                <w:sz w:val="18"/>
                <w:szCs w:val="18"/>
                <w:color w:val="auto"/>
              </w:rPr>
              <w:t>77,194</w:t>
            </w:r>
          </w:p>
        </w:tc>
      </w:tr>
      <w:tr>
        <w:trPr>
          <w:trHeight w:val="398"/>
        </w:trPr>
        <w:tc>
          <w:tcPr>
            <w:tcW w:w="4280" w:type="dxa"/>
            <w:vAlign w:val="bottom"/>
          </w:tcPr>
          <w:p>
            <w:pPr>
              <w:ind w:left="40"/>
              <w:spacing w:after="0"/>
              <w:rPr>
                <w:sz w:val="20"/>
                <w:szCs w:val="20"/>
                <w:color w:val="auto"/>
              </w:rPr>
            </w:pPr>
            <w:r>
              <w:rPr>
                <w:rFonts w:ascii="Arial" w:cs="Arial" w:eastAsia="Arial" w:hAnsi="Arial"/>
                <w:sz w:val="18"/>
                <w:szCs w:val="18"/>
                <w:color w:val="auto"/>
              </w:rPr>
              <w:t>Investments at net asset value:</w:t>
            </w:r>
          </w:p>
        </w:tc>
        <w:tc>
          <w:tcPr>
            <w:tcW w:w="19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4280" w:type="dxa"/>
            <w:vAlign w:val="bottom"/>
          </w:tcPr>
          <w:p>
            <w:pPr>
              <w:ind w:left="180"/>
              <w:spacing w:after="0" w:line="202" w:lineRule="exact"/>
              <w:rPr>
                <w:sz w:val="20"/>
                <w:szCs w:val="20"/>
                <w:color w:val="auto"/>
              </w:rPr>
            </w:pPr>
            <w:r>
              <w:rPr>
                <w:rFonts w:ascii="Arial" w:cs="Arial" w:eastAsia="Arial" w:hAnsi="Arial"/>
                <w:sz w:val="18"/>
                <w:szCs w:val="18"/>
                <w:color w:val="auto"/>
              </w:rPr>
              <w:t>Common Stocks and equity funds</w:t>
            </w:r>
          </w:p>
        </w:tc>
        <w:tc>
          <w:tcPr>
            <w:tcW w:w="19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34,709</w:t>
            </w:r>
          </w:p>
        </w:tc>
      </w:tr>
      <w:tr>
        <w:trPr>
          <w:trHeight w:val="203"/>
        </w:trPr>
        <w:tc>
          <w:tcPr>
            <w:tcW w:w="4280" w:type="dxa"/>
            <w:vAlign w:val="bottom"/>
          </w:tcPr>
          <w:p>
            <w:pPr>
              <w:ind w:left="180"/>
              <w:spacing w:after="0" w:line="202" w:lineRule="exact"/>
              <w:rPr>
                <w:sz w:val="20"/>
                <w:szCs w:val="20"/>
                <w:color w:val="auto"/>
              </w:rPr>
            </w:pPr>
            <w:r>
              <w:rPr>
                <w:rFonts w:ascii="Arial" w:cs="Arial" w:eastAsia="Arial" w:hAnsi="Arial"/>
                <w:sz w:val="18"/>
                <w:szCs w:val="18"/>
                <w:color w:val="auto"/>
              </w:rPr>
              <w:t>Fixed income funds</w:t>
            </w:r>
          </w:p>
        </w:tc>
        <w:tc>
          <w:tcPr>
            <w:tcW w:w="19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53,616</w:t>
            </w:r>
          </w:p>
        </w:tc>
      </w:tr>
      <w:tr>
        <w:trPr>
          <w:trHeight w:val="203"/>
        </w:trPr>
        <w:tc>
          <w:tcPr>
            <w:tcW w:w="4280" w:type="dxa"/>
            <w:vAlign w:val="bottom"/>
          </w:tcPr>
          <w:p>
            <w:pPr>
              <w:ind w:left="180"/>
              <w:spacing w:after="0" w:line="202" w:lineRule="exact"/>
              <w:rPr>
                <w:sz w:val="20"/>
                <w:szCs w:val="20"/>
                <w:color w:val="auto"/>
              </w:rPr>
            </w:pPr>
            <w:r>
              <w:rPr>
                <w:rFonts w:ascii="Arial" w:cs="Arial" w:eastAsia="Arial" w:hAnsi="Arial"/>
                <w:sz w:val="18"/>
                <w:szCs w:val="18"/>
                <w:color w:val="auto"/>
              </w:rPr>
              <w:t>Limited partnerships</w:t>
            </w:r>
          </w:p>
        </w:tc>
        <w:tc>
          <w:tcPr>
            <w:tcW w:w="19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5,676</w:t>
            </w:r>
          </w:p>
        </w:tc>
      </w:tr>
      <w:tr>
        <w:trPr>
          <w:trHeight w:val="203"/>
        </w:trPr>
        <w:tc>
          <w:tcPr>
            <w:tcW w:w="4280" w:type="dxa"/>
            <w:vAlign w:val="bottom"/>
            <w:tcBorders>
              <w:bottom w:val="single" w:sz="8" w:color="auto"/>
            </w:tcBorders>
          </w:tcPr>
          <w:p>
            <w:pPr>
              <w:ind w:left="180"/>
              <w:spacing w:after="0" w:line="203" w:lineRule="exact"/>
              <w:rPr>
                <w:sz w:val="20"/>
                <w:szCs w:val="20"/>
                <w:color w:val="auto"/>
              </w:rPr>
            </w:pPr>
            <w:r>
              <w:rPr>
                <w:rFonts w:ascii="Arial" w:cs="Arial" w:eastAsia="Arial" w:hAnsi="Arial"/>
                <w:sz w:val="18"/>
                <w:szCs w:val="18"/>
                <w:color w:val="auto"/>
              </w:rPr>
              <w:t>Hedge funds</w:t>
            </w:r>
          </w:p>
        </w:tc>
        <w:tc>
          <w:tcPr>
            <w:tcW w:w="196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192</w:t>
            </w:r>
          </w:p>
        </w:tc>
      </w:tr>
      <w:tr>
        <w:trPr>
          <w:trHeight w:val="196"/>
        </w:trPr>
        <w:tc>
          <w:tcPr>
            <w:tcW w:w="428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Total plan assets</w:t>
            </w:r>
          </w:p>
        </w:tc>
        <w:tc>
          <w:tcPr>
            <w:tcW w:w="196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$171,387</w:t>
            </w:r>
          </w:p>
        </w:tc>
      </w:tr>
    </w:tbl>
    <w:p>
      <w:pPr>
        <w:spacing w:after="0" w:line="3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a reconciliation of Level 3 assets held during the years ended December 31, 2016 and 2015:</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840" w:type="dxa"/>
            <w:vAlign w:val="bottom"/>
            <w:tcBorders>
              <w:top w:val="single" w:sz="8" w:color="auto"/>
            </w:tcBorders>
          </w:tcPr>
          <w:p>
            <w:pPr>
              <w:spacing w:after="0"/>
              <w:rPr>
                <w:sz w:val="16"/>
                <w:szCs w:val="16"/>
                <w:color w:val="auto"/>
              </w:rPr>
            </w:pPr>
          </w:p>
        </w:tc>
        <w:tc>
          <w:tcPr>
            <w:tcW w:w="224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96"/>
              </w:rPr>
              <w:t>Net</w:t>
            </w:r>
          </w:p>
        </w:tc>
        <w:tc>
          <w:tcPr>
            <w:tcW w:w="10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r>
      <w:tr>
        <w:trPr>
          <w:trHeight w:val="203"/>
        </w:trPr>
        <w:tc>
          <w:tcPr>
            <w:tcW w:w="28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purchases,</w:t>
            </w:r>
          </w:p>
        </w:tc>
        <w:tc>
          <w:tcPr>
            <w:tcW w:w="10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6"/>
              </w:rPr>
              <w:t>Net</w:t>
            </w:r>
          </w:p>
        </w:tc>
        <w:tc>
          <w:tcPr>
            <w:tcW w:w="1060" w:type="dxa"/>
            <w:vAlign w:val="bottom"/>
          </w:tcPr>
          <w:p>
            <w:pPr>
              <w:spacing w:after="0"/>
              <w:rPr>
                <w:sz w:val="17"/>
                <w:szCs w:val="17"/>
                <w:color w:val="auto"/>
              </w:rPr>
            </w:pPr>
          </w:p>
        </w:tc>
      </w:tr>
      <w:tr>
        <w:trPr>
          <w:trHeight w:val="203"/>
        </w:trPr>
        <w:tc>
          <w:tcPr>
            <w:tcW w:w="28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Net</w:t>
            </w:r>
          </w:p>
        </w:tc>
        <w:tc>
          <w:tcPr>
            <w:tcW w:w="12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issuances</w:t>
            </w:r>
          </w:p>
        </w:tc>
        <w:tc>
          <w:tcPr>
            <w:tcW w:w="10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transfers</w:t>
            </w:r>
          </w:p>
        </w:tc>
        <w:tc>
          <w:tcPr>
            <w:tcW w:w="1060" w:type="dxa"/>
            <w:vAlign w:val="bottom"/>
          </w:tcPr>
          <w:p>
            <w:pPr>
              <w:spacing w:after="0"/>
              <w:rPr>
                <w:sz w:val="17"/>
                <w:szCs w:val="17"/>
                <w:color w:val="auto"/>
              </w:rPr>
            </w:pPr>
          </w:p>
        </w:tc>
      </w:tr>
      <w:tr>
        <w:trPr>
          <w:trHeight w:val="203"/>
        </w:trPr>
        <w:tc>
          <w:tcPr>
            <w:tcW w:w="2840" w:type="dxa"/>
            <w:vAlign w:val="bottom"/>
          </w:tcPr>
          <w:p>
            <w:pPr>
              <w:spacing w:after="0"/>
              <w:rPr>
                <w:sz w:val="17"/>
                <w:szCs w:val="17"/>
                <w:color w:val="auto"/>
              </w:rPr>
            </w:pPr>
          </w:p>
        </w:tc>
        <w:tc>
          <w:tcPr>
            <w:tcW w:w="2240" w:type="dxa"/>
            <w:vAlign w:val="bottom"/>
          </w:tcPr>
          <w:p>
            <w:pPr>
              <w:ind w:left="1220"/>
              <w:spacing w:after="0" w:line="202" w:lineRule="exact"/>
              <w:rPr>
                <w:sz w:val="20"/>
                <w:szCs w:val="20"/>
                <w:color w:val="auto"/>
              </w:rPr>
            </w:pPr>
            <w:r>
              <w:rPr>
                <w:rFonts w:ascii="Arial" w:cs="Arial" w:eastAsia="Arial" w:hAnsi="Arial"/>
                <w:sz w:val="18"/>
                <w:szCs w:val="18"/>
                <w:b w:val="1"/>
                <w:bCs w:val="1"/>
                <w:color w:val="auto"/>
              </w:rPr>
              <w:t>December</w:t>
            </w:r>
          </w:p>
        </w:tc>
        <w:tc>
          <w:tcPr>
            <w:tcW w:w="15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Net realized</w:t>
            </w:r>
          </w:p>
        </w:tc>
        <w:tc>
          <w:tcPr>
            <w:tcW w:w="14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unrealized</w:t>
            </w:r>
          </w:p>
        </w:tc>
        <w:tc>
          <w:tcPr>
            <w:tcW w:w="12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and</w:t>
            </w:r>
          </w:p>
        </w:tc>
        <w:tc>
          <w:tcPr>
            <w:tcW w:w="10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(out of)</w:t>
            </w:r>
          </w:p>
        </w:tc>
        <w:tc>
          <w:tcPr>
            <w:tcW w:w="1060" w:type="dxa"/>
            <w:vAlign w:val="bottom"/>
          </w:tcPr>
          <w:p>
            <w:pPr>
              <w:ind w:left="180"/>
              <w:spacing w:after="0" w:line="202" w:lineRule="exact"/>
              <w:rPr>
                <w:sz w:val="20"/>
                <w:szCs w:val="20"/>
                <w:color w:val="auto"/>
              </w:rPr>
            </w:pPr>
            <w:r>
              <w:rPr>
                <w:rFonts w:ascii="Arial" w:cs="Arial" w:eastAsia="Arial" w:hAnsi="Arial"/>
                <w:sz w:val="18"/>
                <w:szCs w:val="18"/>
                <w:b w:val="1"/>
                <w:bCs w:val="1"/>
                <w:color w:val="auto"/>
                <w:w w:val="98"/>
              </w:rPr>
              <w:t>December</w:t>
            </w:r>
          </w:p>
        </w:tc>
      </w:tr>
      <w:tr>
        <w:trPr>
          <w:trHeight w:val="225"/>
        </w:trPr>
        <w:tc>
          <w:tcPr>
            <w:tcW w:w="2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240" w:type="dxa"/>
            <w:vAlign w:val="bottom"/>
            <w:tcBorders>
              <w:bottom w:val="single" w:sz="8" w:color="auto"/>
            </w:tcBorders>
          </w:tcPr>
          <w:p>
            <w:pPr>
              <w:jc w:val="center"/>
              <w:ind w:left="970"/>
              <w:spacing w:after="0"/>
              <w:rPr>
                <w:sz w:val="20"/>
                <w:szCs w:val="20"/>
                <w:color w:val="auto"/>
              </w:rPr>
            </w:pPr>
            <w:r>
              <w:rPr>
                <w:rFonts w:ascii="Arial" w:cs="Arial" w:eastAsia="Arial" w:hAnsi="Arial"/>
                <w:sz w:val="18"/>
                <w:szCs w:val="18"/>
                <w:b w:val="1"/>
                <w:bCs w:val="1"/>
                <w:color w:val="auto"/>
                <w:w w:val="99"/>
              </w:rPr>
              <w:t>31, 2015</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gains/(losses)</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gains/(losses)</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settlements</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Level 3</w:t>
            </w:r>
          </w:p>
        </w:tc>
        <w:tc>
          <w:tcPr>
            <w:tcW w:w="106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31, 2016</w:t>
            </w:r>
          </w:p>
        </w:tc>
      </w:tr>
      <w:tr>
        <w:trPr>
          <w:trHeight w:val="196"/>
        </w:trPr>
        <w:tc>
          <w:tcPr>
            <w:tcW w:w="284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Insurance contracts</w:t>
            </w:r>
          </w:p>
        </w:tc>
        <w:tc>
          <w:tcPr>
            <w:tcW w:w="2240" w:type="dxa"/>
            <w:vAlign w:val="bottom"/>
            <w:tcBorders>
              <w:bottom w:val="single" w:sz="8" w:color="auto"/>
            </w:tcBorders>
          </w:tcPr>
          <w:p>
            <w:pPr>
              <w:jc w:val="center"/>
              <w:ind w:left="990"/>
              <w:spacing w:after="0" w:line="196" w:lineRule="exact"/>
              <w:rPr>
                <w:sz w:val="20"/>
                <w:szCs w:val="20"/>
                <w:color w:val="auto"/>
              </w:rPr>
            </w:pPr>
            <w:r>
              <w:rPr>
                <w:rFonts w:ascii="Arial" w:cs="Arial" w:eastAsia="Arial" w:hAnsi="Arial"/>
                <w:sz w:val="18"/>
                <w:szCs w:val="18"/>
                <w:color w:val="auto"/>
              </w:rPr>
              <w:t>$2,403</w:t>
            </w:r>
          </w:p>
        </w:tc>
        <w:tc>
          <w:tcPr>
            <w:tcW w:w="150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color w:val="auto"/>
              </w:rPr>
              <w:t>$26</w:t>
            </w:r>
          </w:p>
        </w:tc>
        <w:tc>
          <w:tcPr>
            <w:tcW w:w="126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$(191)</w:t>
            </w:r>
          </w:p>
        </w:tc>
        <w:tc>
          <w:tcPr>
            <w:tcW w:w="108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ind w:left="280"/>
              <w:spacing w:after="0" w:line="196" w:lineRule="exact"/>
              <w:rPr>
                <w:sz w:val="20"/>
                <w:szCs w:val="20"/>
                <w:color w:val="auto"/>
              </w:rPr>
            </w:pPr>
            <w:r>
              <w:rPr>
                <w:rFonts w:ascii="Arial" w:cs="Arial" w:eastAsia="Arial" w:hAnsi="Arial"/>
                <w:sz w:val="18"/>
                <w:szCs w:val="18"/>
                <w:color w:val="auto"/>
              </w:rPr>
              <w:t>$2,238</w:t>
            </w:r>
          </w:p>
        </w:tc>
      </w:tr>
      <w:tr>
        <w:trPr>
          <w:trHeight w:val="196"/>
        </w:trPr>
        <w:tc>
          <w:tcPr>
            <w:tcW w:w="284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Total level 3 assets</w:t>
            </w:r>
          </w:p>
        </w:tc>
        <w:tc>
          <w:tcPr>
            <w:tcW w:w="2240" w:type="dxa"/>
            <w:vAlign w:val="bottom"/>
            <w:tcBorders>
              <w:bottom w:val="single" w:sz="8" w:color="auto"/>
            </w:tcBorders>
          </w:tcPr>
          <w:p>
            <w:pPr>
              <w:jc w:val="center"/>
              <w:ind w:left="990"/>
              <w:spacing w:after="0" w:line="196" w:lineRule="exact"/>
              <w:rPr>
                <w:sz w:val="20"/>
                <w:szCs w:val="20"/>
                <w:color w:val="auto"/>
              </w:rPr>
            </w:pPr>
            <w:r>
              <w:rPr>
                <w:rFonts w:ascii="Arial" w:cs="Arial" w:eastAsia="Arial" w:hAnsi="Arial"/>
                <w:sz w:val="18"/>
                <w:szCs w:val="18"/>
                <w:color w:val="auto"/>
              </w:rPr>
              <w:t>$2,403</w:t>
            </w:r>
          </w:p>
        </w:tc>
        <w:tc>
          <w:tcPr>
            <w:tcW w:w="150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color w:val="auto"/>
              </w:rPr>
              <w:t>$26</w:t>
            </w:r>
          </w:p>
        </w:tc>
        <w:tc>
          <w:tcPr>
            <w:tcW w:w="126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($191)</w:t>
            </w:r>
          </w:p>
        </w:tc>
        <w:tc>
          <w:tcPr>
            <w:tcW w:w="108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ind w:left="280"/>
              <w:spacing w:after="0" w:line="196" w:lineRule="exact"/>
              <w:rPr>
                <w:sz w:val="20"/>
                <w:szCs w:val="20"/>
                <w:color w:val="auto"/>
              </w:rPr>
            </w:pPr>
            <w:r>
              <w:rPr>
                <w:rFonts w:ascii="Arial" w:cs="Arial" w:eastAsia="Arial" w:hAnsi="Arial"/>
                <w:sz w:val="18"/>
                <w:szCs w:val="18"/>
                <w:color w:val="auto"/>
              </w:rPr>
              <w:t>$2,238</w:t>
            </w:r>
          </w:p>
        </w:tc>
      </w:tr>
      <w:tr>
        <w:trPr>
          <w:trHeight w:val="628"/>
        </w:trPr>
        <w:tc>
          <w:tcPr>
            <w:tcW w:w="28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129"/>
        </w:trPr>
        <w:tc>
          <w:tcPr>
            <w:tcW w:w="2840" w:type="dxa"/>
            <w:vAlign w:val="bottom"/>
            <w:tcBorders>
              <w:bottom w:val="single" w:sz="8" w:color="auto"/>
            </w:tcBorders>
          </w:tcPr>
          <w:p>
            <w:pPr>
              <w:spacing w:after="0"/>
              <w:rPr>
                <w:sz w:val="11"/>
                <w:szCs w:val="11"/>
                <w:color w:val="auto"/>
              </w:rPr>
            </w:pPr>
          </w:p>
        </w:tc>
        <w:tc>
          <w:tcPr>
            <w:tcW w:w="224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r>
    </w:tbl>
    <w:p>
      <w:pPr>
        <w:sectPr>
          <w:pgSz w:w="11900" w:h="16838" w:orient="portrait"/>
          <w:cols w:equalWidth="0" w:num="1">
            <w:col w:w="11420"/>
          </w:cols>
          <w:pgMar w:left="240" w:top="495" w:right="239" w:bottom="1440" w:gutter="0" w:footer="0" w:header="0"/>
        </w:sectPr>
      </w:pPr>
    </w:p>
    <w:bookmarkStart w:id="73" w:name="page74"/>
    <w:bookmarkEnd w:id="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840" w:type="dxa"/>
            <w:vAlign w:val="bottom"/>
            <w:tcBorders>
              <w:top w:val="single" w:sz="8" w:color="auto"/>
            </w:tcBorders>
          </w:tcPr>
          <w:p>
            <w:pPr>
              <w:spacing w:after="0"/>
              <w:rPr>
                <w:sz w:val="16"/>
                <w:szCs w:val="16"/>
                <w:color w:val="auto"/>
              </w:rPr>
            </w:pPr>
          </w:p>
        </w:tc>
        <w:tc>
          <w:tcPr>
            <w:tcW w:w="224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96"/>
              </w:rPr>
              <w:t>Net</w:t>
            </w:r>
          </w:p>
        </w:tc>
        <w:tc>
          <w:tcPr>
            <w:tcW w:w="10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r>
      <w:tr>
        <w:trPr>
          <w:trHeight w:val="203"/>
        </w:trPr>
        <w:tc>
          <w:tcPr>
            <w:tcW w:w="28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purchases,</w:t>
            </w:r>
          </w:p>
        </w:tc>
        <w:tc>
          <w:tcPr>
            <w:tcW w:w="10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6"/>
              </w:rPr>
              <w:t>Net</w:t>
            </w:r>
          </w:p>
        </w:tc>
        <w:tc>
          <w:tcPr>
            <w:tcW w:w="1060" w:type="dxa"/>
            <w:vAlign w:val="bottom"/>
          </w:tcPr>
          <w:p>
            <w:pPr>
              <w:spacing w:after="0"/>
              <w:rPr>
                <w:sz w:val="17"/>
                <w:szCs w:val="17"/>
                <w:color w:val="auto"/>
              </w:rPr>
            </w:pPr>
          </w:p>
        </w:tc>
      </w:tr>
      <w:tr>
        <w:trPr>
          <w:trHeight w:val="203"/>
        </w:trPr>
        <w:tc>
          <w:tcPr>
            <w:tcW w:w="28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Net</w:t>
            </w:r>
          </w:p>
        </w:tc>
        <w:tc>
          <w:tcPr>
            <w:tcW w:w="12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issuances</w:t>
            </w:r>
          </w:p>
        </w:tc>
        <w:tc>
          <w:tcPr>
            <w:tcW w:w="10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transfers</w:t>
            </w:r>
          </w:p>
        </w:tc>
        <w:tc>
          <w:tcPr>
            <w:tcW w:w="1060" w:type="dxa"/>
            <w:vAlign w:val="bottom"/>
          </w:tcPr>
          <w:p>
            <w:pPr>
              <w:spacing w:after="0"/>
              <w:rPr>
                <w:sz w:val="17"/>
                <w:szCs w:val="17"/>
                <w:color w:val="auto"/>
              </w:rPr>
            </w:pPr>
          </w:p>
        </w:tc>
      </w:tr>
      <w:tr>
        <w:trPr>
          <w:trHeight w:val="203"/>
        </w:trPr>
        <w:tc>
          <w:tcPr>
            <w:tcW w:w="2840" w:type="dxa"/>
            <w:vAlign w:val="bottom"/>
          </w:tcPr>
          <w:p>
            <w:pPr>
              <w:spacing w:after="0"/>
              <w:rPr>
                <w:sz w:val="17"/>
                <w:szCs w:val="17"/>
                <w:color w:val="auto"/>
              </w:rPr>
            </w:pPr>
          </w:p>
        </w:tc>
        <w:tc>
          <w:tcPr>
            <w:tcW w:w="224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December</w:t>
            </w:r>
          </w:p>
        </w:tc>
        <w:tc>
          <w:tcPr>
            <w:tcW w:w="15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Net realized</w:t>
            </w:r>
          </w:p>
        </w:tc>
        <w:tc>
          <w:tcPr>
            <w:tcW w:w="14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unrealized</w:t>
            </w:r>
          </w:p>
        </w:tc>
        <w:tc>
          <w:tcPr>
            <w:tcW w:w="12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and</w:t>
            </w:r>
          </w:p>
        </w:tc>
        <w:tc>
          <w:tcPr>
            <w:tcW w:w="10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(out of)</w:t>
            </w:r>
          </w:p>
        </w:tc>
        <w:tc>
          <w:tcPr>
            <w:tcW w:w="10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December</w:t>
            </w:r>
          </w:p>
        </w:tc>
      </w:tr>
      <w:tr>
        <w:trPr>
          <w:trHeight w:val="225"/>
        </w:trPr>
        <w:tc>
          <w:tcPr>
            <w:tcW w:w="2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2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31, 2014</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gains/(losses)</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gains/(losses)</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settlements</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Level 3</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31, 2015</w:t>
            </w:r>
          </w:p>
        </w:tc>
      </w:tr>
      <w:tr>
        <w:trPr>
          <w:trHeight w:val="196"/>
        </w:trPr>
        <w:tc>
          <w:tcPr>
            <w:tcW w:w="284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Insurance contracts</w:t>
            </w:r>
          </w:p>
        </w:tc>
        <w:tc>
          <w:tcPr>
            <w:tcW w:w="2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$2,133</w:t>
            </w:r>
          </w:p>
        </w:tc>
        <w:tc>
          <w:tcPr>
            <w:tcW w:w="150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color w:val="auto"/>
              </w:rPr>
              <w:t>$35</w:t>
            </w:r>
          </w:p>
        </w:tc>
        <w:tc>
          <w:tcPr>
            <w:tcW w:w="126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$235</w:t>
            </w:r>
          </w:p>
        </w:tc>
        <w:tc>
          <w:tcPr>
            <w:tcW w:w="108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$2,403</w:t>
            </w:r>
          </w:p>
        </w:tc>
      </w:tr>
      <w:tr>
        <w:trPr>
          <w:trHeight w:val="196"/>
        </w:trPr>
        <w:tc>
          <w:tcPr>
            <w:tcW w:w="284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Total level 3 assets</w:t>
            </w:r>
          </w:p>
        </w:tc>
        <w:tc>
          <w:tcPr>
            <w:tcW w:w="2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$2,133</w:t>
            </w:r>
          </w:p>
        </w:tc>
        <w:tc>
          <w:tcPr>
            <w:tcW w:w="150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color w:val="auto"/>
              </w:rPr>
              <w:t>$35</w:t>
            </w:r>
          </w:p>
        </w:tc>
        <w:tc>
          <w:tcPr>
            <w:tcW w:w="126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$235</w:t>
            </w:r>
          </w:p>
        </w:tc>
        <w:tc>
          <w:tcPr>
            <w:tcW w:w="108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$2,403</w:t>
            </w:r>
          </w:p>
        </w:tc>
      </w:tr>
    </w:tbl>
    <w:p>
      <w:pPr>
        <w:spacing w:after="0" w:line="377" w:lineRule="exact"/>
        <w:rPr>
          <w:sz w:val="20"/>
          <w:szCs w:val="20"/>
          <w:color w:val="auto"/>
        </w:rPr>
      </w:pPr>
    </w:p>
    <w:p>
      <w:pPr>
        <w:ind w:right="460" w:firstLine="648"/>
        <w:spacing w:after="0" w:line="246" w:lineRule="auto"/>
        <w:rPr>
          <w:sz w:val="20"/>
          <w:szCs w:val="20"/>
          <w:color w:val="auto"/>
        </w:rPr>
      </w:pPr>
      <w:r>
        <w:rPr>
          <w:rFonts w:ascii="Arial" w:cs="Arial" w:eastAsia="Arial" w:hAnsi="Arial"/>
          <w:sz w:val="18"/>
          <w:szCs w:val="18"/>
          <w:color w:val="auto"/>
        </w:rPr>
        <w:t>The asset allocation for the Company’s U.S. and non-U.S. pension plans for 2015 and 2016, and the target allocation for 2017, by asset category, are as follows: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20" w:type="dxa"/>
            <w:vAlign w:val="bottom"/>
            <w:tcBorders>
              <w:top w:val="single" w:sz="8" w:color="auto"/>
              <w:bottom w:val="single" w:sz="8" w:color="auto"/>
            </w:tcBorders>
          </w:tcPr>
          <w:p>
            <w:pPr>
              <w:spacing w:after="0"/>
              <w:rPr>
                <w:sz w:val="18"/>
                <w:szCs w:val="18"/>
                <w:color w:val="auto"/>
              </w:rPr>
            </w:pPr>
          </w:p>
        </w:tc>
        <w:tc>
          <w:tcPr>
            <w:tcW w:w="2260" w:type="dxa"/>
            <w:vAlign w:val="bottom"/>
            <w:tcBorders>
              <w:top w:val="single" w:sz="8" w:color="auto"/>
              <w:bottom w:val="single" w:sz="8" w:color="auto"/>
            </w:tcBorders>
          </w:tcPr>
          <w:p>
            <w:pPr>
              <w:spacing w:after="0"/>
              <w:rPr>
                <w:sz w:val="18"/>
                <w:szCs w:val="18"/>
                <w:color w:val="auto"/>
              </w:rPr>
            </w:pPr>
          </w:p>
        </w:tc>
        <w:tc>
          <w:tcPr>
            <w:tcW w:w="2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United States Plan</w:t>
            </w:r>
          </w:p>
        </w:tc>
        <w:tc>
          <w:tcPr>
            <w:tcW w:w="8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Non-U.S. Plans</w:t>
            </w:r>
          </w:p>
        </w:tc>
        <w:tc>
          <w:tcPr>
            <w:tcW w:w="800" w:type="dxa"/>
            <w:vAlign w:val="bottom"/>
            <w:tcBorders>
              <w:top w:val="single" w:sz="8" w:color="auto"/>
              <w:bottom w:val="single" w:sz="8" w:color="auto"/>
            </w:tcBorders>
          </w:tcPr>
          <w:p>
            <w:pPr>
              <w:spacing w:after="0"/>
              <w:rPr>
                <w:sz w:val="18"/>
                <w:szCs w:val="18"/>
                <w:color w:val="auto"/>
              </w:rPr>
            </w:pPr>
          </w:p>
        </w:tc>
      </w:tr>
      <w:tr>
        <w:trPr>
          <w:trHeight w:val="195"/>
        </w:trPr>
        <w:tc>
          <w:tcPr>
            <w:tcW w:w="2520" w:type="dxa"/>
            <w:vAlign w:val="bottom"/>
          </w:tcPr>
          <w:p>
            <w:pPr>
              <w:spacing w:after="0"/>
              <w:rPr>
                <w:sz w:val="16"/>
                <w:szCs w:val="16"/>
                <w:color w:val="auto"/>
              </w:rPr>
            </w:pPr>
          </w:p>
        </w:tc>
        <w:tc>
          <w:tcPr>
            <w:tcW w:w="2260" w:type="dxa"/>
            <w:vAlign w:val="bottom"/>
          </w:tcPr>
          <w:p>
            <w:pPr>
              <w:jc w:val="right"/>
              <w:ind w:right="230"/>
              <w:spacing w:after="0" w:line="195" w:lineRule="exact"/>
              <w:rPr>
                <w:sz w:val="20"/>
                <w:szCs w:val="20"/>
                <w:color w:val="auto"/>
              </w:rPr>
            </w:pPr>
            <w:r>
              <w:rPr>
                <w:rFonts w:ascii="Arial" w:cs="Arial" w:eastAsia="Arial" w:hAnsi="Arial"/>
                <w:sz w:val="18"/>
                <w:szCs w:val="18"/>
                <w:color w:val="auto"/>
              </w:rPr>
              <w:t>Target</w:t>
            </w:r>
          </w:p>
        </w:tc>
        <w:tc>
          <w:tcPr>
            <w:tcW w:w="2900" w:type="dxa"/>
            <w:vAlign w:val="bottom"/>
            <w:gridSpan w:val="2"/>
          </w:tcPr>
          <w:p>
            <w:pPr>
              <w:jc w:val="right"/>
              <w:ind w:right="290"/>
              <w:spacing w:after="0" w:line="195" w:lineRule="exact"/>
              <w:rPr>
                <w:sz w:val="20"/>
                <w:szCs w:val="20"/>
                <w:color w:val="auto"/>
              </w:rPr>
            </w:pPr>
            <w:r>
              <w:rPr>
                <w:rFonts w:ascii="Arial" w:cs="Arial" w:eastAsia="Arial" w:hAnsi="Arial"/>
                <w:sz w:val="18"/>
                <w:szCs w:val="18"/>
                <w:color w:val="auto"/>
              </w:rPr>
              <w:t>Percentage of plan assets</w:t>
            </w:r>
          </w:p>
        </w:tc>
        <w:tc>
          <w:tcPr>
            <w:tcW w:w="1260" w:type="dxa"/>
            <w:vAlign w:val="bottom"/>
          </w:tcPr>
          <w:p>
            <w:pPr>
              <w:jc w:val="right"/>
              <w:ind w:right="50"/>
              <w:spacing w:after="0" w:line="195" w:lineRule="exact"/>
              <w:rPr>
                <w:sz w:val="20"/>
                <w:szCs w:val="20"/>
                <w:color w:val="auto"/>
              </w:rPr>
            </w:pPr>
            <w:r>
              <w:rPr>
                <w:rFonts w:ascii="Arial" w:cs="Arial" w:eastAsia="Arial" w:hAnsi="Arial"/>
                <w:sz w:val="18"/>
                <w:szCs w:val="18"/>
                <w:color w:val="auto"/>
              </w:rPr>
              <w:t>Target</w:t>
            </w:r>
          </w:p>
        </w:tc>
        <w:tc>
          <w:tcPr>
            <w:tcW w:w="2480" w:type="dxa"/>
            <w:vAlign w:val="bottom"/>
            <w:gridSpan w:val="2"/>
          </w:tcPr>
          <w:p>
            <w:pPr>
              <w:jc w:val="right"/>
              <w:ind w:right="50"/>
              <w:spacing w:after="0" w:line="195" w:lineRule="exact"/>
              <w:rPr>
                <w:sz w:val="20"/>
                <w:szCs w:val="20"/>
                <w:color w:val="auto"/>
              </w:rPr>
            </w:pPr>
            <w:r>
              <w:rPr>
                <w:rFonts w:ascii="Arial" w:cs="Arial" w:eastAsia="Arial" w:hAnsi="Arial"/>
                <w:sz w:val="18"/>
                <w:szCs w:val="18"/>
                <w:color w:val="auto"/>
              </w:rPr>
              <w:t>Percentage of plan assets</w:t>
            </w:r>
          </w:p>
        </w:tc>
      </w:tr>
      <w:tr>
        <w:trPr>
          <w:trHeight w:val="181"/>
        </w:trPr>
        <w:tc>
          <w:tcPr>
            <w:tcW w:w="2520" w:type="dxa"/>
            <w:vAlign w:val="bottom"/>
          </w:tcPr>
          <w:p>
            <w:pPr>
              <w:spacing w:after="0"/>
              <w:rPr>
                <w:sz w:val="15"/>
                <w:szCs w:val="15"/>
                <w:color w:val="auto"/>
              </w:rPr>
            </w:pPr>
          </w:p>
        </w:tc>
        <w:tc>
          <w:tcPr>
            <w:tcW w:w="2260" w:type="dxa"/>
            <w:vAlign w:val="bottom"/>
          </w:tcPr>
          <w:p>
            <w:pPr>
              <w:jc w:val="right"/>
              <w:ind w:right="230"/>
              <w:spacing w:after="0" w:line="181" w:lineRule="exact"/>
              <w:rPr>
                <w:sz w:val="20"/>
                <w:szCs w:val="20"/>
                <w:color w:val="auto"/>
              </w:rPr>
            </w:pPr>
            <w:r>
              <w:rPr>
                <w:rFonts w:ascii="Arial" w:cs="Arial" w:eastAsia="Arial" w:hAnsi="Arial"/>
                <w:sz w:val="18"/>
                <w:szCs w:val="18"/>
                <w:color w:val="auto"/>
              </w:rPr>
              <w:t>Allocation</w:t>
            </w:r>
          </w:p>
        </w:tc>
        <w:tc>
          <w:tcPr>
            <w:tcW w:w="2900" w:type="dxa"/>
            <w:vAlign w:val="bottom"/>
            <w:gridSpan w:val="2"/>
          </w:tcPr>
          <w:p>
            <w:pPr>
              <w:jc w:val="right"/>
              <w:ind w:right="290"/>
              <w:spacing w:after="0" w:line="181" w:lineRule="exact"/>
              <w:rPr>
                <w:sz w:val="20"/>
                <w:szCs w:val="20"/>
                <w:color w:val="auto"/>
              </w:rPr>
            </w:pPr>
            <w:r>
              <w:rPr>
                <w:rFonts w:ascii="Arial" w:cs="Arial" w:eastAsia="Arial" w:hAnsi="Arial"/>
                <w:sz w:val="18"/>
                <w:szCs w:val="18"/>
                <w:color w:val="auto"/>
              </w:rPr>
              <w:t>at plan measurement date</w:t>
            </w:r>
          </w:p>
        </w:tc>
        <w:tc>
          <w:tcPr>
            <w:tcW w:w="1260" w:type="dxa"/>
            <w:vAlign w:val="bottom"/>
          </w:tcPr>
          <w:p>
            <w:pPr>
              <w:jc w:val="right"/>
              <w:ind w:right="50"/>
              <w:spacing w:after="0" w:line="181" w:lineRule="exact"/>
              <w:rPr>
                <w:sz w:val="20"/>
                <w:szCs w:val="20"/>
                <w:color w:val="auto"/>
              </w:rPr>
            </w:pPr>
            <w:r>
              <w:rPr>
                <w:rFonts w:ascii="Arial" w:cs="Arial" w:eastAsia="Arial" w:hAnsi="Arial"/>
                <w:sz w:val="18"/>
                <w:szCs w:val="18"/>
                <w:color w:val="auto"/>
              </w:rPr>
              <w:t>Allocation</w:t>
            </w:r>
          </w:p>
        </w:tc>
        <w:tc>
          <w:tcPr>
            <w:tcW w:w="2480" w:type="dxa"/>
            <w:vAlign w:val="bottom"/>
            <w:gridSpan w:val="2"/>
          </w:tcPr>
          <w:p>
            <w:pPr>
              <w:jc w:val="right"/>
              <w:ind w:right="50"/>
              <w:spacing w:after="0" w:line="181" w:lineRule="exact"/>
              <w:rPr>
                <w:sz w:val="20"/>
                <w:szCs w:val="20"/>
                <w:color w:val="auto"/>
              </w:rPr>
            </w:pPr>
            <w:r>
              <w:rPr>
                <w:rFonts w:ascii="Arial" w:cs="Arial" w:eastAsia="Arial" w:hAnsi="Arial"/>
                <w:sz w:val="18"/>
                <w:szCs w:val="18"/>
                <w:color w:val="auto"/>
              </w:rPr>
              <w:t>at plan measurement date</w:t>
            </w:r>
          </w:p>
        </w:tc>
      </w:tr>
      <w:tr>
        <w:trPr>
          <w:trHeight w:val="225"/>
        </w:trPr>
        <w:tc>
          <w:tcPr>
            <w:tcW w:w="2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Asset category</w:t>
            </w:r>
          </w:p>
        </w:tc>
        <w:tc>
          <w:tcPr>
            <w:tcW w:w="22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2080" w:type="dxa"/>
            <w:vAlign w:val="bottom"/>
            <w:tcBorders>
              <w:bottom w:val="single" w:sz="8" w:color="auto"/>
            </w:tcBorders>
          </w:tcPr>
          <w:p>
            <w:pPr>
              <w:jc w:val="right"/>
              <w:ind w:right="1190"/>
              <w:spacing w:after="0"/>
              <w:rPr>
                <w:sz w:val="20"/>
                <w:szCs w:val="20"/>
                <w:color w:val="auto"/>
              </w:rPr>
            </w:pPr>
            <w:r>
              <w:rPr>
                <w:rFonts w:ascii="Arial" w:cs="Arial" w:eastAsia="Arial" w:hAnsi="Arial"/>
                <w:sz w:val="18"/>
                <w:szCs w:val="18"/>
                <w:color w:val="auto"/>
              </w:rPr>
              <w:t>2016</w:t>
            </w: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2015</w:t>
            </w: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2017</w:t>
            </w:r>
          </w:p>
        </w:tc>
        <w:tc>
          <w:tcPr>
            <w:tcW w:w="16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2016</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w:t>
            </w:r>
          </w:p>
        </w:tc>
      </w:tr>
      <w:tr>
        <w:trPr>
          <w:trHeight w:val="376"/>
        </w:trPr>
        <w:tc>
          <w:tcPr>
            <w:tcW w:w="2520" w:type="dxa"/>
            <w:vAlign w:val="bottom"/>
          </w:tcPr>
          <w:p>
            <w:pPr>
              <w:ind w:left="40"/>
              <w:spacing w:after="0"/>
              <w:rPr>
                <w:sz w:val="20"/>
                <w:szCs w:val="20"/>
                <w:color w:val="auto"/>
              </w:rPr>
            </w:pPr>
            <w:r>
              <w:rPr>
                <w:rFonts w:ascii="Arial" w:cs="Arial" w:eastAsia="Arial" w:hAnsi="Arial"/>
                <w:sz w:val="18"/>
                <w:szCs w:val="18"/>
                <w:color w:val="auto"/>
              </w:rPr>
              <w:t>Equity securities</w:t>
            </w:r>
          </w:p>
        </w:tc>
        <w:tc>
          <w:tcPr>
            <w:tcW w:w="226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2080" w:type="dxa"/>
            <w:vAlign w:val="bottom"/>
          </w:tcPr>
          <w:p>
            <w:pPr>
              <w:jc w:val="right"/>
              <w:ind w:right="1190"/>
              <w:spacing w:after="0"/>
              <w:rPr>
                <w:sz w:val="20"/>
                <w:szCs w:val="20"/>
                <w:color w:val="auto"/>
              </w:rPr>
            </w:pPr>
            <w:r>
              <w:rPr>
                <w:rFonts w:ascii="Arial" w:cs="Arial" w:eastAsia="Arial" w:hAnsi="Arial"/>
                <w:sz w:val="18"/>
                <w:szCs w:val="18"/>
                <w:color w:val="auto"/>
              </w:rPr>
              <w:t>2%</w:t>
            </w: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3%</w:t>
            </w:r>
          </w:p>
        </w:tc>
        <w:tc>
          <w:tcPr>
            <w:tcW w:w="1260" w:type="dxa"/>
            <w:vAlign w:val="bottom"/>
          </w:tcPr>
          <w:p>
            <w:pPr>
              <w:jc w:val="right"/>
              <w:ind w:right="50"/>
              <w:spacing w:after="0"/>
              <w:rPr>
                <w:sz w:val="20"/>
                <w:szCs w:val="20"/>
                <w:color w:val="auto"/>
              </w:rPr>
            </w:pPr>
            <w:r>
              <w:rPr>
                <w:rFonts w:ascii="Arial" w:cs="Arial" w:eastAsia="Arial" w:hAnsi="Arial"/>
                <w:sz w:val="18"/>
                <w:szCs w:val="18"/>
                <w:b w:val="1"/>
                <w:bCs w:val="1"/>
                <w:color w:val="auto"/>
              </w:rPr>
              <w:t>32%</w:t>
            </w:r>
          </w:p>
        </w:tc>
        <w:tc>
          <w:tcPr>
            <w:tcW w:w="1680" w:type="dxa"/>
            <w:vAlign w:val="bottom"/>
          </w:tcPr>
          <w:p>
            <w:pPr>
              <w:jc w:val="right"/>
              <w:ind w:right="490"/>
              <w:spacing w:after="0"/>
              <w:rPr>
                <w:sz w:val="20"/>
                <w:szCs w:val="20"/>
                <w:color w:val="auto"/>
              </w:rPr>
            </w:pPr>
            <w:r>
              <w:rPr>
                <w:rFonts w:ascii="Arial" w:cs="Arial" w:eastAsia="Arial" w:hAnsi="Arial"/>
                <w:sz w:val="18"/>
                <w:szCs w:val="18"/>
                <w:color w:val="auto"/>
              </w:rPr>
              <w:t>33%</w:t>
            </w:r>
          </w:p>
        </w:tc>
        <w:tc>
          <w:tcPr>
            <w:tcW w:w="8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3"/>
        </w:trPr>
        <w:tc>
          <w:tcPr>
            <w:tcW w:w="2520" w:type="dxa"/>
            <w:vAlign w:val="bottom"/>
          </w:tcPr>
          <w:p>
            <w:pPr>
              <w:ind w:left="40"/>
              <w:spacing w:after="0" w:line="202" w:lineRule="exact"/>
              <w:rPr>
                <w:sz w:val="20"/>
                <w:szCs w:val="20"/>
                <w:color w:val="auto"/>
              </w:rPr>
            </w:pPr>
            <w:r>
              <w:rPr>
                <w:rFonts w:ascii="Arial" w:cs="Arial" w:eastAsia="Arial" w:hAnsi="Arial"/>
                <w:sz w:val="18"/>
                <w:szCs w:val="18"/>
                <w:color w:val="auto"/>
              </w:rPr>
              <w:t>Debt securities</w:t>
            </w:r>
          </w:p>
        </w:tc>
        <w:tc>
          <w:tcPr>
            <w:tcW w:w="226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100%</w:t>
            </w:r>
          </w:p>
        </w:tc>
        <w:tc>
          <w:tcPr>
            <w:tcW w:w="2080" w:type="dxa"/>
            <w:vAlign w:val="bottom"/>
          </w:tcPr>
          <w:p>
            <w:pPr>
              <w:jc w:val="right"/>
              <w:ind w:right="1190"/>
              <w:spacing w:after="0" w:line="202" w:lineRule="exact"/>
              <w:rPr>
                <w:sz w:val="20"/>
                <w:szCs w:val="20"/>
                <w:color w:val="auto"/>
              </w:rPr>
            </w:pPr>
            <w:r>
              <w:rPr>
                <w:rFonts w:ascii="Arial" w:cs="Arial" w:eastAsia="Arial" w:hAnsi="Arial"/>
                <w:sz w:val="18"/>
                <w:szCs w:val="18"/>
                <w:color w:val="auto"/>
              </w:rPr>
              <w:t>92%</w:t>
            </w:r>
          </w:p>
        </w:tc>
        <w:tc>
          <w:tcPr>
            <w:tcW w:w="82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92%</w:t>
            </w:r>
          </w:p>
        </w:tc>
        <w:tc>
          <w:tcPr>
            <w:tcW w:w="126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64%</w:t>
            </w:r>
          </w:p>
        </w:tc>
        <w:tc>
          <w:tcPr>
            <w:tcW w:w="168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61%</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55%</w:t>
            </w:r>
          </w:p>
        </w:tc>
      </w:tr>
      <w:tr>
        <w:trPr>
          <w:trHeight w:val="203"/>
        </w:trPr>
        <w:tc>
          <w:tcPr>
            <w:tcW w:w="2520" w:type="dxa"/>
            <w:vAlign w:val="bottom"/>
          </w:tcPr>
          <w:p>
            <w:pPr>
              <w:ind w:left="40"/>
              <w:spacing w:after="0" w:line="202" w:lineRule="exact"/>
              <w:rPr>
                <w:sz w:val="20"/>
                <w:szCs w:val="20"/>
                <w:color w:val="auto"/>
              </w:rPr>
            </w:pPr>
            <w:r>
              <w:rPr>
                <w:rFonts w:ascii="Arial" w:cs="Arial" w:eastAsia="Arial" w:hAnsi="Arial"/>
                <w:sz w:val="18"/>
                <w:szCs w:val="18"/>
                <w:color w:val="auto"/>
              </w:rPr>
              <w:t>Real estate</w:t>
            </w:r>
          </w:p>
        </w:tc>
        <w:tc>
          <w:tcPr>
            <w:tcW w:w="2260" w:type="dxa"/>
            <w:vAlign w:val="bottom"/>
          </w:tcPr>
          <w:p>
            <w:pPr>
              <w:jc w:val="right"/>
              <w:ind w:right="370"/>
              <w:spacing w:after="0" w:line="202" w:lineRule="exact"/>
              <w:rPr>
                <w:sz w:val="20"/>
                <w:szCs w:val="20"/>
                <w:color w:val="auto"/>
              </w:rPr>
            </w:pPr>
            <w:r>
              <w:rPr>
                <w:rFonts w:ascii="Arial" w:cs="Arial" w:eastAsia="Arial" w:hAnsi="Arial"/>
                <w:sz w:val="18"/>
                <w:szCs w:val="18"/>
                <w:b w:val="1"/>
                <w:bCs w:val="1"/>
                <w:color w:val="auto"/>
              </w:rPr>
              <w:t>-</w:t>
            </w:r>
          </w:p>
        </w:tc>
        <w:tc>
          <w:tcPr>
            <w:tcW w:w="2080" w:type="dxa"/>
            <w:vAlign w:val="bottom"/>
          </w:tcPr>
          <w:p>
            <w:pPr>
              <w:jc w:val="right"/>
              <w:ind w:right="1190"/>
              <w:spacing w:after="0" w:line="202" w:lineRule="exact"/>
              <w:rPr>
                <w:sz w:val="20"/>
                <w:szCs w:val="20"/>
                <w:color w:val="auto"/>
              </w:rPr>
            </w:pPr>
            <w:r>
              <w:rPr>
                <w:rFonts w:ascii="Arial" w:cs="Arial" w:eastAsia="Arial" w:hAnsi="Arial"/>
                <w:sz w:val="18"/>
                <w:szCs w:val="18"/>
                <w:color w:val="auto"/>
              </w:rPr>
              <w:t>5%</w:t>
            </w:r>
          </w:p>
        </w:tc>
        <w:tc>
          <w:tcPr>
            <w:tcW w:w="82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5%</w:t>
            </w:r>
          </w:p>
        </w:tc>
        <w:tc>
          <w:tcPr>
            <w:tcW w:w="126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w:t>
            </w:r>
          </w:p>
        </w:tc>
        <w:tc>
          <w:tcPr>
            <w:tcW w:w="1680" w:type="dxa"/>
            <w:vAlign w:val="bottom"/>
          </w:tcPr>
          <w:p>
            <w:pPr>
              <w:jc w:val="right"/>
              <w:ind w:right="63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r>
      <w:tr>
        <w:trPr>
          <w:trHeight w:val="225"/>
        </w:trPr>
        <w:tc>
          <w:tcPr>
            <w:tcW w:w="2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Other (1)</w:t>
            </w:r>
          </w:p>
        </w:tc>
        <w:tc>
          <w:tcPr>
            <w:tcW w:w="22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80" w:type="dxa"/>
            <w:vAlign w:val="bottom"/>
            <w:tcBorders>
              <w:bottom w:val="single" w:sz="8" w:color="auto"/>
            </w:tcBorders>
          </w:tcPr>
          <w:p>
            <w:pPr>
              <w:jc w:val="right"/>
              <w:ind w:right="1190"/>
              <w:spacing w:after="0"/>
              <w:rPr>
                <w:sz w:val="20"/>
                <w:szCs w:val="20"/>
                <w:color w:val="auto"/>
              </w:rPr>
            </w:pPr>
            <w:r>
              <w:rPr>
                <w:rFonts w:ascii="Arial" w:cs="Arial" w:eastAsia="Arial" w:hAnsi="Arial"/>
                <w:sz w:val="18"/>
                <w:szCs w:val="18"/>
                <w:color w:val="auto"/>
              </w:rPr>
              <w:t>1%</w:t>
            </w:r>
          </w:p>
        </w:tc>
        <w:tc>
          <w:tcPr>
            <w:tcW w:w="8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w:t>
            </w:r>
          </w:p>
        </w:tc>
        <w:tc>
          <w:tcPr>
            <w:tcW w:w="16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6%</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196"/>
        </w:trPr>
        <w:tc>
          <w:tcPr>
            <w:tcW w:w="252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100%</w:t>
            </w:r>
          </w:p>
        </w:tc>
        <w:tc>
          <w:tcPr>
            <w:tcW w:w="2080" w:type="dxa"/>
            <w:vAlign w:val="bottom"/>
            <w:tcBorders>
              <w:bottom w:val="single" w:sz="8" w:color="auto"/>
            </w:tcBorders>
          </w:tcPr>
          <w:p>
            <w:pPr>
              <w:jc w:val="right"/>
              <w:ind w:right="1190"/>
              <w:spacing w:after="0" w:line="196" w:lineRule="exact"/>
              <w:rPr>
                <w:sz w:val="20"/>
                <w:szCs w:val="20"/>
                <w:color w:val="auto"/>
              </w:rPr>
            </w:pPr>
            <w:r>
              <w:rPr>
                <w:rFonts w:ascii="Arial" w:cs="Arial" w:eastAsia="Arial" w:hAnsi="Arial"/>
                <w:sz w:val="18"/>
                <w:szCs w:val="18"/>
                <w:color w:val="auto"/>
              </w:rPr>
              <w:t>100%</w:t>
            </w:r>
          </w:p>
        </w:tc>
        <w:tc>
          <w:tcPr>
            <w:tcW w:w="82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w w:val="99"/>
              </w:rPr>
              <w:t>100%</w:t>
            </w:r>
          </w:p>
        </w:tc>
        <w:tc>
          <w:tcPr>
            <w:tcW w:w="12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100%</w:t>
            </w:r>
          </w:p>
        </w:tc>
        <w:tc>
          <w:tcPr>
            <w:tcW w:w="168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color w:val="auto"/>
              </w:rPr>
              <w:t>100%</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w:t>
            </w:r>
          </w:p>
        </w:tc>
      </w:tr>
    </w:tbl>
    <w:p>
      <w:pPr>
        <w:spacing w:after="0" w:line="377" w:lineRule="exact"/>
        <w:rPr>
          <w:sz w:val="20"/>
          <w:szCs w:val="20"/>
          <w:color w:val="auto"/>
        </w:rPr>
      </w:pPr>
    </w:p>
    <w:p>
      <w:pPr>
        <w:ind w:right="580" w:firstLine="8"/>
        <w:spacing w:after="0" w:line="246" w:lineRule="auto"/>
        <w:tabs>
          <w:tab w:leader="none" w:pos="27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includes hedged equity and absolute return strategies, and private equity. The Company has procedures to closely monitor the performance of these investments and compares asset valuations to audited financial statements of the funds.</w:t>
      </w:r>
    </w:p>
    <w:p>
      <w:pPr>
        <w:spacing w:after="0" w:line="170"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The targeted plan asset allocation is based on an analysis of the actuarial liabilities, a review of viable asset classes, and an analysis of the expected rate of return, risk, and other investment characteristics of various investment asset classes.</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74" w:name="page75"/>
    <w:bookmarkEnd w:id="74"/>
    <w:p>
      <w:pPr>
        <w:ind w:right="120" w:firstLine="648"/>
        <w:spacing w:after="0" w:line="245" w:lineRule="auto"/>
        <w:rPr>
          <w:sz w:val="20"/>
          <w:szCs w:val="20"/>
          <w:color w:val="auto"/>
        </w:rPr>
      </w:pPr>
      <w:r>
        <w:rPr>
          <w:rFonts w:ascii="Arial" w:cs="Arial" w:eastAsia="Arial" w:hAnsi="Arial"/>
          <w:sz w:val="18"/>
          <w:szCs w:val="18"/>
          <w:color w:val="auto"/>
        </w:rPr>
        <w:t>At the end of 2016 and 2015, the projected benefit obligation, accumulated benefit obligation, and fair value of plan assets for pension plans with projected benefit obligation and an accumulated benefit obligation in excess of plan assets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520" w:type="dxa"/>
            <w:vAlign w:val="bottom"/>
            <w:tcBorders>
              <w:top w:val="single" w:sz="8" w:color="auto"/>
            </w:tcBorders>
          </w:tcPr>
          <w:p>
            <w:pPr>
              <w:spacing w:after="0"/>
              <w:rPr>
                <w:sz w:val="16"/>
                <w:szCs w:val="16"/>
                <w:color w:val="auto"/>
              </w:rPr>
            </w:pPr>
          </w:p>
        </w:tc>
        <w:tc>
          <w:tcPr>
            <w:tcW w:w="6900" w:type="dxa"/>
            <w:vAlign w:val="bottom"/>
            <w:tcBorders>
              <w:top w:val="single" w:sz="8" w:color="auto"/>
            </w:tcBorders>
            <w:gridSpan w:val="2"/>
          </w:tcPr>
          <w:p>
            <w:pPr>
              <w:jc w:val="center"/>
              <w:ind w:left="870"/>
              <w:spacing w:after="0" w:line="194" w:lineRule="exact"/>
              <w:rPr>
                <w:sz w:val="20"/>
                <w:szCs w:val="20"/>
                <w:color w:val="auto"/>
              </w:rPr>
            </w:pPr>
            <w:r>
              <w:rPr>
                <w:rFonts w:ascii="Arial" w:cs="Arial" w:eastAsia="Arial" w:hAnsi="Arial"/>
                <w:sz w:val="18"/>
                <w:szCs w:val="18"/>
                <w:b w:val="1"/>
                <w:bCs w:val="1"/>
                <w:color w:val="auto"/>
                <w:w w:val="99"/>
              </w:rPr>
              <w:t>Plans with projected benefit obligation</w:t>
            </w:r>
          </w:p>
        </w:tc>
      </w:tr>
      <w:tr>
        <w:trPr>
          <w:trHeight w:val="203"/>
        </w:trPr>
        <w:tc>
          <w:tcPr>
            <w:tcW w:w="45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3940" w:type="dxa"/>
            <w:vAlign w:val="bottom"/>
          </w:tcPr>
          <w:p>
            <w:pPr>
              <w:ind w:left="200"/>
              <w:spacing w:after="0" w:line="202" w:lineRule="exact"/>
              <w:rPr>
                <w:sz w:val="20"/>
                <w:szCs w:val="20"/>
                <w:color w:val="auto"/>
              </w:rPr>
            </w:pPr>
            <w:r>
              <w:rPr>
                <w:rFonts w:ascii="Arial" w:cs="Arial" w:eastAsia="Arial" w:hAnsi="Arial"/>
                <w:sz w:val="18"/>
                <w:szCs w:val="18"/>
                <w:b w:val="1"/>
                <w:bCs w:val="1"/>
                <w:color w:val="auto"/>
              </w:rPr>
              <w:t>in excess of plan assets</w:t>
            </w:r>
          </w:p>
        </w:tc>
      </w:tr>
      <w:tr>
        <w:trPr>
          <w:trHeight w:val="225"/>
        </w:trPr>
        <w:tc>
          <w:tcPr>
            <w:tcW w:w="45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(in thousands)</w:t>
            </w:r>
          </w:p>
        </w:tc>
        <w:tc>
          <w:tcPr>
            <w:tcW w:w="2960" w:type="dxa"/>
            <w:vAlign w:val="bottom"/>
            <w:tcBorders>
              <w:bottom w:val="single" w:sz="8" w:color="auto"/>
            </w:tcBorders>
          </w:tcPr>
          <w:p>
            <w:pPr>
              <w:jc w:val="center"/>
              <w:ind w:left="1750"/>
              <w:spacing w:after="0"/>
              <w:rPr>
                <w:sz w:val="20"/>
                <w:szCs w:val="20"/>
                <w:color w:val="auto"/>
              </w:rPr>
            </w:pPr>
            <w:r>
              <w:rPr>
                <w:rFonts w:ascii="Arial" w:cs="Arial" w:eastAsia="Arial" w:hAnsi="Arial"/>
                <w:sz w:val="18"/>
                <w:szCs w:val="18"/>
                <w:b w:val="1"/>
                <w:bCs w:val="1"/>
                <w:color w:val="auto"/>
                <w:w w:val="99"/>
              </w:rPr>
              <w:t>2016</w:t>
            </w:r>
          </w:p>
        </w:tc>
        <w:tc>
          <w:tcPr>
            <w:tcW w:w="3940" w:type="dxa"/>
            <w:vAlign w:val="bottom"/>
            <w:tcBorders>
              <w:bottom w:val="single" w:sz="8" w:color="auto"/>
            </w:tcBorders>
          </w:tcPr>
          <w:p>
            <w:pPr>
              <w:jc w:val="center"/>
              <w:ind w:left="770"/>
              <w:spacing w:after="0"/>
              <w:rPr>
                <w:sz w:val="20"/>
                <w:szCs w:val="20"/>
                <w:color w:val="auto"/>
              </w:rPr>
            </w:pPr>
            <w:r>
              <w:rPr>
                <w:rFonts w:ascii="Arial" w:cs="Arial" w:eastAsia="Arial" w:hAnsi="Arial"/>
                <w:sz w:val="18"/>
                <w:szCs w:val="18"/>
                <w:b w:val="1"/>
                <w:bCs w:val="1"/>
                <w:color w:val="auto"/>
                <w:w w:val="99"/>
              </w:rPr>
              <w:t>2015</w:t>
            </w:r>
          </w:p>
        </w:tc>
      </w:tr>
      <w:tr>
        <w:trPr>
          <w:trHeight w:val="173"/>
        </w:trPr>
        <w:tc>
          <w:tcPr>
            <w:tcW w:w="4520" w:type="dxa"/>
            <w:vAlign w:val="bottom"/>
          </w:tcPr>
          <w:p>
            <w:pPr>
              <w:ind w:left="40"/>
              <w:spacing w:after="0" w:line="173" w:lineRule="exact"/>
              <w:rPr>
                <w:sz w:val="20"/>
                <w:szCs w:val="20"/>
                <w:color w:val="auto"/>
              </w:rPr>
            </w:pPr>
            <w:r>
              <w:rPr>
                <w:rFonts w:ascii="Arial" w:cs="Arial" w:eastAsia="Arial" w:hAnsi="Arial"/>
                <w:sz w:val="18"/>
                <w:szCs w:val="18"/>
                <w:color w:val="auto"/>
              </w:rPr>
              <w:t>Projected benefit obligation</w:t>
            </w:r>
          </w:p>
        </w:tc>
        <w:tc>
          <w:tcPr>
            <w:tcW w:w="2960" w:type="dxa"/>
            <w:vAlign w:val="bottom"/>
          </w:tcPr>
          <w:p>
            <w:pPr>
              <w:jc w:val="center"/>
              <w:ind w:left="1750"/>
              <w:spacing w:after="0" w:line="173" w:lineRule="exact"/>
              <w:rPr>
                <w:sz w:val="20"/>
                <w:szCs w:val="20"/>
                <w:color w:val="auto"/>
              </w:rPr>
            </w:pPr>
            <w:r>
              <w:rPr>
                <w:rFonts w:ascii="Arial" w:cs="Arial" w:eastAsia="Arial" w:hAnsi="Arial"/>
                <w:sz w:val="18"/>
                <w:szCs w:val="18"/>
                <w:b w:val="1"/>
                <w:bCs w:val="1"/>
                <w:color w:val="auto"/>
              </w:rPr>
              <w:t>$121,600</w:t>
            </w:r>
          </w:p>
        </w:tc>
        <w:tc>
          <w:tcPr>
            <w:tcW w:w="3940" w:type="dxa"/>
            <w:vAlign w:val="bottom"/>
          </w:tcPr>
          <w:p>
            <w:pPr>
              <w:jc w:val="center"/>
              <w:ind w:left="770"/>
              <w:spacing w:after="0" w:line="173" w:lineRule="exact"/>
              <w:rPr>
                <w:sz w:val="20"/>
                <w:szCs w:val="20"/>
                <w:color w:val="auto"/>
              </w:rPr>
            </w:pPr>
            <w:r>
              <w:rPr>
                <w:rFonts w:ascii="Arial" w:cs="Arial" w:eastAsia="Arial" w:hAnsi="Arial"/>
                <w:sz w:val="18"/>
                <w:szCs w:val="18"/>
                <w:color w:val="auto"/>
              </w:rPr>
              <w:t>$120,312</w:t>
            </w:r>
          </w:p>
        </w:tc>
      </w:tr>
      <w:tr>
        <w:trPr>
          <w:trHeight w:val="203"/>
        </w:trPr>
        <w:tc>
          <w:tcPr>
            <w:tcW w:w="4520" w:type="dxa"/>
            <w:vAlign w:val="bottom"/>
          </w:tcPr>
          <w:p>
            <w:pPr>
              <w:ind w:left="40"/>
              <w:spacing w:after="0" w:line="202" w:lineRule="exact"/>
              <w:rPr>
                <w:sz w:val="20"/>
                <w:szCs w:val="20"/>
                <w:color w:val="auto"/>
              </w:rPr>
            </w:pPr>
            <w:r>
              <w:rPr>
                <w:rFonts w:ascii="Arial" w:cs="Arial" w:eastAsia="Arial" w:hAnsi="Arial"/>
                <w:sz w:val="18"/>
                <w:szCs w:val="18"/>
                <w:color w:val="auto"/>
              </w:rPr>
              <w:t>Accumulated benefit obligation</w:t>
            </w:r>
          </w:p>
        </w:tc>
        <w:tc>
          <w:tcPr>
            <w:tcW w:w="2960" w:type="dxa"/>
            <w:vAlign w:val="bottom"/>
          </w:tcPr>
          <w:p>
            <w:pPr>
              <w:jc w:val="center"/>
              <w:ind w:left="1750"/>
              <w:spacing w:after="0" w:line="202" w:lineRule="exact"/>
              <w:rPr>
                <w:sz w:val="20"/>
                <w:szCs w:val="20"/>
                <w:color w:val="auto"/>
              </w:rPr>
            </w:pPr>
            <w:r>
              <w:rPr>
                <w:rFonts w:ascii="Arial" w:cs="Arial" w:eastAsia="Arial" w:hAnsi="Arial"/>
                <w:sz w:val="18"/>
                <w:szCs w:val="18"/>
                <w:b w:val="1"/>
                <w:bCs w:val="1"/>
                <w:color w:val="auto"/>
                <w:w w:val="98"/>
              </w:rPr>
              <w:t>119,753</w:t>
            </w:r>
          </w:p>
        </w:tc>
        <w:tc>
          <w:tcPr>
            <w:tcW w:w="3940" w:type="dxa"/>
            <w:vAlign w:val="bottom"/>
          </w:tcPr>
          <w:p>
            <w:pPr>
              <w:jc w:val="center"/>
              <w:ind w:left="770"/>
              <w:spacing w:after="0" w:line="202" w:lineRule="exact"/>
              <w:rPr>
                <w:sz w:val="20"/>
                <w:szCs w:val="20"/>
                <w:color w:val="auto"/>
              </w:rPr>
            </w:pPr>
            <w:r>
              <w:rPr>
                <w:rFonts w:ascii="Arial" w:cs="Arial" w:eastAsia="Arial" w:hAnsi="Arial"/>
                <w:sz w:val="18"/>
                <w:szCs w:val="18"/>
                <w:color w:val="auto"/>
                <w:w w:val="98"/>
              </w:rPr>
              <w:t>117,447</w:t>
            </w:r>
          </w:p>
        </w:tc>
      </w:tr>
      <w:tr>
        <w:trPr>
          <w:trHeight w:val="239"/>
        </w:trPr>
        <w:tc>
          <w:tcPr>
            <w:tcW w:w="4520" w:type="dxa"/>
            <w:vAlign w:val="bottom"/>
          </w:tcPr>
          <w:p>
            <w:pPr>
              <w:ind w:left="40"/>
              <w:spacing w:after="0"/>
              <w:rPr>
                <w:sz w:val="20"/>
                <w:szCs w:val="20"/>
                <w:color w:val="auto"/>
              </w:rPr>
            </w:pPr>
            <w:r>
              <w:rPr>
                <w:rFonts w:ascii="Arial" w:cs="Arial" w:eastAsia="Arial" w:hAnsi="Arial"/>
                <w:sz w:val="18"/>
                <w:szCs w:val="18"/>
                <w:color w:val="auto"/>
              </w:rPr>
              <w:t>Fair value of plan assets</w:t>
            </w:r>
          </w:p>
        </w:tc>
        <w:tc>
          <w:tcPr>
            <w:tcW w:w="2960" w:type="dxa"/>
            <w:vAlign w:val="bottom"/>
          </w:tcPr>
          <w:p>
            <w:pPr>
              <w:jc w:val="center"/>
              <w:ind w:left="1750"/>
              <w:spacing w:after="0"/>
              <w:rPr>
                <w:sz w:val="20"/>
                <w:szCs w:val="20"/>
                <w:color w:val="auto"/>
              </w:rPr>
            </w:pPr>
            <w:r>
              <w:rPr>
                <w:rFonts w:ascii="Arial" w:cs="Arial" w:eastAsia="Arial" w:hAnsi="Arial"/>
                <w:sz w:val="18"/>
                <w:szCs w:val="18"/>
                <w:b w:val="1"/>
                <w:bCs w:val="1"/>
                <w:color w:val="auto"/>
              </w:rPr>
              <w:t>83,622</w:t>
            </w:r>
          </w:p>
        </w:tc>
        <w:tc>
          <w:tcPr>
            <w:tcW w:w="3940" w:type="dxa"/>
            <w:vAlign w:val="bottom"/>
          </w:tcPr>
          <w:p>
            <w:pPr>
              <w:jc w:val="center"/>
              <w:ind w:left="770"/>
              <w:spacing w:after="0"/>
              <w:rPr>
                <w:sz w:val="20"/>
                <w:szCs w:val="20"/>
                <w:color w:val="auto"/>
              </w:rPr>
            </w:pPr>
            <w:r>
              <w:rPr>
                <w:rFonts w:ascii="Arial" w:cs="Arial" w:eastAsia="Arial" w:hAnsi="Arial"/>
                <w:sz w:val="18"/>
                <w:szCs w:val="18"/>
                <w:color w:val="auto"/>
              </w:rPr>
              <w:t>81,421</w:t>
            </w:r>
          </w:p>
        </w:tc>
      </w:tr>
      <w:tr>
        <w:trPr>
          <w:trHeight w:val="594"/>
        </w:trPr>
        <w:tc>
          <w:tcPr>
            <w:tcW w:w="4520" w:type="dxa"/>
            <w:vAlign w:val="bottom"/>
            <w:tcBorders>
              <w:bottom w:val="single" w:sz="8" w:color="auto"/>
            </w:tcBorders>
          </w:tcPr>
          <w:p>
            <w:pPr>
              <w:spacing w:after="0"/>
              <w:rPr>
                <w:sz w:val="24"/>
                <w:szCs w:val="24"/>
                <w:color w:val="auto"/>
              </w:rPr>
            </w:pPr>
          </w:p>
        </w:tc>
        <w:tc>
          <w:tcPr>
            <w:tcW w:w="6900" w:type="dxa"/>
            <w:vAlign w:val="bottom"/>
            <w:tcBorders>
              <w:bottom w:val="single" w:sz="8" w:color="auto"/>
            </w:tcBorders>
            <w:gridSpan w:val="2"/>
          </w:tcPr>
          <w:p>
            <w:pPr>
              <w:spacing w:after="0"/>
              <w:rPr>
                <w:sz w:val="24"/>
                <w:szCs w:val="24"/>
                <w:color w:val="auto"/>
              </w:rPr>
            </w:pPr>
          </w:p>
        </w:tc>
      </w:tr>
      <w:tr>
        <w:trPr>
          <w:trHeight w:val="173"/>
        </w:trPr>
        <w:tc>
          <w:tcPr>
            <w:tcW w:w="4520" w:type="dxa"/>
            <w:vAlign w:val="bottom"/>
          </w:tcPr>
          <w:p>
            <w:pPr>
              <w:spacing w:after="0"/>
              <w:rPr>
                <w:sz w:val="15"/>
                <w:szCs w:val="15"/>
                <w:color w:val="auto"/>
              </w:rPr>
            </w:pPr>
          </w:p>
        </w:tc>
        <w:tc>
          <w:tcPr>
            <w:tcW w:w="6900" w:type="dxa"/>
            <w:vAlign w:val="bottom"/>
            <w:gridSpan w:val="2"/>
          </w:tcPr>
          <w:p>
            <w:pPr>
              <w:jc w:val="center"/>
              <w:ind w:left="890"/>
              <w:spacing w:after="0" w:line="173" w:lineRule="exact"/>
              <w:rPr>
                <w:sz w:val="20"/>
                <w:szCs w:val="20"/>
                <w:color w:val="auto"/>
              </w:rPr>
            </w:pPr>
            <w:r>
              <w:rPr>
                <w:rFonts w:ascii="Arial" w:cs="Arial" w:eastAsia="Arial" w:hAnsi="Arial"/>
                <w:sz w:val="18"/>
                <w:szCs w:val="18"/>
                <w:b w:val="1"/>
                <w:bCs w:val="1"/>
                <w:color w:val="auto"/>
              </w:rPr>
              <w:t>Plans with accumulated benefit obligation</w:t>
            </w:r>
          </w:p>
        </w:tc>
      </w:tr>
      <w:tr>
        <w:trPr>
          <w:trHeight w:val="203"/>
        </w:trPr>
        <w:tc>
          <w:tcPr>
            <w:tcW w:w="45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3940" w:type="dxa"/>
            <w:vAlign w:val="bottom"/>
          </w:tcPr>
          <w:p>
            <w:pPr>
              <w:ind w:left="200"/>
              <w:spacing w:after="0" w:line="202" w:lineRule="exact"/>
              <w:rPr>
                <w:sz w:val="20"/>
                <w:szCs w:val="20"/>
                <w:color w:val="auto"/>
              </w:rPr>
            </w:pPr>
            <w:r>
              <w:rPr>
                <w:rFonts w:ascii="Arial" w:cs="Arial" w:eastAsia="Arial" w:hAnsi="Arial"/>
                <w:sz w:val="18"/>
                <w:szCs w:val="18"/>
                <w:b w:val="1"/>
                <w:bCs w:val="1"/>
                <w:color w:val="auto"/>
              </w:rPr>
              <w:t>in excess of plan assets</w:t>
            </w:r>
          </w:p>
        </w:tc>
      </w:tr>
      <w:tr>
        <w:trPr>
          <w:trHeight w:val="225"/>
        </w:trPr>
        <w:tc>
          <w:tcPr>
            <w:tcW w:w="45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(in thousands)</w:t>
            </w:r>
          </w:p>
        </w:tc>
        <w:tc>
          <w:tcPr>
            <w:tcW w:w="2960" w:type="dxa"/>
            <w:vAlign w:val="bottom"/>
            <w:tcBorders>
              <w:bottom w:val="single" w:sz="8" w:color="auto"/>
            </w:tcBorders>
          </w:tcPr>
          <w:p>
            <w:pPr>
              <w:jc w:val="center"/>
              <w:ind w:left="1750"/>
              <w:spacing w:after="0"/>
              <w:rPr>
                <w:sz w:val="20"/>
                <w:szCs w:val="20"/>
                <w:color w:val="auto"/>
              </w:rPr>
            </w:pPr>
            <w:r>
              <w:rPr>
                <w:rFonts w:ascii="Arial" w:cs="Arial" w:eastAsia="Arial" w:hAnsi="Arial"/>
                <w:sz w:val="18"/>
                <w:szCs w:val="18"/>
                <w:b w:val="1"/>
                <w:bCs w:val="1"/>
                <w:color w:val="auto"/>
                <w:w w:val="99"/>
              </w:rPr>
              <w:t>2016</w:t>
            </w:r>
          </w:p>
        </w:tc>
        <w:tc>
          <w:tcPr>
            <w:tcW w:w="3940" w:type="dxa"/>
            <w:vAlign w:val="bottom"/>
            <w:tcBorders>
              <w:bottom w:val="single" w:sz="8" w:color="auto"/>
            </w:tcBorders>
          </w:tcPr>
          <w:p>
            <w:pPr>
              <w:jc w:val="center"/>
              <w:ind w:left="770"/>
              <w:spacing w:after="0"/>
              <w:rPr>
                <w:sz w:val="20"/>
                <w:szCs w:val="20"/>
                <w:color w:val="auto"/>
              </w:rPr>
            </w:pPr>
            <w:r>
              <w:rPr>
                <w:rFonts w:ascii="Arial" w:cs="Arial" w:eastAsia="Arial" w:hAnsi="Arial"/>
                <w:sz w:val="18"/>
                <w:szCs w:val="18"/>
                <w:b w:val="1"/>
                <w:bCs w:val="1"/>
                <w:color w:val="auto"/>
                <w:w w:val="99"/>
              </w:rPr>
              <w:t>2015</w:t>
            </w:r>
          </w:p>
        </w:tc>
      </w:tr>
      <w:tr>
        <w:trPr>
          <w:trHeight w:val="173"/>
        </w:trPr>
        <w:tc>
          <w:tcPr>
            <w:tcW w:w="4520" w:type="dxa"/>
            <w:vAlign w:val="bottom"/>
          </w:tcPr>
          <w:p>
            <w:pPr>
              <w:ind w:left="40"/>
              <w:spacing w:after="0" w:line="173" w:lineRule="exact"/>
              <w:rPr>
                <w:sz w:val="20"/>
                <w:szCs w:val="20"/>
                <w:color w:val="auto"/>
              </w:rPr>
            </w:pPr>
            <w:r>
              <w:rPr>
                <w:rFonts w:ascii="Arial" w:cs="Arial" w:eastAsia="Arial" w:hAnsi="Arial"/>
                <w:sz w:val="18"/>
                <w:szCs w:val="18"/>
                <w:color w:val="auto"/>
              </w:rPr>
              <w:t>Projected benefit obligation</w:t>
            </w:r>
          </w:p>
        </w:tc>
        <w:tc>
          <w:tcPr>
            <w:tcW w:w="2960" w:type="dxa"/>
            <w:vAlign w:val="bottom"/>
          </w:tcPr>
          <w:p>
            <w:pPr>
              <w:jc w:val="center"/>
              <w:ind w:left="1750"/>
              <w:spacing w:after="0" w:line="173" w:lineRule="exact"/>
              <w:rPr>
                <w:sz w:val="20"/>
                <w:szCs w:val="20"/>
                <w:color w:val="auto"/>
              </w:rPr>
            </w:pPr>
            <w:r>
              <w:rPr>
                <w:rFonts w:ascii="Arial" w:cs="Arial" w:eastAsia="Arial" w:hAnsi="Arial"/>
                <w:sz w:val="18"/>
                <w:szCs w:val="18"/>
                <w:b w:val="1"/>
                <w:bCs w:val="1"/>
                <w:color w:val="auto"/>
              </w:rPr>
              <w:t>$121,511</w:t>
            </w:r>
          </w:p>
        </w:tc>
        <w:tc>
          <w:tcPr>
            <w:tcW w:w="3940" w:type="dxa"/>
            <w:vAlign w:val="bottom"/>
          </w:tcPr>
          <w:p>
            <w:pPr>
              <w:jc w:val="center"/>
              <w:ind w:left="770"/>
              <w:spacing w:after="0" w:line="173" w:lineRule="exact"/>
              <w:rPr>
                <w:sz w:val="20"/>
                <w:szCs w:val="20"/>
                <w:color w:val="auto"/>
              </w:rPr>
            </w:pPr>
            <w:r>
              <w:rPr>
                <w:rFonts w:ascii="Arial" w:cs="Arial" w:eastAsia="Arial" w:hAnsi="Arial"/>
                <w:sz w:val="18"/>
                <w:szCs w:val="18"/>
                <w:color w:val="auto"/>
              </w:rPr>
              <w:t>$120,312</w:t>
            </w:r>
          </w:p>
        </w:tc>
      </w:tr>
      <w:tr>
        <w:trPr>
          <w:trHeight w:val="203"/>
        </w:trPr>
        <w:tc>
          <w:tcPr>
            <w:tcW w:w="4520" w:type="dxa"/>
            <w:vAlign w:val="bottom"/>
          </w:tcPr>
          <w:p>
            <w:pPr>
              <w:ind w:left="40"/>
              <w:spacing w:after="0" w:line="202" w:lineRule="exact"/>
              <w:rPr>
                <w:sz w:val="20"/>
                <w:szCs w:val="20"/>
                <w:color w:val="auto"/>
              </w:rPr>
            </w:pPr>
            <w:r>
              <w:rPr>
                <w:rFonts w:ascii="Arial" w:cs="Arial" w:eastAsia="Arial" w:hAnsi="Arial"/>
                <w:sz w:val="18"/>
                <w:szCs w:val="18"/>
                <w:color w:val="auto"/>
              </w:rPr>
              <w:t>Accumulated benefit obligation</w:t>
            </w:r>
          </w:p>
        </w:tc>
        <w:tc>
          <w:tcPr>
            <w:tcW w:w="2960" w:type="dxa"/>
            <w:vAlign w:val="bottom"/>
          </w:tcPr>
          <w:p>
            <w:pPr>
              <w:jc w:val="center"/>
              <w:ind w:left="1750"/>
              <w:spacing w:after="0" w:line="202" w:lineRule="exact"/>
              <w:rPr>
                <w:sz w:val="20"/>
                <w:szCs w:val="20"/>
                <w:color w:val="auto"/>
              </w:rPr>
            </w:pPr>
            <w:r>
              <w:rPr>
                <w:rFonts w:ascii="Arial" w:cs="Arial" w:eastAsia="Arial" w:hAnsi="Arial"/>
                <w:sz w:val="18"/>
                <w:szCs w:val="18"/>
                <w:b w:val="1"/>
                <w:bCs w:val="1"/>
                <w:color w:val="auto"/>
                <w:w w:val="98"/>
              </w:rPr>
              <w:t>119,728</w:t>
            </w:r>
          </w:p>
        </w:tc>
        <w:tc>
          <w:tcPr>
            <w:tcW w:w="3940" w:type="dxa"/>
            <w:vAlign w:val="bottom"/>
          </w:tcPr>
          <w:p>
            <w:pPr>
              <w:jc w:val="center"/>
              <w:ind w:left="770"/>
              <w:spacing w:after="0" w:line="202" w:lineRule="exact"/>
              <w:rPr>
                <w:sz w:val="20"/>
                <w:szCs w:val="20"/>
                <w:color w:val="auto"/>
              </w:rPr>
            </w:pPr>
            <w:r>
              <w:rPr>
                <w:rFonts w:ascii="Arial" w:cs="Arial" w:eastAsia="Arial" w:hAnsi="Arial"/>
                <w:sz w:val="18"/>
                <w:szCs w:val="18"/>
                <w:color w:val="auto"/>
                <w:w w:val="98"/>
              </w:rPr>
              <w:t>117,447</w:t>
            </w:r>
          </w:p>
        </w:tc>
      </w:tr>
      <w:tr>
        <w:trPr>
          <w:trHeight w:val="239"/>
        </w:trPr>
        <w:tc>
          <w:tcPr>
            <w:tcW w:w="4520" w:type="dxa"/>
            <w:vAlign w:val="bottom"/>
          </w:tcPr>
          <w:p>
            <w:pPr>
              <w:ind w:left="40"/>
              <w:spacing w:after="0"/>
              <w:rPr>
                <w:sz w:val="20"/>
                <w:szCs w:val="20"/>
                <w:color w:val="auto"/>
              </w:rPr>
            </w:pPr>
            <w:r>
              <w:rPr>
                <w:rFonts w:ascii="Arial" w:cs="Arial" w:eastAsia="Arial" w:hAnsi="Arial"/>
                <w:sz w:val="18"/>
                <w:szCs w:val="18"/>
                <w:color w:val="auto"/>
              </w:rPr>
              <w:t>Fair value of plan assets</w:t>
            </w:r>
          </w:p>
        </w:tc>
        <w:tc>
          <w:tcPr>
            <w:tcW w:w="2960" w:type="dxa"/>
            <w:vAlign w:val="bottom"/>
          </w:tcPr>
          <w:p>
            <w:pPr>
              <w:jc w:val="center"/>
              <w:ind w:left="1750"/>
              <w:spacing w:after="0"/>
              <w:rPr>
                <w:sz w:val="20"/>
                <w:szCs w:val="20"/>
                <w:color w:val="auto"/>
              </w:rPr>
            </w:pPr>
            <w:r>
              <w:rPr>
                <w:rFonts w:ascii="Arial" w:cs="Arial" w:eastAsia="Arial" w:hAnsi="Arial"/>
                <w:sz w:val="18"/>
                <w:szCs w:val="18"/>
                <w:b w:val="1"/>
                <w:bCs w:val="1"/>
                <w:color w:val="auto"/>
              </w:rPr>
              <w:t>83,558</w:t>
            </w:r>
          </w:p>
        </w:tc>
        <w:tc>
          <w:tcPr>
            <w:tcW w:w="3940" w:type="dxa"/>
            <w:vAlign w:val="bottom"/>
          </w:tcPr>
          <w:p>
            <w:pPr>
              <w:jc w:val="center"/>
              <w:ind w:left="770"/>
              <w:spacing w:after="0"/>
              <w:rPr>
                <w:sz w:val="20"/>
                <w:szCs w:val="20"/>
                <w:color w:val="auto"/>
              </w:rPr>
            </w:pPr>
            <w:r>
              <w:rPr>
                <w:rFonts w:ascii="Arial" w:cs="Arial" w:eastAsia="Arial" w:hAnsi="Arial"/>
                <w:sz w:val="18"/>
                <w:szCs w:val="18"/>
                <w:color w:val="auto"/>
              </w:rPr>
              <w:t>81,421</w:t>
            </w:r>
          </w:p>
        </w:tc>
      </w:tr>
    </w:tbl>
    <w:p>
      <w:pPr>
        <w:spacing w:after="0" w:line="3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Information about expected cash flows for the pension and other benefit obligations are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(in thousands)</w:t>
            </w:r>
          </w:p>
        </w:tc>
        <w:tc>
          <w:tcPr>
            <w:tcW w:w="2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Pension plans</w:t>
            </w:r>
          </w:p>
        </w:tc>
        <w:tc>
          <w:tcPr>
            <w:tcW w:w="27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Other postretirement benefits</w:t>
            </w:r>
          </w:p>
        </w:tc>
      </w:tr>
      <w:tr>
        <w:trPr>
          <w:trHeight w:val="195"/>
        </w:trPr>
        <w:tc>
          <w:tcPr>
            <w:tcW w:w="5800" w:type="dxa"/>
            <w:vAlign w:val="bottom"/>
          </w:tcPr>
          <w:p>
            <w:pPr>
              <w:ind w:left="40"/>
              <w:spacing w:after="0" w:line="195" w:lineRule="exact"/>
              <w:rPr>
                <w:sz w:val="20"/>
                <w:szCs w:val="20"/>
                <w:color w:val="auto"/>
              </w:rPr>
            </w:pPr>
            <w:r>
              <w:rPr>
                <w:rFonts w:ascii="Arial" w:cs="Arial" w:eastAsia="Arial" w:hAnsi="Arial"/>
                <w:sz w:val="18"/>
                <w:szCs w:val="18"/>
                <w:color w:val="auto"/>
              </w:rPr>
              <w:t>Expected employer contributions and direct employer</w:t>
            </w:r>
          </w:p>
        </w:tc>
        <w:tc>
          <w:tcPr>
            <w:tcW w:w="2840" w:type="dxa"/>
            <w:vAlign w:val="bottom"/>
          </w:tcPr>
          <w:p>
            <w:pPr>
              <w:spacing w:after="0"/>
              <w:rPr>
                <w:sz w:val="16"/>
                <w:szCs w:val="16"/>
                <w:color w:val="auto"/>
              </w:rPr>
            </w:pPr>
          </w:p>
        </w:tc>
        <w:tc>
          <w:tcPr>
            <w:tcW w:w="2780" w:type="dxa"/>
            <w:vAlign w:val="bottom"/>
          </w:tcPr>
          <w:p>
            <w:pPr>
              <w:spacing w:after="0"/>
              <w:rPr>
                <w:sz w:val="16"/>
                <w:szCs w:val="16"/>
                <w:color w:val="auto"/>
              </w:rPr>
            </w:pPr>
          </w:p>
        </w:tc>
      </w:tr>
      <w:tr>
        <w:trPr>
          <w:trHeight w:val="203"/>
        </w:trPr>
        <w:tc>
          <w:tcPr>
            <w:tcW w:w="5800" w:type="dxa"/>
            <w:vAlign w:val="bottom"/>
            <w:tcBorders>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payments in the next fiscal year</w:t>
            </w:r>
          </w:p>
        </w:tc>
        <w:tc>
          <w:tcPr>
            <w:tcW w:w="28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$3,727</w:t>
            </w:r>
          </w:p>
        </w:tc>
        <w:tc>
          <w:tcPr>
            <w:tcW w:w="2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$4,195</w:t>
            </w:r>
          </w:p>
        </w:tc>
      </w:tr>
      <w:tr>
        <w:trPr>
          <w:trHeight w:val="398"/>
        </w:trPr>
        <w:tc>
          <w:tcPr>
            <w:tcW w:w="5800" w:type="dxa"/>
            <w:vAlign w:val="bottom"/>
          </w:tcPr>
          <w:p>
            <w:pPr>
              <w:ind w:left="40"/>
              <w:spacing w:after="0"/>
              <w:rPr>
                <w:sz w:val="20"/>
                <w:szCs w:val="20"/>
                <w:color w:val="auto"/>
              </w:rPr>
            </w:pPr>
            <w:r>
              <w:rPr>
                <w:rFonts w:ascii="Arial" w:cs="Arial" w:eastAsia="Arial" w:hAnsi="Arial"/>
                <w:sz w:val="18"/>
                <w:szCs w:val="18"/>
                <w:color w:val="auto"/>
              </w:rPr>
              <w:t>Expected benefit payments</w:t>
            </w:r>
          </w:p>
        </w:tc>
        <w:tc>
          <w:tcPr>
            <w:tcW w:w="284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03"/>
        </w:trPr>
        <w:tc>
          <w:tcPr>
            <w:tcW w:w="5800" w:type="dxa"/>
            <w:vAlign w:val="bottom"/>
          </w:tcPr>
          <w:p>
            <w:pPr>
              <w:jc w:val="center"/>
              <w:ind w:right="990"/>
              <w:spacing w:after="0" w:line="202" w:lineRule="exact"/>
              <w:rPr>
                <w:sz w:val="20"/>
                <w:szCs w:val="20"/>
                <w:color w:val="auto"/>
              </w:rPr>
            </w:pPr>
            <w:r>
              <w:rPr>
                <w:rFonts w:ascii="Arial" w:cs="Arial" w:eastAsia="Arial" w:hAnsi="Arial"/>
                <w:sz w:val="18"/>
                <w:szCs w:val="18"/>
                <w:color w:val="auto"/>
                <w:w w:val="99"/>
              </w:rPr>
              <w:t>2017</w:t>
            </w:r>
          </w:p>
        </w:tc>
        <w:tc>
          <w:tcPr>
            <w:tcW w:w="28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$6,625</w:t>
            </w:r>
          </w:p>
        </w:tc>
        <w:tc>
          <w:tcPr>
            <w:tcW w:w="2780" w:type="dxa"/>
            <w:vAlign w:val="bottom"/>
          </w:tcPr>
          <w:p>
            <w:pPr>
              <w:jc w:val="right"/>
              <w:spacing w:after="0" w:line="202" w:lineRule="exact"/>
              <w:rPr>
                <w:sz w:val="20"/>
                <w:szCs w:val="20"/>
                <w:color w:val="auto"/>
              </w:rPr>
            </w:pPr>
            <w:r>
              <w:rPr>
                <w:rFonts w:ascii="Arial" w:cs="Arial" w:eastAsia="Arial" w:hAnsi="Arial"/>
                <w:sz w:val="18"/>
                <w:szCs w:val="18"/>
                <w:color w:val="auto"/>
              </w:rPr>
              <w:t>$4,195</w:t>
            </w:r>
          </w:p>
        </w:tc>
      </w:tr>
      <w:tr>
        <w:trPr>
          <w:trHeight w:val="203"/>
        </w:trPr>
        <w:tc>
          <w:tcPr>
            <w:tcW w:w="5800" w:type="dxa"/>
            <w:vAlign w:val="bottom"/>
          </w:tcPr>
          <w:p>
            <w:pPr>
              <w:jc w:val="center"/>
              <w:ind w:right="990"/>
              <w:spacing w:after="0" w:line="202" w:lineRule="exact"/>
              <w:rPr>
                <w:sz w:val="20"/>
                <w:szCs w:val="20"/>
                <w:color w:val="auto"/>
              </w:rPr>
            </w:pPr>
            <w:r>
              <w:rPr>
                <w:rFonts w:ascii="Arial" w:cs="Arial" w:eastAsia="Arial" w:hAnsi="Arial"/>
                <w:sz w:val="18"/>
                <w:szCs w:val="18"/>
                <w:color w:val="auto"/>
                <w:w w:val="99"/>
              </w:rPr>
              <w:t>2018</w:t>
            </w:r>
          </w:p>
        </w:tc>
        <w:tc>
          <w:tcPr>
            <w:tcW w:w="28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7,013</w:t>
            </w:r>
          </w:p>
        </w:tc>
        <w:tc>
          <w:tcPr>
            <w:tcW w:w="2780" w:type="dxa"/>
            <w:vAlign w:val="bottom"/>
          </w:tcPr>
          <w:p>
            <w:pPr>
              <w:jc w:val="right"/>
              <w:spacing w:after="0" w:line="202" w:lineRule="exact"/>
              <w:rPr>
                <w:sz w:val="20"/>
                <w:szCs w:val="20"/>
                <w:color w:val="auto"/>
              </w:rPr>
            </w:pPr>
            <w:r>
              <w:rPr>
                <w:rFonts w:ascii="Arial" w:cs="Arial" w:eastAsia="Arial" w:hAnsi="Arial"/>
                <w:sz w:val="18"/>
                <w:szCs w:val="18"/>
                <w:color w:val="auto"/>
              </w:rPr>
              <w:t>4,047</w:t>
            </w:r>
          </w:p>
        </w:tc>
      </w:tr>
      <w:tr>
        <w:trPr>
          <w:trHeight w:val="203"/>
        </w:trPr>
        <w:tc>
          <w:tcPr>
            <w:tcW w:w="5800" w:type="dxa"/>
            <w:vAlign w:val="bottom"/>
          </w:tcPr>
          <w:p>
            <w:pPr>
              <w:jc w:val="center"/>
              <w:ind w:right="990"/>
              <w:spacing w:after="0" w:line="202" w:lineRule="exact"/>
              <w:rPr>
                <w:sz w:val="20"/>
                <w:szCs w:val="20"/>
                <w:color w:val="auto"/>
              </w:rPr>
            </w:pPr>
            <w:r>
              <w:rPr>
                <w:rFonts w:ascii="Arial" w:cs="Arial" w:eastAsia="Arial" w:hAnsi="Arial"/>
                <w:sz w:val="18"/>
                <w:szCs w:val="18"/>
                <w:color w:val="auto"/>
                <w:w w:val="99"/>
              </w:rPr>
              <w:t>2019</w:t>
            </w:r>
          </w:p>
        </w:tc>
        <w:tc>
          <w:tcPr>
            <w:tcW w:w="28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7,380</w:t>
            </w:r>
          </w:p>
        </w:tc>
        <w:tc>
          <w:tcPr>
            <w:tcW w:w="2780" w:type="dxa"/>
            <w:vAlign w:val="bottom"/>
          </w:tcPr>
          <w:p>
            <w:pPr>
              <w:jc w:val="right"/>
              <w:spacing w:after="0" w:line="202" w:lineRule="exact"/>
              <w:rPr>
                <w:sz w:val="20"/>
                <w:szCs w:val="20"/>
                <w:color w:val="auto"/>
              </w:rPr>
            </w:pPr>
            <w:r>
              <w:rPr>
                <w:rFonts w:ascii="Arial" w:cs="Arial" w:eastAsia="Arial" w:hAnsi="Arial"/>
                <w:sz w:val="18"/>
                <w:szCs w:val="18"/>
                <w:color w:val="auto"/>
              </w:rPr>
              <w:t>3,913</w:t>
            </w:r>
          </w:p>
        </w:tc>
      </w:tr>
      <w:tr>
        <w:trPr>
          <w:trHeight w:val="203"/>
        </w:trPr>
        <w:tc>
          <w:tcPr>
            <w:tcW w:w="5800" w:type="dxa"/>
            <w:vAlign w:val="bottom"/>
          </w:tcPr>
          <w:p>
            <w:pPr>
              <w:jc w:val="center"/>
              <w:ind w:right="990"/>
              <w:spacing w:after="0" w:line="202" w:lineRule="exact"/>
              <w:rPr>
                <w:sz w:val="20"/>
                <w:szCs w:val="20"/>
                <w:color w:val="auto"/>
              </w:rPr>
            </w:pPr>
            <w:r>
              <w:rPr>
                <w:rFonts w:ascii="Arial" w:cs="Arial" w:eastAsia="Arial" w:hAnsi="Arial"/>
                <w:sz w:val="18"/>
                <w:szCs w:val="18"/>
                <w:color w:val="auto"/>
                <w:w w:val="99"/>
              </w:rPr>
              <w:t>2020</w:t>
            </w:r>
          </w:p>
        </w:tc>
        <w:tc>
          <w:tcPr>
            <w:tcW w:w="28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7,873</w:t>
            </w:r>
          </w:p>
        </w:tc>
        <w:tc>
          <w:tcPr>
            <w:tcW w:w="2780" w:type="dxa"/>
            <w:vAlign w:val="bottom"/>
          </w:tcPr>
          <w:p>
            <w:pPr>
              <w:jc w:val="right"/>
              <w:spacing w:after="0" w:line="202" w:lineRule="exact"/>
              <w:rPr>
                <w:sz w:val="20"/>
                <w:szCs w:val="20"/>
                <w:color w:val="auto"/>
              </w:rPr>
            </w:pPr>
            <w:r>
              <w:rPr>
                <w:rFonts w:ascii="Arial" w:cs="Arial" w:eastAsia="Arial" w:hAnsi="Arial"/>
                <w:sz w:val="18"/>
                <w:szCs w:val="18"/>
                <w:color w:val="auto"/>
              </w:rPr>
              <w:t>3,804</w:t>
            </w:r>
          </w:p>
        </w:tc>
      </w:tr>
      <w:tr>
        <w:trPr>
          <w:trHeight w:val="203"/>
        </w:trPr>
        <w:tc>
          <w:tcPr>
            <w:tcW w:w="5800" w:type="dxa"/>
            <w:vAlign w:val="bottom"/>
          </w:tcPr>
          <w:p>
            <w:pPr>
              <w:jc w:val="center"/>
              <w:ind w:right="990"/>
              <w:spacing w:after="0" w:line="202" w:lineRule="exact"/>
              <w:rPr>
                <w:sz w:val="20"/>
                <w:szCs w:val="20"/>
                <w:color w:val="auto"/>
              </w:rPr>
            </w:pPr>
            <w:r>
              <w:rPr>
                <w:rFonts w:ascii="Arial" w:cs="Arial" w:eastAsia="Arial" w:hAnsi="Arial"/>
                <w:sz w:val="18"/>
                <w:szCs w:val="18"/>
                <w:color w:val="auto"/>
                <w:w w:val="99"/>
              </w:rPr>
              <w:t>2021</w:t>
            </w:r>
          </w:p>
        </w:tc>
        <w:tc>
          <w:tcPr>
            <w:tcW w:w="28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8,473</w:t>
            </w:r>
          </w:p>
        </w:tc>
        <w:tc>
          <w:tcPr>
            <w:tcW w:w="2780" w:type="dxa"/>
            <w:vAlign w:val="bottom"/>
          </w:tcPr>
          <w:p>
            <w:pPr>
              <w:jc w:val="right"/>
              <w:spacing w:after="0" w:line="202" w:lineRule="exact"/>
              <w:rPr>
                <w:sz w:val="20"/>
                <w:szCs w:val="20"/>
                <w:color w:val="auto"/>
              </w:rPr>
            </w:pPr>
            <w:r>
              <w:rPr>
                <w:rFonts w:ascii="Arial" w:cs="Arial" w:eastAsia="Arial" w:hAnsi="Arial"/>
                <w:sz w:val="18"/>
                <w:szCs w:val="18"/>
                <w:color w:val="auto"/>
              </w:rPr>
              <w:t>3,748</w:t>
            </w:r>
          </w:p>
        </w:tc>
      </w:tr>
      <w:tr>
        <w:trPr>
          <w:trHeight w:val="203"/>
        </w:trPr>
        <w:tc>
          <w:tcPr>
            <w:tcW w:w="5800" w:type="dxa"/>
            <w:vAlign w:val="bottom"/>
            <w:tcBorders>
              <w:bottom w:val="single" w:sz="8" w:color="auto"/>
            </w:tcBorders>
          </w:tcPr>
          <w:p>
            <w:pPr>
              <w:jc w:val="center"/>
              <w:ind w:right="1010"/>
              <w:spacing w:after="0" w:line="203" w:lineRule="exact"/>
              <w:rPr>
                <w:sz w:val="20"/>
                <w:szCs w:val="20"/>
                <w:color w:val="auto"/>
              </w:rPr>
            </w:pPr>
            <w:r>
              <w:rPr>
                <w:rFonts w:ascii="Arial" w:cs="Arial" w:eastAsia="Arial" w:hAnsi="Arial"/>
                <w:sz w:val="18"/>
                <w:szCs w:val="18"/>
                <w:color w:val="auto"/>
                <w:w w:val="99"/>
              </w:rPr>
              <w:t>2022-2026</w:t>
            </w:r>
          </w:p>
        </w:tc>
        <w:tc>
          <w:tcPr>
            <w:tcW w:w="28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50,990</w:t>
            </w:r>
          </w:p>
        </w:tc>
        <w:tc>
          <w:tcPr>
            <w:tcW w:w="2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17,983</w:t>
            </w: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Restructuring</w:t>
      </w:r>
    </w:p>
    <w:p>
      <w:pPr>
        <w:spacing w:after="0" w:line="207" w:lineRule="exact"/>
        <w:rPr>
          <w:sz w:val="20"/>
          <w:szCs w:val="20"/>
          <w:color w:val="auto"/>
        </w:rPr>
      </w:pPr>
    </w:p>
    <w:p>
      <w:pPr>
        <w:ind w:right="120" w:firstLine="648"/>
        <w:spacing w:after="0" w:line="239" w:lineRule="auto"/>
        <w:rPr>
          <w:sz w:val="20"/>
          <w:szCs w:val="20"/>
          <w:color w:val="auto"/>
        </w:rPr>
      </w:pPr>
      <w:r>
        <w:rPr>
          <w:rFonts w:ascii="Arial" w:cs="Arial" w:eastAsia="Arial" w:hAnsi="Arial"/>
          <w:sz w:val="18"/>
          <w:szCs w:val="18"/>
          <w:color w:val="auto"/>
        </w:rPr>
        <w:t>In 2016, the Company announced a plan to discontinue research and development activities at its Machine Clothing production facility in Sélestat, France. We subsequently reached agreement with the Works Council on the restructuring plan and we recorded $2.2 million of restructuring expense in 2016 for severance, outplacement, and the write-off of equipment. Cost savings associated with this action reduced 2016 research and development expenses.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AEC restructuring expenses in 2016 were principally related to the consolidation of legacy programs into Boerne, Texas.</w:t>
      </w:r>
    </w:p>
    <w:p>
      <w:pPr>
        <w:spacing w:after="0" w:line="171"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In 2015, the Company announced a plan to discontinue manufacturing operations at its press fabric manufacturing facility in Göppingen, Germany and manufacturing operations were discontinued during the second quarter. The restructuring program was driven by the Company’s need to balance manufacturing capacity with</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75" w:name="page76"/>
    <w:bookmarkEnd w:id="75"/>
    <w:p>
      <w:pPr>
        <w:ind w:right="160"/>
        <w:spacing w:after="0"/>
        <w:rPr>
          <w:sz w:val="20"/>
          <w:szCs w:val="20"/>
          <w:color w:val="auto"/>
        </w:rPr>
      </w:pPr>
      <w:r>
        <w:rPr>
          <w:rFonts w:ascii="Arial" w:cs="Arial" w:eastAsia="Arial" w:hAnsi="Arial"/>
          <w:sz w:val="18"/>
          <w:szCs w:val="18"/>
          <w:color w:val="auto"/>
        </w:rPr>
        <w:t>demand. In 2015, we recorded charges of $11.4 million related to this restructuring, including $3.3 million related to the write down of the land and former manufacturing facility to estimated fair market value, and the property was sold in 2016 at that value. In 2016, we recorded additional restructuring charges of $2.6 million, principally related to the final closure of the plant in Germany.</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fourth quarter of 2015, the Company implemented an early retirement program for certain employees in the United States.</w:t>
      </w:r>
    </w:p>
    <w:p>
      <w:pPr>
        <w:spacing w:after="0"/>
        <w:rPr>
          <w:sz w:val="20"/>
          <w:szCs w:val="20"/>
          <w:color w:val="auto"/>
        </w:rPr>
      </w:pPr>
      <w:r>
        <w:rPr>
          <w:rFonts w:ascii="Arial" w:cs="Arial" w:eastAsia="Arial" w:hAnsi="Arial"/>
          <w:sz w:val="18"/>
          <w:szCs w:val="18"/>
          <w:color w:val="auto"/>
        </w:rPr>
        <w:t>Restructuring charges associated with this restructuring program were $8.1 million.</w:t>
      </w:r>
    </w:p>
    <w:p>
      <w:pPr>
        <w:spacing w:after="0" w:line="185" w:lineRule="exact"/>
        <w:rPr>
          <w:sz w:val="20"/>
          <w:szCs w:val="20"/>
          <w:color w:val="auto"/>
        </w:rPr>
      </w:pPr>
    </w:p>
    <w:p>
      <w:pPr>
        <w:ind w:right="140" w:firstLine="648"/>
        <w:spacing w:after="0"/>
        <w:rPr>
          <w:sz w:val="20"/>
          <w:szCs w:val="20"/>
          <w:color w:val="auto"/>
        </w:rPr>
      </w:pPr>
      <w:r>
        <w:rPr>
          <w:rFonts w:ascii="Arial" w:cs="Arial" w:eastAsia="Arial" w:hAnsi="Arial"/>
          <w:sz w:val="18"/>
          <w:szCs w:val="18"/>
          <w:color w:val="auto"/>
        </w:rPr>
        <w:t>2015 restructuring charges also includes $ 4.3 million related to the reduction in STG&amp;R employment in Machine Clothing and Corporate. Machine Clothing restructuring costs in 2014 were principally related to restructuring of manufacturing operations in France, where employment was reduced by approximately 200 positions.</w:t>
      </w:r>
    </w:p>
    <w:p>
      <w:pPr>
        <w:spacing w:after="0" w:line="162" w:lineRule="exact"/>
        <w:rPr>
          <w:sz w:val="20"/>
          <w:szCs w:val="20"/>
          <w:color w:val="auto"/>
        </w:rPr>
      </w:pPr>
    </w:p>
    <w:p>
      <w:pPr>
        <w:ind w:right="220" w:firstLine="648"/>
        <w:spacing w:after="0" w:line="246" w:lineRule="auto"/>
        <w:rPr>
          <w:sz w:val="20"/>
          <w:szCs w:val="20"/>
          <w:color w:val="auto"/>
        </w:rPr>
      </w:pPr>
      <w:r>
        <w:rPr>
          <w:rFonts w:ascii="Arial" w:cs="Arial" w:eastAsia="Arial" w:hAnsi="Arial"/>
          <w:sz w:val="18"/>
          <w:szCs w:val="18"/>
          <w:color w:val="auto"/>
        </w:rPr>
        <w:t>Albany Engineered Composites restructuring expenses in 2014 were principally related to organizational changes and exiting certain aerospace programs.</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charges reported in the Consolidated Statements of Income under “Restructuring and other, net”: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00" w:type="dxa"/>
            <w:vAlign w:val="bottom"/>
            <w:tcBorders>
              <w:top w:val="single" w:sz="8" w:color="auto"/>
            </w:tcBorders>
          </w:tcPr>
          <w:p>
            <w:pPr>
              <w:spacing w:after="0"/>
              <w:rPr>
                <w:sz w:val="16"/>
                <w:szCs w:val="16"/>
                <w:color w:val="auto"/>
              </w:rPr>
            </w:pPr>
          </w:p>
        </w:tc>
        <w:tc>
          <w:tcPr>
            <w:tcW w:w="2760" w:type="dxa"/>
            <w:vAlign w:val="bottom"/>
            <w:tcBorders>
              <w:top w:val="single" w:sz="8" w:color="auto"/>
            </w:tcBorders>
          </w:tcPr>
          <w:p>
            <w:pPr>
              <w:jc w:val="right"/>
              <w:ind w:right="630"/>
              <w:spacing w:after="0" w:line="194" w:lineRule="exact"/>
              <w:rPr>
                <w:sz w:val="20"/>
                <w:szCs w:val="20"/>
                <w:color w:val="auto"/>
              </w:rPr>
            </w:pPr>
            <w:r>
              <w:rPr>
                <w:rFonts w:ascii="Arial" w:cs="Arial" w:eastAsia="Arial" w:hAnsi="Arial"/>
                <w:sz w:val="18"/>
                <w:szCs w:val="18"/>
                <w:b w:val="1"/>
                <w:bCs w:val="1"/>
                <w:color w:val="auto"/>
              </w:rPr>
              <w:t>Total</w:t>
            </w:r>
          </w:p>
        </w:tc>
        <w:tc>
          <w:tcPr>
            <w:tcW w:w="1660" w:type="dxa"/>
            <w:vAlign w:val="bottom"/>
            <w:tcBorders>
              <w:top w:val="single" w:sz="8" w:color="auto"/>
            </w:tcBorders>
          </w:tcPr>
          <w:p>
            <w:pPr>
              <w:jc w:val="right"/>
              <w:ind w:right="250"/>
              <w:spacing w:after="0" w:line="194" w:lineRule="exact"/>
              <w:rPr>
                <w:sz w:val="20"/>
                <w:szCs w:val="20"/>
                <w:color w:val="auto"/>
              </w:rPr>
            </w:pPr>
            <w:r>
              <w:rPr>
                <w:rFonts w:ascii="Arial" w:cs="Arial" w:eastAsia="Arial" w:hAnsi="Arial"/>
                <w:sz w:val="18"/>
                <w:szCs w:val="18"/>
                <w:b w:val="1"/>
                <w:bCs w:val="1"/>
                <w:color w:val="auto"/>
              </w:rPr>
              <w:t>Termination</w:t>
            </w:r>
          </w:p>
        </w:tc>
        <w:tc>
          <w:tcPr>
            <w:tcW w:w="1720" w:type="dxa"/>
            <w:vAlign w:val="bottom"/>
            <w:tcBorders>
              <w:top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rPr>
              <w:t>Impairment of</w:t>
            </w:r>
          </w:p>
        </w:tc>
        <w:tc>
          <w:tcPr>
            <w:tcW w:w="1480" w:type="dxa"/>
            <w:vAlign w:val="bottom"/>
            <w:tcBorders>
              <w:top w:val="single" w:sz="8" w:color="auto"/>
            </w:tcBorders>
          </w:tcPr>
          <w:p>
            <w:pPr>
              <w:ind w:left="320"/>
              <w:spacing w:after="0" w:line="194" w:lineRule="exact"/>
              <w:rPr>
                <w:sz w:val="20"/>
                <w:szCs w:val="20"/>
                <w:color w:val="auto"/>
              </w:rPr>
            </w:pPr>
            <w:r>
              <w:rPr>
                <w:rFonts w:ascii="Arial" w:cs="Arial" w:eastAsia="Arial" w:hAnsi="Arial"/>
                <w:sz w:val="18"/>
                <w:szCs w:val="18"/>
                <w:b w:val="1"/>
                <w:bCs w:val="1"/>
                <w:color w:val="auto"/>
              </w:rPr>
              <w:t>Benefit plan</w:t>
            </w:r>
          </w:p>
        </w:tc>
      </w:tr>
      <w:tr>
        <w:trPr>
          <w:trHeight w:val="203"/>
        </w:trPr>
        <w:tc>
          <w:tcPr>
            <w:tcW w:w="3800" w:type="dxa"/>
            <w:vAlign w:val="bottom"/>
          </w:tcPr>
          <w:p>
            <w:pPr>
              <w:spacing w:after="0"/>
              <w:rPr>
                <w:sz w:val="17"/>
                <w:szCs w:val="17"/>
                <w:color w:val="auto"/>
              </w:rPr>
            </w:pPr>
          </w:p>
        </w:tc>
        <w:tc>
          <w:tcPr>
            <w:tcW w:w="2760" w:type="dxa"/>
            <w:vAlign w:val="bottom"/>
          </w:tcPr>
          <w:p>
            <w:pPr>
              <w:jc w:val="right"/>
              <w:ind w:right="290"/>
              <w:spacing w:after="0" w:line="202" w:lineRule="exact"/>
              <w:rPr>
                <w:sz w:val="20"/>
                <w:szCs w:val="20"/>
                <w:color w:val="auto"/>
              </w:rPr>
            </w:pPr>
            <w:r>
              <w:rPr>
                <w:rFonts w:ascii="Arial" w:cs="Arial" w:eastAsia="Arial" w:hAnsi="Arial"/>
                <w:sz w:val="18"/>
                <w:szCs w:val="18"/>
                <w:b w:val="1"/>
                <w:bCs w:val="1"/>
                <w:color w:val="auto"/>
              </w:rPr>
              <w:t>restructuring</w:t>
            </w:r>
          </w:p>
        </w:tc>
        <w:tc>
          <w:tcPr>
            <w:tcW w:w="1660" w:type="dxa"/>
            <w:vAlign w:val="bottom"/>
          </w:tcPr>
          <w:p>
            <w:pPr>
              <w:jc w:val="right"/>
              <w:ind w:right="370"/>
              <w:spacing w:after="0" w:line="202" w:lineRule="exact"/>
              <w:rPr>
                <w:sz w:val="20"/>
                <w:szCs w:val="20"/>
                <w:color w:val="auto"/>
              </w:rPr>
            </w:pPr>
            <w:r>
              <w:rPr>
                <w:rFonts w:ascii="Arial" w:cs="Arial" w:eastAsia="Arial" w:hAnsi="Arial"/>
                <w:sz w:val="18"/>
                <w:szCs w:val="18"/>
                <w:b w:val="1"/>
                <w:bCs w:val="1"/>
                <w:color w:val="auto"/>
              </w:rPr>
              <w:t>and other</w:t>
            </w:r>
          </w:p>
        </w:tc>
        <w:tc>
          <w:tcPr>
            <w:tcW w:w="17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plant and</w:t>
            </w:r>
          </w:p>
        </w:tc>
        <w:tc>
          <w:tcPr>
            <w:tcW w:w="1480" w:type="dxa"/>
            <w:vAlign w:val="bottom"/>
          </w:tcPr>
          <w:p>
            <w:pPr>
              <w:ind w:left="300"/>
              <w:spacing w:after="0" w:line="202" w:lineRule="exact"/>
              <w:rPr>
                <w:sz w:val="20"/>
                <w:szCs w:val="20"/>
                <w:color w:val="auto"/>
              </w:rPr>
            </w:pPr>
            <w:r>
              <w:rPr>
                <w:rFonts w:ascii="Arial" w:cs="Arial" w:eastAsia="Arial" w:hAnsi="Arial"/>
                <w:sz w:val="18"/>
                <w:szCs w:val="18"/>
                <w:b w:val="1"/>
                <w:bCs w:val="1"/>
                <w:color w:val="auto"/>
              </w:rPr>
              <w:t>curtailment/</w:t>
            </w:r>
          </w:p>
        </w:tc>
      </w:tr>
      <w:tr>
        <w:trPr>
          <w:trHeight w:val="203"/>
        </w:trPr>
        <w:tc>
          <w:tcPr>
            <w:tcW w:w="3800" w:type="dxa"/>
            <w:vAlign w:val="bottom"/>
          </w:tcPr>
          <w:p>
            <w:pPr>
              <w:spacing w:after="0" w:line="202" w:lineRule="exact"/>
              <w:rPr>
                <w:sz w:val="20"/>
                <w:szCs w:val="20"/>
                <w:color w:val="auto"/>
              </w:rPr>
            </w:pPr>
            <w:r>
              <w:rPr>
                <w:rFonts w:ascii="Arial" w:cs="Arial" w:eastAsia="Arial" w:hAnsi="Arial"/>
                <w:sz w:val="18"/>
                <w:szCs w:val="18"/>
                <w:b w:val="1"/>
                <w:bCs w:val="1"/>
                <w:color w:val="auto"/>
              </w:rPr>
              <w:t>Year ended December 31, 2016</w:t>
            </w:r>
          </w:p>
        </w:tc>
        <w:tc>
          <w:tcPr>
            <w:tcW w:w="2760" w:type="dxa"/>
            <w:vAlign w:val="bottom"/>
          </w:tcPr>
          <w:p>
            <w:pPr>
              <w:jc w:val="right"/>
              <w:ind w:right="270"/>
              <w:spacing w:after="0" w:line="202" w:lineRule="exact"/>
              <w:rPr>
                <w:sz w:val="20"/>
                <w:szCs w:val="20"/>
                <w:color w:val="auto"/>
              </w:rPr>
            </w:pPr>
            <w:r>
              <w:rPr>
                <w:rFonts w:ascii="Arial" w:cs="Arial" w:eastAsia="Arial" w:hAnsi="Arial"/>
                <w:sz w:val="18"/>
                <w:szCs w:val="18"/>
                <w:b w:val="1"/>
                <w:bCs w:val="1"/>
                <w:color w:val="auto"/>
              </w:rPr>
              <w:t>costs incurred</w:t>
            </w:r>
          </w:p>
        </w:tc>
        <w:tc>
          <w:tcPr>
            <w:tcW w:w="1660" w:type="dxa"/>
            <w:vAlign w:val="bottom"/>
          </w:tcPr>
          <w:p>
            <w:pPr>
              <w:jc w:val="right"/>
              <w:ind w:right="590"/>
              <w:spacing w:after="0" w:line="202" w:lineRule="exact"/>
              <w:rPr>
                <w:sz w:val="20"/>
                <w:szCs w:val="20"/>
                <w:color w:val="auto"/>
              </w:rPr>
            </w:pPr>
            <w:r>
              <w:rPr>
                <w:rFonts w:ascii="Arial" w:cs="Arial" w:eastAsia="Arial" w:hAnsi="Arial"/>
                <w:sz w:val="18"/>
                <w:szCs w:val="18"/>
                <w:b w:val="1"/>
                <w:bCs w:val="1"/>
                <w:color w:val="auto"/>
              </w:rPr>
              <w:t>costs</w:t>
            </w:r>
          </w:p>
        </w:tc>
        <w:tc>
          <w:tcPr>
            <w:tcW w:w="17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equipment</w:t>
            </w:r>
          </w:p>
        </w:tc>
        <w:tc>
          <w:tcPr>
            <w:tcW w:w="1480" w:type="dxa"/>
            <w:vAlign w:val="bottom"/>
          </w:tcPr>
          <w:p>
            <w:pPr>
              <w:ind w:left="300"/>
              <w:spacing w:after="0" w:line="202" w:lineRule="exact"/>
              <w:rPr>
                <w:sz w:val="20"/>
                <w:szCs w:val="20"/>
                <w:color w:val="auto"/>
              </w:rPr>
            </w:pPr>
            <w:r>
              <w:rPr>
                <w:rFonts w:ascii="Arial" w:cs="Arial" w:eastAsia="Arial" w:hAnsi="Arial"/>
                <w:sz w:val="18"/>
                <w:szCs w:val="18"/>
                <w:b w:val="1"/>
                <w:bCs w:val="1"/>
                <w:color w:val="auto"/>
              </w:rPr>
              <w:t>settlement</w:t>
            </w:r>
          </w:p>
        </w:tc>
      </w:tr>
      <w:tr>
        <w:trPr>
          <w:trHeight w:val="225"/>
        </w:trPr>
        <w:tc>
          <w:tcPr>
            <w:tcW w:w="38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(in thousands)</w:t>
            </w:r>
          </w:p>
        </w:tc>
        <w:tc>
          <w:tcPr>
            <w:tcW w:w="27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r>
      <w:tr>
        <w:trPr>
          <w:trHeight w:val="195"/>
        </w:trPr>
        <w:tc>
          <w:tcPr>
            <w:tcW w:w="3800" w:type="dxa"/>
            <w:vAlign w:val="bottom"/>
          </w:tcPr>
          <w:p>
            <w:pPr>
              <w:ind w:left="80"/>
              <w:spacing w:after="0" w:line="195" w:lineRule="exact"/>
              <w:rPr>
                <w:sz w:val="20"/>
                <w:szCs w:val="20"/>
                <w:color w:val="auto"/>
              </w:rPr>
            </w:pPr>
            <w:r>
              <w:rPr>
                <w:rFonts w:ascii="Arial" w:cs="Arial" w:eastAsia="Arial" w:hAnsi="Arial"/>
                <w:sz w:val="18"/>
                <w:szCs w:val="18"/>
                <w:color w:val="auto"/>
              </w:rPr>
              <w:t>Machine Clothing</w:t>
            </w:r>
          </w:p>
        </w:tc>
        <w:tc>
          <w:tcPr>
            <w:tcW w:w="2760" w:type="dxa"/>
            <w:vAlign w:val="bottom"/>
          </w:tcPr>
          <w:p>
            <w:pPr>
              <w:jc w:val="right"/>
              <w:ind w:right="270"/>
              <w:spacing w:after="0" w:line="195" w:lineRule="exact"/>
              <w:rPr>
                <w:sz w:val="20"/>
                <w:szCs w:val="20"/>
                <w:color w:val="auto"/>
              </w:rPr>
            </w:pPr>
            <w:r>
              <w:rPr>
                <w:rFonts w:ascii="Arial" w:cs="Arial" w:eastAsia="Arial" w:hAnsi="Arial"/>
                <w:sz w:val="18"/>
                <w:szCs w:val="18"/>
                <w:color w:val="auto"/>
              </w:rPr>
              <w:t>$6,069</w:t>
            </w:r>
          </w:p>
        </w:tc>
        <w:tc>
          <w:tcPr>
            <w:tcW w:w="166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$5,756</w:t>
            </w:r>
          </w:p>
        </w:tc>
        <w:tc>
          <w:tcPr>
            <w:tcW w:w="1720" w:type="dxa"/>
            <w:vAlign w:val="bottom"/>
          </w:tcPr>
          <w:p>
            <w:pPr>
              <w:jc w:val="right"/>
              <w:ind w:right="230"/>
              <w:spacing w:after="0" w:line="195" w:lineRule="exact"/>
              <w:rPr>
                <w:sz w:val="20"/>
                <w:szCs w:val="20"/>
                <w:color w:val="auto"/>
              </w:rPr>
            </w:pPr>
            <w:r>
              <w:rPr>
                <w:rFonts w:ascii="Arial" w:cs="Arial" w:eastAsia="Arial" w:hAnsi="Arial"/>
                <w:sz w:val="18"/>
                <w:szCs w:val="18"/>
                <w:color w:val="auto"/>
              </w:rPr>
              <w:t>$425</w:t>
            </w:r>
          </w:p>
        </w:tc>
        <w:tc>
          <w:tcPr>
            <w:tcW w:w="1480" w:type="dxa"/>
            <w:vAlign w:val="bottom"/>
          </w:tcPr>
          <w:p>
            <w:pPr>
              <w:jc w:val="right"/>
              <w:spacing w:after="0" w:line="195" w:lineRule="exact"/>
              <w:rPr>
                <w:sz w:val="20"/>
                <w:szCs w:val="20"/>
                <w:color w:val="auto"/>
              </w:rPr>
            </w:pPr>
            <w:r>
              <w:rPr>
                <w:rFonts w:ascii="Arial" w:cs="Arial" w:eastAsia="Arial" w:hAnsi="Arial"/>
                <w:sz w:val="18"/>
                <w:szCs w:val="18"/>
                <w:color w:val="auto"/>
              </w:rPr>
              <w:t>($112)</w:t>
            </w:r>
          </w:p>
        </w:tc>
      </w:tr>
      <w:tr>
        <w:trPr>
          <w:trHeight w:val="203"/>
        </w:trPr>
        <w:tc>
          <w:tcPr>
            <w:tcW w:w="3800" w:type="dxa"/>
            <w:vAlign w:val="bottom"/>
          </w:tcPr>
          <w:p>
            <w:pPr>
              <w:ind w:left="80"/>
              <w:spacing w:after="0" w:line="202" w:lineRule="exact"/>
              <w:rPr>
                <w:sz w:val="20"/>
                <w:szCs w:val="20"/>
                <w:color w:val="auto"/>
              </w:rPr>
            </w:pPr>
            <w:r>
              <w:rPr>
                <w:rFonts w:ascii="Arial" w:cs="Arial" w:eastAsia="Arial" w:hAnsi="Arial"/>
                <w:sz w:val="18"/>
                <w:szCs w:val="18"/>
                <w:color w:val="auto"/>
              </w:rPr>
              <w:t>Albany Engineered Composites</w:t>
            </w:r>
          </w:p>
        </w:tc>
        <w:tc>
          <w:tcPr>
            <w:tcW w:w="276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2,314</w:t>
            </w:r>
          </w:p>
        </w:tc>
        <w:tc>
          <w:tcPr>
            <w:tcW w:w="16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1,502</w:t>
            </w:r>
          </w:p>
        </w:tc>
        <w:tc>
          <w:tcPr>
            <w:tcW w:w="172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812</w:t>
            </w:r>
          </w:p>
        </w:tc>
        <w:tc>
          <w:tcPr>
            <w:tcW w:w="1480" w:type="dxa"/>
            <w:vAlign w:val="bottom"/>
          </w:tcPr>
          <w:p>
            <w:pPr>
              <w:spacing w:after="0"/>
              <w:rPr>
                <w:sz w:val="17"/>
                <w:szCs w:val="17"/>
                <w:color w:val="auto"/>
              </w:rPr>
            </w:pPr>
          </w:p>
        </w:tc>
      </w:tr>
      <w:tr>
        <w:trPr>
          <w:trHeight w:val="203"/>
        </w:trPr>
        <w:tc>
          <w:tcPr>
            <w:tcW w:w="3800" w:type="dxa"/>
            <w:vAlign w:val="bottom"/>
            <w:tcBorders>
              <w:bottom w:val="single" w:sz="8" w:color="auto"/>
            </w:tcBorders>
          </w:tcPr>
          <w:p>
            <w:pPr>
              <w:ind w:left="80"/>
              <w:spacing w:after="0" w:line="203" w:lineRule="exact"/>
              <w:rPr>
                <w:sz w:val="20"/>
                <w:szCs w:val="20"/>
                <w:color w:val="auto"/>
              </w:rPr>
            </w:pPr>
            <w:r>
              <w:rPr>
                <w:rFonts w:ascii="Arial" w:cs="Arial" w:eastAsia="Arial" w:hAnsi="Arial"/>
                <w:sz w:val="18"/>
                <w:szCs w:val="18"/>
                <w:color w:val="auto"/>
              </w:rPr>
              <w:t>Corporate expenses</w:t>
            </w:r>
          </w:p>
        </w:tc>
        <w:tc>
          <w:tcPr>
            <w:tcW w:w="276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rPr>
              <w:t>(7)</w:t>
            </w:r>
          </w:p>
        </w:tc>
        <w:tc>
          <w:tcPr>
            <w:tcW w:w="166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(7)</w:t>
            </w:r>
          </w:p>
        </w:tc>
        <w:tc>
          <w:tcPr>
            <w:tcW w:w="17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r>
      <w:tr>
        <w:trPr>
          <w:trHeight w:val="196"/>
        </w:trPr>
        <w:tc>
          <w:tcPr>
            <w:tcW w:w="380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color w:val="auto"/>
              </w:rPr>
              <w:t>Total</w:t>
            </w:r>
          </w:p>
        </w:tc>
        <w:tc>
          <w:tcPr>
            <w:tcW w:w="276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$8,376</w:t>
            </w:r>
          </w:p>
        </w:tc>
        <w:tc>
          <w:tcPr>
            <w:tcW w:w="166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$7,251</w:t>
            </w:r>
          </w:p>
        </w:tc>
        <w:tc>
          <w:tcPr>
            <w:tcW w:w="172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$1,237</w:t>
            </w: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($112)</w:t>
            </w:r>
          </w:p>
        </w:tc>
      </w:tr>
    </w:tbl>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00" w:type="dxa"/>
            <w:vAlign w:val="bottom"/>
            <w:tcBorders>
              <w:top w:val="single" w:sz="8" w:color="auto"/>
            </w:tcBorders>
          </w:tcPr>
          <w:p>
            <w:pPr>
              <w:spacing w:after="0"/>
              <w:rPr>
                <w:sz w:val="16"/>
                <w:szCs w:val="16"/>
                <w:color w:val="auto"/>
              </w:rPr>
            </w:pPr>
          </w:p>
        </w:tc>
        <w:tc>
          <w:tcPr>
            <w:tcW w:w="2740" w:type="dxa"/>
            <w:vAlign w:val="bottom"/>
            <w:tcBorders>
              <w:top w:val="single" w:sz="8" w:color="auto"/>
            </w:tcBorders>
          </w:tcPr>
          <w:p>
            <w:pPr>
              <w:jc w:val="right"/>
              <w:ind w:right="610"/>
              <w:spacing w:after="0" w:line="194" w:lineRule="exact"/>
              <w:rPr>
                <w:sz w:val="20"/>
                <w:szCs w:val="20"/>
                <w:color w:val="auto"/>
              </w:rPr>
            </w:pPr>
            <w:r>
              <w:rPr>
                <w:rFonts w:ascii="Arial" w:cs="Arial" w:eastAsia="Arial" w:hAnsi="Arial"/>
                <w:sz w:val="18"/>
                <w:szCs w:val="18"/>
                <w:b w:val="1"/>
                <w:bCs w:val="1"/>
                <w:color w:val="auto"/>
              </w:rPr>
              <w:t>Total</w:t>
            </w:r>
          </w:p>
        </w:tc>
        <w:tc>
          <w:tcPr>
            <w:tcW w:w="1660" w:type="dxa"/>
            <w:vAlign w:val="bottom"/>
            <w:tcBorders>
              <w:top w:val="single" w:sz="8" w:color="auto"/>
            </w:tcBorders>
          </w:tcPr>
          <w:p>
            <w:pPr>
              <w:jc w:val="right"/>
              <w:ind w:right="230"/>
              <w:spacing w:after="0" w:line="194" w:lineRule="exact"/>
              <w:rPr>
                <w:sz w:val="20"/>
                <w:szCs w:val="20"/>
                <w:color w:val="auto"/>
              </w:rPr>
            </w:pPr>
            <w:r>
              <w:rPr>
                <w:rFonts w:ascii="Arial" w:cs="Arial" w:eastAsia="Arial" w:hAnsi="Arial"/>
                <w:sz w:val="18"/>
                <w:szCs w:val="18"/>
                <w:b w:val="1"/>
                <w:bCs w:val="1"/>
                <w:color w:val="auto"/>
              </w:rPr>
              <w:t>Termination</w:t>
            </w:r>
          </w:p>
        </w:tc>
        <w:tc>
          <w:tcPr>
            <w:tcW w:w="1740" w:type="dxa"/>
            <w:vAlign w:val="bottom"/>
            <w:tcBorders>
              <w:top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rPr>
              <w:t>Impairment of</w:t>
            </w:r>
          </w:p>
        </w:tc>
        <w:tc>
          <w:tcPr>
            <w:tcW w:w="1480" w:type="dxa"/>
            <w:vAlign w:val="bottom"/>
            <w:tcBorders>
              <w:top w:val="single" w:sz="8" w:color="auto"/>
            </w:tcBorders>
          </w:tcPr>
          <w:p>
            <w:pPr>
              <w:ind w:left="320"/>
              <w:spacing w:after="0" w:line="194" w:lineRule="exact"/>
              <w:rPr>
                <w:sz w:val="20"/>
                <w:szCs w:val="20"/>
                <w:color w:val="auto"/>
              </w:rPr>
            </w:pPr>
            <w:r>
              <w:rPr>
                <w:rFonts w:ascii="Arial" w:cs="Arial" w:eastAsia="Arial" w:hAnsi="Arial"/>
                <w:sz w:val="18"/>
                <w:szCs w:val="18"/>
                <w:b w:val="1"/>
                <w:bCs w:val="1"/>
                <w:color w:val="auto"/>
              </w:rPr>
              <w:t>Benefit plan</w:t>
            </w:r>
          </w:p>
        </w:tc>
      </w:tr>
      <w:tr>
        <w:trPr>
          <w:trHeight w:val="203"/>
        </w:trPr>
        <w:tc>
          <w:tcPr>
            <w:tcW w:w="3800" w:type="dxa"/>
            <w:vAlign w:val="bottom"/>
          </w:tcPr>
          <w:p>
            <w:pPr>
              <w:spacing w:after="0"/>
              <w:rPr>
                <w:sz w:val="17"/>
                <w:szCs w:val="17"/>
                <w:color w:val="auto"/>
              </w:rPr>
            </w:pPr>
          </w:p>
        </w:tc>
        <w:tc>
          <w:tcPr>
            <w:tcW w:w="2740" w:type="dxa"/>
            <w:vAlign w:val="bottom"/>
          </w:tcPr>
          <w:p>
            <w:pPr>
              <w:jc w:val="right"/>
              <w:ind w:right="270"/>
              <w:spacing w:after="0" w:line="202" w:lineRule="exact"/>
              <w:rPr>
                <w:sz w:val="20"/>
                <w:szCs w:val="20"/>
                <w:color w:val="auto"/>
              </w:rPr>
            </w:pPr>
            <w:r>
              <w:rPr>
                <w:rFonts w:ascii="Arial" w:cs="Arial" w:eastAsia="Arial" w:hAnsi="Arial"/>
                <w:sz w:val="18"/>
                <w:szCs w:val="18"/>
                <w:b w:val="1"/>
                <w:bCs w:val="1"/>
                <w:color w:val="auto"/>
              </w:rPr>
              <w:t>restructuring</w:t>
            </w:r>
          </w:p>
        </w:tc>
        <w:tc>
          <w:tcPr>
            <w:tcW w:w="1660" w:type="dxa"/>
            <w:vAlign w:val="bottom"/>
          </w:tcPr>
          <w:p>
            <w:pPr>
              <w:jc w:val="right"/>
              <w:ind w:right="350"/>
              <w:spacing w:after="0" w:line="202" w:lineRule="exact"/>
              <w:rPr>
                <w:sz w:val="20"/>
                <w:szCs w:val="20"/>
                <w:color w:val="auto"/>
              </w:rPr>
            </w:pPr>
            <w:r>
              <w:rPr>
                <w:rFonts w:ascii="Arial" w:cs="Arial" w:eastAsia="Arial" w:hAnsi="Arial"/>
                <w:sz w:val="18"/>
                <w:szCs w:val="18"/>
                <w:b w:val="1"/>
                <w:bCs w:val="1"/>
                <w:color w:val="auto"/>
              </w:rPr>
              <w:t>and other</w:t>
            </w:r>
          </w:p>
        </w:tc>
        <w:tc>
          <w:tcPr>
            <w:tcW w:w="17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plant and</w:t>
            </w:r>
          </w:p>
        </w:tc>
        <w:tc>
          <w:tcPr>
            <w:tcW w:w="1480" w:type="dxa"/>
            <w:vAlign w:val="bottom"/>
          </w:tcPr>
          <w:p>
            <w:pPr>
              <w:ind w:left="300"/>
              <w:spacing w:after="0" w:line="202" w:lineRule="exact"/>
              <w:rPr>
                <w:sz w:val="20"/>
                <w:szCs w:val="20"/>
                <w:color w:val="auto"/>
              </w:rPr>
            </w:pPr>
            <w:r>
              <w:rPr>
                <w:rFonts w:ascii="Arial" w:cs="Arial" w:eastAsia="Arial" w:hAnsi="Arial"/>
                <w:sz w:val="18"/>
                <w:szCs w:val="18"/>
                <w:b w:val="1"/>
                <w:bCs w:val="1"/>
                <w:color w:val="auto"/>
              </w:rPr>
              <w:t>curtailment/</w:t>
            </w:r>
          </w:p>
        </w:tc>
      </w:tr>
      <w:tr>
        <w:trPr>
          <w:trHeight w:val="203"/>
        </w:trPr>
        <w:tc>
          <w:tcPr>
            <w:tcW w:w="3800" w:type="dxa"/>
            <w:vAlign w:val="bottom"/>
          </w:tcPr>
          <w:p>
            <w:pPr>
              <w:spacing w:after="0" w:line="202" w:lineRule="exact"/>
              <w:rPr>
                <w:sz w:val="20"/>
                <w:szCs w:val="20"/>
                <w:color w:val="auto"/>
              </w:rPr>
            </w:pPr>
            <w:r>
              <w:rPr>
                <w:rFonts w:ascii="Arial" w:cs="Arial" w:eastAsia="Arial" w:hAnsi="Arial"/>
                <w:sz w:val="18"/>
                <w:szCs w:val="18"/>
                <w:b w:val="1"/>
                <w:bCs w:val="1"/>
                <w:color w:val="auto"/>
              </w:rPr>
              <w:t>Year ended December 31, 2015</w:t>
            </w:r>
          </w:p>
        </w:tc>
        <w:tc>
          <w:tcPr>
            <w:tcW w:w="274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costs incurred</w:t>
            </w:r>
          </w:p>
        </w:tc>
        <w:tc>
          <w:tcPr>
            <w:tcW w:w="1660" w:type="dxa"/>
            <w:vAlign w:val="bottom"/>
          </w:tcPr>
          <w:p>
            <w:pPr>
              <w:jc w:val="right"/>
              <w:ind w:right="570"/>
              <w:spacing w:after="0" w:line="202" w:lineRule="exact"/>
              <w:rPr>
                <w:sz w:val="20"/>
                <w:szCs w:val="20"/>
                <w:color w:val="auto"/>
              </w:rPr>
            </w:pPr>
            <w:r>
              <w:rPr>
                <w:rFonts w:ascii="Arial" w:cs="Arial" w:eastAsia="Arial" w:hAnsi="Arial"/>
                <w:sz w:val="18"/>
                <w:szCs w:val="18"/>
                <w:b w:val="1"/>
                <w:bCs w:val="1"/>
                <w:color w:val="auto"/>
              </w:rPr>
              <w:t>costs</w:t>
            </w:r>
          </w:p>
        </w:tc>
        <w:tc>
          <w:tcPr>
            <w:tcW w:w="17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equipment</w:t>
            </w:r>
          </w:p>
        </w:tc>
        <w:tc>
          <w:tcPr>
            <w:tcW w:w="1480" w:type="dxa"/>
            <w:vAlign w:val="bottom"/>
          </w:tcPr>
          <w:p>
            <w:pPr>
              <w:ind w:left="300"/>
              <w:spacing w:after="0" w:line="202" w:lineRule="exact"/>
              <w:rPr>
                <w:sz w:val="20"/>
                <w:szCs w:val="20"/>
                <w:color w:val="auto"/>
              </w:rPr>
            </w:pPr>
            <w:r>
              <w:rPr>
                <w:rFonts w:ascii="Arial" w:cs="Arial" w:eastAsia="Arial" w:hAnsi="Arial"/>
                <w:sz w:val="18"/>
                <w:szCs w:val="18"/>
                <w:b w:val="1"/>
                <w:bCs w:val="1"/>
                <w:color w:val="auto"/>
              </w:rPr>
              <w:t>settlement</w:t>
            </w:r>
          </w:p>
        </w:tc>
      </w:tr>
      <w:tr>
        <w:trPr>
          <w:trHeight w:val="225"/>
        </w:trPr>
        <w:tc>
          <w:tcPr>
            <w:tcW w:w="38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(in thousands)</w:t>
            </w:r>
          </w:p>
        </w:tc>
        <w:tc>
          <w:tcPr>
            <w:tcW w:w="27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r>
      <w:tr>
        <w:trPr>
          <w:trHeight w:val="195"/>
        </w:trPr>
        <w:tc>
          <w:tcPr>
            <w:tcW w:w="3800" w:type="dxa"/>
            <w:vAlign w:val="bottom"/>
          </w:tcPr>
          <w:p>
            <w:pPr>
              <w:ind w:left="80"/>
              <w:spacing w:after="0" w:line="195" w:lineRule="exact"/>
              <w:rPr>
                <w:sz w:val="20"/>
                <w:szCs w:val="20"/>
                <w:color w:val="auto"/>
              </w:rPr>
            </w:pPr>
            <w:r>
              <w:rPr>
                <w:rFonts w:ascii="Arial" w:cs="Arial" w:eastAsia="Arial" w:hAnsi="Arial"/>
                <w:sz w:val="18"/>
                <w:szCs w:val="18"/>
                <w:color w:val="auto"/>
              </w:rPr>
              <w:t>Machine Clothing</w:t>
            </w:r>
          </w:p>
        </w:tc>
        <w:tc>
          <w:tcPr>
            <w:tcW w:w="2740" w:type="dxa"/>
            <w:vAlign w:val="bottom"/>
          </w:tcPr>
          <w:p>
            <w:pPr>
              <w:jc w:val="right"/>
              <w:ind w:right="250"/>
              <w:spacing w:after="0" w:line="195" w:lineRule="exact"/>
              <w:rPr>
                <w:sz w:val="20"/>
                <w:szCs w:val="20"/>
                <w:color w:val="auto"/>
              </w:rPr>
            </w:pPr>
            <w:r>
              <w:rPr>
                <w:rFonts w:ascii="Arial" w:cs="Arial" w:eastAsia="Arial" w:hAnsi="Arial"/>
                <w:sz w:val="18"/>
                <w:szCs w:val="18"/>
                <w:color w:val="auto"/>
              </w:rPr>
              <w:t>$22,211</w:t>
            </w:r>
          </w:p>
        </w:tc>
        <w:tc>
          <w:tcPr>
            <w:tcW w:w="1660" w:type="dxa"/>
            <w:vAlign w:val="bottom"/>
          </w:tcPr>
          <w:p>
            <w:pPr>
              <w:jc w:val="right"/>
              <w:ind w:right="190"/>
              <w:spacing w:after="0" w:line="195" w:lineRule="exact"/>
              <w:rPr>
                <w:sz w:val="20"/>
                <w:szCs w:val="20"/>
                <w:color w:val="auto"/>
              </w:rPr>
            </w:pPr>
            <w:r>
              <w:rPr>
                <w:rFonts w:ascii="Arial" w:cs="Arial" w:eastAsia="Arial" w:hAnsi="Arial"/>
                <w:sz w:val="18"/>
                <w:szCs w:val="18"/>
                <w:color w:val="auto"/>
              </w:rPr>
              <w:t>$18,906</w:t>
            </w:r>
          </w:p>
        </w:tc>
        <w:tc>
          <w:tcPr>
            <w:tcW w:w="1740" w:type="dxa"/>
            <w:vAlign w:val="bottom"/>
          </w:tcPr>
          <w:p>
            <w:pPr>
              <w:jc w:val="right"/>
              <w:ind w:right="230"/>
              <w:spacing w:after="0" w:line="195" w:lineRule="exact"/>
              <w:rPr>
                <w:sz w:val="20"/>
                <w:szCs w:val="20"/>
                <w:color w:val="auto"/>
              </w:rPr>
            </w:pPr>
            <w:r>
              <w:rPr>
                <w:rFonts w:ascii="Arial" w:cs="Arial" w:eastAsia="Arial" w:hAnsi="Arial"/>
                <w:sz w:val="18"/>
                <w:szCs w:val="18"/>
                <w:color w:val="auto"/>
              </w:rPr>
              <w:t>$3,305</w:t>
            </w:r>
          </w:p>
        </w:tc>
        <w:tc>
          <w:tcPr>
            <w:tcW w:w="14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w:t>
            </w:r>
          </w:p>
        </w:tc>
      </w:tr>
      <w:tr>
        <w:trPr>
          <w:trHeight w:val="203"/>
        </w:trPr>
        <w:tc>
          <w:tcPr>
            <w:tcW w:w="3800" w:type="dxa"/>
            <w:vAlign w:val="bottom"/>
          </w:tcPr>
          <w:p>
            <w:pPr>
              <w:ind w:left="80"/>
              <w:spacing w:after="0" w:line="202" w:lineRule="exact"/>
              <w:rPr>
                <w:sz w:val="20"/>
                <w:szCs w:val="20"/>
                <w:color w:val="auto"/>
              </w:rPr>
            </w:pPr>
            <w:r>
              <w:rPr>
                <w:rFonts w:ascii="Arial" w:cs="Arial" w:eastAsia="Arial" w:hAnsi="Arial"/>
                <w:sz w:val="18"/>
                <w:szCs w:val="18"/>
                <w:color w:val="auto"/>
              </w:rPr>
              <w:t>Albany Engineered Composites</w:t>
            </w:r>
          </w:p>
        </w:tc>
        <w:tc>
          <w:tcPr>
            <w:tcW w:w="274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6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7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3800" w:type="dxa"/>
            <w:vAlign w:val="bottom"/>
            <w:tcBorders>
              <w:bottom w:val="single" w:sz="8" w:color="auto"/>
            </w:tcBorders>
          </w:tcPr>
          <w:p>
            <w:pPr>
              <w:ind w:left="80"/>
              <w:spacing w:after="0" w:line="203" w:lineRule="exact"/>
              <w:rPr>
                <w:sz w:val="20"/>
                <w:szCs w:val="20"/>
                <w:color w:val="auto"/>
              </w:rPr>
            </w:pPr>
            <w:r>
              <w:rPr>
                <w:rFonts w:ascii="Arial" w:cs="Arial" w:eastAsia="Arial" w:hAnsi="Arial"/>
                <w:sz w:val="18"/>
                <w:szCs w:val="18"/>
                <w:color w:val="auto"/>
              </w:rPr>
              <w:t>Corporate expenses</w:t>
            </w:r>
          </w:p>
        </w:tc>
        <w:tc>
          <w:tcPr>
            <w:tcW w:w="2740" w:type="dxa"/>
            <w:vAlign w:val="bottom"/>
            <w:tcBorders>
              <w:bottom w:val="single" w:sz="8" w:color="auto"/>
            </w:tcBorders>
          </w:tcPr>
          <w:p>
            <w:pPr>
              <w:jc w:val="right"/>
              <w:ind w:right="250"/>
              <w:spacing w:after="0" w:line="203" w:lineRule="exact"/>
              <w:rPr>
                <w:sz w:val="20"/>
                <w:szCs w:val="20"/>
                <w:color w:val="auto"/>
              </w:rPr>
            </w:pPr>
            <w:r>
              <w:rPr>
                <w:rFonts w:ascii="Arial" w:cs="Arial" w:eastAsia="Arial" w:hAnsi="Arial"/>
                <w:sz w:val="18"/>
                <w:szCs w:val="18"/>
                <w:color w:val="auto"/>
              </w:rPr>
              <w:t>1,635</w:t>
            </w:r>
          </w:p>
        </w:tc>
        <w:tc>
          <w:tcPr>
            <w:tcW w:w="166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1,635</w:t>
            </w:r>
          </w:p>
        </w:tc>
        <w:tc>
          <w:tcPr>
            <w:tcW w:w="174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w:t>
            </w:r>
          </w:p>
        </w:tc>
      </w:tr>
      <w:tr>
        <w:trPr>
          <w:trHeight w:val="196"/>
        </w:trPr>
        <w:tc>
          <w:tcPr>
            <w:tcW w:w="380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color w:val="auto"/>
              </w:rPr>
              <w:t>Total</w:t>
            </w:r>
          </w:p>
        </w:tc>
        <w:tc>
          <w:tcPr>
            <w:tcW w:w="274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rPr>
              <w:t>$23,846</w:t>
            </w:r>
          </w:p>
        </w:tc>
        <w:tc>
          <w:tcPr>
            <w:tcW w:w="166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$20,541</w:t>
            </w:r>
          </w:p>
        </w:tc>
        <w:tc>
          <w:tcPr>
            <w:tcW w:w="174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$3,305</w:t>
            </w:r>
          </w:p>
        </w:tc>
        <w:tc>
          <w:tcPr>
            <w:tcW w:w="14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r>
    </w:tbl>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00" w:type="dxa"/>
            <w:vAlign w:val="bottom"/>
            <w:tcBorders>
              <w:top w:val="single" w:sz="8" w:color="auto"/>
            </w:tcBorders>
          </w:tcPr>
          <w:p>
            <w:pPr>
              <w:spacing w:after="0"/>
              <w:rPr>
                <w:sz w:val="16"/>
                <w:szCs w:val="16"/>
                <w:color w:val="auto"/>
              </w:rPr>
            </w:pPr>
          </w:p>
        </w:tc>
        <w:tc>
          <w:tcPr>
            <w:tcW w:w="2740" w:type="dxa"/>
            <w:vAlign w:val="bottom"/>
            <w:tcBorders>
              <w:top w:val="single" w:sz="8" w:color="auto"/>
            </w:tcBorders>
          </w:tcPr>
          <w:p>
            <w:pPr>
              <w:jc w:val="right"/>
              <w:ind w:right="610"/>
              <w:spacing w:after="0" w:line="194" w:lineRule="exact"/>
              <w:rPr>
                <w:sz w:val="20"/>
                <w:szCs w:val="20"/>
                <w:color w:val="auto"/>
              </w:rPr>
            </w:pPr>
            <w:r>
              <w:rPr>
                <w:rFonts w:ascii="Arial" w:cs="Arial" w:eastAsia="Arial" w:hAnsi="Arial"/>
                <w:sz w:val="18"/>
                <w:szCs w:val="18"/>
                <w:b w:val="1"/>
                <w:bCs w:val="1"/>
                <w:color w:val="auto"/>
              </w:rPr>
              <w:t>Total</w:t>
            </w:r>
          </w:p>
        </w:tc>
        <w:tc>
          <w:tcPr>
            <w:tcW w:w="1660" w:type="dxa"/>
            <w:vAlign w:val="bottom"/>
            <w:tcBorders>
              <w:top w:val="single" w:sz="8" w:color="auto"/>
            </w:tcBorders>
          </w:tcPr>
          <w:p>
            <w:pPr>
              <w:jc w:val="right"/>
              <w:ind w:right="230"/>
              <w:spacing w:after="0" w:line="194" w:lineRule="exact"/>
              <w:rPr>
                <w:sz w:val="20"/>
                <w:szCs w:val="20"/>
                <w:color w:val="auto"/>
              </w:rPr>
            </w:pPr>
            <w:r>
              <w:rPr>
                <w:rFonts w:ascii="Arial" w:cs="Arial" w:eastAsia="Arial" w:hAnsi="Arial"/>
                <w:sz w:val="18"/>
                <w:szCs w:val="18"/>
                <w:b w:val="1"/>
                <w:bCs w:val="1"/>
                <w:color w:val="auto"/>
              </w:rPr>
              <w:t>Termination</w:t>
            </w:r>
          </w:p>
        </w:tc>
        <w:tc>
          <w:tcPr>
            <w:tcW w:w="1740" w:type="dxa"/>
            <w:vAlign w:val="bottom"/>
            <w:tcBorders>
              <w:top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rPr>
              <w:t>Impairment of</w:t>
            </w:r>
          </w:p>
        </w:tc>
        <w:tc>
          <w:tcPr>
            <w:tcW w:w="1480" w:type="dxa"/>
            <w:vAlign w:val="bottom"/>
            <w:tcBorders>
              <w:top w:val="single" w:sz="8" w:color="auto"/>
            </w:tcBorders>
          </w:tcPr>
          <w:p>
            <w:pPr>
              <w:ind w:left="320"/>
              <w:spacing w:after="0" w:line="194" w:lineRule="exact"/>
              <w:rPr>
                <w:sz w:val="20"/>
                <w:szCs w:val="20"/>
                <w:color w:val="auto"/>
              </w:rPr>
            </w:pPr>
            <w:r>
              <w:rPr>
                <w:rFonts w:ascii="Arial" w:cs="Arial" w:eastAsia="Arial" w:hAnsi="Arial"/>
                <w:sz w:val="18"/>
                <w:szCs w:val="18"/>
                <w:b w:val="1"/>
                <w:bCs w:val="1"/>
                <w:color w:val="auto"/>
              </w:rPr>
              <w:t>Benefit plan</w:t>
            </w:r>
          </w:p>
        </w:tc>
        <w:tc>
          <w:tcPr>
            <w:tcW w:w="20" w:type="dxa"/>
            <w:vAlign w:val="bottom"/>
          </w:tcPr>
          <w:p>
            <w:pPr>
              <w:spacing w:after="0"/>
              <w:rPr>
                <w:sz w:val="16"/>
                <w:szCs w:val="16"/>
                <w:color w:val="auto"/>
              </w:rPr>
            </w:pPr>
          </w:p>
        </w:tc>
      </w:tr>
      <w:tr>
        <w:trPr>
          <w:trHeight w:val="203"/>
        </w:trPr>
        <w:tc>
          <w:tcPr>
            <w:tcW w:w="3800" w:type="dxa"/>
            <w:vAlign w:val="bottom"/>
          </w:tcPr>
          <w:p>
            <w:pPr>
              <w:spacing w:after="0"/>
              <w:rPr>
                <w:sz w:val="17"/>
                <w:szCs w:val="17"/>
                <w:color w:val="auto"/>
              </w:rPr>
            </w:pPr>
          </w:p>
        </w:tc>
        <w:tc>
          <w:tcPr>
            <w:tcW w:w="2740" w:type="dxa"/>
            <w:vAlign w:val="bottom"/>
          </w:tcPr>
          <w:p>
            <w:pPr>
              <w:jc w:val="right"/>
              <w:ind w:right="270"/>
              <w:spacing w:after="0" w:line="202" w:lineRule="exact"/>
              <w:rPr>
                <w:sz w:val="20"/>
                <w:szCs w:val="20"/>
                <w:color w:val="auto"/>
              </w:rPr>
            </w:pPr>
            <w:r>
              <w:rPr>
                <w:rFonts w:ascii="Arial" w:cs="Arial" w:eastAsia="Arial" w:hAnsi="Arial"/>
                <w:sz w:val="18"/>
                <w:szCs w:val="18"/>
                <w:b w:val="1"/>
                <w:bCs w:val="1"/>
                <w:color w:val="auto"/>
              </w:rPr>
              <w:t>restructuring</w:t>
            </w:r>
          </w:p>
        </w:tc>
        <w:tc>
          <w:tcPr>
            <w:tcW w:w="1660" w:type="dxa"/>
            <w:vAlign w:val="bottom"/>
          </w:tcPr>
          <w:p>
            <w:pPr>
              <w:jc w:val="right"/>
              <w:ind w:right="350"/>
              <w:spacing w:after="0" w:line="202" w:lineRule="exact"/>
              <w:rPr>
                <w:sz w:val="20"/>
                <w:szCs w:val="20"/>
                <w:color w:val="auto"/>
              </w:rPr>
            </w:pPr>
            <w:r>
              <w:rPr>
                <w:rFonts w:ascii="Arial" w:cs="Arial" w:eastAsia="Arial" w:hAnsi="Arial"/>
                <w:sz w:val="18"/>
                <w:szCs w:val="18"/>
                <w:b w:val="1"/>
                <w:bCs w:val="1"/>
                <w:color w:val="auto"/>
              </w:rPr>
              <w:t>and other</w:t>
            </w:r>
          </w:p>
        </w:tc>
        <w:tc>
          <w:tcPr>
            <w:tcW w:w="17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plant and</w:t>
            </w:r>
          </w:p>
        </w:tc>
        <w:tc>
          <w:tcPr>
            <w:tcW w:w="1500" w:type="dxa"/>
            <w:vAlign w:val="bottom"/>
            <w:gridSpan w:val="2"/>
          </w:tcPr>
          <w:p>
            <w:pPr>
              <w:ind w:left="300"/>
              <w:spacing w:after="0" w:line="202" w:lineRule="exact"/>
              <w:rPr>
                <w:sz w:val="20"/>
                <w:szCs w:val="20"/>
                <w:color w:val="auto"/>
              </w:rPr>
            </w:pPr>
            <w:r>
              <w:rPr>
                <w:rFonts w:ascii="Arial" w:cs="Arial" w:eastAsia="Arial" w:hAnsi="Arial"/>
                <w:sz w:val="18"/>
                <w:szCs w:val="18"/>
                <w:b w:val="1"/>
                <w:bCs w:val="1"/>
                <w:color w:val="auto"/>
              </w:rPr>
              <w:t>curtailment/</w:t>
            </w:r>
          </w:p>
        </w:tc>
      </w:tr>
      <w:tr>
        <w:trPr>
          <w:trHeight w:val="203"/>
        </w:trPr>
        <w:tc>
          <w:tcPr>
            <w:tcW w:w="3800" w:type="dxa"/>
            <w:vAlign w:val="bottom"/>
          </w:tcPr>
          <w:p>
            <w:pPr>
              <w:spacing w:after="0" w:line="202" w:lineRule="exact"/>
              <w:rPr>
                <w:sz w:val="20"/>
                <w:szCs w:val="20"/>
                <w:color w:val="auto"/>
              </w:rPr>
            </w:pPr>
            <w:r>
              <w:rPr>
                <w:rFonts w:ascii="Arial" w:cs="Arial" w:eastAsia="Arial" w:hAnsi="Arial"/>
                <w:sz w:val="18"/>
                <w:szCs w:val="18"/>
                <w:b w:val="1"/>
                <w:bCs w:val="1"/>
                <w:color w:val="auto"/>
              </w:rPr>
              <w:t>Year ended December 31, 2014</w:t>
            </w:r>
          </w:p>
        </w:tc>
        <w:tc>
          <w:tcPr>
            <w:tcW w:w="274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costs incurred</w:t>
            </w:r>
          </w:p>
        </w:tc>
        <w:tc>
          <w:tcPr>
            <w:tcW w:w="1660" w:type="dxa"/>
            <w:vAlign w:val="bottom"/>
          </w:tcPr>
          <w:p>
            <w:pPr>
              <w:jc w:val="right"/>
              <w:ind w:right="570"/>
              <w:spacing w:after="0" w:line="202" w:lineRule="exact"/>
              <w:rPr>
                <w:sz w:val="20"/>
                <w:szCs w:val="20"/>
                <w:color w:val="auto"/>
              </w:rPr>
            </w:pPr>
            <w:r>
              <w:rPr>
                <w:rFonts w:ascii="Arial" w:cs="Arial" w:eastAsia="Arial" w:hAnsi="Arial"/>
                <w:sz w:val="18"/>
                <w:szCs w:val="18"/>
                <w:b w:val="1"/>
                <w:bCs w:val="1"/>
                <w:color w:val="auto"/>
              </w:rPr>
              <w:t>costs</w:t>
            </w:r>
          </w:p>
        </w:tc>
        <w:tc>
          <w:tcPr>
            <w:tcW w:w="17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equipment</w:t>
            </w:r>
          </w:p>
        </w:tc>
        <w:tc>
          <w:tcPr>
            <w:tcW w:w="1500" w:type="dxa"/>
            <w:vAlign w:val="bottom"/>
            <w:gridSpan w:val="2"/>
          </w:tcPr>
          <w:p>
            <w:pPr>
              <w:ind w:left="300"/>
              <w:spacing w:after="0" w:line="202" w:lineRule="exact"/>
              <w:rPr>
                <w:sz w:val="20"/>
                <w:szCs w:val="20"/>
                <w:color w:val="auto"/>
              </w:rPr>
            </w:pPr>
            <w:r>
              <w:rPr>
                <w:rFonts w:ascii="Arial" w:cs="Arial" w:eastAsia="Arial" w:hAnsi="Arial"/>
                <w:sz w:val="18"/>
                <w:szCs w:val="18"/>
                <w:b w:val="1"/>
                <w:bCs w:val="1"/>
                <w:color w:val="auto"/>
              </w:rPr>
              <w:t>settlement</w:t>
            </w:r>
          </w:p>
        </w:tc>
      </w:tr>
      <w:tr>
        <w:trPr>
          <w:trHeight w:val="225"/>
        </w:trPr>
        <w:tc>
          <w:tcPr>
            <w:tcW w:w="38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(in thousands)</w:t>
            </w:r>
          </w:p>
        </w:tc>
        <w:tc>
          <w:tcPr>
            <w:tcW w:w="27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95"/>
        </w:trPr>
        <w:tc>
          <w:tcPr>
            <w:tcW w:w="3800" w:type="dxa"/>
            <w:vAlign w:val="bottom"/>
          </w:tcPr>
          <w:p>
            <w:pPr>
              <w:ind w:left="80"/>
              <w:spacing w:after="0" w:line="195" w:lineRule="exact"/>
              <w:rPr>
                <w:sz w:val="20"/>
                <w:szCs w:val="20"/>
                <w:color w:val="auto"/>
              </w:rPr>
            </w:pPr>
            <w:r>
              <w:rPr>
                <w:rFonts w:ascii="Arial" w:cs="Arial" w:eastAsia="Arial" w:hAnsi="Arial"/>
                <w:sz w:val="18"/>
                <w:szCs w:val="18"/>
                <w:color w:val="auto"/>
              </w:rPr>
              <w:t>Machine Clothing</w:t>
            </w:r>
          </w:p>
        </w:tc>
        <w:tc>
          <w:tcPr>
            <w:tcW w:w="2740" w:type="dxa"/>
            <w:vAlign w:val="bottom"/>
          </w:tcPr>
          <w:p>
            <w:pPr>
              <w:jc w:val="right"/>
              <w:ind w:right="250"/>
              <w:spacing w:after="0" w:line="195" w:lineRule="exact"/>
              <w:rPr>
                <w:sz w:val="20"/>
                <w:szCs w:val="20"/>
                <w:color w:val="auto"/>
              </w:rPr>
            </w:pPr>
            <w:r>
              <w:rPr>
                <w:rFonts w:ascii="Arial" w:cs="Arial" w:eastAsia="Arial" w:hAnsi="Arial"/>
                <w:sz w:val="18"/>
                <w:szCs w:val="18"/>
                <w:color w:val="auto"/>
              </w:rPr>
              <w:t>$4,828</w:t>
            </w:r>
          </w:p>
        </w:tc>
        <w:tc>
          <w:tcPr>
            <w:tcW w:w="1660" w:type="dxa"/>
            <w:vAlign w:val="bottom"/>
          </w:tcPr>
          <w:p>
            <w:pPr>
              <w:jc w:val="right"/>
              <w:ind w:right="190"/>
              <w:spacing w:after="0" w:line="195" w:lineRule="exact"/>
              <w:rPr>
                <w:sz w:val="20"/>
                <w:szCs w:val="20"/>
                <w:color w:val="auto"/>
              </w:rPr>
            </w:pPr>
            <w:r>
              <w:rPr>
                <w:rFonts w:ascii="Arial" w:cs="Arial" w:eastAsia="Arial" w:hAnsi="Arial"/>
                <w:sz w:val="18"/>
                <w:szCs w:val="18"/>
                <w:color w:val="auto"/>
              </w:rPr>
              <w:t>$5,769</w:t>
            </w:r>
          </w:p>
        </w:tc>
        <w:tc>
          <w:tcPr>
            <w:tcW w:w="1740" w:type="dxa"/>
            <w:vAlign w:val="bottom"/>
          </w:tcPr>
          <w:p>
            <w:pPr>
              <w:jc w:val="right"/>
              <w:ind w:right="230"/>
              <w:spacing w:after="0" w:line="195" w:lineRule="exact"/>
              <w:rPr>
                <w:sz w:val="20"/>
                <w:szCs w:val="20"/>
                <w:color w:val="auto"/>
              </w:rPr>
            </w:pPr>
            <w:r>
              <w:rPr>
                <w:rFonts w:ascii="Arial" w:cs="Arial" w:eastAsia="Arial" w:hAnsi="Arial"/>
                <w:sz w:val="18"/>
                <w:szCs w:val="18"/>
                <w:color w:val="auto"/>
              </w:rPr>
              <w:t>$-</w:t>
            </w:r>
          </w:p>
        </w:tc>
        <w:tc>
          <w:tcPr>
            <w:tcW w:w="1480" w:type="dxa"/>
            <w:vAlign w:val="bottom"/>
          </w:tcPr>
          <w:p>
            <w:pPr>
              <w:jc w:val="right"/>
              <w:spacing w:after="0" w:line="195" w:lineRule="exact"/>
              <w:rPr>
                <w:sz w:val="20"/>
                <w:szCs w:val="20"/>
                <w:color w:val="auto"/>
              </w:rPr>
            </w:pPr>
            <w:r>
              <w:rPr>
                <w:rFonts w:ascii="Arial" w:cs="Arial" w:eastAsia="Arial" w:hAnsi="Arial"/>
                <w:sz w:val="18"/>
                <w:szCs w:val="18"/>
                <w:color w:val="auto"/>
              </w:rPr>
              <w:t>($941)</w:t>
            </w:r>
          </w:p>
        </w:tc>
        <w:tc>
          <w:tcPr>
            <w:tcW w:w="20" w:type="dxa"/>
            <w:vAlign w:val="bottom"/>
          </w:tcPr>
          <w:p>
            <w:pPr>
              <w:spacing w:after="0"/>
              <w:rPr>
                <w:sz w:val="16"/>
                <w:szCs w:val="16"/>
                <w:color w:val="auto"/>
              </w:rPr>
            </w:pPr>
          </w:p>
        </w:tc>
      </w:tr>
      <w:tr>
        <w:trPr>
          <w:trHeight w:val="203"/>
        </w:trPr>
        <w:tc>
          <w:tcPr>
            <w:tcW w:w="3800" w:type="dxa"/>
            <w:vAlign w:val="bottom"/>
          </w:tcPr>
          <w:p>
            <w:pPr>
              <w:ind w:left="80"/>
              <w:spacing w:after="0" w:line="202" w:lineRule="exact"/>
              <w:rPr>
                <w:sz w:val="20"/>
                <w:szCs w:val="20"/>
                <w:color w:val="auto"/>
              </w:rPr>
            </w:pPr>
            <w:r>
              <w:rPr>
                <w:rFonts w:ascii="Arial" w:cs="Arial" w:eastAsia="Arial" w:hAnsi="Arial"/>
                <w:sz w:val="18"/>
                <w:szCs w:val="18"/>
                <w:color w:val="auto"/>
              </w:rPr>
              <w:t>Albany Engineered Composites</w:t>
            </w:r>
          </w:p>
        </w:tc>
        <w:tc>
          <w:tcPr>
            <w:tcW w:w="274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931</w:t>
            </w:r>
          </w:p>
        </w:tc>
        <w:tc>
          <w:tcPr>
            <w:tcW w:w="16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319</w:t>
            </w:r>
          </w:p>
        </w:tc>
        <w:tc>
          <w:tcPr>
            <w:tcW w:w="17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612</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3"/>
        </w:trPr>
        <w:tc>
          <w:tcPr>
            <w:tcW w:w="3800" w:type="dxa"/>
            <w:vAlign w:val="bottom"/>
            <w:tcBorders>
              <w:bottom w:val="single" w:sz="8" w:color="auto"/>
            </w:tcBorders>
          </w:tcPr>
          <w:p>
            <w:pPr>
              <w:ind w:left="80"/>
              <w:spacing w:after="0" w:line="203" w:lineRule="exact"/>
              <w:rPr>
                <w:sz w:val="20"/>
                <w:szCs w:val="20"/>
                <w:color w:val="auto"/>
              </w:rPr>
            </w:pPr>
            <w:r>
              <w:rPr>
                <w:rFonts w:ascii="Arial" w:cs="Arial" w:eastAsia="Arial" w:hAnsi="Arial"/>
                <w:sz w:val="18"/>
                <w:szCs w:val="18"/>
                <w:color w:val="auto"/>
              </w:rPr>
              <w:t>Corporate expenses</w:t>
            </w:r>
          </w:p>
        </w:tc>
        <w:tc>
          <w:tcPr>
            <w:tcW w:w="2740" w:type="dxa"/>
            <w:vAlign w:val="bottom"/>
            <w:tcBorders>
              <w:bottom w:val="single" w:sz="8" w:color="auto"/>
            </w:tcBorders>
          </w:tcPr>
          <w:p>
            <w:pPr>
              <w:jc w:val="right"/>
              <w:ind w:right="250"/>
              <w:spacing w:after="0" w:line="203" w:lineRule="exact"/>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196"/>
        </w:trPr>
        <w:tc>
          <w:tcPr>
            <w:tcW w:w="380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color w:val="auto"/>
              </w:rPr>
              <w:t>Total</w:t>
            </w:r>
          </w:p>
        </w:tc>
        <w:tc>
          <w:tcPr>
            <w:tcW w:w="274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rPr>
              <w:t>$5,759</w:t>
            </w:r>
          </w:p>
        </w:tc>
        <w:tc>
          <w:tcPr>
            <w:tcW w:w="166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$6,088</w:t>
            </w:r>
          </w:p>
        </w:tc>
        <w:tc>
          <w:tcPr>
            <w:tcW w:w="174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$612</w:t>
            </w: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($941)</w:t>
            </w:r>
          </w:p>
        </w:tc>
        <w:tc>
          <w:tcPr>
            <w:tcW w:w="20" w:type="dxa"/>
            <w:vAlign w:val="bottom"/>
          </w:tcPr>
          <w:p>
            <w:pPr>
              <w:spacing w:after="0"/>
              <w:rPr>
                <w:sz w:val="17"/>
                <w:szCs w:val="17"/>
                <w:color w:val="auto"/>
              </w:rPr>
            </w:pPr>
          </w:p>
        </w:tc>
      </w:tr>
      <w:tr>
        <w:trPr>
          <w:trHeight w:val="628"/>
        </w:trPr>
        <w:tc>
          <w:tcPr>
            <w:tcW w:w="3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r>
      <w:tr>
        <w:trPr>
          <w:trHeight w:val="129"/>
        </w:trPr>
        <w:tc>
          <w:tcPr>
            <w:tcW w:w="3800" w:type="dxa"/>
            <w:vAlign w:val="bottom"/>
            <w:tcBorders>
              <w:bottom w:val="single" w:sz="8" w:color="auto"/>
            </w:tcBorders>
          </w:tcPr>
          <w:p>
            <w:pPr>
              <w:spacing w:after="0"/>
              <w:rPr>
                <w:sz w:val="11"/>
                <w:szCs w:val="11"/>
                <w:color w:val="auto"/>
              </w:rPr>
            </w:pPr>
          </w:p>
        </w:tc>
        <w:tc>
          <w:tcPr>
            <w:tcW w:w="274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bl>
    <w:p>
      <w:pPr>
        <w:sectPr>
          <w:pgSz w:w="11900" w:h="16838" w:orient="portrait"/>
          <w:cols w:equalWidth="0" w:num="1">
            <w:col w:w="11420"/>
          </w:cols>
          <w:pgMar w:left="240" w:top="140" w:right="239" w:bottom="1440" w:gutter="0" w:footer="0" w:header="0"/>
        </w:sectPr>
      </w:pPr>
    </w:p>
    <w:bookmarkStart w:id="76" w:name="page77"/>
    <w:bookmarkEnd w:id="76"/>
    <w:p>
      <w:pPr>
        <w:jc w:val="both"/>
        <w:ind w:left="660" w:right="180" w:firstLine="648"/>
        <w:spacing w:after="0"/>
        <w:rPr>
          <w:sz w:val="20"/>
          <w:szCs w:val="20"/>
          <w:color w:val="auto"/>
        </w:rPr>
      </w:pPr>
      <w:r>
        <w:rPr>
          <w:rFonts w:ascii="Arial" w:cs="Arial" w:eastAsia="Arial" w:hAnsi="Arial"/>
          <w:sz w:val="18"/>
          <w:szCs w:val="18"/>
          <w:color w:val="auto"/>
        </w:rPr>
        <w:t>We expect that approximately $ 4.7 million of Accrued liabilities for restructuring at December 31, 2016 will be paid within one year and approximately $0.9 million will be paid the following year. The table below presents the changes in restructuring liabilities for 2016 and 2015, all of which related to termination costs: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20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December 31,</w:t>
            </w:r>
          </w:p>
        </w:tc>
        <w:tc>
          <w:tcPr>
            <w:tcW w:w="1840" w:type="dxa"/>
            <w:vAlign w:val="bottom"/>
            <w:tcBorders>
              <w:top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Restructuring</w:t>
            </w:r>
          </w:p>
        </w:tc>
        <w:tc>
          <w:tcPr>
            <w:tcW w:w="112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Currency</w:t>
            </w:r>
          </w:p>
        </w:tc>
        <w:tc>
          <w:tcPr>
            <w:tcW w:w="13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22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400" w:type="dxa"/>
            <w:vAlign w:val="bottom"/>
          </w:tcPr>
          <w:p>
            <w:pPr>
              <w:jc w:val="right"/>
              <w:ind w:right="502"/>
              <w:spacing w:after="0"/>
              <w:rPr>
                <w:sz w:val="20"/>
                <w:szCs w:val="20"/>
                <w:color w:val="auto"/>
              </w:rPr>
            </w:pPr>
            <w:r>
              <w:rPr>
                <w:rFonts w:ascii="Arial" w:cs="Arial" w:eastAsia="Arial" w:hAnsi="Arial"/>
                <w:sz w:val="14"/>
                <w:szCs w:val="14"/>
                <w:b w:val="1"/>
                <w:bCs w:val="1"/>
                <w:color w:val="auto"/>
              </w:rPr>
              <w:t>2015</w:t>
            </w:r>
          </w:p>
        </w:tc>
        <w:tc>
          <w:tcPr>
            <w:tcW w:w="1840" w:type="dxa"/>
            <w:vAlign w:val="bottom"/>
          </w:tcPr>
          <w:p>
            <w:pPr>
              <w:jc w:val="center"/>
              <w:ind w:right="135"/>
              <w:spacing w:after="0"/>
              <w:rPr>
                <w:sz w:val="20"/>
                <w:szCs w:val="20"/>
                <w:color w:val="auto"/>
              </w:rPr>
            </w:pPr>
            <w:r>
              <w:rPr>
                <w:rFonts w:ascii="Arial" w:cs="Arial" w:eastAsia="Arial" w:hAnsi="Arial"/>
                <w:sz w:val="14"/>
                <w:szCs w:val="14"/>
                <w:b w:val="1"/>
                <w:bCs w:val="1"/>
                <w:color w:val="auto"/>
              </w:rPr>
              <w:t>charges accrued</w:t>
            </w:r>
          </w:p>
        </w:tc>
        <w:tc>
          <w:tcPr>
            <w:tcW w:w="1120" w:type="dxa"/>
            <w:vAlign w:val="bottom"/>
          </w:tcPr>
          <w:p>
            <w:pPr>
              <w:jc w:val="right"/>
              <w:ind w:right="239"/>
              <w:spacing w:after="0"/>
              <w:rPr>
                <w:sz w:val="20"/>
                <w:szCs w:val="20"/>
                <w:color w:val="auto"/>
              </w:rPr>
            </w:pPr>
            <w:r>
              <w:rPr>
                <w:rFonts w:ascii="Arial" w:cs="Arial" w:eastAsia="Arial" w:hAnsi="Arial"/>
                <w:sz w:val="14"/>
                <w:szCs w:val="14"/>
                <w:b w:val="1"/>
                <w:bCs w:val="1"/>
                <w:color w:val="auto"/>
              </w:rPr>
              <w:t>Payments</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translation/other</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4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Total termination and other costs</w:t>
            </w:r>
          </w:p>
        </w:tc>
        <w:tc>
          <w:tcPr>
            <w:tcW w:w="140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8"/>
                <w:szCs w:val="18"/>
                <w:color w:val="auto"/>
              </w:rPr>
              <w:t>$10,177</w:t>
            </w:r>
          </w:p>
        </w:tc>
        <w:tc>
          <w:tcPr>
            <w:tcW w:w="184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8"/>
                <w:szCs w:val="18"/>
                <w:color w:val="auto"/>
              </w:rPr>
              <w:t>$7,251</w:t>
            </w:r>
          </w:p>
        </w:tc>
        <w:tc>
          <w:tcPr>
            <w:tcW w:w="11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8"/>
                <w:szCs w:val="18"/>
                <w:color w:val="auto"/>
              </w:rPr>
              <w:t>($11,800)</w:t>
            </w:r>
          </w:p>
        </w:tc>
        <w:tc>
          <w:tcPr>
            <w:tcW w:w="152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8"/>
                <w:szCs w:val="18"/>
                <w:color w:val="auto"/>
              </w:rPr>
              <w:t>($69)</w:t>
            </w:r>
          </w:p>
        </w:tc>
        <w:tc>
          <w:tcPr>
            <w:tcW w:w="13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$5,559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400" w:type="dxa"/>
            <w:vAlign w:val="bottom"/>
          </w:tcPr>
          <w:p>
            <w:pPr>
              <w:jc w:val="right"/>
              <w:ind w:right="262"/>
              <w:spacing w:after="0"/>
              <w:rPr>
                <w:sz w:val="20"/>
                <w:szCs w:val="20"/>
                <w:color w:val="auto"/>
              </w:rPr>
            </w:pPr>
            <w:r>
              <w:rPr>
                <w:rFonts w:ascii="Arial" w:cs="Arial" w:eastAsia="Arial" w:hAnsi="Arial"/>
                <w:sz w:val="14"/>
                <w:szCs w:val="14"/>
                <w:b w:val="1"/>
                <w:bCs w:val="1"/>
                <w:color w:val="auto"/>
              </w:rPr>
              <w:t>December 31,</w:t>
            </w:r>
          </w:p>
        </w:tc>
        <w:tc>
          <w:tcPr>
            <w:tcW w:w="1840" w:type="dxa"/>
            <w:vAlign w:val="bottom"/>
          </w:tcPr>
          <w:p>
            <w:pPr>
              <w:jc w:val="center"/>
              <w:ind w:right="135"/>
              <w:spacing w:after="0"/>
              <w:rPr>
                <w:sz w:val="20"/>
                <w:szCs w:val="20"/>
                <w:color w:val="auto"/>
              </w:rPr>
            </w:pPr>
            <w:r>
              <w:rPr>
                <w:rFonts w:ascii="Arial" w:cs="Arial" w:eastAsia="Arial" w:hAnsi="Arial"/>
                <w:sz w:val="14"/>
                <w:szCs w:val="14"/>
                <w:b w:val="1"/>
                <w:bCs w:val="1"/>
                <w:color w:val="auto"/>
              </w:rPr>
              <w:t>Restructuring</w:t>
            </w:r>
          </w:p>
        </w:tc>
        <w:tc>
          <w:tcPr>
            <w:tcW w:w="112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Currency</w:t>
            </w:r>
          </w:p>
        </w:tc>
        <w:tc>
          <w:tcPr>
            <w:tcW w:w="13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422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400" w:type="dxa"/>
            <w:vAlign w:val="bottom"/>
          </w:tcPr>
          <w:p>
            <w:pPr>
              <w:jc w:val="right"/>
              <w:ind w:right="562"/>
              <w:spacing w:after="0"/>
              <w:rPr>
                <w:sz w:val="20"/>
                <w:szCs w:val="20"/>
                <w:color w:val="auto"/>
              </w:rPr>
            </w:pPr>
            <w:r>
              <w:rPr>
                <w:rFonts w:ascii="Arial" w:cs="Arial" w:eastAsia="Arial" w:hAnsi="Arial"/>
                <w:sz w:val="14"/>
                <w:szCs w:val="14"/>
                <w:b w:val="1"/>
                <w:bCs w:val="1"/>
                <w:color w:val="auto"/>
              </w:rPr>
              <w:t>2014</w:t>
            </w:r>
          </w:p>
        </w:tc>
        <w:tc>
          <w:tcPr>
            <w:tcW w:w="1840" w:type="dxa"/>
            <w:vAlign w:val="bottom"/>
          </w:tcPr>
          <w:p>
            <w:pPr>
              <w:jc w:val="center"/>
              <w:ind w:right="135"/>
              <w:spacing w:after="0"/>
              <w:rPr>
                <w:sz w:val="20"/>
                <w:szCs w:val="20"/>
                <w:color w:val="auto"/>
              </w:rPr>
            </w:pPr>
            <w:r>
              <w:rPr>
                <w:rFonts w:ascii="Arial" w:cs="Arial" w:eastAsia="Arial" w:hAnsi="Arial"/>
                <w:sz w:val="14"/>
                <w:szCs w:val="14"/>
                <w:b w:val="1"/>
                <w:bCs w:val="1"/>
                <w:color w:val="auto"/>
              </w:rPr>
              <w:t>charges accrued</w:t>
            </w:r>
          </w:p>
        </w:tc>
        <w:tc>
          <w:tcPr>
            <w:tcW w:w="1120" w:type="dxa"/>
            <w:vAlign w:val="bottom"/>
          </w:tcPr>
          <w:p>
            <w:pPr>
              <w:jc w:val="right"/>
              <w:ind w:right="239"/>
              <w:spacing w:after="0"/>
              <w:rPr>
                <w:sz w:val="20"/>
                <w:szCs w:val="20"/>
                <w:color w:val="auto"/>
              </w:rPr>
            </w:pPr>
            <w:r>
              <w:rPr>
                <w:rFonts w:ascii="Arial" w:cs="Arial" w:eastAsia="Arial" w:hAnsi="Arial"/>
                <w:sz w:val="14"/>
                <w:szCs w:val="14"/>
                <w:b w:val="1"/>
                <w:bCs w:val="1"/>
                <w:color w:val="auto"/>
              </w:rPr>
              <w:t>Payments</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translation/other</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4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Total termination and other costs</w:t>
            </w:r>
          </w:p>
        </w:tc>
        <w:tc>
          <w:tcPr>
            <w:tcW w:w="140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8"/>
                <w:szCs w:val="18"/>
                <w:color w:val="auto"/>
              </w:rPr>
              <w:t>$1,874</w:t>
            </w:r>
          </w:p>
        </w:tc>
        <w:tc>
          <w:tcPr>
            <w:tcW w:w="184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8"/>
                <w:szCs w:val="18"/>
                <w:color w:val="auto"/>
              </w:rPr>
              <w:t>$20,541</w:t>
            </w:r>
          </w:p>
        </w:tc>
        <w:tc>
          <w:tcPr>
            <w:tcW w:w="11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8"/>
                <w:szCs w:val="18"/>
                <w:color w:val="auto"/>
              </w:rPr>
              <w:t>($12,323)</w:t>
            </w:r>
          </w:p>
        </w:tc>
        <w:tc>
          <w:tcPr>
            <w:tcW w:w="152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8"/>
                <w:szCs w:val="18"/>
                <w:color w:val="auto"/>
              </w:rPr>
              <w:t>$85</w:t>
            </w:r>
          </w:p>
        </w:tc>
        <w:tc>
          <w:tcPr>
            <w:tcW w:w="13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$10,177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8"/>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6. Other Expense/(Income), net</w:t>
            </w:r>
          </w:p>
        </w:tc>
        <w:tc>
          <w:tcPr>
            <w:tcW w:w="14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600" w:type="dxa"/>
            <w:vAlign w:val="bottom"/>
            <w:gridSpan w:val="2"/>
          </w:tcPr>
          <w:p>
            <w:pPr>
              <w:ind w:left="640"/>
              <w:spacing w:after="0"/>
              <w:rPr>
                <w:sz w:val="20"/>
                <w:szCs w:val="20"/>
                <w:color w:val="auto"/>
              </w:rPr>
            </w:pPr>
            <w:r>
              <w:rPr>
                <w:rFonts w:ascii="Arial" w:cs="Arial" w:eastAsia="Arial" w:hAnsi="Arial"/>
                <w:sz w:val="18"/>
                <w:szCs w:val="18"/>
                <w:color w:val="auto"/>
              </w:rPr>
              <w:t>The components of Other Expense/(Income), net, are:</w:t>
            </w:r>
          </w:p>
        </w:tc>
        <w:tc>
          <w:tcPr>
            <w:tcW w:w="1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42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2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(in thousands)</w:t>
            </w:r>
          </w:p>
        </w:tc>
        <w:tc>
          <w:tcPr>
            <w:tcW w:w="140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35"/>
              <w:spacing w:after="0" w:line="196" w:lineRule="exact"/>
              <w:rPr>
                <w:sz w:val="20"/>
                <w:szCs w:val="20"/>
                <w:color w:val="auto"/>
              </w:rPr>
            </w:pPr>
            <w:r>
              <w:rPr>
                <w:rFonts w:ascii="Arial" w:cs="Arial" w:eastAsia="Arial" w:hAnsi="Arial"/>
                <w:sz w:val="18"/>
                <w:szCs w:val="18"/>
                <w:b w:val="1"/>
                <w:bCs w:val="1"/>
                <w:color w:val="auto"/>
              </w:rPr>
              <w:t>2016</w:t>
            </w:r>
          </w:p>
        </w:tc>
        <w:tc>
          <w:tcPr>
            <w:tcW w:w="11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635"/>
              <w:spacing w:after="0" w:line="196" w:lineRule="exact"/>
              <w:rPr>
                <w:sz w:val="20"/>
                <w:szCs w:val="20"/>
                <w:color w:val="auto"/>
              </w:rPr>
            </w:pPr>
            <w:r>
              <w:rPr>
                <w:rFonts w:ascii="Arial" w:cs="Arial" w:eastAsia="Arial" w:hAnsi="Arial"/>
                <w:sz w:val="18"/>
                <w:szCs w:val="18"/>
                <w:b w:val="1"/>
                <w:bCs w:val="1"/>
                <w:color w:val="auto"/>
              </w:rPr>
              <w:t>2015</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2014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00" w:type="dxa"/>
            <w:vAlign w:val="bottom"/>
          </w:tcPr>
          <w:p>
            <w:pPr>
              <w:ind w:left="60"/>
              <w:spacing w:after="0" w:line="173" w:lineRule="exact"/>
              <w:rPr>
                <w:sz w:val="20"/>
                <w:szCs w:val="20"/>
                <w:color w:val="auto"/>
              </w:rPr>
            </w:pPr>
            <w:r>
              <w:rPr>
                <w:rFonts w:ascii="Arial" w:cs="Arial" w:eastAsia="Arial" w:hAnsi="Arial"/>
                <w:sz w:val="18"/>
                <w:szCs w:val="18"/>
                <w:color w:val="auto"/>
              </w:rPr>
              <w:t>Currency transactions</w:t>
            </w:r>
          </w:p>
        </w:tc>
        <w:tc>
          <w:tcPr>
            <w:tcW w:w="1400" w:type="dxa"/>
            <w:vAlign w:val="bottom"/>
          </w:tcPr>
          <w:p>
            <w:pPr>
              <w:spacing w:after="0"/>
              <w:rPr>
                <w:sz w:val="15"/>
                <w:szCs w:val="15"/>
                <w:color w:val="auto"/>
              </w:rPr>
            </w:pPr>
          </w:p>
        </w:tc>
        <w:tc>
          <w:tcPr>
            <w:tcW w:w="1840" w:type="dxa"/>
            <w:vAlign w:val="bottom"/>
          </w:tcPr>
          <w:p>
            <w:pPr>
              <w:jc w:val="right"/>
              <w:ind w:right="95"/>
              <w:spacing w:after="0" w:line="173" w:lineRule="exact"/>
              <w:rPr>
                <w:sz w:val="20"/>
                <w:szCs w:val="20"/>
                <w:color w:val="auto"/>
              </w:rPr>
            </w:pPr>
            <w:r>
              <w:rPr>
                <w:rFonts w:ascii="Arial" w:cs="Arial" w:eastAsia="Arial" w:hAnsi="Arial"/>
                <w:sz w:val="18"/>
                <w:szCs w:val="18"/>
                <w:b w:val="1"/>
                <w:bCs w:val="1"/>
                <w:color w:val="auto"/>
              </w:rPr>
              <w:t>($3,532)</w:t>
            </w:r>
          </w:p>
        </w:tc>
        <w:tc>
          <w:tcPr>
            <w:tcW w:w="1120" w:type="dxa"/>
            <w:vAlign w:val="bottom"/>
          </w:tcPr>
          <w:p>
            <w:pPr>
              <w:spacing w:after="0"/>
              <w:rPr>
                <w:sz w:val="15"/>
                <w:szCs w:val="15"/>
                <w:color w:val="auto"/>
              </w:rPr>
            </w:pPr>
          </w:p>
        </w:tc>
        <w:tc>
          <w:tcPr>
            <w:tcW w:w="1520" w:type="dxa"/>
            <w:vAlign w:val="bottom"/>
          </w:tcPr>
          <w:p>
            <w:pPr>
              <w:jc w:val="right"/>
              <w:ind w:right="735"/>
              <w:spacing w:after="0" w:line="173" w:lineRule="exact"/>
              <w:rPr>
                <w:sz w:val="20"/>
                <w:szCs w:val="20"/>
                <w:color w:val="auto"/>
              </w:rPr>
            </w:pPr>
            <w:r>
              <w:rPr>
                <w:rFonts w:ascii="Arial" w:cs="Arial" w:eastAsia="Arial" w:hAnsi="Arial"/>
                <w:sz w:val="18"/>
                <w:szCs w:val="18"/>
                <w:color w:val="auto"/>
              </w:rPr>
              <w:t>$1,496</w:t>
            </w:r>
          </w:p>
        </w:tc>
        <w:tc>
          <w:tcPr>
            <w:tcW w:w="1320" w:type="dxa"/>
            <w:vAlign w:val="bottom"/>
          </w:tcPr>
          <w:p>
            <w:pPr>
              <w:jc w:val="right"/>
              <w:spacing w:after="0" w:line="173" w:lineRule="exact"/>
              <w:rPr>
                <w:sz w:val="20"/>
                <w:szCs w:val="20"/>
                <w:color w:val="auto"/>
              </w:rPr>
            </w:pPr>
            <w:r>
              <w:rPr>
                <w:rFonts w:ascii="Arial" w:cs="Arial" w:eastAsia="Arial" w:hAnsi="Arial"/>
                <w:sz w:val="18"/>
                <w:szCs w:val="18"/>
                <w:color w:val="auto"/>
              </w:rPr>
              <w:t>($6,379)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tcPr>
          <w:p>
            <w:pPr>
              <w:ind w:left="60"/>
              <w:spacing w:after="0" w:line="202" w:lineRule="exact"/>
              <w:rPr>
                <w:sz w:val="20"/>
                <w:szCs w:val="20"/>
                <w:color w:val="auto"/>
              </w:rPr>
            </w:pPr>
            <w:r>
              <w:rPr>
                <w:rFonts w:ascii="Arial" w:cs="Arial" w:eastAsia="Arial" w:hAnsi="Arial"/>
                <w:sz w:val="18"/>
                <w:szCs w:val="18"/>
                <w:color w:val="auto"/>
              </w:rPr>
              <w:t>Bank fees and amortization of debt issuance costs</w:t>
            </w:r>
          </w:p>
        </w:tc>
        <w:tc>
          <w:tcPr>
            <w:tcW w:w="1400" w:type="dxa"/>
            <w:vAlign w:val="bottom"/>
          </w:tcPr>
          <w:p>
            <w:pPr>
              <w:spacing w:after="0"/>
              <w:rPr>
                <w:sz w:val="17"/>
                <w:szCs w:val="17"/>
                <w:color w:val="auto"/>
              </w:rPr>
            </w:pPr>
          </w:p>
        </w:tc>
        <w:tc>
          <w:tcPr>
            <w:tcW w:w="1840" w:type="dxa"/>
            <w:vAlign w:val="bottom"/>
          </w:tcPr>
          <w:p>
            <w:pPr>
              <w:jc w:val="right"/>
              <w:ind w:right="155"/>
              <w:spacing w:after="0" w:line="202" w:lineRule="exact"/>
              <w:rPr>
                <w:sz w:val="20"/>
                <w:szCs w:val="20"/>
                <w:color w:val="auto"/>
              </w:rPr>
            </w:pPr>
            <w:r>
              <w:rPr>
                <w:rFonts w:ascii="Arial" w:cs="Arial" w:eastAsia="Arial" w:hAnsi="Arial"/>
                <w:sz w:val="18"/>
                <w:szCs w:val="18"/>
                <w:b w:val="1"/>
                <w:bCs w:val="1"/>
                <w:color w:val="auto"/>
              </w:rPr>
              <w:t>759</w:t>
            </w:r>
          </w:p>
        </w:tc>
        <w:tc>
          <w:tcPr>
            <w:tcW w:w="1120" w:type="dxa"/>
            <w:vAlign w:val="bottom"/>
          </w:tcPr>
          <w:p>
            <w:pPr>
              <w:spacing w:after="0"/>
              <w:rPr>
                <w:sz w:val="17"/>
                <w:szCs w:val="17"/>
                <w:color w:val="auto"/>
              </w:rPr>
            </w:pPr>
          </w:p>
        </w:tc>
        <w:tc>
          <w:tcPr>
            <w:tcW w:w="1520" w:type="dxa"/>
            <w:vAlign w:val="bottom"/>
          </w:tcPr>
          <w:p>
            <w:pPr>
              <w:jc w:val="right"/>
              <w:ind w:right="735"/>
              <w:spacing w:after="0" w:line="202" w:lineRule="exact"/>
              <w:rPr>
                <w:sz w:val="20"/>
                <w:szCs w:val="20"/>
                <w:color w:val="auto"/>
              </w:rPr>
            </w:pPr>
            <w:r>
              <w:rPr>
                <w:rFonts w:ascii="Arial" w:cs="Arial" w:eastAsia="Arial" w:hAnsi="Arial"/>
                <w:sz w:val="18"/>
                <w:szCs w:val="18"/>
                <w:color w:val="auto"/>
              </w:rPr>
              <w:t>916</w:t>
            </w:r>
          </w:p>
        </w:tc>
        <w:tc>
          <w:tcPr>
            <w:tcW w:w="132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1,174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tcPr>
          <w:p>
            <w:pPr>
              <w:ind w:left="60"/>
              <w:spacing w:after="0" w:line="202" w:lineRule="exact"/>
              <w:rPr>
                <w:sz w:val="20"/>
                <w:szCs w:val="20"/>
                <w:color w:val="auto"/>
              </w:rPr>
            </w:pPr>
            <w:r>
              <w:rPr>
                <w:rFonts w:ascii="Arial" w:cs="Arial" w:eastAsia="Arial" w:hAnsi="Arial"/>
                <w:sz w:val="18"/>
                <w:szCs w:val="18"/>
                <w:color w:val="auto"/>
              </w:rPr>
              <w:t>Loss due to theft of cash</w:t>
            </w:r>
          </w:p>
        </w:tc>
        <w:tc>
          <w:tcPr>
            <w:tcW w:w="1400" w:type="dxa"/>
            <w:vAlign w:val="bottom"/>
          </w:tcPr>
          <w:p>
            <w:pPr>
              <w:spacing w:after="0"/>
              <w:rPr>
                <w:sz w:val="17"/>
                <w:szCs w:val="17"/>
                <w:color w:val="auto"/>
              </w:rPr>
            </w:pPr>
          </w:p>
        </w:tc>
        <w:tc>
          <w:tcPr>
            <w:tcW w:w="1840" w:type="dxa"/>
            <w:vAlign w:val="bottom"/>
          </w:tcPr>
          <w:p>
            <w:pPr>
              <w:jc w:val="right"/>
              <w:ind w:right="155"/>
              <w:spacing w:after="0" w:line="202" w:lineRule="exact"/>
              <w:rPr>
                <w:sz w:val="20"/>
                <w:szCs w:val="20"/>
                <w:color w:val="auto"/>
              </w:rPr>
            </w:pPr>
            <w:r>
              <w:rPr>
                <w:rFonts w:ascii="Arial" w:cs="Arial" w:eastAsia="Arial" w:hAnsi="Arial"/>
                <w:sz w:val="18"/>
                <w:szCs w:val="18"/>
                <w:b w:val="1"/>
                <w:bCs w:val="1"/>
                <w:color w:val="auto"/>
              </w:rPr>
              <w:t>2,506</w:t>
            </w:r>
          </w:p>
        </w:tc>
        <w:tc>
          <w:tcPr>
            <w:tcW w:w="1120" w:type="dxa"/>
            <w:vAlign w:val="bottom"/>
          </w:tcPr>
          <w:p>
            <w:pPr>
              <w:spacing w:after="0"/>
              <w:rPr>
                <w:sz w:val="17"/>
                <w:szCs w:val="17"/>
                <w:color w:val="auto"/>
              </w:rPr>
            </w:pPr>
          </w:p>
        </w:tc>
        <w:tc>
          <w:tcPr>
            <w:tcW w:w="1520" w:type="dxa"/>
            <w:vAlign w:val="bottom"/>
          </w:tcPr>
          <w:p>
            <w:pPr>
              <w:jc w:val="right"/>
              <w:ind w:right="735"/>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tcPr>
          <w:p>
            <w:pPr>
              <w:ind w:left="60"/>
              <w:spacing w:after="0" w:line="202" w:lineRule="exact"/>
              <w:rPr>
                <w:sz w:val="20"/>
                <w:szCs w:val="20"/>
                <w:color w:val="auto"/>
              </w:rPr>
            </w:pPr>
            <w:r>
              <w:rPr>
                <w:rFonts w:ascii="Arial" w:cs="Arial" w:eastAsia="Arial" w:hAnsi="Arial"/>
                <w:sz w:val="18"/>
                <w:szCs w:val="18"/>
                <w:color w:val="auto"/>
              </w:rPr>
              <w:t>Gain on sale of investment</w:t>
            </w:r>
          </w:p>
        </w:tc>
        <w:tc>
          <w:tcPr>
            <w:tcW w:w="1400" w:type="dxa"/>
            <w:vAlign w:val="bottom"/>
          </w:tcPr>
          <w:p>
            <w:pPr>
              <w:spacing w:after="0"/>
              <w:rPr>
                <w:sz w:val="17"/>
                <w:szCs w:val="17"/>
                <w:color w:val="auto"/>
              </w:rPr>
            </w:pPr>
          </w:p>
        </w:tc>
        <w:tc>
          <w:tcPr>
            <w:tcW w:w="1840" w:type="dxa"/>
            <w:vAlign w:val="bottom"/>
          </w:tcPr>
          <w:p>
            <w:pPr>
              <w:jc w:val="right"/>
              <w:ind w:right="155"/>
              <w:spacing w:after="0" w:line="202" w:lineRule="exact"/>
              <w:rPr>
                <w:sz w:val="20"/>
                <w:szCs w:val="20"/>
                <w:color w:val="auto"/>
              </w:rPr>
            </w:pPr>
            <w:r>
              <w:rPr>
                <w:rFonts w:ascii="Arial" w:cs="Arial" w:eastAsia="Arial" w:hAnsi="Arial"/>
                <w:sz w:val="18"/>
                <w:szCs w:val="18"/>
                <w:b w:val="1"/>
                <w:bCs w:val="1"/>
                <w:color w:val="auto"/>
              </w:rPr>
              <w:t>-</w:t>
            </w:r>
          </w:p>
        </w:tc>
        <w:tc>
          <w:tcPr>
            <w:tcW w:w="1120" w:type="dxa"/>
            <w:vAlign w:val="bottom"/>
          </w:tcPr>
          <w:p>
            <w:pPr>
              <w:spacing w:after="0"/>
              <w:rPr>
                <w:sz w:val="17"/>
                <w:szCs w:val="17"/>
                <w:color w:val="auto"/>
              </w:rPr>
            </w:pPr>
          </w:p>
        </w:tc>
        <w:tc>
          <w:tcPr>
            <w:tcW w:w="1520" w:type="dxa"/>
            <w:vAlign w:val="bottom"/>
          </w:tcPr>
          <w:p>
            <w:pPr>
              <w:jc w:val="right"/>
              <w:ind w:right="675"/>
              <w:spacing w:after="0" w:line="202" w:lineRule="exact"/>
              <w:rPr>
                <w:sz w:val="20"/>
                <w:szCs w:val="20"/>
                <w:color w:val="auto"/>
              </w:rPr>
            </w:pPr>
            <w:r>
              <w:rPr>
                <w:rFonts w:ascii="Arial" w:cs="Arial" w:eastAsia="Arial" w:hAnsi="Arial"/>
                <w:sz w:val="18"/>
                <w:szCs w:val="18"/>
                <w:color w:val="auto"/>
              </w:rPr>
              <w:t>(872)</w:t>
            </w:r>
          </w:p>
        </w:tc>
        <w:tc>
          <w:tcPr>
            <w:tcW w:w="1320" w:type="dxa"/>
            <w:vAlign w:val="bottom"/>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tcPr>
          <w:p>
            <w:pPr>
              <w:ind w:left="60"/>
              <w:spacing w:after="0" w:line="202" w:lineRule="exact"/>
              <w:rPr>
                <w:sz w:val="20"/>
                <w:szCs w:val="20"/>
                <w:color w:val="auto"/>
              </w:rPr>
            </w:pPr>
            <w:r>
              <w:rPr>
                <w:rFonts w:ascii="Arial" w:cs="Arial" w:eastAsia="Arial" w:hAnsi="Arial"/>
                <w:sz w:val="18"/>
                <w:szCs w:val="18"/>
                <w:color w:val="auto"/>
              </w:rPr>
              <w:t>Gain on insurance recovery</w:t>
            </w:r>
          </w:p>
        </w:tc>
        <w:tc>
          <w:tcPr>
            <w:tcW w:w="1400" w:type="dxa"/>
            <w:vAlign w:val="bottom"/>
          </w:tcPr>
          <w:p>
            <w:pPr>
              <w:spacing w:after="0"/>
              <w:rPr>
                <w:sz w:val="17"/>
                <w:szCs w:val="17"/>
                <w:color w:val="auto"/>
              </w:rPr>
            </w:pPr>
          </w:p>
        </w:tc>
        <w:tc>
          <w:tcPr>
            <w:tcW w:w="1840" w:type="dxa"/>
            <w:vAlign w:val="bottom"/>
          </w:tcPr>
          <w:p>
            <w:pPr>
              <w:jc w:val="right"/>
              <w:ind w:right="155"/>
              <w:spacing w:after="0" w:line="202" w:lineRule="exact"/>
              <w:rPr>
                <w:sz w:val="20"/>
                <w:szCs w:val="20"/>
                <w:color w:val="auto"/>
              </w:rPr>
            </w:pPr>
            <w:r>
              <w:rPr>
                <w:rFonts w:ascii="Arial" w:cs="Arial" w:eastAsia="Arial" w:hAnsi="Arial"/>
                <w:sz w:val="18"/>
                <w:szCs w:val="18"/>
                <w:b w:val="1"/>
                <w:bCs w:val="1"/>
                <w:color w:val="auto"/>
              </w:rPr>
              <w:t>-</w:t>
            </w:r>
          </w:p>
        </w:tc>
        <w:tc>
          <w:tcPr>
            <w:tcW w:w="1120" w:type="dxa"/>
            <w:vAlign w:val="bottom"/>
          </w:tcPr>
          <w:p>
            <w:pPr>
              <w:spacing w:after="0"/>
              <w:rPr>
                <w:sz w:val="17"/>
                <w:szCs w:val="17"/>
                <w:color w:val="auto"/>
              </w:rPr>
            </w:pPr>
          </w:p>
        </w:tc>
        <w:tc>
          <w:tcPr>
            <w:tcW w:w="1520" w:type="dxa"/>
            <w:vAlign w:val="bottom"/>
          </w:tcPr>
          <w:p>
            <w:pPr>
              <w:jc w:val="right"/>
              <w:ind w:right="735"/>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(1,126)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2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Other</w:t>
            </w:r>
          </w:p>
        </w:tc>
        <w:tc>
          <w:tcPr>
            <w:tcW w:w="14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b w:val="1"/>
                <w:bCs w:val="1"/>
                <w:color w:val="auto"/>
              </w:rPr>
              <w:t>313</w:t>
            </w:r>
          </w:p>
        </w:tc>
        <w:tc>
          <w:tcPr>
            <w:tcW w:w="1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735"/>
              <w:spacing w:after="0"/>
              <w:rPr>
                <w:sz w:val="20"/>
                <w:szCs w:val="20"/>
                <w:color w:val="auto"/>
              </w:rPr>
            </w:pPr>
            <w:r>
              <w:rPr>
                <w:rFonts w:ascii="Arial" w:cs="Arial" w:eastAsia="Arial" w:hAnsi="Arial"/>
                <w:sz w:val="18"/>
                <w:szCs w:val="18"/>
                <w:color w:val="auto"/>
              </w:rPr>
              <w:t>893</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Total</w:t>
            </w:r>
          </w:p>
        </w:tc>
        <w:tc>
          <w:tcPr>
            <w:tcW w:w="140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155"/>
              <w:spacing w:after="0" w:line="196" w:lineRule="exact"/>
              <w:rPr>
                <w:sz w:val="20"/>
                <w:szCs w:val="20"/>
                <w:color w:val="auto"/>
              </w:rPr>
            </w:pPr>
            <w:r>
              <w:rPr>
                <w:rFonts w:ascii="Arial" w:cs="Arial" w:eastAsia="Arial" w:hAnsi="Arial"/>
                <w:sz w:val="18"/>
                <w:szCs w:val="18"/>
                <w:b w:val="1"/>
                <w:bCs w:val="1"/>
                <w:color w:val="auto"/>
              </w:rPr>
              <w:t>$46</w:t>
            </w:r>
          </w:p>
        </w:tc>
        <w:tc>
          <w:tcPr>
            <w:tcW w:w="11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735"/>
              <w:spacing w:after="0" w:line="196" w:lineRule="exact"/>
              <w:rPr>
                <w:sz w:val="20"/>
                <w:szCs w:val="20"/>
                <w:color w:val="auto"/>
              </w:rPr>
            </w:pPr>
            <w:r>
              <w:rPr>
                <w:rFonts w:ascii="Arial" w:cs="Arial" w:eastAsia="Arial" w:hAnsi="Arial"/>
                <w:sz w:val="18"/>
                <w:szCs w:val="18"/>
                <w:color w:val="auto"/>
              </w:rPr>
              <w:t>$2,433</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($6,853)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ind w:right="300" w:firstLine="648"/>
        <w:spacing w:after="0" w:line="246" w:lineRule="auto"/>
        <w:rPr>
          <w:sz w:val="20"/>
          <w:szCs w:val="20"/>
          <w:color w:val="auto"/>
        </w:rPr>
      </w:pPr>
      <w:r>
        <w:rPr>
          <w:rFonts w:ascii="Arial" w:cs="Arial" w:eastAsia="Arial" w:hAnsi="Arial"/>
          <w:sz w:val="18"/>
          <w:szCs w:val="18"/>
          <w:color w:val="auto"/>
        </w:rPr>
        <w:t>In 2016, the Company had a loss due to theft of cash in Japan, resulting in a loss of $2.5 million. While some of the loss occurred in prior periods, that portion was not material and, accordingly, we have not restated any previously-issued financial statements.</w:t>
      </w:r>
    </w:p>
    <w:p>
      <w:pPr>
        <w:spacing w:after="0" w:line="156" w:lineRule="exact"/>
        <w:rPr>
          <w:sz w:val="20"/>
          <w:szCs w:val="20"/>
          <w:color w:val="auto"/>
        </w:rPr>
      </w:pPr>
    </w:p>
    <w:p>
      <w:pPr>
        <w:ind w:right="100" w:firstLine="648"/>
        <w:spacing w:after="0" w:line="246" w:lineRule="auto"/>
        <w:rPr>
          <w:sz w:val="20"/>
          <w:szCs w:val="20"/>
          <w:color w:val="auto"/>
        </w:rPr>
      </w:pPr>
      <w:r>
        <w:rPr>
          <w:rFonts w:ascii="Arial" w:cs="Arial" w:eastAsia="Arial" w:hAnsi="Arial"/>
          <w:sz w:val="18"/>
          <w:szCs w:val="18"/>
          <w:color w:val="auto"/>
        </w:rPr>
        <w:t>In March 2015, the Company sold its total equity investment in an unaffiliated company, resulting in a gain of $0.9 million. The value of the investment had been written off in 2004.</w:t>
      </w:r>
    </w:p>
    <w:p>
      <w:pPr>
        <w:spacing w:after="0" w:line="170"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In July 2013, the Company’s manufacturing facility in Germany was damaged by severe weather. At that time, the Company expensed the remaining book value of the damaged property, but the value was minimal. The gain recorded in 2014 represents the finalization of the insurance claim.</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7. Income Taxes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components of income tax expense/(benefit) and income before income taxes on continuing operations: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2260" w:type="dxa"/>
            <w:vAlign w:val="bottom"/>
            <w:tcBorders>
              <w:top w:val="single" w:sz="8" w:color="auto"/>
            </w:tcBorders>
          </w:tcPr>
          <w:p>
            <w:pPr>
              <w:jc w:val="right"/>
              <w:ind w:right="990"/>
              <w:spacing w:after="0"/>
              <w:rPr>
                <w:sz w:val="20"/>
                <w:szCs w:val="20"/>
                <w:color w:val="auto"/>
              </w:rPr>
            </w:pPr>
            <w:r>
              <w:rPr>
                <w:rFonts w:ascii="Arial" w:cs="Arial" w:eastAsia="Arial" w:hAnsi="Arial"/>
                <w:sz w:val="18"/>
                <w:szCs w:val="18"/>
                <w:b w:val="1"/>
                <w:bCs w:val="1"/>
                <w:color w:val="auto"/>
              </w:rPr>
              <w:t>2016</w:t>
            </w:r>
          </w:p>
        </w:tc>
        <w:tc>
          <w:tcPr>
            <w:tcW w:w="2020" w:type="dxa"/>
            <w:vAlign w:val="bottom"/>
            <w:tcBorders>
              <w:top w:val="single" w:sz="8" w:color="auto"/>
            </w:tcBorders>
          </w:tcPr>
          <w:p>
            <w:pPr>
              <w:jc w:val="right"/>
              <w:ind w:right="970"/>
              <w:spacing w:after="0"/>
              <w:rPr>
                <w:sz w:val="20"/>
                <w:szCs w:val="20"/>
                <w:color w:val="auto"/>
              </w:rPr>
            </w:pPr>
            <w:r>
              <w:rPr>
                <w:rFonts w:ascii="Arial" w:cs="Arial" w:eastAsia="Arial" w:hAnsi="Arial"/>
                <w:sz w:val="18"/>
                <w:szCs w:val="18"/>
                <w:b w:val="1"/>
                <w:bCs w:val="1"/>
                <w:color w:val="auto"/>
              </w:rPr>
              <w:t>2015</w:t>
            </w:r>
          </w:p>
        </w:tc>
        <w:tc>
          <w:tcPr>
            <w:tcW w:w="152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56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Income tax based on income from continuing operations, at</w:t>
            </w:r>
          </w:p>
        </w:tc>
        <w:tc>
          <w:tcPr>
            <w:tcW w:w="2260" w:type="dxa"/>
            <w:vAlign w:val="bottom"/>
            <w:tcBorders>
              <w:top w:val="single" w:sz="8" w:color="auto"/>
            </w:tcBorders>
            <w:vMerge w:val="restart"/>
          </w:tcPr>
          <w:p>
            <w:pPr>
              <w:jc w:val="right"/>
              <w:ind w:right="570"/>
              <w:spacing w:after="0"/>
              <w:rPr>
                <w:sz w:val="20"/>
                <w:szCs w:val="20"/>
                <w:color w:val="auto"/>
              </w:rPr>
            </w:pPr>
            <w:r>
              <w:rPr>
                <w:rFonts w:ascii="Arial" w:cs="Arial" w:eastAsia="Arial" w:hAnsi="Arial"/>
                <w:sz w:val="18"/>
                <w:szCs w:val="18"/>
                <w:b w:val="1"/>
                <w:bCs w:val="1"/>
                <w:color w:val="auto"/>
              </w:rPr>
              <w:t>$27,629</w:t>
            </w:r>
          </w:p>
        </w:tc>
        <w:tc>
          <w:tcPr>
            <w:tcW w:w="202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600" w:type="dxa"/>
            <w:vAlign w:val="bottom"/>
          </w:tcPr>
          <w:p>
            <w:pPr>
              <w:ind w:left="20"/>
              <w:spacing w:after="0" w:line="181" w:lineRule="exact"/>
              <w:rPr>
                <w:sz w:val="20"/>
                <w:szCs w:val="20"/>
                <w:color w:val="auto"/>
              </w:rPr>
            </w:pPr>
            <w:r>
              <w:rPr>
                <w:rFonts w:ascii="Arial" w:cs="Arial" w:eastAsia="Arial" w:hAnsi="Arial"/>
                <w:sz w:val="18"/>
                <w:szCs w:val="18"/>
                <w:color w:val="auto"/>
              </w:rPr>
              <w:t>estimated tax rates of 35%, 32%, and 34%, respectively</w:t>
            </w:r>
          </w:p>
        </w:tc>
        <w:tc>
          <w:tcPr>
            <w:tcW w:w="2260" w:type="dxa"/>
            <w:vAlign w:val="bottom"/>
            <w:vMerge w:val="continue"/>
          </w:tcPr>
          <w:p>
            <w:pPr>
              <w:spacing w:after="0"/>
              <w:rPr>
                <w:sz w:val="15"/>
                <w:szCs w:val="15"/>
                <w:color w:val="auto"/>
              </w:rPr>
            </w:pPr>
          </w:p>
        </w:tc>
        <w:tc>
          <w:tcPr>
            <w:tcW w:w="2020" w:type="dxa"/>
            <w:vAlign w:val="bottom"/>
          </w:tcPr>
          <w:p>
            <w:pPr>
              <w:jc w:val="right"/>
              <w:ind w:right="530"/>
              <w:spacing w:after="0" w:line="181" w:lineRule="exact"/>
              <w:rPr>
                <w:sz w:val="20"/>
                <w:szCs w:val="20"/>
                <w:color w:val="auto"/>
              </w:rPr>
            </w:pPr>
            <w:r>
              <w:rPr>
                <w:rFonts w:ascii="Arial" w:cs="Arial" w:eastAsia="Arial" w:hAnsi="Arial"/>
                <w:sz w:val="18"/>
                <w:szCs w:val="18"/>
                <w:color w:val="auto"/>
              </w:rPr>
              <w:t>$16,388</w:t>
            </w:r>
          </w:p>
        </w:tc>
        <w:tc>
          <w:tcPr>
            <w:tcW w:w="1520" w:type="dxa"/>
            <w:vAlign w:val="bottom"/>
          </w:tcPr>
          <w:p>
            <w:pPr>
              <w:jc w:val="right"/>
              <w:ind w:right="10"/>
              <w:spacing w:after="0" w:line="181" w:lineRule="exact"/>
              <w:rPr>
                <w:sz w:val="20"/>
                <w:szCs w:val="20"/>
                <w:color w:val="auto"/>
              </w:rPr>
            </w:pPr>
            <w:r>
              <w:rPr>
                <w:rFonts w:ascii="Arial" w:cs="Arial" w:eastAsia="Arial" w:hAnsi="Arial"/>
                <w:sz w:val="18"/>
                <w:szCs w:val="18"/>
                <w:color w:val="auto"/>
              </w:rPr>
              <w:t>$25,703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Pension plan settlements</w:t>
            </w:r>
          </w:p>
        </w:tc>
        <w:tc>
          <w:tcPr>
            <w:tcW w:w="22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w:t>
            </w:r>
          </w:p>
        </w:tc>
        <w:tc>
          <w:tcPr>
            <w:tcW w:w="20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(3,194)</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Income tax before discrete items</w:t>
            </w:r>
          </w:p>
        </w:tc>
        <w:tc>
          <w:tcPr>
            <w:tcW w:w="2260" w:type="dxa"/>
            <w:vAlign w:val="bottom"/>
          </w:tcPr>
          <w:p>
            <w:pPr>
              <w:jc w:val="right"/>
              <w:ind w:right="570"/>
              <w:spacing w:after="0"/>
              <w:rPr>
                <w:sz w:val="20"/>
                <w:szCs w:val="20"/>
                <w:color w:val="auto"/>
              </w:rPr>
            </w:pPr>
            <w:r>
              <w:rPr>
                <w:rFonts w:ascii="Arial" w:cs="Arial" w:eastAsia="Arial" w:hAnsi="Arial"/>
                <w:sz w:val="18"/>
                <w:szCs w:val="18"/>
                <w:b w:val="1"/>
                <w:bCs w:val="1"/>
                <w:color w:val="auto"/>
              </w:rPr>
              <w:t>27,629</w:t>
            </w:r>
          </w:p>
        </w:tc>
        <w:tc>
          <w:tcPr>
            <w:tcW w:w="2020" w:type="dxa"/>
            <w:vAlign w:val="bottom"/>
          </w:tcPr>
          <w:p>
            <w:pPr>
              <w:jc w:val="right"/>
              <w:ind w:right="530"/>
              <w:spacing w:after="0"/>
              <w:rPr>
                <w:sz w:val="20"/>
                <w:szCs w:val="20"/>
                <w:color w:val="auto"/>
              </w:rPr>
            </w:pPr>
            <w:r>
              <w:rPr>
                <w:rFonts w:ascii="Arial" w:cs="Arial" w:eastAsia="Arial" w:hAnsi="Arial"/>
                <w:sz w:val="18"/>
                <w:szCs w:val="18"/>
                <w:color w:val="auto"/>
              </w:rPr>
              <w:t>16,388</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22,509</w:t>
            </w:r>
          </w:p>
        </w:tc>
        <w:tc>
          <w:tcPr>
            <w:tcW w:w="0" w:type="dxa"/>
            <w:vAlign w:val="bottom"/>
          </w:tcPr>
          <w:p>
            <w:pPr>
              <w:spacing w:after="0"/>
              <w:rPr>
                <w:sz w:val="1"/>
                <w:szCs w:val="1"/>
                <w:color w:val="auto"/>
              </w:rPr>
            </w:pPr>
          </w:p>
        </w:tc>
      </w:tr>
      <w:tr>
        <w:trPr>
          <w:trHeight w:val="368"/>
        </w:trPr>
        <w:tc>
          <w:tcPr>
            <w:tcW w:w="20" w:type="dxa"/>
            <w:vAlign w:val="bottom"/>
          </w:tcPr>
          <w:p>
            <w:pPr>
              <w:spacing w:after="0"/>
              <w:rPr>
                <w:sz w:val="24"/>
                <w:szCs w:val="24"/>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Discrete tax expense/(benefit):</w:t>
            </w:r>
          </w:p>
        </w:tc>
        <w:tc>
          <w:tcPr>
            <w:tcW w:w="2260" w:type="dxa"/>
            <w:vAlign w:val="bottom"/>
            <w:vMerge w:val="restart"/>
          </w:tcPr>
          <w:p>
            <w:pPr>
              <w:jc w:val="right"/>
              <w:ind w:right="570"/>
              <w:spacing w:after="0"/>
              <w:rPr>
                <w:sz w:val="20"/>
                <w:szCs w:val="20"/>
                <w:color w:val="auto"/>
              </w:rPr>
            </w:pPr>
            <w:r>
              <w:rPr>
                <w:rFonts w:ascii="Arial" w:cs="Arial" w:eastAsia="Arial" w:hAnsi="Arial"/>
                <w:sz w:val="18"/>
                <w:szCs w:val="18"/>
                <w:b w:val="1"/>
                <w:bCs w:val="1"/>
                <w:color w:val="auto"/>
              </w:rPr>
              <w:t>-</w:t>
            </w:r>
          </w:p>
        </w:tc>
        <w:tc>
          <w:tcPr>
            <w:tcW w:w="20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600" w:type="dxa"/>
            <w:vAlign w:val="bottom"/>
          </w:tcPr>
          <w:p>
            <w:pPr>
              <w:ind w:left="120"/>
              <w:spacing w:after="0" w:line="181" w:lineRule="exact"/>
              <w:rPr>
                <w:sz w:val="20"/>
                <w:szCs w:val="20"/>
                <w:color w:val="auto"/>
              </w:rPr>
            </w:pPr>
            <w:r>
              <w:rPr>
                <w:rFonts w:ascii="Arial" w:cs="Arial" w:eastAsia="Arial" w:hAnsi="Arial"/>
                <w:sz w:val="18"/>
                <w:szCs w:val="18"/>
                <w:color w:val="auto"/>
              </w:rPr>
              <w:t>Worthless Stock deduction</w:t>
            </w:r>
          </w:p>
        </w:tc>
        <w:tc>
          <w:tcPr>
            <w:tcW w:w="2260" w:type="dxa"/>
            <w:vAlign w:val="bottom"/>
            <w:vMerge w:val="continue"/>
          </w:tcPr>
          <w:p>
            <w:pPr>
              <w:spacing w:after="0"/>
              <w:rPr>
                <w:sz w:val="15"/>
                <w:szCs w:val="15"/>
                <w:color w:val="auto"/>
              </w:rPr>
            </w:pPr>
          </w:p>
        </w:tc>
        <w:tc>
          <w:tcPr>
            <w:tcW w:w="2020" w:type="dxa"/>
            <w:vAlign w:val="bottom"/>
          </w:tcPr>
          <w:p>
            <w:pPr>
              <w:jc w:val="right"/>
              <w:ind w:right="470"/>
              <w:spacing w:after="0" w:line="181" w:lineRule="exact"/>
              <w:rPr>
                <w:sz w:val="20"/>
                <w:szCs w:val="20"/>
                <w:color w:val="auto"/>
              </w:rPr>
            </w:pPr>
            <w:r>
              <w:rPr>
                <w:rFonts w:ascii="Arial" w:cs="Arial" w:eastAsia="Arial" w:hAnsi="Arial"/>
                <w:sz w:val="18"/>
                <w:szCs w:val="18"/>
                <w:color w:val="auto"/>
              </w:rPr>
              <w:t>(28,553)</w:t>
            </w:r>
          </w:p>
        </w:tc>
        <w:tc>
          <w:tcPr>
            <w:tcW w:w="1520" w:type="dxa"/>
            <w:vAlign w:val="bottom"/>
          </w:tcPr>
          <w:p>
            <w:pPr>
              <w:jc w:val="right"/>
              <w:ind w:right="10"/>
              <w:spacing w:after="0" w:line="18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Pr>
          <w:p>
            <w:pPr>
              <w:ind w:left="120"/>
              <w:spacing w:after="0" w:line="202" w:lineRule="exact"/>
              <w:rPr>
                <w:sz w:val="20"/>
                <w:szCs w:val="20"/>
                <w:color w:val="auto"/>
              </w:rPr>
            </w:pPr>
            <w:r>
              <w:rPr>
                <w:rFonts w:ascii="Arial" w:cs="Arial" w:eastAsia="Arial" w:hAnsi="Arial"/>
                <w:sz w:val="18"/>
                <w:szCs w:val="18"/>
                <w:color w:val="auto"/>
              </w:rPr>
              <w:t>Repatriation of non-U.S. prior years' earnings</w:t>
            </w:r>
          </w:p>
        </w:tc>
        <w:tc>
          <w:tcPr>
            <w:tcW w:w="2260" w:type="dxa"/>
            <w:vAlign w:val="bottom"/>
          </w:tcPr>
          <w:p>
            <w:pPr>
              <w:jc w:val="right"/>
              <w:ind w:right="570"/>
              <w:spacing w:after="0" w:line="202" w:lineRule="exact"/>
              <w:rPr>
                <w:sz w:val="20"/>
                <w:szCs w:val="20"/>
                <w:color w:val="auto"/>
              </w:rPr>
            </w:pPr>
            <w:r>
              <w:rPr>
                <w:rFonts w:ascii="Arial" w:cs="Arial" w:eastAsia="Arial" w:hAnsi="Arial"/>
                <w:sz w:val="18"/>
                <w:szCs w:val="18"/>
                <w:b w:val="1"/>
                <w:bCs w:val="1"/>
                <w:color w:val="auto"/>
              </w:rPr>
              <w:t>-</w:t>
            </w:r>
          </w:p>
        </w:tc>
        <w:tc>
          <w:tcPr>
            <w:tcW w:w="202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2,210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Pr>
          <w:p>
            <w:pPr>
              <w:ind w:left="120"/>
              <w:spacing w:after="0" w:line="202" w:lineRule="exact"/>
              <w:rPr>
                <w:sz w:val="20"/>
                <w:szCs w:val="20"/>
                <w:color w:val="auto"/>
              </w:rPr>
            </w:pPr>
            <w:r>
              <w:rPr>
                <w:rFonts w:ascii="Arial" w:cs="Arial" w:eastAsia="Arial" w:hAnsi="Arial"/>
                <w:sz w:val="18"/>
                <w:szCs w:val="18"/>
                <w:color w:val="auto"/>
              </w:rPr>
              <w:t>Provision for/resolution of tax audits and contingencies, net</w:t>
            </w:r>
          </w:p>
        </w:tc>
        <w:tc>
          <w:tcPr>
            <w:tcW w:w="2260" w:type="dxa"/>
            <w:vAlign w:val="bottom"/>
          </w:tcPr>
          <w:p>
            <w:pPr>
              <w:jc w:val="right"/>
              <w:ind w:right="510"/>
              <w:spacing w:after="0" w:line="202" w:lineRule="exact"/>
              <w:rPr>
                <w:sz w:val="20"/>
                <w:szCs w:val="20"/>
                <w:color w:val="auto"/>
              </w:rPr>
            </w:pPr>
            <w:r>
              <w:rPr>
                <w:rFonts w:ascii="Arial" w:cs="Arial" w:eastAsia="Arial" w:hAnsi="Arial"/>
                <w:sz w:val="18"/>
                <w:szCs w:val="18"/>
                <w:b w:val="1"/>
                <w:bCs w:val="1"/>
                <w:color w:val="auto"/>
              </w:rPr>
              <w:t>(2,856)</w:t>
            </w:r>
          </w:p>
        </w:tc>
        <w:tc>
          <w:tcPr>
            <w:tcW w:w="202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6,500</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600" w:type="dxa"/>
            <w:vAlign w:val="bottom"/>
          </w:tcPr>
          <w:p>
            <w:pPr>
              <w:ind w:left="100"/>
              <w:spacing w:after="0"/>
              <w:rPr>
                <w:sz w:val="20"/>
                <w:szCs w:val="20"/>
                <w:color w:val="auto"/>
              </w:rPr>
            </w:pPr>
            <w:r>
              <w:rPr>
                <w:rFonts w:ascii="Arial" w:cs="Arial" w:eastAsia="Arial" w:hAnsi="Arial"/>
                <w:sz w:val="18"/>
                <w:szCs w:val="18"/>
                <w:color w:val="auto"/>
              </w:rPr>
              <w:t>Adjustments to prior period tax liabilities</w:t>
            </w:r>
          </w:p>
        </w:tc>
        <w:tc>
          <w:tcPr>
            <w:tcW w:w="2260" w:type="dxa"/>
            <w:vAlign w:val="bottom"/>
          </w:tcPr>
          <w:p>
            <w:pPr>
              <w:jc w:val="right"/>
              <w:ind w:right="570"/>
              <w:spacing w:after="0"/>
              <w:rPr>
                <w:sz w:val="20"/>
                <w:szCs w:val="20"/>
                <w:color w:val="auto"/>
              </w:rPr>
            </w:pPr>
            <w:r>
              <w:rPr>
                <w:rFonts w:ascii="Arial" w:cs="Arial" w:eastAsia="Arial" w:hAnsi="Arial"/>
                <w:sz w:val="18"/>
                <w:szCs w:val="18"/>
                <w:b w:val="1"/>
                <w:bCs w:val="1"/>
                <w:color w:val="auto"/>
              </w:rPr>
              <w:t>769</w:t>
            </w:r>
          </w:p>
        </w:tc>
        <w:tc>
          <w:tcPr>
            <w:tcW w:w="2020" w:type="dxa"/>
            <w:vAlign w:val="bottom"/>
          </w:tcPr>
          <w:p>
            <w:pPr>
              <w:jc w:val="right"/>
              <w:ind w:right="470"/>
              <w:spacing w:after="0"/>
              <w:rPr>
                <w:sz w:val="20"/>
                <w:szCs w:val="20"/>
                <w:color w:val="auto"/>
              </w:rPr>
            </w:pPr>
            <w:r>
              <w:rPr>
                <w:rFonts w:ascii="Arial" w:cs="Arial" w:eastAsia="Arial" w:hAnsi="Arial"/>
                <w:sz w:val="18"/>
                <w:szCs w:val="18"/>
                <w:color w:val="auto"/>
              </w:rPr>
              <w:t>(867)</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Pr>
          <w:p>
            <w:pPr>
              <w:ind w:left="120"/>
              <w:spacing w:after="0" w:line="202" w:lineRule="exact"/>
              <w:rPr>
                <w:sz w:val="20"/>
                <w:szCs w:val="20"/>
                <w:color w:val="auto"/>
              </w:rPr>
            </w:pPr>
            <w:r>
              <w:rPr>
                <w:rFonts w:ascii="Arial" w:cs="Arial" w:eastAsia="Arial" w:hAnsi="Arial"/>
                <w:sz w:val="18"/>
                <w:szCs w:val="18"/>
                <w:color w:val="auto"/>
              </w:rPr>
              <w:t>Provision for/adjustment to beginning of year valuation</w:t>
            </w:r>
          </w:p>
        </w:tc>
        <w:tc>
          <w:tcPr>
            <w:tcW w:w="226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(88)</w:t>
            </w:r>
          </w:p>
        </w:tc>
        <w:tc>
          <w:tcPr>
            <w:tcW w:w="20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600" w:type="dxa"/>
            <w:vAlign w:val="bottom"/>
          </w:tcPr>
          <w:p>
            <w:pPr>
              <w:ind w:left="20"/>
              <w:spacing w:after="0" w:line="181" w:lineRule="exact"/>
              <w:rPr>
                <w:sz w:val="20"/>
                <w:szCs w:val="20"/>
                <w:color w:val="auto"/>
              </w:rPr>
            </w:pPr>
            <w:r>
              <w:rPr>
                <w:rFonts w:ascii="Arial" w:cs="Arial" w:eastAsia="Arial" w:hAnsi="Arial"/>
                <w:sz w:val="18"/>
                <w:szCs w:val="18"/>
                <w:color w:val="auto"/>
              </w:rPr>
              <w:t>allowances</w:t>
            </w:r>
          </w:p>
        </w:tc>
        <w:tc>
          <w:tcPr>
            <w:tcW w:w="2260" w:type="dxa"/>
            <w:vAlign w:val="bottom"/>
            <w:vMerge w:val="continue"/>
          </w:tcPr>
          <w:p>
            <w:pPr>
              <w:spacing w:after="0"/>
              <w:rPr>
                <w:sz w:val="15"/>
                <w:szCs w:val="15"/>
                <w:color w:val="auto"/>
              </w:rPr>
            </w:pPr>
          </w:p>
        </w:tc>
        <w:tc>
          <w:tcPr>
            <w:tcW w:w="2020" w:type="dxa"/>
            <w:vAlign w:val="bottom"/>
          </w:tcPr>
          <w:p>
            <w:pPr>
              <w:jc w:val="right"/>
              <w:ind w:right="530"/>
              <w:spacing w:after="0" w:line="181" w:lineRule="exact"/>
              <w:rPr>
                <w:sz w:val="20"/>
                <w:szCs w:val="20"/>
                <w:color w:val="auto"/>
              </w:rPr>
            </w:pPr>
            <w:r>
              <w:rPr>
                <w:rFonts w:ascii="Arial" w:cs="Arial" w:eastAsia="Arial" w:hAnsi="Arial"/>
                <w:sz w:val="18"/>
                <w:szCs w:val="18"/>
                <w:color w:val="auto"/>
              </w:rPr>
              <w:t>75</w:t>
            </w:r>
          </w:p>
        </w:tc>
        <w:tc>
          <w:tcPr>
            <w:tcW w:w="1520" w:type="dxa"/>
            <w:vAlign w:val="bottom"/>
          </w:tcPr>
          <w:p>
            <w:pPr>
              <w:jc w:val="right"/>
              <w:spacing w:after="0" w:line="181" w:lineRule="exact"/>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6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Enacted tax legislation</w:t>
            </w:r>
          </w:p>
        </w:tc>
        <w:tc>
          <w:tcPr>
            <w:tcW w:w="22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w:t>
            </w:r>
          </w:p>
        </w:tc>
        <w:tc>
          <w:tcPr>
            <w:tcW w:w="20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670</w:t>
            </w: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Total income tax expense/(benefit)</w:t>
            </w:r>
          </w:p>
        </w:tc>
        <w:tc>
          <w:tcPr>
            <w:tcW w:w="2260" w:type="dxa"/>
            <w:vAlign w:val="bottom"/>
            <w:tcBorders>
              <w:bottom w:val="single" w:sz="8" w:color="auto"/>
            </w:tcBorders>
          </w:tcPr>
          <w:p>
            <w:pPr>
              <w:jc w:val="right"/>
              <w:ind w:right="570"/>
              <w:spacing w:after="0" w:line="196" w:lineRule="exact"/>
              <w:rPr>
                <w:sz w:val="20"/>
                <w:szCs w:val="20"/>
                <w:color w:val="auto"/>
              </w:rPr>
            </w:pPr>
            <w:r>
              <w:rPr>
                <w:rFonts w:ascii="Arial" w:cs="Arial" w:eastAsia="Arial" w:hAnsi="Arial"/>
                <w:sz w:val="18"/>
                <w:szCs w:val="18"/>
                <w:b w:val="1"/>
                <w:bCs w:val="1"/>
                <w:color w:val="auto"/>
              </w:rPr>
              <w:t>$25,454</w:t>
            </w:r>
          </w:p>
        </w:tc>
        <w:tc>
          <w:tcPr>
            <w:tcW w:w="202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color w:val="auto"/>
              </w:rPr>
              <w:t>($5,787)</w:t>
            </w:r>
          </w:p>
        </w:tc>
        <w:tc>
          <w:tcPr>
            <w:tcW w:w="15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$25,751</w:t>
            </w:r>
          </w:p>
        </w:tc>
        <w:tc>
          <w:tcPr>
            <w:tcW w:w="0" w:type="dxa"/>
            <w:vAlign w:val="bottom"/>
          </w:tcPr>
          <w:p>
            <w:pPr>
              <w:spacing w:after="0"/>
              <w:rPr>
                <w:sz w:val="1"/>
                <w:szCs w:val="1"/>
                <w:color w:val="auto"/>
              </w:rPr>
            </w:pPr>
          </w:p>
        </w:tc>
      </w:tr>
      <w:tr>
        <w:trPr>
          <w:trHeight w:val="372"/>
        </w:trPr>
        <w:tc>
          <w:tcPr>
            <w:tcW w:w="20" w:type="dxa"/>
            <w:vAlign w:val="bottom"/>
            <w:vMerge w:val="restart"/>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vMerge w:val="continue"/>
          </w:tcPr>
          <w:p>
            <w:pPr>
              <w:spacing w:after="0"/>
              <w:rPr>
                <w:sz w:val="17"/>
                <w:szCs w:val="17"/>
                <w:color w:val="auto"/>
              </w:rPr>
            </w:pPr>
          </w:p>
        </w:tc>
        <w:tc>
          <w:tcPr>
            <w:tcW w:w="56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(in thousands)</w:t>
            </w:r>
          </w:p>
        </w:tc>
        <w:tc>
          <w:tcPr>
            <w:tcW w:w="2260" w:type="dxa"/>
            <w:vAlign w:val="bottom"/>
            <w:tcBorders>
              <w:bottom w:val="single" w:sz="8" w:color="auto"/>
            </w:tcBorders>
          </w:tcPr>
          <w:p>
            <w:pPr>
              <w:jc w:val="right"/>
              <w:ind w:right="990"/>
              <w:spacing w:after="0" w:line="196" w:lineRule="exact"/>
              <w:rPr>
                <w:sz w:val="20"/>
                <w:szCs w:val="20"/>
                <w:color w:val="auto"/>
              </w:rPr>
            </w:pPr>
            <w:r>
              <w:rPr>
                <w:rFonts w:ascii="Arial" w:cs="Arial" w:eastAsia="Arial" w:hAnsi="Arial"/>
                <w:sz w:val="18"/>
                <w:szCs w:val="18"/>
                <w:b w:val="1"/>
                <w:bCs w:val="1"/>
                <w:color w:val="auto"/>
              </w:rPr>
              <w:t>2016</w:t>
            </w:r>
          </w:p>
        </w:tc>
        <w:tc>
          <w:tcPr>
            <w:tcW w:w="2020" w:type="dxa"/>
            <w:vAlign w:val="bottom"/>
            <w:tcBorders>
              <w:bottom w:val="single" w:sz="8" w:color="auto"/>
            </w:tcBorders>
          </w:tcPr>
          <w:p>
            <w:pPr>
              <w:jc w:val="right"/>
              <w:ind w:right="970"/>
              <w:spacing w:after="0" w:line="196" w:lineRule="exact"/>
              <w:rPr>
                <w:sz w:val="20"/>
                <w:szCs w:val="20"/>
                <w:color w:val="auto"/>
              </w:rPr>
            </w:pPr>
            <w:r>
              <w:rPr>
                <w:rFonts w:ascii="Arial" w:cs="Arial" w:eastAsia="Arial" w:hAnsi="Arial"/>
                <w:sz w:val="18"/>
                <w:szCs w:val="18"/>
                <w:b w:val="1"/>
                <w:bCs w:val="1"/>
                <w:color w:val="auto"/>
              </w:rPr>
              <w:t>2015</w:t>
            </w:r>
          </w:p>
        </w:tc>
        <w:tc>
          <w:tcPr>
            <w:tcW w:w="152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195"/>
        </w:trPr>
        <w:tc>
          <w:tcPr>
            <w:tcW w:w="5620" w:type="dxa"/>
            <w:vAlign w:val="bottom"/>
            <w:gridSpan w:val="2"/>
          </w:tcPr>
          <w:p>
            <w:pPr>
              <w:spacing w:after="0" w:line="195" w:lineRule="exact"/>
              <w:rPr>
                <w:sz w:val="20"/>
                <w:szCs w:val="20"/>
                <w:color w:val="auto"/>
              </w:rPr>
            </w:pPr>
            <w:r>
              <w:rPr>
                <w:rFonts w:ascii="Arial" w:cs="Arial" w:eastAsia="Arial" w:hAnsi="Arial"/>
                <w:sz w:val="18"/>
                <w:szCs w:val="18"/>
                <w:color w:val="auto"/>
              </w:rPr>
              <w:t>Income/(loss) before income taxes:</w:t>
            </w:r>
          </w:p>
        </w:tc>
        <w:tc>
          <w:tcPr>
            <w:tcW w:w="2260" w:type="dxa"/>
            <w:vAlign w:val="bottom"/>
            <w:vMerge w:val="restart"/>
          </w:tcPr>
          <w:p>
            <w:pPr>
              <w:jc w:val="right"/>
              <w:ind w:right="570"/>
              <w:spacing w:after="0"/>
              <w:rPr>
                <w:sz w:val="20"/>
                <w:szCs w:val="20"/>
                <w:color w:val="auto"/>
              </w:rPr>
            </w:pPr>
            <w:r>
              <w:rPr>
                <w:rFonts w:ascii="Arial" w:cs="Arial" w:eastAsia="Arial" w:hAnsi="Arial"/>
                <w:sz w:val="18"/>
                <w:szCs w:val="18"/>
                <w:b w:val="1"/>
                <w:bCs w:val="1"/>
                <w:color w:val="auto"/>
              </w:rPr>
              <w:t>$8,556</w:t>
            </w:r>
          </w:p>
        </w:tc>
        <w:tc>
          <w:tcPr>
            <w:tcW w:w="20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600" w:type="dxa"/>
            <w:vAlign w:val="bottom"/>
          </w:tcPr>
          <w:p>
            <w:pPr>
              <w:ind w:left="120"/>
              <w:spacing w:after="0" w:line="181" w:lineRule="exact"/>
              <w:rPr>
                <w:sz w:val="20"/>
                <w:szCs w:val="20"/>
                <w:color w:val="auto"/>
              </w:rPr>
            </w:pPr>
            <w:r>
              <w:rPr>
                <w:rFonts w:ascii="Arial" w:cs="Arial" w:eastAsia="Arial" w:hAnsi="Arial"/>
                <w:sz w:val="18"/>
                <w:szCs w:val="18"/>
                <w:color w:val="auto"/>
              </w:rPr>
              <w:t>U.S.</w:t>
            </w:r>
          </w:p>
        </w:tc>
        <w:tc>
          <w:tcPr>
            <w:tcW w:w="2260" w:type="dxa"/>
            <w:vAlign w:val="bottom"/>
            <w:vMerge w:val="continue"/>
          </w:tcPr>
          <w:p>
            <w:pPr>
              <w:spacing w:after="0"/>
              <w:rPr>
                <w:sz w:val="15"/>
                <w:szCs w:val="15"/>
                <w:color w:val="auto"/>
              </w:rPr>
            </w:pPr>
          </w:p>
        </w:tc>
        <w:tc>
          <w:tcPr>
            <w:tcW w:w="2020" w:type="dxa"/>
            <w:vAlign w:val="bottom"/>
          </w:tcPr>
          <w:p>
            <w:pPr>
              <w:jc w:val="right"/>
              <w:ind w:right="470"/>
              <w:spacing w:after="0" w:line="181" w:lineRule="exact"/>
              <w:rPr>
                <w:sz w:val="20"/>
                <w:szCs w:val="20"/>
                <w:color w:val="auto"/>
              </w:rPr>
            </w:pPr>
            <w:r>
              <w:rPr>
                <w:rFonts w:ascii="Arial" w:cs="Arial" w:eastAsia="Arial" w:hAnsi="Arial"/>
                <w:sz w:val="18"/>
                <w:szCs w:val="18"/>
                <w:color w:val="auto"/>
              </w:rPr>
              <w:t>($7,211)</w:t>
            </w:r>
          </w:p>
        </w:tc>
        <w:tc>
          <w:tcPr>
            <w:tcW w:w="1520" w:type="dxa"/>
            <w:vAlign w:val="bottom"/>
          </w:tcPr>
          <w:p>
            <w:pPr>
              <w:jc w:val="right"/>
              <w:ind w:right="10"/>
              <w:spacing w:after="0" w:line="181" w:lineRule="exact"/>
              <w:rPr>
                <w:sz w:val="20"/>
                <w:szCs w:val="20"/>
                <w:color w:val="auto"/>
              </w:rPr>
            </w:pPr>
            <w:r>
              <w:rPr>
                <w:rFonts w:ascii="Arial" w:cs="Arial" w:eastAsia="Arial" w:hAnsi="Arial"/>
                <w:sz w:val="18"/>
                <w:szCs w:val="18"/>
                <w:color w:val="auto"/>
              </w:rPr>
              <w:t>$4,993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6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Non-U.S.</w:t>
            </w:r>
          </w:p>
        </w:tc>
        <w:tc>
          <w:tcPr>
            <w:tcW w:w="22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69,710</w:t>
            </w:r>
          </w:p>
        </w:tc>
        <w:tc>
          <w:tcPr>
            <w:tcW w:w="20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58,689</w:t>
            </w: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62,507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tcPr>
          <w:p>
            <w:pPr>
              <w:jc w:val="right"/>
              <w:ind w:right="570"/>
              <w:spacing w:after="0" w:line="196" w:lineRule="exact"/>
              <w:rPr>
                <w:sz w:val="20"/>
                <w:szCs w:val="20"/>
                <w:color w:val="auto"/>
              </w:rPr>
            </w:pPr>
            <w:r>
              <w:rPr>
                <w:rFonts w:ascii="Arial" w:cs="Arial" w:eastAsia="Arial" w:hAnsi="Arial"/>
                <w:sz w:val="18"/>
                <w:szCs w:val="18"/>
                <w:b w:val="1"/>
                <w:bCs w:val="1"/>
                <w:color w:val="auto"/>
              </w:rPr>
              <w:t>$78,266</w:t>
            </w:r>
          </w:p>
        </w:tc>
        <w:tc>
          <w:tcPr>
            <w:tcW w:w="202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color w:val="auto"/>
              </w:rPr>
              <w:t>$51,478</w:t>
            </w:r>
          </w:p>
        </w:tc>
        <w:tc>
          <w:tcPr>
            <w:tcW w:w="15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$67,500</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2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5600" w:type="dxa"/>
            <w:vAlign w:val="bottom"/>
          </w:tcPr>
          <w:p>
            <w:pPr>
              <w:ind w:left="120"/>
              <w:spacing w:after="0"/>
              <w:rPr>
                <w:sz w:val="20"/>
                <w:szCs w:val="20"/>
                <w:color w:val="auto"/>
              </w:rPr>
            </w:pPr>
            <w:r>
              <w:rPr>
                <w:rFonts w:ascii="Arial" w:cs="Arial" w:eastAsia="Arial" w:hAnsi="Arial"/>
                <w:sz w:val="18"/>
                <w:szCs w:val="18"/>
                <w:color w:val="auto"/>
              </w:rPr>
              <w:t>Current:</w:t>
            </w:r>
          </w:p>
        </w:tc>
        <w:tc>
          <w:tcPr>
            <w:tcW w:w="2260" w:type="dxa"/>
            <w:vAlign w:val="bottom"/>
            <w:vMerge w:val="restart"/>
          </w:tcPr>
          <w:p>
            <w:pPr>
              <w:jc w:val="right"/>
              <w:ind w:right="570"/>
              <w:spacing w:after="0"/>
              <w:rPr>
                <w:sz w:val="20"/>
                <w:szCs w:val="20"/>
                <w:color w:val="auto"/>
              </w:rPr>
            </w:pPr>
            <w:r>
              <w:rPr>
                <w:rFonts w:ascii="Arial" w:cs="Arial" w:eastAsia="Arial" w:hAnsi="Arial"/>
                <w:sz w:val="18"/>
                <w:szCs w:val="18"/>
                <w:b w:val="1"/>
                <w:bCs w:val="1"/>
                <w:color w:val="auto"/>
              </w:rPr>
              <w:t>$3,728</w:t>
            </w:r>
          </w:p>
        </w:tc>
        <w:tc>
          <w:tcPr>
            <w:tcW w:w="20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600" w:type="dxa"/>
            <w:vAlign w:val="bottom"/>
          </w:tcPr>
          <w:p>
            <w:pPr>
              <w:ind w:left="220"/>
              <w:spacing w:after="0" w:line="181" w:lineRule="exact"/>
              <w:rPr>
                <w:sz w:val="20"/>
                <w:szCs w:val="20"/>
                <w:color w:val="auto"/>
              </w:rPr>
            </w:pPr>
            <w:r>
              <w:rPr>
                <w:rFonts w:ascii="Arial" w:cs="Arial" w:eastAsia="Arial" w:hAnsi="Arial"/>
                <w:sz w:val="18"/>
                <w:szCs w:val="18"/>
                <w:color w:val="auto"/>
              </w:rPr>
              <w:t>Federal</w:t>
            </w:r>
          </w:p>
        </w:tc>
        <w:tc>
          <w:tcPr>
            <w:tcW w:w="2260" w:type="dxa"/>
            <w:vAlign w:val="bottom"/>
            <w:vMerge w:val="continue"/>
          </w:tcPr>
          <w:p>
            <w:pPr>
              <w:spacing w:after="0"/>
              <w:rPr>
                <w:sz w:val="15"/>
                <w:szCs w:val="15"/>
                <w:color w:val="auto"/>
              </w:rPr>
            </w:pPr>
          </w:p>
        </w:tc>
        <w:tc>
          <w:tcPr>
            <w:tcW w:w="2020" w:type="dxa"/>
            <w:vAlign w:val="bottom"/>
          </w:tcPr>
          <w:p>
            <w:pPr>
              <w:jc w:val="right"/>
              <w:ind w:right="530"/>
              <w:spacing w:after="0" w:line="181" w:lineRule="exact"/>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line="181" w:lineRule="exact"/>
              <w:rPr>
                <w:sz w:val="20"/>
                <w:szCs w:val="20"/>
                <w:color w:val="auto"/>
              </w:rPr>
            </w:pPr>
            <w:r>
              <w:rPr>
                <w:rFonts w:ascii="Arial" w:cs="Arial" w:eastAsia="Arial" w:hAnsi="Arial"/>
                <w:sz w:val="18"/>
                <w:szCs w:val="18"/>
                <w:color w:val="auto"/>
              </w:rPr>
              <w:t>$1,874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Pr>
          <w:p>
            <w:pPr>
              <w:ind w:left="220"/>
              <w:spacing w:after="0" w:line="202" w:lineRule="exact"/>
              <w:rPr>
                <w:sz w:val="20"/>
                <w:szCs w:val="20"/>
                <w:color w:val="auto"/>
              </w:rPr>
            </w:pPr>
            <w:r>
              <w:rPr>
                <w:rFonts w:ascii="Arial" w:cs="Arial" w:eastAsia="Arial" w:hAnsi="Arial"/>
                <w:sz w:val="18"/>
                <w:szCs w:val="18"/>
                <w:color w:val="auto"/>
              </w:rPr>
              <w:t>State</w:t>
            </w:r>
          </w:p>
        </w:tc>
        <w:tc>
          <w:tcPr>
            <w:tcW w:w="2260" w:type="dxa"/>
            <w:vAlign w:val="bottom"/>
          </w:tcPr>
          <w:p>
            <w:pPr>
              <w:jc w:val="right"/>
              <w:ind w:right="570"/>
              <w:spacing w:after="0" w:line="202" w:lineRule="exact"/>
              <w:rPr>
                <w:sz w:val="20"/>
                <w:szCs w:val="20"/>
                <w:color w:val="auto"/>
              </w:rPr>
            </w:pPr>
            <w:r>
              <w:rPr>
                <w:rFonts w:ascii="Arial" w:cs="Arial" w:eastAsia="Arial" w:hAnsi="Arial"/>
                <w:sz w:val="18"/>
                <w:szCs w:val="18"/>
                <w:b w:val="1"/>
                <w:bCs w:val="1"/>
                <w:color w:val="auto"/>
              </w:rPr>
              <w:t>176</w:t>
            </w:r>
          </w:p>
        </w:tc>
        <w:tc>
          <w:tcPr>
            <w:tcW w:w="202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1,993</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1,102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6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Non-U.S.</w:t>
            </w:r>
          </w:p>
        </w:tc>
        <w:tc>
          <w:tcPr>
            <w:tcW w:w="22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19,979</w:t>
            </w:r>
          </w:p>
        </w:tc>
        <w:tc>
          <w:tcPr>
            <w:tcW w:w="20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20,842</w:t>
            </w: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17,474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tcPr>
          <w:p>
            <w:pPr>
              <w:jc w:val="right"/>
              <w:ind w:right="570"/>
              <w:spacing w:after="0" w:line="196" w:lineRule="exact"/>
              <w:rPr>
                <w:sz w:val="20"/>
                <w:szCs w:val="20"/>
                <w:color w:val="auto"/>
              </w:rPr>
            </w:pPr>
            <w:r>
              <w:rPr>
                <w:rFonts w:ascii="Arial" w:cs="Arial" w:eastAsia="Arial" w:hAnsi="Arial"/>
                <w:sz w:val="18"/>
                <w:szCs w:val="18"/>
                <w:b w:val="1"/>
                <w:bCs w:val="1"/>
                <w:color w:val="auto"/>
              </w:rPr>
              <w:t>$23,883</w:t>
            </w:r>
          </w:p>
        </w:tc>
        <w:tc>
          <w:tcPr>
            <w:tcW w:w="202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color w:val="auto"/>
              </w:rPr>
              <w:t>$22,835</w:t>
            </w:r>
          </w:p>
        </w:tc>
        <w:tc>
          <w:tcPr>
            <w:tcW w:w="15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$20,450</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5600" w:type="dxa"/>
            <w:vAlign w:val="bottom"/>
          </w:tcPr>
          <w:p>
            <w:pPr>
              <w:ind w:left="120"/>
              <w:spacing w:after="0"/>
              <w:rPr>
                <w:sz w:val="20"/>
                <w:szCs w:val="20"/>
                <w:color w:val="auto"/>
              </w:rPr>
            </w:pPr>
            <w:r>
              <w:rPr>
                <w:rFonts w:ascii="Arial" w:cs="Arial" w:eastAsia="Arial" w:hAnsi="Arial"/>
                <w:sz w:val="18"/>
                <w:szCs w:val="18"/>
                <w:color w:val="auto"/>
              </w:rPr>
              <w:t>Deferred:</w:t>
            </w:r>
          </w:p>
        </w:tc>
        <w:tc>
          <w:tcPr>
            <w:tcW w:w="2260" w:type="dxa"/>
            <w:vAlign w:val="bottom"/>
            <w:vMerge w:val="restart"/>
          </w:tcPr>
          <w:p>
            <w:pPr>
              <w:jc w:val="right"/>
              <w:ind w:right="570"/>
              <w:spacing w:after="0"/>
              <w:rPr>
                <w:sz w:val="20"/>
                <w:szCs w:val="20"/>
                <w:color w:val="auto"/>
              </w:rPr>
            </w:pPr>
            <w:r>
              <w:rPr>
                <w:rFonts w:ascii="Arial" w:cs="Arial" w:eastAsia="Arial" w:hAnsi="Arial"/>
                <w:sz w:val="18"/>
                <w:szCs w:val="18"/>
                <w:b w:val="1"/>
                <w:bCs w:val="1"/>
                <w:color w:val="auto"/>
              </w:rPr>
              <w:t>$2,138</w:t>
            </w:r>
          </w:p>
        </w:tc>
        <w:tc>
          <w:tcPr>
            <w:tcW w:w="20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600" w:type="dxa"/>
            <w:vAlign w:val="bottom"/>
          </w:tcPr>
          <w:p>
            <w:pPr>
              <w:ind w:left="220"/>
              <w:spacing w:after="0" w:line="181" w:lineRule="exact"/>
              <w:rPr>
                <w:sz w:val="20"/>
                <w:szCs w:val="20"/>
                <w:color w:val="auto"/>
              </w:rPr>
            </w:pPr>
            <w:r>
              <w:rPr>
                <w:rFonts w:ascii="Arial" w:cs="Arial" w:eastAsia="Arial" w:hAnsi="Arial"/>
                <w:sz w:val="18"/>
                <w:szCs w:val="18"/>
                <w:color w:val="auto"/>
              </w:rPr>
              <w:t>Federal</w:t>
            </w:r>
          </w:p>
        </w:tc>
        <w:tc>
          <w:tcPr>
            <w:tcW w:w="2260" w:type="dxa"/>
            <w:vAlign w:val="bottom"/>
            <w:vMerge w:val="continue"/>
          </w:tcPr>
          <w:p>
            <w:pPr>
              <w:spacing w:after="0"/>
              <w:rPr>
                <w:sz w:val="15"/>
                <w:szCs w:val="15"/>
                <w:color w:val="auto"/>
              </w:rPr>
            </w:pPr>
          </w:p>
        </w:tc>
        <w:tc>
          <w:tcPr>
            <w:tcW w:w="2020" w:type="dxa"/>
            <w:vAlign w:val="bottom"/>
          </w:tcPr>
          <w:p>
            <w:pPr>
              <w:jc w:val="right"/>
              <w:ind w:right="470"/>
              <w:spacing w:after="0" w:line="181" w:lineRule="exact"/>
              <w:rPr>
                <w:sz w:val="20"/>
                <w:szCs w:val="20"/>
                <w:color w:val="auto"/>
              </w:rPr>
            </w:pPr>
            <w:r>
              <w:rPr>
                <w:rFonts w:ascii="Arial" w:cs="Arial" w:eastAsia="Arial" w:hAnsi="Arial"/>
                <w:sz w:val="18"/>
                <w:szCs w:val="18"/>
                <w:color w:val="auto"/>
              </w:rPr>
              <w:t>($34,135)</w:t>
            </w:r>
          </w:p>
        </w:tc>
        <w:tc>
          <w:tcPr>
            <w:tcW w:w="1520" w:type="dxa"/>
            <w:vAlign w:val="bottom"/>
          </w:tcPr>
          <w:p>
            <w:pPr>
              <w:jc w:val="right"/>
              <w:spacing w:after="0" w:line="181" w:lineRule="exact"/>
              <w:rPr>
                <w:sz w:val="20"/>
                <w:szCs w:val="20"/>
                <w:color w:val="auto"/>
              </w:rPr>
            </w:pPr>
            <w:r>
              <w:rPr>
                <w:rFonts w:ascii="Arial" w:cs="Arial" w:eastAsia="Arial" w:hAnsi="Arial"/>
                <w:sz w:val="18"/>
                <w:szCs w:val="18"/>
                <w:color w:val="auto"/>
              </w:rPr>
              <w:t>($1,707)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Pr>
          <w:p>
            <w:pPr>
              <w:ind w:left="220"/>
              <w:spacing w:after="0" w:line="202" w:lineRule="exact"/>
              <w:rPr>
                <w:sz w:val="20"/>
                <w:szCs w:val="20"/>
                <w:color w:val="auto"/>
              </w:rPr>
            </w:pPr>
            <w:r>
              <w:rPr>
                <w:rFonts w:ascii="Arial" w:cs="Arial" w:eastAsia="Arial" w:hAnsi="Arial"/>
                <w:sz w:val="18"/>
                <w:szCs w:val="18"/>
                <w:color w:val="auto"/>
              </w:rPr>
              <w:t>State</w:t>
            </w:r>
          </w:p>
        </w:tc>
        <w:tc>
          <w:tcPr>
            <w:tcW w:w="2260" w:type="dxa"/>
            <w:vAlign w:val="bottom"/>
          </w:tcPr>
          <w:p>
            <w:pPr>
              <w:jc w:val="right"/>
              <w:ind w:right="570"/>
              <w:spacing w:after="0" w:line="202" w:lineRule="exact"/>
              <w:rPr>
                <w:sz w:val="20"/>
                <w:szCs w:val="20"/>
                <w:color w:val="auto"/>
              </w:rPr>
            </w:pPr>
            <w:r>
              <w:rPr>
                <w:rFonts w:ascii="Arial" w:cs="Arial" w:eastAsia="Arial" w:hAnsi="Arial"/>
                <w:sz w:val="18"/>
                <w:szCs w:val="18"/>
                <w:b w:val="1"/>
                <w:bCs w:val="1"/>
                <w:color w:val="auto"/>
              </w:rPr>
              <w:t>1,984</w:t>
            </w:r>
          </w:p>
        </w:tc>
        <w:tc>
          <w:tcPr>
            <w:tcW w:w="202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(40)</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6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Non-U.S.</w:t>
            </w:r>
          </w:p>
        </w:tc>
        <w:tc>
          <w:tcPr>
            <w:tcW w:w="22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(2,551)</w:t>
            </w:r>
          </w:p>
        </w:tc>
        <w:tc>
          <w:tcPr>
            <w:tcW w:w="20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5,553</w:t>
            </w: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7,503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tcPr>
          <w:p>
            <w:pPr>
              <w:jc w:val="right"/>
              <w:ind w:right="570"/>
              <w:spacing w:after="0" w:line="196" w:lineRule="exact"/>
              <w:rPr>
                <w:sz w:val="20"/>
                <w:szCs w:val="20"/>
                <w:color w:val="auto"/>
              </w:rPr>
            </w:pPr>
            <w:r>
              <w:rPr>
                <w:rFonts w:ascii="Arial" w:cs="Arial" w:eastAsia="Arial" w:hAnsi="Arial"/>
                <w:sz w:val="18"/>
                <w:szCs w:val="18"/>
                <w:b w:val="1"/>
                <w:bCs w:val="1"/>
                <w:color w:val="auto"/>
              </w:rPr>
              <w:t>$1,571</w:t>
            </w:r>
          </w:p>
        </w:tc>
        <w:tc>
          <w:tcPr>
            <w:tcW w:w="202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color w:val="auto"/>
              </w:rPr>
              <w:t>($28,622)</w:t>
            </w:r>
          </w:p>
        </w:tc>
        <w:tc>
          <w:tcPr>
            <w:tcW w:w="15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$5,301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Total income tax expense/(benefit)</w:t>
            </w:r>
          </w:p>
        </w:tc>
        <w:tc>
          <w:tcPr>
            <w:tcW w:w="2260" w:type="dxa"/>
            <w:vAlign w:val="bottom"/>
            <w:tcBorders>
              <w:bottom w:val="single" w:sz="8" w:color="auto"/>
            </w:tcBorders>
          </w:tcPr>
          <w:p>
            <w:pPr>
              <w:jc w:val="right"/>
              <w:ind w:right="570"/>
              <w:spacing w:after="0" w:line="196" w:lineRule="exact"/>
              <w:rPr>
                <w:sz w:val="20"/>
                <w:szCs w:val="20"/>
                <w:color w:val="auto"/>
              </w:rPr>
            </w:pPr>
            <w:r>
              <w:rPr>
                <w:rFonts w:ascii="Arial" w:cs="Arial" w:eastAsia="Arial" w:hAnsi="Arial"/>
                <w:sz w:val="18"/>
                <w:szCs w:val="18"/>
                <w:b w:val="1"/>
                <w:bCs w:val="1"/>
                <w:color w:val="auto"/>
              </w:rPr>
              <w:t>$25,454</w:t>
            </w:r>
          </w:p>
        </w:tc>
        <w:tc>
          <w:tcPr>
            <w:tcW w:w="202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color w:val="auto"/>
              </w:rPr>
              <w:t>($5,787)</w:t>
            </w:r>
          </w:p>
        </w:tc>
        <w:tc>
          <w:tcPr>
            <w:tcW w:w="15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$25,751</w:t>
            </w:r>
          </w:p>
        </w:tc>
        <w:tc>
          <w:tcPr>
            <w:tcW w:w="0" w:type="dxa"/>
            <w:vAlign w:val="bottom"/>
          </w:tcPr>
          <w:p>
            <w:pPr>
              <w:spacing w:after="0"/>
              <w:rPr>
                <w:sz w:val="1"/>
                <w:szCs w:val="1"/>
                <w:color w:val="auto"/>
              </w:rPr>
            </w:pPr>
          </w:p>
        </w:tc>
      </w:tr>
      <w:tr>
        <w:trPr>
          <w:trHeight w:val="588"/>
        </w:trPr>
        <w:tc>
          <w:tcPr>
            <w:tcW w:w="20" w:type="dxa"/>
            <w:vAlign w:val="bottom"/>
          </w:tcPr>
          <w:p>
            <w:pPr>
              <w:spacing w:after="0"/>
              <w:rPr>
                <w:sz w:val="24"/>
                <w:szCs w:val="24"/>
                <w:color w:val="auto"/>
              </w:rPr>
            </w:pPr>
          </w:p>
        </w:tc>
        <w:tc>
          <w:tcPr>
            <w:tcW w:w="7860" w:type="dxa"/>
            <w:vAlign w:val="bottom"/>
            <w:gridSpan w:val="2"/>
          </w:tcPr>
          <w:p>
            <w:pPr>
              <w:ind w:left="640"/>
              <w:spacing w:after="0"/>
              <w:rPr>
                <w:sz w:val="20"/>
                <w:szCs w:val="20"/>
                <w:color w:val="auto"/>
              </w:rPr>
            </w:pPr>
            <w:r>
              <w:rPr>
                <w:rFonts w:ascii="Arial" w:cs="Arial" w:eastAsia="Arial" w:hAnsi="Arial"/>
                <w:sz w:val="18"/>
                <w:szCs w:val="18"/>
                <w:color w:val="auto"/>
              </w:rPr>
              <w:t>The significant components of deferred income tax expense/(benefit) are as follows:</w:t>
            </w:r>
          </w:p>
        </w:tc>
        <w:tc>
          <w:tcPr>
            <w:tcW w:w="20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56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6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(in thousands)</w:t>
            </w:r>
          </w:p>
        </w:tc>
        <w:tc>
          <w:tcPr>
            <w:tcW w:w="2260" w:type="dxa"/>
            <w:vAlign w:val="bottom"/>
            <w:tcBorders>
              <w:bottom w:val="single" w:sz="8" w:color="auto"/>
            </w:tcBorders>
          </w:tcPr>
          <w:p>
            <w:pPr>
              <w:jc w:val="right"/>
              <w:ind w:right="990"/>
              <w:spacing w:after="0" w:line="196" w:lineRule="exact"/>
              <w:rPr>
                <w:sz w:val="20"/>
                <w:szCs w:val="20"/>
                <w:color w:val="auto"/>
              </w:rPr>
            </w:pPr>
            <w:r>
              <w:rPr>
                <w:rFonts w:ascii="Arial" w:cs="Arial" w:eastAsia="Arial" w:hAnsi="Arial"/>
                <w:sz w:val="18"/>
                <w:szCs w:val="18"/>
                <w:b w:val="1"/>
                <w:bCs w:val="1"/>
                <w:color w:val="auto"/>
              </w:rPr>
              <w:t>2016</w:t>
            </w:r>
          </w:p>
        </w:tc>
        <w:tc>
          <w:tcPr>
            <w:tcW w:w="2020" w:type="dxa"/>
            <w:vAlign w:val="bottom"/>
            <w:tcBorders>
              <w:bottom w:val="single" w:sz="8" w:color="auto"/>
            </w:tcBorders>
          </w:tcPr>
          <w:p>
            <w:pPr>
              <w:jc w:val="right"/>
              <w:ind w:right="970"/>
              <w:spacing w:after="0" w:line="196" w:lineRule="exact"/>
              <w:rPr>
                <w:sz w:val="20"/>
                <w:szCs w:val="20"/>
                <w:color w:val="auto"/>
              </w:rPr>
            </w:pPr>
            <w:r>
              <w:rPr>
                <w:rFonts w:ascii="Arial" w:cs="Arial" w:eastAsia="Arial" w:hAnsi="Arial"/>
                <w:sz w:val="18"/>
                <w:szCs w:val="18"/>
                <w:b w:val="1"/>
                <w:bCs w:val="1"/>
                <w:color w:val="auto"/>
              </w:rPr>
              <w:t>2015</w:t>
            </w:r>
          </w:p>
        </w:tc>
        <w:tc>
          <w:tcPr>
            <w:tcW w:w="152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600" w:type="dxa"/>
            <w:vAlign w:val="bottom"/>
          </w:tcPr>
          <w:p>
            <w:pPr>
              <w:ind w:left="20"/>
              <w:spacing w:after="0" w:line="173" w:lineRule="exact"/>
              <w:rPr>
                <w:sz w:val="20"/>
                <w:szCs w:val="20"/>
                <w:color w:val="auto"/>
              </w:rPr>
            </w:pPr>
            <w:r>
              <w:rPr>
                <w:rFonts w:ascii="Arial" w:cs="Arial" w:eastAsia="Arial" w:hAnsi="Arial"/>
                <w:sz w:val="18"/>
                <w:szCs w:val="18"/>
                <w:color w:val="auto"/>
              </w:rPr>
              <w:t>Net effect of temporary differences</w:t>
            </w:r>
          </w:p>
        </w:tc>
        <w:tc>
          <w:tcPr>
            <w:tcW w:w="2260" w:type="dxa"/>
            <w:vAlign w:val="bottom"/>
          </w:tcPr>
          <w:p>
            <w:pPr>
              <w:jc w:val="right"/>
              <w:ind w:right="570"/>
              <w:spacing w:after="0" w:line="173" w:lineRule="exact"/>
              <w:rPr>
                <w:sz w:val="20"/>
                <w:szCs w:val="20"/>
                <w:color w:val="auto"/>
              </w:rPr>
            </w:pPr>
            <w:r>
              <w:rPr>
                <w:rFonts w:ascii="Arial" w:cs="Arial" w:eastAsia="Arial" w:hAnsi="Arial"/>
                <w:sz w:val="18"/>
                <w:szCs w:val="18"/>
                <w:b w:val="1"/>
                <w:bCs w:val="1"/>
                <w:color w:val="auto"/>
              </w:rPr>
              <w:t>$7,214</w:t>
            </w:r>
          </w:p>
        </w:tc>
        <w:tc>
          <w:tcPr>
            <w:tcW w:w="2020" w:type="dxa"/>
            <w:vAlign w:val="bottom"/>
          </w:tcPr>
          <w:p>
            <w:pPr>
              <w:jc w:val="right"/>
              <w:ind w:right="470"/>
              <w:spacing w:after="0" w:line="173" w:lineRule="exact"/>
              <w:rPr>
                <w:sz w:val="20"/>
                <w:szCs w:val="20"/>
                <w:color w:val="auto"/>
              </w:rPr>
            </w:pPr>
            <w:r>
              <w:rPr>
                <w:rFonts w:ascii="Arial" w:cs="Arial" w:eastAsia="Arial" w:hAnsi="Arial"/>
                <w:sz w:val="18"/>
                <w:szCs w:val="18"/>
                <w:color w:val="auto"/>
              </w:rPr>
              <w:t>($7,615)</w:t>
            </w:r>
          </w:p>
        </w:tc>
        <w:tc>
          <w:tcPr>
            <w:tcW w:w="1520" w:type="dxa"/>
            <w:vAlign w:val="bottom"/>
          </w:tcPr>
          <w:p>
            <w:pPr>
              <w:jc w:val="right"/>
              <w:spacing w:after="0" w:line="173" w:lineRule="exact"/>
              <w:rPr>
                <w:sz w:val="20"/>
                <w:szCs w:val="20"/>
                <w:color w:val="auto"/>
              </w:rPr>
            </w:pPr>
            <w:r>
              <w:rPr>
                <w:rFonts w:ascii="Arial" w:cs="Arial" w:eastAsia="Arial" w:hAnsi="Arial"/>
                <w:sz w:val="18"/>
                <w:szCs w:val="18"/>
                <w:color w:val="auto"/>
              </w:rPr>
              <w:t>($1,667)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Pr>
          <w:p>
            <w:pPr>
              <w:ind w:left="20"/>
              <w:spacing w:after="0" w:line="202" w:lineRule="exact"/>
              <w:rPr>
                <w:sz w:val="20"/>
                <w:szCs w:val="20"/>
                <w:color w:val="auto"/>
              </w:rPr>
            </w:pPr>
            <w:r>
              <w:rPr>
                <w:rFonts w:ascii="Arial" w:cs="Arial" w:eastAsia="Arial" w:hAnsi="Arial"/>
                <w:sz w:val="18"/>
                <w:szCs w:val="18"/>
                <w:color w:val="auto"/>
              </w:rPr>
              <w:t>Foreign tax credits</w:t>
            </w:r>
          </w:p>
        </w:tc>
        <w:tc>
          <w:tcPr>
            <w:tcW w:w="2260" w:type="dxa"/>
            <w:vAlign w:val="bottom"/>
          </w:tcPr>
          <w:p>
            <w:pPr>
              <w:jc w:val="right"/>
              <w:ind w:right="510"/>
              <w:spacing w:after="0" w:line="202" w:lineRule="exact"/>
              <w:rPr>
                <w:sz w:val="20"/>
                <w:szCs w:val="20"/>
                <w:color w:val="auto"/>
              </w:rPr>
            </w:pPr>
            <w:r>
              <w:rPr>
                <w:rFonts w:ascii="Arial" w:cs="Arial" w:eastAsia="Arial" w:hAnsi="Arial"/>
                <w:sz w:val="18"/>
                <w:szCs w:val="18"/>
                <w:b w:val="1"/>
                <w:bCs w:val="1"/>
                <w:color w:val="auto"/>
              </w:rPr>
              <w:t>(6,869)</w:t>
            </w:r>
          </w:p>
        </w:tc>
        <w:tc>
          <w:tcPr>
            <w:tcW w:w="202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(17,874)</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Pr>
          <w:p>
            <w:pPr>
              <w:ind w:left="20"/>
              <w:spacing w:after="0" w:line="202" w:lineRule="exact"/>
              <w:rPr>
                <w:sz w:val="20"/>
                <w:szCs w:val="20"/>
                <w:color w:val="auto"/>
              </w:rPr>
            </w:pPr>
            <w:r>
              <w:rPr>
                <w:rFonts w:ascii="Arial" w:cs="Arial" w:eastAsia="Arial" w:hAnsi="Arial"/>
                <w:sz w:val="18"/>
                <w:szCs w:val="18"/>
                <w:color w:val="auto"/>
              </w:rPr>
              <w:t>Retirement benefits</w:t>
            </w:r>
          </w:p>
        </w:tc>
        <w:tc>
          <w:tcPr>
            <w:tcW w:w="2260" w:type="dxa"/>
            <w:vAlign w:val="bottom"/>
          </w:tcPr>
          <w:p>
            <w:pPr>
              <w:jc w:val="right"/>
              <w:ind w:right="570"/>
              <w:spacing w:after="0" w:line="202" w:lineRule="exact"/>
              <w:rPr>
                <w:sz w:val="20"/>
                <w:szCs w:val="20"/>
                <w:color w:val="auto"/>
              </w:rPr>
            </w:pPr>
            <w:r>
              <w:rPr>
                <w:rFonts w:ascii="Arial" w:cs="Arial" w:eastAsia="Arial" w:hAnsi="Arial"/>
                <w:sz w:val="18"/>
                <w:szCs w:val="18"/>
                <w:b w:val="1"/>
                <w:bCs w:val="1"/>
                <w:color w:val="auto"/>
              </w:rPr>
              <w:t>1,734</w:t>
            </w:r>
          </w:p>
        </w:tc>
        <w:tc>
          <w:tcPr>
            <w:tcW w:w="202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1,844</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1,438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Pr>
          <w:p>
            <w:pPr>
              <w:ind w:left="20"/>
              <w:spacing w:after="0" w:line="202" w:lineRule="exact"/>
              <w:rPr>
                <w:sz w:val="20"/>
                <w:szCs w:val="20"/>
                <w:color w:val="auto"/>
              </w:rPr>
            </w:pPr>
            <w:r>
              <w:rPr>
                <w:rFonts w:ascii="Arial" w:cs="Arial" w:eastAsia="Arial" w:hAnsi="Arial"/>
                <w:sz w:val="18"/>
                <w:szCs w:val="18"/>
                <w:color w:val="auto"/>
              </w:rPr>
              <w:t>Net impact to operating loss carryforwards</w:t>
            </w:r>
          </w:p>
        </w:tc>
        <w:tc>
          <w:tcPr>
            <w:tcW w:w="2260" w:type="dxa"/>
            <w:vAlign w:val="bottom"/>
          </w:tcPr>
          <w:p>
            <w:pPr>
              <w:jc w:val="right"/>
              <w:ind w:right="510"/>
              <w:spacing w:after="0" w:line="202" w:lineRule="exact"/>
              <w:rPr>
                <w:sz w:val="20"/>
                <w:szCs w:val="20"/>
                <w:color w:val="auto"/>
              </w:rPr>
            </w:pPr>
            <w:r>
              <w:rPr>
                <w:rFonts w:ascii="Arial" w:cs="Arial" w:eastAsia="Arial" w:hAnsi="Arial"/>
                <w:sz w:val="18"/>
                <w:szCs w:val="18"/>
                <w:b w:val="1"/>
                <w:bCs w:val="1"/>
                <w:color w:val="auto"/>
              </w:rPr>
              <w:t>(603)</w:t>
            </w:r>
          </w:p>
        </w:tc>
        <w:tc>
          <w:tcPr>
            <w:tcW w:w="202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(5,722)</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6,120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Enacted changes in tax laws and rates</w:t>
            </w:r>
          </w:p>
        </w:tc>
        <w:tc>
          <w:tcPr>
            <w:tcW w:w="2260" w:type="dxa"/>
            <w:vAlign w:val="bottom"/>
          </w:tcPr>
          <w:p>
            <w:pPr>
              <w:jc w:val="right"/>
              <w:ind w:right="570"/>
              <w:spacing w:after="0"/>
              <w:rPr>
                <w:sz w:val="20"/>
                <w:szCs w:val="20"/>
                <w:color w:val="auto"/>
              </w:rPr>
            </w:pPr>
            <w:r>
              <w:rPr>
                <w:rFonts w:ascii="Arial" w:cs="Arial" w:eastAsia="Arial" w:hAnsi="Arial"/>
                <w:sz w:val="18"/>
                <w:szCs w:val="18"/>
                <w:b w:val="1"/>
                <w:bCs w:val="1"/>
                <w:color w:val="auto"/>
              </w:rPr>
              <w:t>183</w:t>
            </w:r>
          </w:p>
        </w:tc>
        <w:tc>
          <w:tcPr>
            <w:tcW w:w="2020" w:type="dxa"/>
            <w:vAlign w:val="bottom"/>
          </w:tcPr>
          <w:p>
            <w:pPr>
              <w:jc w:val="right"/>
              <w:ind w:right="530"/>
              <w:spacing w:after="0"/>
              <w:rPr>
                <w:sz w:val="20"/>
                <w:szCs w:val="20"/>
                <w:color w:val="auto"/>
              </w:rPr>
            </w:pPr>
            <w:r>
              <w:rPr>
                <w:rFonts w:ascii="Arial" w:cs="Arial" w:eastAsia="Arial" w:hAnsi="Arial"/>
                <w:sz w:val="18"/>
                <w:szCs w:val="18"/>
                <w:color w:val="auto"/>
              </w:rPr>
              <w:t>670</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Pr>
          <w:p>
            <w:pPr>
              <w:ind w:left="20"/>
              <w:spacing w:after="0" w:line="202" w:lineRule="exact"/>
              <w:rPr>
                <w:sz w:val="20"/>
                <w:szCs w:val="20"/>
                <w:color w:val="auto"/>
              </w:rPr>
            </w:pPr>
            <w:r>
              <w:rPr>
                <w:rFonts w:ascii="Arial" w:cs="Arial" w:eastAsia="Arial" w:hAnsi="Arial"/>
                <w:sz w:val="18"/>
                <w:szCs w:val="18"/>
                <w:color w:val="auto"/>
              </w:rPr>
              <w:t>Adjustments to beginning-of-the-year valuation</w:t>
            </w:r>
          </w:p>
        </w:tc>
        <w:tc>
          <w:tcPr>
            <w:tcW w:w="226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(88)</w:t>
            </w:r>
          </w:p>
        </w:tc>
        <w:tc>
          <w:tcPr>
            <w:tcW w:w="20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00" w:type="dxa"/>
            <w:vAlign w:val="bottom"/>
          </w:tcPr>
          <w:p>
            <w:pPr>
              <w:ind w:left="120"/>
              <w:spacing w:after="0"/>
              <w:rPr>
                <w:sz w:val="20"/>
                <w:szCs w:val="20"/>
                <w:color w:val="auto"/>
              </w:rPr>
            </w:pPr>
            <w:r>
              <w:rPr>
                <w:rFonts w:ascii="Arial" w:cs="Arial" w:eastAsia="Arial" w:hAnsi="Arial"/>
                <w:sz w:val="18"/>
                <w:szCs w:val="18"/>
                <w:color w:val="auto"/>
              </w:rPr>
              <w:t>allowance balance for changes in circumstances</w:t>
            </w:r>
          </w:p>
        </w:tc>
        <w:tc>
          <w:tcPr>
            <w:tcW w:w="2260" w:type="dxa"/>
            <w:vAlign w:val="bottom"/>
            <w:vMerge w:val="continue"/>
          </w:tcPr>
          <w:p>
            <w:pPr>
              <w:spacing w:after="0"/>
              <w:rPr>
                <w:sz w:val="18"/>
                <w:szCs w:val="18"/>
                <w:color w:val="auto"/>
              </w:rPr>
            </w:pPr>
          </w:p>
        </w:tc>
        <w:tc>
          <w:tcPr>
            <w:tcW w:w="2020" w:type="dxa"/>
            <w:vAlign w:val="bottom"/>
          </w:tcPr>
          <w:p>
            <w:pPr>
              <w:jc w:val="right"/>
              <w:ind w:right="530"/>
              <w:spacing w:after="0"/>
              <w:rPr>
                <w:sz w:val="20"/>
                <w:szCs w:val="20"/>
                <w:color w:val="auto"/>
              </w:rPr>
            </w:pPr>
            <w:r>
              <w:rPr>
                <w:rFonts w:ascii="Arial" w:cs="Arial" w:eastAsia="Arial" w:hAnsi="Arial"/>
                <w:sz w:val="18"/>
                <w:szCs w:val="18"/>
                <w:color w:val="auto"/>
              </w:rPr>
              <w:t>75</w:t>
            </w:r>
          </w:p>
        </w:tc>
        <w:tc>
          <w:tcPr>
            <w:tcW w:w="152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Total</w:t>
            </w:r>
          </w:p>
        </w:tc>
        <w:tc>
          <w:tcPr>
            <w:tcW w:w="2260" w:type="dxa"/>
            <w:vAlign w:val="bottom"/>
            <w:tcBorders>
              <w:bottom w:val="single" w:sz="8" w:color="auto"/>
            </w:tcBorders>
          </w:tcPr>
          <w:p>
            <w:pPr>
              <w:jc w:val="right"/>
              <w:ind w:right="570"/>
              <w:spacing w:after="0" w:line="196" w:lineRule="exact"/>
              <w:rPr>
                <w:sz w:val="20"/>
                <w:szCs w:val="20"/>
                <w:color w:val="auto"/>
              </w:rPr>
            </w:pPr>
            <w:r>
              <w:rPr>
                <w:rFonts w:ascii="Arial" w:cs="Arial" w:eastAsia="Arial" w:hAnsi="Arial"/>
                <w:sz w:val="18"/>
                <w:szCs w:val="18"/>
                <w:b w:val="1"/>
                <w:bCs w:val="1"/>
                <w:color w:val="auto"/>
              </w:rPr>
              <w:t>$1,571</w:t>
            </w:r>
          </w:p>
        </w:tc>
        <w:tc>
          <w:tcPr>
            <w:tcW w:w="202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color w:val="auto"/>
              </w:rPr>
              <w:t>($28,622)</w:t>
            </w:r>
          </w:p>
        </w:tc>
        <w:tc>
          <w:tcPr>
            <w:tcW w:w="15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$5,301</w:t>
            </w: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600" w:type="dxa"/>
            <w:vAlign w:val="bottom"/>
            <w:tcBorders>
              <w:bottom w:val="single" w:sz="8" w:color="auto"/>
            </w:tcBorders>
          </w:tcPr>
          <w:p>
            <w:pPr>
              <w:spacing w:after="0"/>
              <w:rPr>
                <w:sz w:val="11"/>
                <w:szCs w:val="11"/>
                <w:color w:val="auto"/>
              </w:rPr>
            </w:pPr>
          </w:p>
        </w:tc>
        <w:tc>
          <w:tcPr>
            <w:tcW w:w="226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color w:val="auto"/>
        </w:rPr>
        <w:t>A reconciliation of the U.S. federal statutory tax rate to the Company’s effective income tax rate is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00" w:type="dxa"/>
            <w:vAlign w:val="bottom"/>
            <w:tcBorders>
              <w:top w:val="single" w:sz="8" w:color="auto"/>
              <w:bottom w:val="single" w:sz="8" w:color="auto"/>
            </w:tcBorders>
          </w:tcPr>
          <w:p>
            <w:pPr>
              <w:spacing w:after="0"/>
              <w:rPr>
                <w:sz w:val="18"/>
                <w:szCs w:val="18"/>
                <w:color w:val="auto"/>
              </w:rPr>
            </w:pPr>
          </w:p>
        </w:tc>
        <w:tc>
          <w:tcPr>
            <w:tcW w:w="226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2016</w:t>
            </w:r>
          </w:p>
        </w:tc>
        <w:tc>
          <w:tcPr>
            <w:tcW w:w="212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2015</w:t>
            </w:r>
          </w:p>
        </w:tc>
        <w:tc>
          <w:tcPr>
            <w:tcW w:w="1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2014</w:t>
            </w:r>
          </w:p>
        </w:tc>
      </w:tr>
      <w:tr>
        <w:trPr>
          <w:trHeight w:val="173"/>
        </w:trPr>
        <w:tc>
          <w:tcPr>
            <w:tcW w:w="5700" w:type="dxa"/>
            <w:vAlign w:val="bottom"/>
          </w:tcPr>
          <w:p>
            <w:pPr>
              <w:ind w:left="40"/>
              <w:spacing w:after="0" w:line="173" w:lineRule="exact"/>
              <w:rPr>
                <w:sz w:val="20"/>
                <w:szCs w:val="20"/>
                <w:color w:val="auto"/>
              </w:rPr>
            </w:pPr>
            <w:r>
              <w:rPr>
                <w:rFonts w:ascii="Arial" w:cs="Arial" w:eastAsia="Arial" w:hAnsi="Arial"/>
                <w:sz w:val="18"/>
                <w:szCs w:val="18"/>
                <w:color w:val="auto"/>
              </w:rPr>
              <w:t>U.S. federal statutory tax rate</w:t>
            </w:r>
          </w:p>
        </w:tc>
        <w:tc>
          <w:tcPr>
            <w:tcW w:w="2260" w:type="dxa"/>
            <w:vAlign w:val="bottom"/>
          </w:tcPr>
          <w:p>
            <w:pPr>
              <w:jc w:val="right"/>
              <w:ind w:right="650"/>
              <w:spacing w:after="0" w:line="173" w:lineRule="exact"/>
              <w:rPr>
                <w:sz w:val="20"/>
                <w:szCs w:val="20"/>
                <w:color w:val="auto"/>
              </w:rPr>
            </w:pPr>
            <w:r>
              <w:rPr>
                <w:rFonts w:ascii="Arial" w:cs="Arial" w:eastAsia="Arial" w:hAnsi="Arial"/>
                <w:sz w:val="18"/>
                <w:szCs w:val="18"/>
                <w:b w:val="1"/>
                <w:bCs w:val="1"/>
                <w:color w:val="auto"/>
              </w:rPr>
              <w:t>35.0%</w:t>
            </w:r>
          </w:p>
        </w:tc>
        <w:tc>
          <w:tcPr>
            <w:tcW w:w="2120" w:type="dxa"/>
            <w:vAlign w:val="bottom"/>
          </w:tcPr>
          <w:p>
            <w:pPr>
              <w:jc w:val="right"/>
              <w:ind w:right="710"/>
              <w:spacing w:after="0" w:line="173" w:lineRule="exact"/>
              <w:rPr>
                <w:sz w:val="20"/>
                <w:szCs w:val="20"/>
                <w:color w:val="auto"/>
              </w:rPr>
            </w:pPr>
            <w:r>
              <w:rPr>
                <w:rFonts w:ascii="Arial" w:cs="Arial" w:eastAsia="Arial" w:hAnsi="Arial"/>
                <w:sz w:val="18"/>
                <w:szCs w:val="18"/>
                <w:color w:val="auto"/>
              </w:rPr>
              <w:t>35.0%</w:t>
            </w:r>
          </w:p>
        </w:tc>
        <w:tc>
          <w:tcPr>
            <w:tcW w:w="1340" w:type="dxa"/>
            <w:vAlign w:val="bottom"/>
          </w:tcPr>
          <w:p>
            <w:pPr>
              <w:jc w:val="right"/>
              <w:spacing w:after="0" w:line="173" w:lineRule="exact"/>
              <w:rPr>
                <w:sz w:val="20"/>
                <w:szCs w:val="20"/>
                <w:color w:val="auto"/>
              </w:rPr>
            </w:pPr>
            <w:r>
              <w:rPr>
                <w:rFonts w:ascii="Arial" w:cs="Arial" w:eastAsia="Arial" w:hAnsi="Arial"/>
                <w:sz w:val="18"/>
                <w:szCs w:val="18"/>
                <w:color w:val="auto"/>
              </w:rPr>
              <w:t>35.0%</w:t>
            </w:r>
          </w:p>
        </w:tc>
      </w:tr>
      <w:tr>
        <w:trPr>
          <w:trHeight w:val="203"/>
        </w:trPr>
        <w:tc>
          <w:tcPr>
            <w:tcW w:w="5700" w:type="dxa"/>
            <w:vAlign w:val="bottom"/>
          </w:tcPr>
          <w:p>
            <w:pPr>
              <w:ind w:left="40"/>
              <w:spacing w:after="0" w:line="202" w:lineRule="exact"/>
              <w:rPr>
                <w:sz w:val="20"/>
                <w:szCs w:val="20"/>
                <w:color w:val="auto"/>
              </w:rPr>
            </w:pPr>
            <w:r>
              <w:rPr>
                <w:rFonts w:ascii="Arial" w:cs="Arial" w:eastAsia="Arial" w:hAnsi="Arial"/>
                <w:sz w:val="18"/>
                <w:szCs w:val="18"/>
                <w:color w:val="auto"/>
              </w:rPr>
              <w:t>State taxes, net of federal benefit</w:t>
            </w:r>
          </w:p>
        </w:tc>
        <w:tc>
          <w:tcPr>
            <w:tcW w:w="2260" w:type="dxa"/>
            <w:vAlign w:val="bottom"/>
          </w:tcPr>
          <w:p>
            <w:pPr>
              <w:jc w:val="right"/>
              <w:ind w:right="810"/>
              <w:spacing w:after="0" w:line="202" w:lineRule="exact"/>
              <w:rPr>
                <w:sz w:val="20"/>
                <w:szCs w:val="20"/>
                <w:color w:val="auto"/>
              </w:rPr>
            </w:pPr>
            <w:r>
              <w:rPr>
                <w:rFonts w:ascii="Arial" w:cs="Arial" w:eastAsia="Arial" w:hAnsi="Arial"/>
                <w:sz w:val="18"/>
                <w:szCs w:val="18"/>
                <w:b w:val="1"/>
                <w:bCs w:val="1"/>
                <w:color w:val="auto"/>
              </w:rPr>
              <w:t>2.3</w:t>
            </w:r>
          </w:p>
        </w:tc>
        <w:tc>
          <w:tcPr>
            <w:tcW w:w="2120" w:type="dxa"/>
            <w:vAlign w:val="bottom"/>
          </w:tcPr>
          <w:p>
            <w:pPr>
              <w:jc w:val="right"/>
              <w:ind w:right="870"/>
              <w:spacing w:after="0" w:line="202" w:lineRule="exact"/>
              <w:rPr>
                <w:sz w:val="20"/>
                <w:szCs w:val="20"/>
                <w:color w:val="auto"/>
              </w:rPr>
            </w:pPr>
            <w:r>
              <w:rPr>
                <w:rFonts w:ascii="Arial" w:cs="Arial" w:eastAsia="Arial" w:hAnsi="Arial"/>
                <w:sz w:val="18"/>
                <w:szCs w:val="18"/>
                <w:color w:val="auto"/>
              </w:rPr>
              <w:t>2.4</w:t>
            </w:r>
          </w:p>
        </w:tc>
        <w:tc>
          <w:tcPr>
            <w:tcW w:w="13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1.7</w:t>
            </w:r>
          </w:p>
        </w:tc>
      </w:tr>
      <w:tr>
        <w:trPr>
          <w:trHeight w:val="203"/>
        </w:trPr>
        <w:tc>
          <w:tcPr>
            <w:tcW w:w="5700" w:type="dxa"/>
            <w:vAlign w:val="bottom"/>
          </w:tcPr>
          <w:p>
            <w:pPr>
              <w:ind w:left="40"/>
              <w:spacing w:after="0" w:line="202" w:lineRule="exact"/>
              <w:rPr>
                <w:sz w:val="20"/>
                <w:szCs w:val="20"/>
                <w:color w:val="auto"/>
              </w:rPr>
            </w:pPr>
            <w:r>
              <w:rPr>
                <w:rFonts w:ascii="Arial" w:cs="Arial" w:eastAsia="Arial" w:hAnsi="Arial"/>
                <w:sz w:val="18"/>
                <w:szCs w:val="18"/>
                <w:color w:val="auto"/>
              </w:rPr>
              <w:t>Non-U.S. local income taxes</w:t>
            </w:r>
          </w:p>
        </w:tc>
        <w:tc>
          <w:tcPr>
            <w:tcW w:w="2260" w:type="dxa"/>
            <w:vAlign w:val="bottom"/>
          </w:tcPr>
          <w:p>
            <w:pPr>
              <w:jc w:val="right"/>
              <w:ind w:right="810"/>
              <w:spacing w:after="0" w:line="202" w:lineRule="exact"/>
              <w:rPr>
                <w:sz w:val="20"/>
                <w:szCs w:val="20"/>
                <w:color w:val="auto"/>
              </w:rPr>
            </w:pPr>
            <w:r>
              <w:rPr>
                <w:rFonts w:ascii="Arial" w:cs="Arial" w:eastAsia="Arial" w:hAnsi="Arial"/>
                <w:sz w:val="18"/>
                <w:szCs w:val="18"/>
                <w:b w:val="1"/>
                <w:bCs w:val="1"/>
                <w:color w:val="auto"/>
              </w:rPr>
              <w:t>3.5</w:t>
            </w:r>
          </w:p>
        </w:tc>
        <w:tc>
          <w:tcPr>
            <w:tcW w:w="2120" w:type="dxa"/>
            <w:vAlign w:val="bottom"/>
          </w:tcPr>
          <w:p>
            <w:pPr>
              <w:jc w:val="right"/>
              <w:ind w:right="870"/>
              <w:spacing w:after="0" w:line="202" w:lineRule="exact"/>
              <w:rPr>
                <w:sz w:val="20"/>
                <w:szCs w:val="20"/>
                <w:color w:val="auto"/>
              </w:rPr>
            </w:pPr>
            <w:r>
              <w:rPr>
                <w:rFonts w:ascii="Arial" w:cs="Arial" w:eastAsia="Arial" w:hAnsi="Arial"/>
                <w:sz w:val="18"/>
                <w:szCs w:val="18"/>
                <w:color w:val="auto"/>
              </w:rPr>
              <w:t>4.1</w:t>
            </w:r>
          </w:p>
        </w:tc>
        <w:tc>
          <w:tcPr>
            <w:tcW w:w="13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4.0</w:t>
            </w:r>
          </w:p>
        </w:tc>
      </w:tr>
      <w:tr>
        <w:trPr>
          <w:trHeight w:val="203"/>
        </w:trPr>
        <w:tc>
          <w:tcPr>
            <w:tcW w:w="5700" w:type="dxa"/>
            <w:vAlign w:val="bottom"/>
          </w:tcPr>
          <w:p>
            <w:pPr>
              <w:ind w:left="40"/>
              <w:spacing w:after="0" w:line="202" w:lineRule="exact"/>
              <w:rPr>
                <w:sz w:val="20"/>
                <w:szCs w:val="20"/>
                <w:color w:val="auto"/>
              </w:rPr>
            </w:pPr>
            <w:r>
              <w:rPr>
                <w:rFonts w:ascii="Arial" w:cs="Arial" w:eastAsia="Arial" w:hAnsi="Arial"/>
                <w:sz w:val="18"/>
                <w:szCs w:val="18"/>
                <w:color w:val="auto"/>
              </w:rPr>
              <w:t>Foreign adjustments</w:t>
            </w:r>
          </w:p>
        </w:tc>
        <w:tc>
          <w:tcPr>
            <w:tcW w:w="2260" w:type="dxa"/>
            <w:vAlign w:val="bottom"/>
          </w:tcPr>
          <w:p>
            <w:pPr>
              <w:jc w:val="right"/>
              <w:ind w:right="810"/>
              <w:spacing w:after="0" w:line="202" w:lineRule="exact"/>
              <w:rPr>
                <w:sz w:val="20"/>
                <w:szCs w:val="20"/>
                <w:color w:val="auto"/>
              </w:rPr>
            </w:pPr>
            <w:r>
              <w:rPr>
                <w:rFonts w:ascii="Arial" w:cs="Arial" w:eastAsia="Arial" w:hAnsi="Arial"/>
                <w:sz w:val="18"/>
                <w:szCs w:val="18"/>
                <w:b w:val="1"/>
                <w:bCs w:val="1"/>
                <w:color w:val="auto"/>
              </w:rPr>
              <w:t>1.6</w:t>
            </w:r>
          </w:p>
        </w:tc>
        <w:tc>
          <w:tcPr>
            <w:tcW w:w="2120" w:type="dxa"/>
            <w:vAlign w:val="bottom"/>
          </w:tcPr>
          <w:p>
            <w:pPr>
              <w:jc w:val="right"/>
              <w:ind w:right="870"/>
              <w:spacing w:after="0" w:line="202" w:lineRule="exact"/>
              <w:rPr>
                <w:sz w:val="20"/>
                <w:szCs w:val="20"/>
                <w:color w:val="auto"/>
              </w:rPr>
            </w:pPr>
            <w:r>
              <w:rPr>
                <w:rFonts w:ascii="Arial" w:cs="Arial" w:eastAsia="Arial" w:hAnsi="Arial"/>
                <w:sz w:val="18"/>
                <w:szCs w:val="18"/>
                <w:color w:val="auto"/>
              </w:rPr>
              <w:t>7.4</w:t>
            </w:r>
          </w:p>
        </w:tc>
        <w:tc>
          <w:tcPr>
            <w:tcW w:w="13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3.7</w:t>
            </w:r>
          </w:p>
        </w:tc>
      </w:tr>
      <w:tr>
        <w:trPr>
          <w:trHeight w:val="203"/>
        </w:trPr>
        <w:tc>
          <w:tcPr>
            <w:tcW w:w="5700" w:type="dxa"/>
            <w:vAlign w:val="bottom"/>
          </w:tcPr>
          <w:p>
            <w:pPr>
              <w:ind w:left="40"/>
              <w:spacing w:after="0" w:line="202" w:lineRule="exact"/>
              <w:rPr>
                <w:sz w:val="20"/>
                <w:szCs w:val="20"/>
                <w:color w:val="auto"/>
              </w:rPr>
            </w:pPr>
            <w:r>
              <w:rPr>
                <w:rFonts w:ascii="Arial" w:cs="Arial" w:eastAsia="Arial" w:hAnsi="Arial"/>
                <w:sz w:val="18"/>
                <w:szCs w:val="18"/>
                <w:color w:val="auto"/>
              </w:rPr>
              <w:t>Foreign rate differential</w:t>
            </w:r>
          </w:p>
        </w:tc>
        <w:tc>
          <w:tcPr>
            <w:tcW w:w="2260" w:type="dxa"/>
            <w:vAlign w:val="bottom"/>
          </w:tcPr>
          <w:p>
            <w:pPr>
              <w:jc w:val="right"/>
              <w:ind w:right="750"/>
              <w:spacing w:after="0" w:line="202" w:lineRule="exact"/>
              <w:rPr>
                <w:sz w:val="20"/>
                <w:szCs w:val="20"/>
                <w:color w:val="auto"/>
              </w:rPr>
            </w:pPr>
            <w:r>
              <w:rPr>
                <w:rFonts w:ascii="Arial" w:cs="Arial" w:eastAsia="Arial" w:hAnsi="Arial"/>
                <w:sz w:val="18"/>
                <w:szCs w:val="18"/>
                <w:b w:val="1"/>
                <w:bCs w:val="1"/>
                <w:color w:val="auto"/>
              </w:rPr>
              <w:t>(11.3)</w:t>
            </w:r>
          </w:p>
        </w:tc>
        <w:tc>
          <w:tcPr>
            <w:tcW w:w="2120" w:type="dxa"/>
            <w:vAlign w:val="bottom"/>
          </w:tcPr>
          <w:p>
            <w:pPr>
              <w:jc w:val="right"/>
              <w:ind w:right="810"/>
              <w:spacing w:after="0" w:line="202" w:lineRule="exact"/>
              <w:rPr>
                <w:sz w:val="20"/>
                <w:szCs w:val="20"/>
                <w:color w:val="auto"/>
              </w:rPr>
            </w:pPr>
            <w:r>
              <w:rPr>
                <w:rFonts w:ascii="Arial" w:cs="Arial" w:eastAsia="Arial" w:hAnsi="Arial"/>
                <w:sz w:val="18"/>
                <w:szCs w:val="18"/>
                <w:color w:val="auto"/>
              </w:rPr>
              <w:t>(13.6)</w:t>
            </w:r>
          </w:p>
        </w:tc>
        <w:tc>
          <w:tcPr>
            <w:tcW w:w="13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(13.9)</w:t>
            </w:r>
          </w:p>
        </w:tc>
      </w:tr>
      <w:tr>
        <w:trPr>
          <w:trHeight w:val="203"/>
        </w:trPr>
        <w:tc>
          <w:tcPr>
            <w:tcW w:w="5700" w:type="dxa"/>
            <w:vAlign w:val="bottom"/>
          </w:tcPr>
          <w:p>
            <w:pPr>
              <w:ind w:left="40"/>
              <w:spacing w:after="0" w:line="202" w:lineRule="exact"/>
              <w:rPr>
                <w:sz w:val="20"/>
                <w:szCs w:val="20"/>
                <w:color w:val="auto"/>
              </w:rPr>
            </w:pPr>
            <w:r>
              <w:rPr>
                <w:rFonts w:ascii="Arial" w:cs="Arial" w:eastAsia="Arial" w:hAnsi="Arial"/>
                <w:sz w:val="18"/>
                <w:szCs w:val="18"/>
                <w:color w:val="auto"/>
              </w:rPr>
              <w:t>Net U.S. tax on non-U.S. earnings and foreign withholdings</w:t>
            </w:r>
          </w:p>
        </w:tc>
        <w:tc>
          <w:tcPr>
            <w:tcW w:w="2260" w:type="dxa"/>
            <w:vAlign w:val="bottom"/>
          </w:tcPr>
          <w:p>
            <w:pPr>
              <w:jc w:val="right"/>
              <w:ind w:right="810"/>
              <w:spacing w:after="0" w:line="202" w:lineRule="exact"/>
              <w:rPr>
                <w:sz w:val="20"/>
                <w:szCs w:val="20"/>
                <w:color w:val="auto"/>
              </w:rPr>
            </w:pPr>
            <w:r>
              <w:rPr>
                <w:rFonts w:ascii="Arial" w:cs="Arial" w:eastAsia="Arial" w:hAnsi="Arial"/>
                <w:sz w:val="18"/>
                <w:szCs w:val="18"/>
                <w:b w:val="1"/>
                <w:bCs w:val="1"/>
                <w:color w:val="auto"/>
              </w:rPr>
              <w:t>5.8</w:t>
            </w:r>
          </w:p>
        </w:tc>
        <w:tc>
          <w:tcPr>
            <w:tcW w:w="2120" w:type="dxa"/>
            <w:vAlign w:val="bottom"/>
          </w:tcPr>
          <w:p>
            <w:pPr>
              <w:jc w:val="right"/>
              <w:ind w:right="810"/>
              <w:spacing w:after="0" w:line="202" w:lineRule="exact"/>
              <w:rPr>
                <w:sz w:val="20"/>
                <w:szCs w:val="20"/>
                <w:color w:val="auto"/>
              </w:rPr>
            </w:pPr>
            <w:r>
              <w:rPr>
                <w:rFonts w:ascii="Arial" w:cs="Arial" w:eastAsia="Arial" w:hAnsi="Arial"/>
                <w:sz w:val="18"/>
                <w:szCs w:val="18"/>
                <w:color w:val="auto"/>
              </w:rPr>
              <w:t>(1.8)</w:t>
            </w:r>
          </w:p>
        </w:tc>
        <w:tc>
          <w:tcPr>
            <w:tcW w:w="13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8.0</w:t>
            </w:r>
          </w:p>
        </w:tc>
      </w:tr>
      <w:tr>
        <w:trPr>
          <w:trHeight w:val="203"/>
        </w:trPr>
        <w:tc>
          <w:tcPr>
            <w:tcW w:w="5700" w:type="dxa"/>
            <w:vAlign w:val="bottom"/>
          </w:tcPr>
          <w:p>
            <w:pPr>
              <w:ind w:left="40"/>
              <w:spacing w:after="0" w:line="202" w:lineRule="exact"/>
              <w:rPr>
                <w:sz w:val="20"/>
                <w:szCs w:val="20"/>
                <w:color w:val="auto"/>
              </w:rPr>
            </w:pPr>
            <w:r>
              <w:rPr>
                <w:rFonts w:ascii="Arial" w:cs="Arial" w:eastAsia="Arial" w:hAnsi="Arial"/>
                <w:sz w:val="18"/>
                <w:szCs w:val="18"/>
                <w:color w:val="auto"/>
              </w:rPr>
              <w:t>Provision for/resolution of tax audits and contingencies, net</w:t>
            </w:r>
          </w:p>
        </w:tc>
        <w:tc>
          <w:tcPr>
            <w:tcW w:w="2260" w:type="dxa"/>
            <w:vAlign w:val="bottom"/>
          </w:tcPr>
          <w:p>
            <w:pPr>
              <w:jc w:val="right"/>
              <w:ind w:right="750"/>
              <w:spacing w:after="0" w:line="202" w:lineRule="exact"/>
              <w:rPr>
                <w:sz w:val="20"/>
                <w:szCs w:val="20"/>
                <w:color w:val="auto"/>
              </w:rPr>
            </w:pPr>
            <w:r>
              <w:rPr>
                <w:rFonts w:ascii="Arial" w:cs="Arial" w:eastAsia="Arial" w:hAnsi="Arial"/>
                <w:sz w:val="18"/>
                <w:szCs w:val="18"/>
                <w:b w:val="1"/>
                <w:bCs w:val="1"/>
                <w:color w:val="auto"/>
              </w:rPr>
              <w:t>(3.4)</w:t>
            </w:r>
          </w:p>
        </w:tc>
        <w:tc>
          <w:tcPr>
            <w:tcW w:w="2120" w:type="dxa"/>
            <w:vAlign w:val="bottom"/>
          </w:tcPr>
          <w:p>
            <w:pPr>
              <w:jc w:val="right"/>
              <w:ind w:right="870"/>
              <w:spacing w:after="0" w:line="202" w:lineRule="exact"/>
              <w:rPr>
                <w:sz w:val="20"/>
                <w:szCs w:val="20"/>
                <w:color w:val="auto"/>
              </w:rPr>
            </w:pPr>
            <w:r>
              <w:rPr>
                <w:rFonts w:ascii="Arial" w:cs="Arial" w:eastAsia="Arial" w:hAnsi="Arial"/>
                <w:sz w:val="18"/>
                <w:szCs w:val="18"/>
                <w:color w:val="auto"/>
              </w:rPr>
              <w:t>12.6</w:t>
            </w:r>
          </w:p>
        </w:tc>
        <w:tc>
          <w:tcPr>
            <w:tcW w:w="13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1.0</w:t>
            </w:r>
          </w:p>
        </w:tc>
      </w:tr>
      <w:tr>
        <w:trPr>
          <w:trHeight w:val="203"/>
        </w:trPr>
        <w:tc>
          <w:tcPr>
            <w:tcW w:w="5700" w:type="dxa"/>
            <w:vAlign w:val="bottom"/>
          </w:tcPr>
          <w:p>
            <w:pPr>
              <w:ind w:left="40"/>
              <w:spacing w:after="0" w:line="202" w:lineRule="exact"/>
              <w:rPr>
                <w:sz w:val="20"/>
                <w:szCs w:val="20"/>
                <w:color w:val="auto"/>
              </w:rPr>
            </w:pPr>
            <w:r>
              <w:rPr>
                <w:rFonts w:ascii="Arial" w:cs="Arial" w:eastAsia="Arial" w:hAnsi="Arial"/>
                <w:sz w:val="18"/>
                <w:szCs w:val="18"/>
                <w:color w:val="auto"/>
              </w:rPr>
              <w:t>Research and development and other tax credits</w:t>
            </w:r>
          </w:p>
        </w:tc>
        <w:tc>
          <w:tcPr>
            <w:tcW w:w="2260" w:type="dxa"/>
            <w:vAlign w:val="bottom"/>
          </w:tcPr>
          <w:p>
            <w:pPr>
              <w:jc w:val="right"/>
              <w:ind w:right="750"/>
              <w:spacing w:after="0" w:line="202" w:lineRule="exact"/>
              <w:rPr>
                <w:sz w:val="20"/>
                <w:szCs w:val="20"/>
                <w:color w:val="auto"/>
              </w:rPr>
            </w:pPr>
            <w:r>
              <w:rPr>
                <w:rFonts w:ascii="Arial" w:cs="Arial" w:eastAsia="Arial" w:hAnsi="Arial"/>
                <w:sz w:val="18"/>
                <w:szCs w:val="18"/>
                <w:b w:val="1"/>
                <w:bCs w:val="1"/>
                <w:color w:val="auto"/>
              </w:rPr>
              <w:t>(1.2)</w:t>
            </w:r>
          </w:p>
        </w:tc>
        <w:tc>
          <w:tcPr>
            <w:tcW w:w="2120" w:type="dxa"/>
            <w:vAlign w:val="bottom"/>
          </w:tcPr>
          <w:p>
            <w:pPr>
              <w:jc w:val="right"/>
              <w:ind w:right="810"/>
              <w:spacing w:after="0" w:line="202" w:lineRule="exact"/>
              <w:rPr>
                <w:sz w:val="20"/>
                <w:szCs w:val="20"/>
                <w:color w:val="auto"/>
              </w:rPr>
            </w:pPr>
            <w:r>
              <w:rPr>
                <w:rFonts w:ascii="Arial" w:cs="Arial" w:eastAsia="Arial" w:hAnsi="Arial"/>
                <w:sz w:val="18"/>
                <w:szCs w:val="18"/>
                <w:color w:val="auto"/>
              </w:rPr>
              <w:t>(2.4)</w:t>
            </w:r>
          </w:p>
        </w:tc>
        <w:tc>
          <w:tcPr>
            <w:tcW w:w="13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w:t>
            </w:r>
          </w:p>
        </w:tc>
      </w:tr>
      <w:tr>
        <w:trPr>
          <w:trHeight w:val="203"/>
        </w:trPr>
        <w:tc>
          <w:tcPr>
            <w:tcW w:w="5700" w:type="dxa"/>
            <w:vAlign w:val="bottom"/>
          </w:tcPr>
          <w:p>
            <w:pPr>
              <w:ind w:left="40"/>
              <w:spacing w:after="0" w:line="202" w:lineRule="exact"/>
              <w:rPr>
                <w:sz w:val="20"/>
                <w:szCs w:val="20"/>
                <w:color w:val="auto"/>
              </w:rPr>
            </w:pPr>
            <w:r>
              <w:rPr>
                <w:rFonts w:ascii="Arial" w:cs="Arial" w:eastAsia="Arial" w:hAnsi="Arial"/>
                <w:sz w:val="18"/>
                <w:szCs w:val="18"/>
                <w:color w:val="auto"/>
              </w:rPr>
              <w:t>Adjustment to beginning of year valuation allowances</w:t>
            </w:r>
          </w:p>
        </w:tc>
        <w:tc>
          <w:tcPr>
            <w:tcW w:w="2260" w:type="dxa"/>
            <w:vAlign w:val="bottom"/>
          </w:tcPr>
          <w:p>
            <w:pPr>
              <w:jc w:val="right"/>
              <w:ind w:right="750"/>
              <w:spacing w:after="0" w:line="202" w:lineRule="exact"/>
              <w:rPr>
                <w:sz w:val="20"/>
                <w:szCs w:val="20"/>
                <w:color w:val="auto"/>
              </w:rPr>
            </w:pPr>
            <w:r>
              <w:rPr>
                <w:rFonts w:ascii="Arial" w:cs="Arial" w:eastAsia="Arial" w:hAnsi="Arial"/>
                <w:sz w:val="18"/>
                <w:szCs w:val="18"/>
                <w:b w:val="1"/>
                <w:bCs w:val="1"/>
                <w:color w:val="auto"/>
              </w:rPr>
              <w:t>(0.1)</w:t>
            </w:r>
          </w:p>
        </w:tc>
        <w:tc>
          <w:tcPr>
            <w:tcW w:w="2120" w:type="dxa"/>
            <w:vAlign w:val="bottom"/>
          </w:tcPr>
          <w:p>
            <w:pPr>
              <w:jc w:val="right"/>
              <w:ind w:right="870"/>
              <w:spacing w:after="0" w:line="202" w:lineRule="exact"/>
              <w:rPr>
                <w:sz w:val="20"/>
                <w:szCs w:val="20"/>
                <w:color w:val="auto"/>
              </w:rPr>
            </w:pPr>
            <w:r>
              <w:rPr>
                <w:rFonts w:ascii="Arial" w:cs="Arial" w:eastAsia="Arial" w:hAnsi="Arial"/>
                <w:sz w:val="18"/>
                <w:szCs w:val="18"/>
                <w:color w:val="auto"/>
              </w:rPr>
              <w:t>0.1</w:t>
            </w:r>
          </w:p>
        </w:tc>
        <w:tc>
          <w:tcPr>
            <w:tcW w:w="13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(0.2)</w:t>
            </w:r>
          </w:p>
        </w:tc>
      </w:tr>
      <w:tr>
        <w:trPr>
          <w:trHeight w:val="203"/>
        </w:trPr>
        <w:tc>
          <w:tcPr>
            <w:tcW w:w="5700" w:type="dxa"/>
            <w:vAlign w:val="bottom"/>
          </w:tcPr>
          <w:p>
            <w:pPr>
              <w:ind w:left="40"/>
              <w:spacing w:after="0" w:line="202" w:lineRule="exact"/>
              <w:rPr>
                <w:sz w:val="20"/>
                <w:szCs w:val="20"/>
                <w:color w:val="auto"/>
              </w:rPr>
            </w:pPr>
            <w:r>
              <w:rPr>
                <w:rFonts w:ascii="Arial" w:cs="Arial" w:eastAsia="Arial" w:hAnsi="Arial"/>
                <w:sz w:val="18"/>
                <w:szCs w:val="18"/>
                <w:color w:val="auto"/>
              </w:rPr>
              <w:t>Worthless stock deduction</w:t>
            </w:r>
          </w:p>
        </w:tc>
        <w:tc>
          <w:tcPr>
            <w:tcW w:w="2260" w:type="dxa"/>
            <w:vAlign w:val="bottom"/>
          </w:tcPr>
          <w:p>
            <w:pPr>
              <w:jc w:val="right"/>
              <w:ind w:right="810"/>
              <w:spacing w:after="0" w:line="202" w:lineRule="exact"/>
              <w:rPr>
                <w:sz w:val="20"/>
                <w:szCs w:val="20"/>
                <w:color w:val="auto"/>
              </w:rPr>
            </w:pPr>
            <w:r>
              <w:rPr>
                <w:rFonts w:ascii="Arial" w:cs="Arial" w:eastAsia="Arial" w:hAnsi="Arial"/>
                <w:sz w:val="18"/>
                <w:szCs w:val="18"/>
                <w:b w:val="1"/>
                <w:bCs w:val="1"/>
                <w:color w:val="auto"/>
              </w:rPr>
              <w:t>-</w:t>
            </w:r>
          </w:p>
        </w:tc>
        <w:tc>
          <w:tcPr>
            <w:tcW w:w="2120" w:type="dxa"/>
            <w:vAlign w:val="bottom"/>
          </w:tcPr>
          <w:p>
            <w:pPr>
              <w:jc w:val="right"/>
              <w:ind w:right="810"/>
              <w:spacing w:after="0" w:line="202" w:lineRule="exact"/>
              <w:rPr>
                <w:sz w:val="20"/>
                <w:szCs w:val="20"/>
                <w:color w:val="auto"/>
              </w:rPr>
            </w:pPr>
            <w:r>
              <w:rPr>
                <w:rFonts w:ascii="Arial" w:cs="Arial" w:eastAsia="Arial" w:hAnsi="Arial"/>
                <w:sz w:val="18"/>
                <w:szCs w:val="18"/>
                <w:color w:val="auto"/>
              </w:rPr>
              <w:t>(55.5)</w:t>
            </w:r>
          </w:p>
        </w:tc>
        <w:tc>
          <w:tcPr>
            <w:tcW w:w="13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r>
      <w:tr>
        <w:trPr>
          <w:trHeight w:val="225"/>
        </w:trPr>
        <w:tc>
          <w:tcPr>
            <w:tcW w:w="57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Other</w:t>
            </w:r>
          </w:p>
        </w:tc>
        <w:tc>
          <w:tcPr>
            <w:tcW w:w="226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0.3</w:t>
            </w:r>
          </w:p>
        </w:tc>
        <w:tc>
          <w:tcPr>
            <w:tcW w:w="212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rPr>
              <w:t>0.5</w:t>
            </w:r>
          </w:p>
        </w:tc>
        <w:tc>
          <w:tcPr>
            <w:tcW w:w="1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0.4</w:t>
            </w:r>
          </w:p>
        </w:tc>
      </w:tr>
      <w:tr>
        <w:trPr>
          <w:trHeight w:val="196"/>
        </w:trPr>
        <w:tc>
          <w:tcPr>
            <w:tcW w:w="570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Effective income tax rate</w:t>
            </w:r>
          </w:p>
        </w:tc>
        <w:tc>
          <w:tcPr>
            <w:tcW w:w="2260" w:type="dxa"/>
            <w:vAlign w:val="bottom"/>
            <w:tcBorders>
              <w:bottom w:val="single" w:sz="8" w:color="auto"/>
            </w:tcBorders>
          </w:tcPr>
          <w:p>
            <w:pPr>
              <w:jc w:val="right"/>
              <w:ind w:right="650"/>
              <w:spacing w:after="0" w:line="196" w:lineRule="exact"/>
              <w:rPr>
                <w:sz w:val="20"/>
                <w:szCs w:val="20"/>
                <w:color w:val="auto"/>
              </w:rPr>
            </w:pPr>
            <w:r>
              <w:rPr>
                <w:rFonts w:ascii="Arial" w:cs="Arial" w:eastAsia="Arial" w:hAnsi="Arial"/>
                <w:sz w:val="18"/>
                <w:szCs w:val="18"/>
                <w:b w:val="1"/>
                <w:bCs w:val="1"/>
                <w:color w:val="auto"/>
              </w:rPr>
              <w:t>32.5%</w:t>
            </w:r>
          </w:p>
        </w:tc>
        <w:tc>
          <w:tcPr>
            <w:tcW w:w="2120" w:type="dxa"/>
            <w:vAlign w:val="bottom"/>
            <w:tcBorders>
              <w:bottom w:val="single" w:sz="8" w:color="auto"/>
            </w:tcBorders>
          </w:tcPr>
          <w:p>
            <w:pPr>
              <w:jc w:val="right"/>
              <w:ind w:right="650"/>
              <w:spacing w:after="0" w:line="196" w:lineRule="exact"/>
              <w:rPr>
                <w:sz w:val="20"/>
                <w:szCs w:val="20"/>
                <w:color w:val="auto"/>
              </w:rPr>
            </w:pPr>
            <w:r>
              <w:rPr>
                <w:rFonts w:ascii="Arial" w:cs="Arial" w:eastAsia="Arial" w:hAnsi="Arial"/>
                <w:sz w:val="18"/>
                <w:szCs w:val="18"/>
                <w:color w:val="auto"/>
              </w:rPr>
              <w:t>(11.2)%</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38.1%</w:t>
            </w:r>
          </w:p>
        </w:tc>
      </w:tr>
    </w:tbl>
    <w:p>
      <w:pPr>
        <w:spacing w:after="0" w:line="391" w:lineRule="exact"/>
        <w:rPr>
          <w:sz w:val="20"/>
          <w:szCs w:val="20"/>
          <w:color w:val="auto"/>
        </w:rPr>
      </w:pPr>
    </w:p>
    <w:p>
      <w:pPr>
        <w:ind w:right="60" w:firstLine="648"/>
        <w:spacing w:after="0" w:line="236" w:lineRule="auto"/>
        <w:rPr>
          <w:sz w:val="20"/>
          <w:szCs w:val="20"/>
          <w:color w:val="auto"/>
        </w:rPr>
      </w:pPr>
      <w:r>
        <w:rPr>
          <w:rFonts w:ascii="Arial" w:cs="Arial" w:eastAsia="Arial" w:hAnsi="Arial"/>
          <w:sz w:val="18"/>
          <w:szCs w:val="18"/>
          <w:color w:val="auto"/>
        </w:rPr>
        <w:t>The Company has operations which constitute a taxable presence in 18 countries outside of the United States. All of these countries had income tax rates that were at or below the United States’ federal tax rate of 35% during the periods reported. The jurisdictional location of earnings is a significant component of our effective tax rate each year. The rate impact of this component is influenced by the specific location of non-U.S. earnings and the level of our total earnings. From period to period, the jurisdictional mix of earnings can vary as a result of operating fluctuations in the normal course of business, as well as the extent and location of other income and expense items, such as pension settlement and restructuring charges. The foreign income tax rate differential that is included above in the reconciliation of the effective tax rate includes the difference between tax expense calculated at the U.S. federal statutory tax rate of 35% and the expense accrued based on lower statutory tax rates that apply in the jurisdictions where the income or loss is earned.</w:t>
      </w:r>
    </w:p>
    <w:p>
      <w:pPr>
        <w:spacing w:after="0" w:line="168" w:lineRule="exact"/>
        <w:rPr>
          <w:sz w:val="20"/>
          <w:szCs w:val="20"/>
          <w:color w:val="auto"/>
        </w:rPr>
      </w:pPr>
    </w:p>
    <w:p>
      <w:pPr>
        <w:ind w:right="180" w:firstLine="648"/>
        <w:spacing w:after="0"/>
        <w:rPr>
          <w:sz w:val="20"/>
          <w:szCs w:val="20"/>
          <w:color w:val="auto"/>
        </w:rPr>
      </w:pPr>
      <w:r>
        <w:rPr>
          <w:rFonts w:ascii="Arial" w:cs="Arial" w:eastAsia="Arial" w:hAnsi="Arial"/>
          <w:sz w:val="18"/>
          <w:szCs w:val="18"/>
          <w:color w:val="auto"/>
        </w:rPr>
        <w:t>During the periods reported, income outside of the U.S. was heavily concentrated within Brazil, China, (both with 25% tax rates), Mexico (30% tax rate) and Switzerland (8% tax rate). As a result, the foreign income tax rate differential was primarily attributable to these tax rate differences.</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79" w:name="page80"/>
    <w:bookmarkEnd w:id="79"/>
    <w:p>
      <w:pPr>
        <w:ind w:right="60" w:firstLine="648"/>
        <w:spacing w:after="0"/>
        <w:rPr>
          <w:sz w:val="20"/>
          <w:szCs w:val="20"/>
          <w:color w:val="auto"/>
        </w:rPr>
      </w:pPr>
      <w:r>
        <w:rPr>
          <w:rFonts w:ascii="Arial" w:cs="Arial" w:eastAsia="Arial" w:hAnsi="Arial"/>
          <w:sz w:val="18"/>
          <w:szCs w:val="18"/>
          <w:color w:val="auto"/>
        </w:rPr>
        <w:t>Deferred income taxes reflect the net tax effects of temporary differences between the carrying amounts of certain assets and liabilities for financial reporting and income tax return purposes. Significant components of the Company’s deferred tax assets and liabilities are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Borders>
              <w:top w:val="single" w:sz="8" w:color="auto"/>
              <w:bottom w:val="single" w:sz="8" w:color="auto"/>
            </w:tcBorders>
          </w:tcPr>
          <w:p>
            <w:pPr>
              <w:spacing w:after="0"/>
              <w:rPr>
                <w:sz w:val="18"/>
                <w:szCs w:val="18"/>
                <w:color w:val="auto"/>
              </w:rPr>
            </w:pPr>
          </w:p>
        </w:tc>
        <w:tc>
          <w:tcPr>
            <w:tcW w:w="252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U.S.</w:t>
            </w:r>
          </w:p>
        </w:tc>
        <w:tc>
          <w:tcPr>
            <w:tcW w:w="1620" w:type="dxa"/>
            <w:vAlign w:val="bottom"/>
            <w:tcBorders>
              <w:top w:val="single" w:sz="8" w:color="auto"/>
              <w:bottom w:val="single" w:sz="8" w:color="auto"/>
            </w:tcBorders>
          </w:tcPr>
          <w:p>
            <w:pPr>
              <w:spacing w:after="0"/>
              <w:rPr>
                <w:sz w:val="18"/>
                <w:szCs w:val="18"/>
                <w:color w:val="auto"/>
              </w:rPr>
            </w:pPr>
          </w:p>
        </w:tc>
        <w:tc>
          <w:tcPr>
            <w:tcW w:w="18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Non-U.S.</w:t>
            </w:r>
          </w:p>
        </w:tc>
        <w:tc>
          <w:tcPr>
            <w:tcW w:w="13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160" w:type="dxa"/>
            <w:vAlign w:val="bottom"/>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2520" w:type="dxa"/>
            <w:vAlign w:val="bottom"/>
          </w:tcPr>
          <w:p>
            <w:pPr>
              <w:jc w:val="right"/>
              <w:ind w:right="770"/>
              <w:spacing w:after="0"/>
              <w:rPr>
                <w:sz w:val="20"/>
                <w:szCs w:val="20"/>
                <w:color w:val="auto"/>
              </w:rPr>
            </w:pPr>
            <w:r>
              <w:rPr>
                <w:rFonts w:ascii="Arial" w:cs="Arial" w:eastAsia="Arial" w:hAnsi="Arial"/>
                <w:sz w:val="18"/>
                <w:szCs w:val="18"/>
                <w:b w:val="1"/>
                <w:bCs w:val="1"/>
                <w:color w:val="auto"/>
              </w:rPr>
              <w:t>2016</w:t>
            </w:r>
          </w:p>
        </w:tc>
        <w:tc>
          <w:tcPr>
            <w:tcW w:w="1620" w:type="dxa"/>
            <w:vAlign w:val="bottom"/>
          </w:tcPr>
          <w:p>
            <w:pPr>
              <w:jc w:val="right"/>
              <w:ind w:right="650"/>
              <w:spacing w:after="0"/>
              <w:rPr>
                <w:sz w:val="20"/>
                <w:szCs w:val="20"/>
                <w:color w:val="auto"/>
              </w:rPr>
            </w:pPr>
            <w:r>
              <w:rPr>
                <w:rFonts w:ascii="Arial" w:cs="Arial" w:eastAsia="Arial" w:hAnsi="Arial"/>
                <w:sz w:val="18"/>
                <w:szCs w:val="18"/>
                <w:b w:val="1"/>
                <w:bCs w:val="1"/>
                <w:color w:val="auto"/>
              </w:rPr>
              <w:t>2015</w:t>
            </w:r>
          </w:p>
        </w:tc>
        <w:tc>
          <w:tcPr>
            <w:tcW w:w="1820" w:type="dxa"/>
            <w:vAlign w:val="bottom"/>
          </w:tcPr>
          <w:p>
            <w:pPr>
              <w:jc w:val="right"/>
              <w:ind w:right="770"/>
              <w:spacing w:after="0"/>
              <w:rPr>
                <w:sz w:val="20"/>
                <w:szCs w:val="20"/>
                <w:color w:val="auto"/>
              </w:rPr>
            </w:pPr>
            <w:r>
              <w:rPr>
                <w:rFonts w:ascii="Arial" w:cs="Arial" w:eastAsia="Arial" w:hAnsi="Arial"/>
                <w:sz w:val="18"/>
                <w:szCs w:val="18"/>
                <w:b w:val="1"/>
                <w:bCs w:val="1"/>
                <w:color w:val="auto"/>
              </w:rPr>
              <w:t>2016</w:t>
            </w:r>
          </w:p>
        </w:tc>
        <w:tc>
          <w:tcPr>
            <w:tcW w:w="13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166"/>
        </w:trPr>
        <w:tc>
          <w:tcPr>
            <w:tcW w:w="4160" w:type="dxa"/>
            <w:vAlign w:val="bottom"/>
            <w:tcBorders>
              <w:bottom w:val="single" w:sz="8" w:color="auto"/>
            </w:tcBorders>
            <w:vMerge w:val="continue"/>
          </w:tcPr>
          <w:p>
            <w:pPr>
              <w:spacing w:after="0"/>
              <w:rPr>
                <w:sz w:val="14"/>
                <w:szCs w:val="14"/>
                <w:color w:val="auto"/>
              </w:rPr>
            </w:pPr>
          </w:p>
        </w:tc>
        <w:tc>
          <w:tcPr>
            <w:tcW w:w="25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98"/>
        </w:trPr>
        <w:tc>
          <w:tcPr>
            <w:tcW w:w="4160" w:type="dxa"/>
            <w:vAlign w:val="bottom"/>
          </w:tcPr>
          <w:p>
            <w:pPr>
              <w:ind w:left="40"/>
              <w:spacing w:after="0"/>
              <w:rPr>
                <w:sz w:val="20"/>
                <w:szCs w:val="20"/>
                <w:color w:val="auto"/>
              </w:rPr>
            </w:pPr>
            <w:r>
              <w:rPr>
                <w:rFonts w:ascii="Arial" w:cs="Arial" w:eastAsia="Arial" w:hAnsi="Arial"/>
                <w:sz w:val="18"/>
                <w:szCs w:val="18"/>
                <w:color w:val="auto"/>
              </w:rPr>
              <w:t>Noncurrent deferred tax assets:</w:t>
            </w:r>
          </w:p>
        </w:tc>
        <w:tc>
          <w:tcPr>
            <w:tcW w:w="252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$1,155</w:t>
            </w:r>
          </w:p>
        </w:tc>
        <w:tc>
          <w:tcPr>
            <w:tcW w:w="1620" w:type="dxa"/>
            <w:vAlign w:val="bottom"/>
          </w:tcPr>
          <w:p>
            <w:pPr>
              <w:spacing w:after="0"/>
              <w:rPr>
                <w:sz w:val="24"/>
                <w:szCs w:val="24"/>
                <w:color w:val="auto"/>
              </w:rPr>
            </w:pPr>
          </w:p>
        </w:tc>
        <w:tc>
          <w:tcPr>
            <w:tcW w:w="182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$1,381</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4160" w:type="dxa"/>
            <w:vAlign w:val="bottom"/>
          </w:tcPr>
          <w:p>
            <w:pPr>
              <w:ind w:left="120"/>
              <w:spacing w:after="0" w:line="181" w:lineRule="exact"/>
              <w:rPr>
                <w:sz w:val="20"/>
                <w:szCs w:val="20"/>
                <w:color w:val="auto"/>
              </w:rPr>
            </w:pPr>
            <w:r>
              <w:rPr>
                <w:rFonts w:ascii="Arial" w:cs="Arial" w:eastAsia="Arial" w:hAnsi="Arial"/>
                <w:sz w:val="18"/>
                <w:szCs w:val="18"/>
                <w:color w:val="auto"/>
              </w:rPr>
              <w:t>Accounts receivable</w:t>
            </w:r>
          </w:p>
        </w:tc>
        <w:tc>
          <w:tcPr>
            <w:tcW w:w="2520" w:type="dxa"/>
            <w:vAlign w:val="bottom"/>
            <w:vMerge w:val="continue"/>
          </w:tcPr>
          <w:p>
            <w:pPr>
              <w:spacing w:after="0"/>
              <w:rPr>
                <w:sz w:val="15"/>
                <w:szCs w:val="15"/>
                <w:color w:val="auto"/>
              </w:rPr>
            </w:pPr>
          </w:p>
        </w:tc>
        <w:tc>
          <w:tcPr>
            <w:tcW w:w="1620" w:type="dxa"/>
            <w:vAlign w:val="bottom"/>
          </w:tcPr>
          <w:p>
            <w:pPr>
              <w:jc w:val="right"/>
              <w:ind w:right="290"/>
              <w:spacing w:after="0" w:line="181" w:lineRule="exact"/>
              <w:rPr>
                <w:sz w:val="20"/>
                <w:szCs w:val="20"/>
                <w:color w:val="auto"/>
              </w:rPr>
            </w:pPr>
            <w:r>
              <w:rPr>
                <w:rFonts w:ascii="Arial" w:cs="Arial" w:eastAsia="Arial" w:hAnsi="Arial"/>
                <w:sz w:val="18"/>
                <w:szCs w:val="18"/>
                <w:color w:val="auto"/>
              </w:rPr>
              <w:t>$1,392</w:t>
            </w:r>
          </w:p>
        </w:tc>
        <w:tc>
          <w:tcPr>
            <w:tcW w:w="1820" w:type="dxa"/>
            <w:vAlign w:val="bottom"/>
            <w:vMerge w:val="continue"/>
          </w:tcPr>
          <w:p>
            <w:pPr>
              <w:spacing w:after="0"/>
              <w:rPr>
                <w:sz w:val="15"/>
                <w:szCs w:val="15"/>
                <w:color w:val="auto"/>
              </w:rPr>
            </w:pPr>
          </w:p>
        </w:tc>
        <w:tc>
          <w:tcPr>
            <w:tcW w:w="1300" w:type="dxa"/>
            <w:vAlign w:val="bottom"/>
          </w:tcPr>
          <w:p>
            <w:pPr>
              <w:jc w:val="right"/>
              <w:ind w:right="10"/>
              <w:spacing w:after="0" w:line="181" w:lineRule="exact"/>
              <w:rPr>
                <w:sz w:val="20"/>
                <w:szCs w:val="20"/>
                <w:color w:val="auto"/>
              </w:rPr>
            </w:pPr>
            <w:r>
              <w:rPr>
                <w:rFonts w:ascii="Arial" w:cs="Arial" w:eastAsia="Arial" w:hAnsi="Arial"/>
                <w:sz w:val="18"/>
                <w:szCs w:val="18"/>
                <w:color w:val="auto"/>
              </w:rPr>
              <w:t>$1,304</w:t>
            </w:r>
          </w:p>
        </w:tc>
        <w:tc>
          <w:tcPr>
            <w:tcW w:w="0" w:type="dxa"/>
            <w:vAlign w:val="bottom"/>
          </w:tcPr>
          <w:p>
            <w:pPr>
              <w:spacing w:after="0"/>
              <w:rPr>
                <w:sz w:val="1"/>
                <w:szCs w:val="1"/>
                <w:color w:val="auto"/>
              </w:rPr>
            </w:pPr>
          </w:p>
        </w:tc>
      </w:tr>
      <w:tr>
        <w:trPr>
          <w:trHeight w:val="203"/>
        </w:trPr>
        <w:tc>
          <w:tcPr>
            <w:tcW w:w="4160" w:type="dxa"/>
            <w:vAlign w:val="bottom"/>
          </w:tcPr>
          <w:p>
            <w:pPr>
              <w:ind w:left="140"/>
              <w:spacing w:after="0" w:line="202" w:lineRule="exact"/>
              <w:rPr>
                <w:sz w:val="20"/>
                <w:szCs w:val="20"/>
                <w:color w:val="auto"/>
              </w:rPr>
            </w:pPr>
            <w:r>
              <w:rPr>
                <w:rFonts w:ascii="Arial" w:cs="Arial" w:eastAsia="Arial" w:hAnsi="Arial"/>
                <w:sz w:val="18"/>
                <w:szCs w:val="18"/>
                <w:color w:val="auto"/>
              </w:rPr>
              <w:t>Inventories</w:t>
            </w:r>
          </w:p>
        </w:tc>
        <w:tc>
          <w:tcPr>
            <w:tcW w:w="2520" w:type="dxa"/>
            <w:vAlign w:val="bottom"/>
          </w:tcPr>
          <w:p>
            <w:pPr>
              <w:jc w:val="right"/>
              <w:ind w:right="390"/>
              <w:spacing w:after="0" w:line="202" w:lineRule="exact"/>
              <w:rPr>
                <w:sz w:val="20"/>
                <w:szCs w:val="20"/>
                <w:color w:val="auto"/>
              </w:rPr>
            </w:pPr>
            <w:r>
              <w:rPr>
                <w:rFonts w:ascii="Arial" w:cs="Arial" w:eastAsia="Arial" w:hAnsi="Arial"/>
                <w:sz w:val="18"/>
                <w:szCs w:val="18"/>
                <w:b w:val="1"/>
                <w:bCs w:val="1"/>
                <w:color w:val="auto"/>
              </w:rPr>
              <w:t>1,193</w:t>
            </w:r>
          </w:p>
        </w:tc>
        <w:tc>
          <w:tcPr>
            <w:tcW w:w="162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897</w:t>
            </w:r>
          </w:p>
        </w:tc>
        <w:tc>
          <w:tcPr>
            <w:tcW w:w="1820" w:type="dxa"/>
            <w:vAlign w:val="bottom"/>
          </w:tcPr>
          <w:p>
            <w:pPr>
              <w:jc w:val="right"/>
              <w:ind w:right="410"/>
              <w:spacing w:after="0" w:line="202" w:lineRule="exact"/>
              <w:rPr>
                <w:sz w:val="20"/>
                <w:szCs w:val="20"/>
                <w:color w:val="auto"/>
              </w:rPr>
            </w:pPr>
            <w:r>
              <w:rPr>
                <w:rFonts w:ascii="Arial" w:cs="Arial" w:eastAsia="Arial" w:hAnsi="Arial"/>
                <w:sz w:val="18"/>
                <w:szCs w:val="18"/>
                <w:b w:val="1"/>
                <w:bCs w:val="1"/>
                <w:color w:val="auto"/>
              </w:rPr>
              <w:t>1,868</w:t>
            </w:r>
          </w:p>
        </w:tc>
        <w:tc>
          <w:tcPr>
            <w:tcW w:w="13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03"/>
        </w:trPr>
        <w:tc>
          <w:tcPr>
            <w:tcW w:w="4160" w:type="dxa"/>
            <w:vAlign w:val="bottom"/>
          </w:tcPr>
          <w:p>
            <w:pPr>
              <w:ind w:left="140"/>
              <w:spacing w:after="0" w:line="202" w:lineRule="exact"/>
              <w:rPr>
                <w:sz w:val="20"/>
                <w:szCs w:val="20"/>
                <w:color w:val="auto"/>
              </w:rPr>
            </w:pPr>
            <w:r>
              <w:rPr>
                <w:rFonts w:ascii="Arial" w:cs="Arial" w:eastAsia="Arial" w:hAnsi="Arial"/>
                <w:sz w:val="18"/>
                <w:szCs w:val="18"/>
                <w:color w:val="auto"/>
              </w:rPr>
              <w:t>Deferred compensation</w:t>
            </w:r>
          </w:p>
        </w:tc>
        <w:tc>
          <w:tcPr>
            <w:tcW w:w="2520" w:type="dxa"/>
            <w:vAlign w:val="bottom"/>
          </w:tcPr>
          <w:p>
            <w:pPr>
              <w:jc w:val="right"/>
              <w:ind w:right="390"/>
              <w:spacing w:after="0" w:line="202" w:lineRule="exact"/>
              <w:rPr>
                <w:sz w:val="20"/>
                <w:szCs w:val="20"/>
                <w:color w:val="auto"/>
              </w:rPr>
            </w:pPr>
            <w:r>
              <w:rPr>
                <w:rFonts w:ascii="Arial" w:cs="Arial" w:eastAsia="Arial" w:hAnsi="Arial"/>
                <w:sz w:val="18"/>
                <w:szCs w:val="18"/>
                <w:b w:val="1"/>
                <w:bCs w:val="1"/>
                <w:color w:val="auto"/>
              </w:rPr>
              <w:t>7,533</w:t>
            </w:r>
          </w:p>
        </w:tc>
        <w:tc>
          <w:tcPr>
            <w:tcW w:w="162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6,714</w:t>
            </w:r>
          </w:p>
        </w:tc>
        <w:tc>
          <w:tcPr>
            <w:tcW w:w="1820" w:type="dxa"/>
            <w:vAlign w:val="bottom"/>
          </w:tcPr>
          <w:p>
            <w:pPr>
              <w:jc w:val="right"/>
              <w:ind w:right="410"/>
              <w:spacing w:after="0" w:line="202" w:lineRule="exact"/>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160" w:type="dxa"/>
            <w:vAlign w:val="bottom"/>
          </w:tcPr>
          <w:p>
            <w:pPr>
              <w:ind w:left="140"/>
              <w:spacing w:after="0" w:line="202" w:lineRule="exact"/>
              <w:rPr>
                <w:sz w:val="20"/>
                <w:szCs w:val="20"/>
                <w:color w:val="auto"/>
              </w:rPr>
            </w:pPr>
            <w:r>
              <w:rPr>
                <w:rFonts w:ascii="Arial" w:cs="Arial" w:eastAsia="Arial" w:hAnsi="Arial"/>
                <w:sz w:val="18"/>
                <w:szCs w:val="18"/>
                <w:color w:val="auto"/>
              </w:rPr>
              <w:t>Depreciation and amortization</w:t>
            </w:r>
          </w:p>
        </w:tc>
        <w:tc>
          <w:tcPr>
            <w:tcW w:w="2520" w:type="dxa"/>
            <w:vAlign w:val="bottom"/>
          </w:tcPr>
          <w:p>
            <w:pPr>
              <w:jc w:val="right"/>
              <w:ind w:right="390"/>
              <w:spacing w:after="0" w:line="202" w:lineRule="exact"/>
              <w:rPr>
                <w:sz w:val="20"/>
                <w:szCs w:val="20"/>
                <w:color w:val="auto"/>
              </w:rPr>
            </w:pPr>
            <w:r>
              <w:rPr>
                <w:rFonts w:ascii="Arial" w:cs="Arial" w:eastAsia="Arial" w:hAnsi="Arial"/>
                <w:sz w:val="18"/>
                <w:szCs w:val="18"/>
                <w:b w:val="1"/>
                <w:bCs w:val="1"/>
                <w:color w:val="auto"/>
              </w:rPr>
              <w:t>2,786</w:t>
            </w:r>
          </w:p>
        </w:tc>
        <w:tc>
          <w:tcPr>
            <w:tcW w:w="162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10,323</w:t>
            </w:r>
          </w:p>
        </w:tc>
        <w:tc>
          <w:tcPr>
            <w:tcW w:w="1820" w:type="dxa"/>
            <w:vAlign w:val="bottom"/>
          </w:tcPr>
          <w:p>
            <w:pPr>
              <w:jc w:val="right"/>
              <w:ind w:right="410"/>
              <w:spacing w:after="0" w:line="202" w:lineRule="exact"/>
              <w:rPr>
                <w:sz w:val="20"/>
                <w:szCs w:val="20"/>
                <w:color w:val="auto"/>
              </w:rPr>
            </w:pPr>
            <w:r>
              <w:rPr>
                <w:rFonts w:ascii="Arial" w:cs="Arial" w:eastAsia="Arial" w:hAnsi="Arial"/>
                <w:sz w:val="18"/>
                <w:szCs w:val="18"/>
                <w:b w:val="1"/>
                <w:bCs w:val="1"/>
                <w:color w:val="auto"/>
              </w:rPr>
              <w:t>5,030</w:t>
            </w:r>
          </w:p>
        </w:tc>
        <w:tc>
          <w:tcPr>
            <w:tcW w:w="13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4,882</w:t>
            </w:r>
          </w:p>
        </w:tc>
        <w:tc>
          <w:tcPr>
            <w:tcW w:w="0" w:type="dxa"/>
            <w:vAlign w:val="bottom"/>
          </w:tcPr>
          <w:p>
            <w:pPr>
              <w:spacing w:after="0"/>
              <w:rPr>
                <w:sz w:val="1"/>
                <w:szCs w:val="1"/>
                <w:color w:val="auto"/>
              </w:rPr>
            </w:pPr>
          </w:p>
        </w:tc>
      </w:tr>
      <w:tr>
        <w:trPr>
          <w:trHeight w:val="203"/>
        </w:trPr>
        <w:tc>
          <w:tcPr>
            <w:tcW w:w="4160" w:type="dxa"/>
            <w:vAlign w:val="bottom"/>
          </w:tcPr>
          <w:p>
            <w:pPr>
              <w:ind w:left="140"/>
              <w:spacing w:after="0" w:line="202" w:lineRule="exact"/>
              <w:rPr>
                <w:sz w:val="20"/>
                <w:szCs w:val="20"/>
                <w:color w:val="auto"/>
              </w:rPr>
            </w:pPr>
            <w:r>
              <w:rPr>
                <w:rFonts w:ascii="Arial" w:cs="Arial" w:eastAsia="Arial" w:hAnsi="Arial"/>
                <w:sz w:val="18"/>
                <w:szCs w:val="18"/>
                <w:color w:val="auto"/>
              </w:rPr>
              <w:t>Postretirement benefits</w:t>
            </w:r>
          </w:p>
        </w:tc>
        <w:tc>
          <w:tcPr>
            <w:tcW w:w="2520" w:type="dxa"/>
            <w:vAlign w:val="bottom"/>
          </w:tcPr>
          <w:p>
            <w:pPr>
              <w:jc w:val="right"/>
              <w:ind w:right="390"/>
              <w:spacing w:after="0" w:line="202" w:lineRule="exact"/>
              <w:rPr>
                <w:sz w:val="20"/>
                <w:szCs w:val="20"/>
                <w:color w:val="auto"/>
              </w:rPr>
            </w:pPr>
            <w:r>
              <w:rPr>
                <w:rFonts w:ascii="Arial" w:cs="Arial" w:eastAsia="Arial" w:hAnsi="Arial"/>
                <w:sz w:val="18"/>
                <w:szCs w:val="18"/>
                <w:b w:val="1"/>
                <w:bCs w:val="1"/>
                <w:color w:val="auto"/>
              </w:rPr>
              <w:t>26,602</w:t>
            </w:r>
          </w:p>
        </w:tc>
        <w:tc>
          <w:tcPr>
            <w:tcW w:w="162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26,475</w:t>
            </w:r>
          </w:p>
        </w:tc>
        <w:tc>
          <w:tcPr>
            <w:tcW w:w="1820" w:type="dxa"/>
            <w:vAlign w:val="bottom"/>
          </w:tcPr>
          <w:p>
            <w:pPr>
              <w:jc w:val="right"/>
              <w:ind w:right="410"/>
              <w:spacing w:after="0" w:line="202" w:lineRule="exact"/>
              <w:rPr>
                <w:sz w:val="20"/>
                <w:szCs w:val="20"/>
                <w:color w:val="auto"/>
              </w:rPr>
            </w:pPr>
            <w:r>
              <w:rPr>
                <w:rFonts w:ascii="Arial" w:cs="Arial" w:eastAsia="Arial" w:hAnsi="Arial"/>
                <w:sz w:val="18"/>
                <w:szCs w:val="18"/>
                <w:b w:val="1"/>
                <w:bCs w:val="1"/>
                <w:color w:val="auto"/>
              </w:rPr>
              <w:t>3,478</w:t>
            </w:r>
          </w:p>
        </w:tc>
        <w:tc>
          <w:tcPr>
            <w:tcW w:w="13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4,138</w:t>
            </w:r>
          </w:p>
        </w:tc>
        <w:tc>
          <w:tcPr>
            <w:tcW w:w="0" w:type="dxa"/>
            <w:vAlign w:val="bottom"/>
          </w:tcPr>
          <w:p>
            <w:pPr>
              <w:spacing w:after="0"/>
              <w:rPr>
                <w:sz w:val="1"/>
                <w:szCs w:val="1"/>
                <w:color w:val="auto"/>
              </w:rPr>
            </w:pPr>
          </w:p>
        </w:tc>
      </w:tr>
      <w:tr>
        <w:trPr>
          <w:trHeight w:val="203"/>
        </w:trPr>
        <w:tc>
          <w:tcPr>
            <w:tcW w:w="4160" w:type="dxa"/>
            <w:vAlign w:val="bottom"/>
          </w:tcPr>
          <w:p>
            <w:pPr>
              <w:ind w:left="140"/>
              <w:spacing w:after="0" w:line="202" w:lineRule="exact"/>
              <w:rPr>
                <w:sz w:val="20"/>
                <w:szCs w:val="20"/>
                <w:color w:val="auto"/>
              </w:rPr>
            </w:pPr>
            <w:r>
              <w:rPr>
                <w:rFonts w:ascii="Arial" w:cs="Arial" w:eastAsia="Arial" w:hAnsi="Arial"/>
                <w:sz w:val="18"/>
                <w:szCs w:val="18"/>
                <w:color w:val="auto"/>
              </w:rPr>
              <w:t>Tax loss carryforwards</w:t>
            </w:r>
          </w:p>
        </w:tc>
        <w:tc>
          <w:tcPr>
            <w:tcW w:w="2520" w:type="dxa"/>
            <w:vAlign w:val="bottom"/>
          </w:tcPr>
          <w:p>
            <w:pPr>
              <w:jc w:val="right"/>
              <w:ind w:right="390"/>
              <w:spacing w:after="0" w:line="202" w:lineRule="exact"/>
              <w:rPr>
                <w:sz w:val="20"/>
                <w:szCs w:val="20"/>
                <w:color w:val="auto"/>
              </w:rPr>
            </w:pPr>
            <w:r>
              <w:rPr>
                <w:rFonts w:ascii="Arial" w:cs="Arial" w:eastAsia="Arial" w:hAnsi="Arial"/>
                <w:sz w:val="18"/>
                <w:szCs w:val="18"/>
                <w:b w:val="1"/>
                <w:bCs w:val="1"/>
                <w:color w:val="auto"/>
              </w:rPr>
              <w:t>1,760</w:t>
            </w:r>
          </w:p>
        </w:tc>
        <w:tc>
          <w:tcPr>
            <w:tcW w:w="162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2,682</w:t>
            </w:r>
          </w:p>
        </w:tc>
        <w:tc>
          <w:tcPr>
            <w:tcW w:w="1820" w:type="dxa"/>
            <w:vAlign w:val="bottom"/>
          </w:tcPr>
          <w:p>
            <w:pPr>
              <w:jc w:val="right"/>
              <w:ind w:right="410"/>
              <w:spacing w:after="0" w:line="202" w:lineRule="exact"/>
              <w:rPr>
                <w:sz w:val="20"/>
                <w:szCs w:val="20"/>
                <w:color w:val="auto"/>
              </w:rPr>
            </w:pPr>
            <w:r>
              <w:rPr>
                <w:rFonts w:ascii="Arial" w:cs="Arial" w:eastAsia="Arial" w:hAnsi="Arial"/>
                <w:sz w:val="18"/>
                <w:szCs w:val="18"/>
                <w:b w:val="1"/>
                <w:bCs w:val="1"/>
                <w:color w:val="auto"/>
              </w:rPr>
              <w:t>26,084</w:t>
            </w:r>
          </w:p>
        </w:tc>
        <w:tc>
          <w:tcPr>
            <w:tcW w:w="13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27,134</w:t>
            </w:r>
          </w:p>
        </w:tc>
        <w:tc>
          <w:tcPr>
            <w:tcW w:w="0" w:type="dxa"/>
            <w:vAlign w:val="bottom"/>
          </w:tcPr>
          <w:p>
            <w:pPr>
              <w:spacing w:after="0"/>
              <w:rPr>
                <w:sz w:val="1"/>
                <w:szCs w:val="1"/>
                <w:color w:val="auto"/>
              </w:rPr>
            </w:pPr>
          </w:p>
        </w:tc>
      </w:tr>
      <w:tr>
        <w:trPr>
          <w:trHeight w:val="203"/>
        </w:trPr>
        <w:tc>
          <w:tcPr>
            <w:tcW w:w="4160" w:type="dxa"/>
            <w:vAlign w:val="bottom"/>
          </w:tcPr>
          <w:p>
            <w:pPr>
              <w:ind w:left="140"/>
              <w:spacing w:after="0" w:line="202" w:lineRule="exact"/>
              <w:rPr>
                <w:sz w:val="20"/>
                <w:szCs w:val="20"/>
                <w:color w:val="auto"/>
              </w:rPr>
            </w:pPr>
            <w:r>
              <w:rPr>
                <w:rFonts w:ascii="Arial" w:cs="Arial" w:eastAsia="Arial" w:hAnsi="Arial"/>
                <w:sz w:val="18"/>
                <w:szCs w:val="18"/>
                <w:color w:val="auto"/>
              </w:rPr>
              <w:t>Tax credit carryforwards</w:t>
            </w:r>
          </w:p>
        </w:tc>
        <w:tc>
          <w:tcPr>
            <w:tcW w:w="2520" w:type="dxa"/>
            <w:vAlign w:val="bottom"/>
          </w:tcPr>
          <w:p>
            <w:pPr>
              <w:jc w:val="right"/>
              <w:ind w:right="390"/>
              <w:spacing w:after="0" w:line="202" w:lineRule="exact"/>
              <w:rPr>
                <w:sz w:val="20"/>
                <w:szCs w:val="20"/>
                <w:color w:val="auto"/>
              </w:rPr>
            </w:pPr>
            <w:r>
              <w:rPr>
                <w:rFonts w:ascii="Arial" w:cs="Arial" w:eastAsia="Arial" w:hAnsi="Arial"/>
                <w:sz w:val="18"/>
                <w:szCs w:val="18"/>
                <w:b w:val="1"/>
                <w:bCs w:val="1"/>
                <w:color w:val="auto"/>
              </w:rPr>
              <w:t>50,624</w:t>
            </w:r>
          </w:p>
        </w:tc>
        <w:tc>
          <w:tcPr>
            <w:tcW w:w="162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42,851</w:t>
            </w:r>
          </w:p>
        </w:tc>
        <w:tc>
          <w:tcPr>
            <w:tcW w:w="1820" w:type="dxa"/>
            <w:vAlign w:val="bottom"/>
          </w:tcPr>
          <w:p>
            <w:pPr>
              <w:jc w:val="right"/>
              <w:ind w:right="410"/>
              <w:spacing w:after="0" w:line="202" w:lineRule="exact"/>
              <w:rPr>
                <w:sz w:val="20"/>
                <w:szCs w:val="20"/>
                <w:color w:val="auto"/>
              </w:rPr>
            </w:pPr>
            <w:r>
              <w:rPr>
                <w:rFonts w:ascii="Arial" w:cs="Arial" w:eastAsia="Arial" w:hAnsi="Arial"/>
                <w:sz w:val="18"/>
                <w:szCs w:val="18"/>
                <w:b w:val="1"/>
                <w:bCs w:val="1"/>
                <w:color w:val="auto"/>
              </w:rPr>
              <w:t>1,186</w:t>
            </w:r>
          </w:p>
        </w:tc>
        <w:tc>
          <w:tcPr>
            <w:tcW w:w="13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1,740</w:t>
            </w:r>
          </w:p>
        </w:tc>
        <w:tc>
          <w:tcPr>
            <w:tcW w:w="0" w:type="dxa"/>
            <w:vAlign w:val="bottom"/>
          </w:tcPr>
          <w:p>
            <w:pPr>
              <w:spacing w:after="0"/>
              <w:rPr>
                <w:sz w:val="1"/>
                <w:szCs w:val="1"/>
                <w:color w:val="auto"/>
              </w:rPr>
            </w:pPr>
          </w:p>
        </w:tc>
      </w:tr>
      <w:tr>
        <w:trPr>
          <w:trHeight w:val="225"/>
        </w:trPr>
        <w:tc>
          <w:tcPr>
            <w:tcW w:w="41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w:t>
            </w:r>
          </w:p>
        </w:tc>
        <w:tc>
          <w:tcPr>
            <w:tcW w:w="25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7,828</w:t>
            </w:r>
          </w:p>
        </w:tc>
        <w:tc>
          <w:tcPr>
            <w:tcW w:w="16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10,222</w:t>
            </w:r>
          </w:p>
        </w:tc>
        <w:tc>
          <w:tcPr>
            <w:tcW w:w="18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2,876</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3,503</w:t>
            </w:r>
          </w:p>
        </w:tc>
        <w:tc>
          <w:tcPr>
            <w:tcW w:w="0" w:type="dxa"/>
            <w:vAlign w:val="bottom"/>
          </w:tcPr>
          <w:p>
            <w:pPr>
              <w:spacing w:after="0"/>
              <w:rPr>
                <w:sz w:val="1"/>
                <w:szCs w:val="1"/>
                <w:color w:val="auto"/>
              </w:rPr>
            </w:pPr>
          </w:p>
        </w:tc>
      </w:tr>
      <w:tr>
        <w:trPr>
          <w:trHeight w:val="195"/>
        </w:trPr>
        <w:tc>
          <w:tcPr>
            <w:tcW w:w="4160" w:type="dxa"/>
            <w:vAlign w:val="bottom"/>
          </w:tcPr>
          <w:p>
            <w:pPr>
              <w:ind w:left="40"/>
              <w:spacing w:after="0" w:line="195" w:lineRule="exact"/>
              <w:rPr>
                <w:sz w:val="20"/>
                <w:szCs w:val="20"/>
                <w:color w:val="auto"/>
              </w:rPr>
            </w:pPr>
            <w:r>
              <w:rPr>
                <w:rFonts w:ascii="Arial" w:cs="Arial" w:eastAsia="Arial" w:hAnsi="Arial"/>
                <w:sz w:val="18"/>
                <w:szCs w:val="18"/>
                <w:color w:val="auto"/>
              </w:rPr>
              <w:t>Noncurrent deferred tax assets</w:t>
            </w:r>
          </w:p>
        </w:tc>
        <w:tc>
          <w:tcPr>
            <w:tcW w:w="252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99,481</w:t>
            </w:r>
          </w:p>
        </w:tc>
        <w:tc>
          <w:tcPr>
            <w:tcW w:w="1620" w:type="dxa"/>
            <w:vAlign w:val="bottom"/>
          </w:tcPr>
          <w:p>
            <w:pPr>
              <w:spacing w:after="0"/>
              <w:rPr>
                <w:sz w:val="16"/>
                <w:szCs w:val="16"/>
                <w:color w:val="auto"/>
              </w:rPr>
            </w:pPr>
          </w:p>
        </w:tc>
        <w:tc>
          <w:tcPr>
            <w:tcW w:w="182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41,903</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160" w:type="dxa"/>
            <w:vAlign w:val="bottom"/>
          </w:tcPr>
          <w:p>
            <w:pPr>
              <w:ind w:left="140"/>
              <w:spacing w:after="0"/>
              <w:rPr>
                <w:sz w:val="20"/>
                <w:szCs w:val="20"/>
                <w:color w:val="auto"/>
              </w:rPr>
            </w:pPr>
            <w:r>
              <w:rPr>
                <w:rFonts w:ascii="Arial" w:cs="Arial" w:eastAsia="Arial" w:hAnsi="Arial"/>
                <w:sz w:val="18"/>
                <w:szCs w:val="18"/>
                <w:color w:val="auto"/>
              </w:rPr>
              <w:t>before valuation allowance</w:t>
            </w:r>
          </w:p>
        </w:tc>
        <w:tc>
          <w:tcPr>
            <w:tcW w:w="2520" w:type="dxa"/>
            <w:vAlign w:val="bottom"/>
            <w:vMerge w:val="continue"/>
          </w:tcPr>
          <w:p>
            <w:pPr>
              <w:spacing w:after="0"/>
              <w:rPr>
                <w:sz w:val="18"/>
                <w:szCs w:val="18"/>
                <w:color w:val="auto"/>
              </w:rPr>
            </w:pPr>
          </w:p>
        </w:tc>
        <w:tc>
          <w:tcPr>
            <w:tcW w:w="1620" w:type="dxa"/>
            <w:vAlign w:val="bottom"/>
          </w:tcPr>
          <w:p>
            <w:pPr>
              <w:jc w:val="right"/>
              <w:ind w:right="290"/>
              <w:spacing w:after="0"/>
              <w:rPr>
                <w:sz w:val="20"/>
                <w:szCs w:val="20"/>
                <w:color w:val="auto"/>
              </w:rPr>
            </w:pPr>
            <w:r>
              <w:rPr>
                <w:rFonts w:ascii="Arial" w:cs="Arial" w:eastAsia="Arial" w:hAnsi="Arial"/>
                <w:sz w:val="18"/>
                <w:szCs w:val="18"/>
                <w:color w:val="auto"/>
              </w:rPr>
              <w:t>101,556</w:t>
            </w:r>
          </w:p>
        </w:tc>
        <w:tc>
          <w:tcPr>
            <w:tcW w:w="1820" w:type="dxa"/>
            <w:vAlign w:val="bottom"/>
            <w:vMerge w:val="continue"/>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44,451</w:t>
            </w:r>
          </w:p>
        </w:tc>
        <w:tc>
          <w:tcPr>
            <w:tcW w:w="0" w:type="dxa"/>
            <w:vAlign w:val="bottom"/>
          </w:tcPr>
          <w:p>
            <w:pPr>
              <w:spacing w:after="0"/>
              <w:rPr>
                <w:sz w:val="1"/>
                <w:szCs w:val="1"/>
                <w:color w:val="auto"/>
              </w:rPr>
            </w:pPr>
          </w:p>
        </w:tc>
      </w:tr>
      <w:tr>
        <w:trPr>
          <w:trHeight w:val="392"/>
        </w:trPr>
        <w:tc>
          <w:tcPr>
            <w:tcW w:w="41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Less: valuation allowance</w:t>
            </w:r>
          </w:p>
        </w:tc>
        <w:tc>
          <w:tcPr>
            <w:tcW w:w="25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16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(22,821)</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(24,439)</w:t>
            </w:r>
          </w:p>
        </w:tc>
        <w:tc>
          <w:tcPr>
            <w:tcW w:w="0" w:type="dxa"/>
            <w:vAlign w:val="bottom"/>
          </w:tcPr>
          <w:p>
            <w:pPr>
              <w:spacing w:after="0"/>
              <w:rPr>
                <w:sz w:val="1"/>
                <w:szCs w:val="1"/>
                <w:color w:val="auto"/>
              </w:rPr>
            </w:pPr>
          </w:p>
        </w:tc>
      </w:tr>
      <w:tr>
        <w:trPr>
          <w:trHeight w:val="196"/>
        </w:trPr>
        <w:tc>
          <w:tcPr>
            <w:tcW w:w="416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Total noncurrent deferred tax assets</w:t>
            </w:r>
          </w:p>
        </w:tc>
        <w:tc>
          <w:tcPr>
            <w:tcW w:w="252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99,481</w:t>
            </w:r>
          </w:p>
        </w:tc>
        <w:tc>
          <w:tcPr>
            <w:tcW w:w="162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101,556</w:t>
            </w:r>
          </w:p>
        </w:tc>
        <w:tc>
          <w:tcPr>
            <w:tcW w:w="182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19,082</w:t>
            </w:r>
          </w:p>
        </w:tc>
        <w:tc>
          <w:tcPr>
            <w:tcW w:w="13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20,012</w:t>
            </w:r>
          </w:p>
        </w:tc>
        <w:tc>
          <w:tcPr>
            <w:tcW w:w="0" w:type="dxa"/>
            <w:vAlign w:val="bottom"/>
          </w:tcPr>
          <w:p>
            <w:pPr>
              <w:spacing w:after="0"/>
              <w:rPr>
                <w:sz w:val="1"/>
                <w:szCs w:val="1"/>
                <w:color w:val="auto"/>
              </w:rPr>
            </w:pPr>
          </w:p>
        </w:tc>
      </w:tr>
      <w:tr>
        <w:trPr>
          <w:trHeight w:val="196"/>
        </w:trPr>
        <w:tc>
          <w:tcPr>
            <w:tcW w:w="416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6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Total deferred tax assets</w:t>
            </w:r>
          </w:p>
        </w:tc>
        <w:tc>
          <w:tcPr>
            <w:tcW w:w="252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$99,481</w:t>
            </w:r>
          </w:p>
        </w:tc>
        <w:tc>
          <w:tcPr>
            <w:tcW w:w="162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$101,556</w:t>
            </w:r>
          </w:p>
        </w:tc>
        <w:tc>
          <w:tcPr>
            <w:tcW w:w="182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$19,082</w:t>
            </w:r>
          </w:p>
        </w:tc>
        <w:tc>
          <w:tcPr>
            <w:tcW w:w="13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$20,012</w:t>
            </w:r>
          </w:p>
        </w:tc>
        <w:tc>
          <w:tcPr>
            <w:tcW w:w="0" w:type="dxa"/>
            <w:vAlign w:val="bottom"/>
          </w:tcPr>
          <w:p>
            <w:pPr>
              <w:spacing w:after="0"/>
              <w:rPr>
                <w:sz w:val="1"/>
                <w:szCs w:val="1"/>
                <w:color w:val="auto"/>
              </w:rPr>
            </w:pPr>
          </w:p>
        </w:tc>
      </w:tr>
      <w:tr>
        <w:trPr>
          <w:trHeight w:val="196"/>
        </w:trPr>
        <w:tc>
          <w:tcPr>
            <w:tcW w:w="416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160" w:type="dxa"/>
            <w:vAlign w:val="bottom"/>
          </w:tcPr>
          <w:p>
            <w:pPr>
              <w:ind w:left="40"/>
              <w:spacing w:after="0" w:line="195" w:lineRule="exact"/>
              <w:rPr>
                <w:sz w:val="20"/>
                <w:szCs w:val="20"/>
                <w:color w:val="auto"/>
              </w:rPr>
            </w:pPr>
            <w:r>
              <w:rPr>
                <w:rFonts w:ascii="Arial" w:cs="Arial" w:eastAsia="Arial" w:hAnsi="Arial"/>
                <w:sz w:val="18"/>
                <w:szCs w:val="18"/>
                <w:color w:val="auto"/>
              </w:rPr>
              <w:t>Noncurrent deferred tax liabilities:</w:t>
            </w:r>
          </w:p>
        </w:tc>
        <w:tc>
          <w:tcPr>
            <w:tcW w:w="252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$1,602</w:t>
            </w:r>
          </w:p>
        </w:tc>
        <w:tc>
          <w:tcPr>
            <w:tcW w:w="1620" w:type="dxa"/>
            <w:vAlign w:val="bottom"/>
          </w:tcPr>
          <w:p>
            <w:pPr>
              <w:spacing w:after="0"/>
              <w:rPr>
                <w:sz w:val="16"/>
                <w:szCs w:val="16"/>
                <w:color w:val="auto"/>
              </w:rPr>
            </w:pPr>
          </w:p>
        </w:tc>
        <w:tc>
          <w:tcPr>
            <w:tcW w:w="182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160" w:type="dxa"/>
            <w:vAlign w:val="bottom"/>
          </w:tcPr>
          <w:p>
            <w:pPr>
              <w:ind w:left="140"/>
              <w:spacing w:after="0" w:line="181" w:lineRule="exact"/>
              <w:rPr>
                <w:sz w:val="20"/>
                <w:szCs w:val="20"/>
                <w:color w:val="auto"/>
              </w:rPr>
            </w:pPr>
            <w:r>
              <w:rPr>
                <w:rFonts w:ascii="Arial" w:cs="Arial" w:eastAsia="Arial" w:hAnsi="Arial"/>
                <w:sz w:val="18"/>
                <w:szCs w:val="18"/>
                <w:color w:val="auto"/>
              </w:rPr>
              <w:t>Unrepatriated foreign earnings</w:t>
            </w:r>
          </w:p>
        </w:tc>
        <w:tc>
          <w:tcPr>
            <w:tcW w:w="2520" w:type="dxa"/>
            <w:vAlign w:val="bottom"/>
            <w:vMerge w:val="continue"/>
          </w:tcPr>
          <w:p>
            <w:pPr>
              <w:spacing w:after="0"/>
              <w:rPr>
                <w:sz w:val="15"/>
                <w:szCs w:val="15"/>
                <w:color w:val="auto"/>
              </w:rPr>
            </w:pPr>
          </w:p>
        </w:tc>
        <w:tc>
          <w:tcPr>
            <w:tcW w:w="1620" w:type="dxa"/>
            <w:vAlign w:val="bottom"/>
          </w:tcPr>
          <w:p>
            <w:pPr>
              <w:jc w:val="right"/>
              <w:ind w:right="290"/>
              <w:spacing w:after="0" w:line="181" w:lineRule="exact"/>
              <w:rPr>
                <w:sz w:val="20"/>
                <w:szCs w:val="20"/>
                <w:color w:val="auto"/>
              </w:rPr>
            </w:pPr>
            <w:r>
              <w:rPr>
                <w:rFonts w:ascii="Arial" w:cs="Arial" w:eastAsia="Arial" w:hAnsi="Arial"/>
                <w:sz w:val="18"/>
                <w:szCs w:val="18"/>
                <w:color w:val="auto"/>
              </w:rPr>
              <w:t>$1,157</w:t>
            </w:r>
          </w:p>
        </w:tc>
        <w:tc>
          <w:tcPr>
            <w:tcW w:w="1820" w:type="dxa"/>
            <w:vAlign w:val="bottom"/>
            <w:vMerge w:val="continue"/>
          </w:tcPr>
          <w:p>
            <w:pPr>
              <w:spacing w:after="0"/>
              <w:rPr>
                <w:sz w:val="15"/>
                <w:szCs w:val="15"/>
                <w:color w:val="auto"/>
              </w:rPr>
            </w:pPr>
          </w:p>
        </w:tc>
        <w:tc>
          <w:tcPr>
            <w:tcW w:w="1300" w:type="dxa"/>
            <w:vAlign w:val="bottom"/>
          </w:tcPr>
          <w:p>
            <w:pPr>
              <w:jc w:val="right"/>
              <w:ind w:right="10"/>
              <w:spacing w:after="0" w:line="18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160" w:type="dxa"/>
            <w:vAlign w:val="bottom"/>
          </w:tcPr>
          <w:p>
            <w:pPr>
              <w:ind w:left="140"/>
              <w:spacing w:after="0" w:line="202" w:lineRule="exact"/>
              <w:rPr>
                <w:sz w:val="20"/>
                <w:szCs w:val="20"/>
                <w:color w:val="auto"/>
              </w:rPr>
            </w:pPr>
            <w:r>
              <w:rPr>
                <w:rFonts w:ascii="Arial" w:cs="Arial" w:eastAsia="Arial" w:hAnsi="Arial"/>
                <w:sz w:val="18"/>
                <w:szCs w:val="18"/>
                <w:color w:val="auto"/>
              </w:rPr>
              <w:t>Depreciation and amortization</w:t>
            </w:r>
          </w:p>
        </w:tc>
        <w:tc>
          <w:tcPr>
            <w:tcW w:w="2520" w:type="dxa"/>
            <w:vAlign w:val="bottom"/>
          </w:tcPr>
          <w:p>
            <w:pPr>
              <w:jc w:val="right"/>
              <w:ind w:right="390"/>
              <w:spacing w:after="0" w:line="202" w:lineRule="exact"/>
              <w:rPr>
                <w:sz w:val="20"/>
                <w:szCs w:val="20"/>
                <w:color w:val="auto"/>
              </w:rPr>
            </w:pPr>
            <w:r>
              <w:rPr>
                <w:rFonts w:ascii="Arial" w:cs="Arial" w:eastAsia="Arial" w:hAnsi="Arial"/>
                <w:sz w:val="18"/>
                <w:szCs w:val="18"/>
                <w:b w:val="1"/>
                <w:bCs w:val="1"/>
                <w:color w:val="auto"/>
              </w:rPr>
              <w:t>43,156</w:t>
            </w:r>
          </w:p>
        </w:tc>
        <w:tc>
          <w:tcPr>
            <w:tcW w:w="162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10,309</w:t>
            </w:r>
          </w:p>
        </w:tc>
        <w:tc>
          <w:tcPr>
            <w:tcW w:w="1820" w:type="dxa"/>
            <w:vAlign w:val="bottom"/>
          </w:tcPr>
          <w:p>
            <w:pPr>
              <w:jc w:val="right"/>
              <w:ind w:right="410"/>
              <w:spacing w:after="0" w:line="202" w:lineRule="exact"/>
              <w:rPr>
                <w:sz w:val="20"/>
                <w:szCs w:val="20"/>
                <w:color w:val="auto"/>
              </w:rPr>
            </w:pPr>
            <w:r>
              <w:rPr>
                <w:rFonts w:ascii="Arial" w:cs="Arial" w:eastAsia="Arial" w:hAnsi="Arial"/>
                <w:sz w:val="18"/>
                <w:szCs w:val="18"/>
                <w:b w:val="1"/>
                <w:bCs w:val="1"/>
                <w:color w:val="auto"/>
              </w:rPr>
              <w:t>2,466</w:t>
            </w:r>
          </w:p>
        </w:tc>
        <w:tc>
          <w:tcPr>
            <w:tcW w:w="13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3,174</w:t>
            </w:r>
          </w:p>
        </w:tc>
        <w:tc>
          <w:tcPr>
            <w:tcW w:w="0" w:type="dxa"/>
            <w:vAlign w:val="bottom"/>
          </w:tcPr>
          <w:p>
            <w:pPr>
              <w:spacing w:after="0"/>
              <w:rPr>
                <w:sz w:val="1"/>
                <w:szCs w:val="1"/>
                <w:color w:val="auto"/>
              </w:rPr>
            </w:pPr>
          </w:p>
        </w:tc>
      </w:tr>
      <w:tr>
        <w:trPr>
          <w:trHeight w:val="203"/>
        </w:trPr>
        <w:tc>
          <w:tcPr>
            <w:tcW w:w="4160" w:type="dxa"/>
            <w:vAlign w:val="bottom"/>
          </w:tcPr>
          <w:p>
            <w:pPr>
              <w:ind w:left="140"/>
              <w:spacing w:after="0" w:line="202" w:lineRule="exact"/>
              <w:rPr>
                <w:sz w:val="20"/>
                <w:szCs w:val="20"/>
                <w:color w:val="auto"/>
              </w:rPr>
            </w:pPr>
            <w:r>
              <w:rPr>
                <w:rFonts w:ascii="Arial" w:cs="Arial" w:eastAsia="Arial" w:hAnsi="Arial"/>
                <w:sz w:val="18"/>
                <w:szCs w:val="18"/>
                <w:color w:val="auto"/>
              </w:rPr>
              <w:t>Postretirement benefits</w:t>
            </w:r>
          </w:p>
        </w:tc>
        <w:tc>
          <w:tcPr>
            <w:tcW w:w="2520" w:type="dxa"/>
            <w:vAlign w:val="bottom"/>
          </w:tcPr>
          <w:p>
            <w:pPr>
              <w:jc w:val="right"/>
              <w:ind w:right="390"/>
              <w:spacing w:after="0" w:line="202" w:lineRule="exact"/>
              <w:rPr>
                <w:sz w:val="20"/>
                <w:szCs w:val="20"/>
                <w:color w:val="auto"/>
              </w:rPr>
            </w:pPr>
            <w:r>
              <w:rPr>
                <w:rFonts w:ascii="Arial" w:cs="Arial" w:eastAsia="Arial" w:hAnsi="Arial"/>
                <w:sz w:val="18"/>
                <w:szCs w:val="18"/>
                <w:b w:val="1"/>
                <w:bCs w:val="1"/>
                <w:color w:val="auto"/>
              </w:rPr>
              <w:t>-</w:t>
            </w:r>
          </w:p>
        </w:tc>
        <w:tc>
          <w:tcPr>
            <w:tcW w:w="162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820" w:type="dxa"/>
            <w:vAlign w:val="bottom"/>
          </w:tcPr>
          <w:p>
            <w:pPr>
              <w:jc w:val="right"/>
              <w:ind w:right="410"/>
              <w:spacing w:after="0" w:line="202" w:lineRule="exact"/>
              <w:rPr>
                <w:sz w:val="20"/>
                <w:szCs w:val="20"/>
                <w:color w:val="auto"/>
              </w:rPr>
            </w:pPr>
            <w:r>
              <w:rPr>
                <w:rFonts w:ascii="Arial" w:cs="Arial" w:eastAsia="Arial" w:hAnsi="Arial"/>
                <w:sz w:val="18"/>
                <w:szCs w:val="18"/>
                <w:b w:val="1"/>
                <w:bCs w:val="1"/>
                <w:color w:val="auto"/>
              </w:rPr>
              <w:t>1,411</w:t>
            </w:r>
          </w:p>
        </w:tc>
        <w:tc>
          <w:tcPr>
            <w:tcW w:w="13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03"/>
        </w:trPr>
        <w:tc>
          <w:tcPr>
            <w:tcW w:w="4160" w:type="dxa"/>
            <w:vAlign w:val="bottom"/>
          </w:tcPr>
          <w:p>
            <w:pPr>
              <w:ind w:left="140"/>
              <w:spacing w:after="0" w:line="202" w:lineRule="exact"/>
              <w:rPr>
                <w:sz w:val="20"/>
                <w:szCs w:val="20"/>
                <w:color w:val="auto"/>
              </w:rPr>
            </w:pPr>
            <w:r>
              <w:rPr>
                <w:rFonts w:ascii="Arial" w:cs="Arial" w:eastAsia="Arial" w:hAnsi="Arial"/>
                <w:sz w:val="18"/>
                <w:szCs w:val="18"/>
                <w:color w:val="auto"/>
              </w:rPr>
              <w:t>Deferred gain</w:t>
            </w:r>
          </w:p>
        </w:tc>
        <w:tc>
          <w:tcPr>
            <w:tcW w:w="2520" w:type="dxa"/>
            <w:vAlign w:val="bottom"/>
          </w:tcPr>
          <w:p>
            <w:pPr>
              <w:jc w:val="right"/>
              <w:ind w:right="390"/>
              <w:spacing w:after="0" w:line="202" w:lineRule="exact"/>
              <w:rPr>
                <w:sz w:val="20"/>
                <w:szCs w:val="20"/>
                <w:color w:val="auto"/>
              </w:rPr>
            </w:pPr>
            <w:r>
              <w:rPr>
                <w:rFonts w:ascii="Arial" w:cs="Arial" w:eastAsia="Arial" w:hAnsi="Arial"/>
                <w:sz w:val="18"/>
                <w:szCs w:val="18"/>
                <w:b w:val="1"/>
                <w:bCs w:val="1"/>
                <w:color w:val="auto"/>
              </w:rPr>
              <w:t>7,156</w:t>
            </w:r>
          </w:p>
        </w:tc>
        <w:tc>
          <w:tcPr>
            <w:tcW w:w="162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7,559</w:t>
            </w:r>
          </w:p>
        </w:tc>
        <w:tc>
          <w:tcPr>
            <w:tcW w:w="1820" w:type="dxa"/>
            <w:vAlign w:val="bottom"/>
          </w:tcPr>
          <w:p>
            <w:pPr>
              <w:jc w:val="right"/>
              <w:ind w:right="410"/>
              <w:spacing w:after="0" w:line="202" w:lineRule="exact"/>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160" w:type="dxa"/>
            <w:vAlign w:val="bottom"/>
          </w:tcPr>
          <w:p>
            <w:pPr>
              <w:ind w:left="140"/>
              <w:spacing w:after="0" w:line="202" w:lineRule="exact"/>
              <w:rPr>
                <w:sz w:val="20"/>
                <w:szCs w:val="20"/>
                <w:color w:val="auto"/>
              </w:rPr>
            </w:pPr>
            <w:r>
              <w:rPr>
                <w:rFonts w:ascii="Arial" w:cs="Arial" w:eastAsia="Arial" w:hAnsi="Arial"/>
                <w:sz w:val="18"/>
                <w:szCs w:val="18"/>
                <w:color w:val="auto"/>
              </w:rPr>
              <w:t>Branch losses subject to recapture</w:t>
            </w:r>
          </w:p>
        </w:tc>
        <w:tc>
          <w:tcPr>
            <w:tcW w:w="2520" w:type="dxa"/>
            <w:vAlign w:val="bottom"/>
          </w:tcPr>
          <w:p>
            <w:pPr>
              <w:jc w:val="right"/>
              <w:ind w:right="390"/>
              <w:spacing w:after="0" w:line="202" w:lineRule="exact"/>
              <w:rPr>
                <w:sz w:val="20"/>
                <w:szCs w:val="20"/>
                <w:color w:val="auto"/>
              </w:rPr>
            </w:pPr>
            <w:r>
              <w:rPr>
                <w:rFonts w:ascii="Arial" w:cs="Arial" w:eastAsia="Arial" w:hAnsi="Arial"/>
                <w:sz w:val="18"/>
                <w:szCs w:val="18"/>
                <w:b w:val="1"/>
                <w:bCs w:val="1"/>
                <w:color w:val="auto"/>
              </w:rPr>
              <w:t>-</w:t>
            </w:r>
          </w:p>
        </w:tc>
        <w:tc>
          <w:tcPr>
            <w:tcW w:w="162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820" w:type="dxa"/>
            <w:vAlign w:val="bottom"/>
          </w:tcPr>
          <w:p>
            <w:pPr>
              <w:jc w:val="right"/>
              <w:ind w:right="410"/>
              <w:spacing w:after="0" w:line="202" w:lineRule="exact"/>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25"/>
        </w:trPr>
        <w:tc>
          <w:tcPr>
            <w:tcW w:w="41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w:t>
            </w:r>
          </w:p>
        </w:tc>
        <w:tc>
          <w:tcPr>
            <w:tcW w:w="25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2,198</w:t>
            </w:r>
          </w:p>
        </w:tc>
        <w:tc>
          <w:tcPr>
            <w:tcW w:w="16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2,897</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3,245</w:t>
            </w:r>
          </w:p>
        </w:tc>
        <w:tc>
          <w:tcPr>
            <w:tcW w:w="0" w:type="dxa"/>
            <w:vAlign w:val="bottom"/>
          </w:tcPr>
          <w:p>
            <w:pPr>
              <w:spacing w:after="0"/>
              <w:rPr>
                <w:sz w:val="1"/>
                <w:szCs w:val="1"/>
                <w:color w:val="auto"/>
              </w:rPr>
            </w:pPr>
          </w:p>
        </w:tc>
      </w:tr>
      <w:tr>
        <w:trPr>
          <w:trHeight w:val="196"/>
        </w:trPr>
        <w:tc>
          <w:tcPr>
            <w:tcW w:w="416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Total deferred tax liabilities</w:t>
            </w:r>
          </w:p>
        </w:tc>
        <w:tc>
          <w:tcPr>
            <w:tcW w:w="252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$54,112</w:t>
            </w:r>
          </w:p>
        </w:tc>
        <w:tc>
          <w:tcPr>
            <w:tcW w:w="162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19,025</w:t>
            </w:r>
          </w:p>
        </w:tc>
        <w:tc>
          <w:tcPr>
            <w:tcW w:w="182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$6,774</w:t>
            </w:r>
          </w:p>
        </w:tc>
        <w:tc>
          <w:tcPr>
            <w:tcW w:w="13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9,340</w:t>
            </w:r>
          </w:p>
        </w:tc>
        <w:tc>
          <w:tcPr>
            <w:tcW w:w="0" w:type="dxa"/>
            <w:vAlign w:val="bottom"/>
          </w:tcPr>
          <w:p>
            <w:pPr>
              <w:spacing w:after="0"/>
              <w:rPr>
                <w:sz w:val="1"/>
                <w:szCs w:val="1"/>
                <w:color w:val="auto"/>
              </w:rPr>
            </w:pPr>
          </w:p>
        </w:tc>
      </w:tr>
      <w:tr>
        <w:trPr>
          <w:trHeight w:val="196"/>
        </w:trPr>
        <w:tc>
          <w:tcPr>
            <w:tcW w:w="416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6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Net deferred tax asset</w:t>
            </w:r>
          </w:p>
        </w:tc>
        <w:tc>
          <w:tcPr>
            <w:tcW w:w="252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$45,369</w:t>
            </w:r>
          </w:p>
        </w:tc>
        <w:tc>
          <w:tcPr>
            <w:tcW w:w="162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$82,531</w:t>
            </w:r>
          </w:p>
        </w:tc>
        <w:tc>
          <w:tcPr>
            <w:tcW w:w="182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$12,308</w:t>
            </w:r>
          </w:p>
        </w:tc>
        <w:tc>
          <w:tcPr>
            <w:tcW w:w="13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$10,672</w:t>
            </w:r>
          </w:p>
        </w:tc>
        <w:tc>
          <w:tcPr>
            <w:tcW w:w="0" w:type="dxa"/>
            <w:vAlign w:val="bottom"/>
          </w:tcPr>
          <w:p>
            <w:pPr>
              <w:spacing w:after="0"/>
              <w:rPr>
                <w:sz w:val="1"/>
                <w:szCs w:val="1"/>
                <w:color w:val="auto"/>
              </w:rPr>
            </w:pPr>
          </w:p>
        </w:tc>
      </w:tr>
    </w:tbl>
    <w:p>
      <w:pPr>
        <w:spacing w:after="0" w:line="391" w:lineRule="exact"/>
        <w:rPr>
          <w:sz w:val="20"/>
          <w:szCs w:val="20"/>
          <w:color w:val="auto"/>
        </w:rPr>
      </w:pPr>
    </w:p>
    <w:p>
      <w:pPr>
        <w:jc w:val="both"/>
        <w:ind w:right="40" w:firstLine="648"/>
        <w:spacing w:after="0" w:line="239" w:lineRule="auto"/>
        <w:rPr>
          <w:sz w:val="20"/>
          <w:szCs w:val="20"/>
          <w:color w:val="auto"/>
        </w:rPr>
      </w:pPr>
      <w:r>
        <w:rPr>
          <w:rFonts w:ascii="Arial" w:cs="Arial" w:eastAsia="Arial" w:hAnsi="Arial"/>
          <w:sz w:val="18"/>
          <w:szCs w:val="18"/>
          <w:color w:val="auto"/>
        </w:rPr>
        <w:t>Deferred income tax assets, net of valuation allowances, are expected to be realized through the reversal of existing taxable temporary differences and future taxable income. In 2016, the Company recorded the following decreases in its valuation allowance: $0.9 million due to a net reduction in the related deferred tax assets, $0.3 million due to the elimination of previously recorded valuation allowances, and $0.4 million due to the effect of changes in currency translation rates.</w:t>
      </w:r>
    </w:p>
    <w:p>
      <w:pPr>
        <w:spacing w:after="0" w:line="161" w:lineRule="exact"/>
        <w:rPr>
          <w:sz w:val="20"/>
          <w:szCs w:val="20"/>
          <w:color w:val="auto"/>
        </w:rPr>
      </w:pPr>
    </w:p>
    <w:p>
      <w:pPr>
        <w:ind w:right="120" w:firstLine="648"/>
        <w:spacing w:after="0" w:line="236" w:lineRule="auto"/>
        <w:rPr>
          <w:sz w:val="20"/>
          <w:szCs w:val="20"/>
          <w:color w:val="auto"/>
        </w:rPr>
      </w:pPr>
      <w:r>
        <w:rPr>
          <w:rFonts w:ascii="Arial" w:cs="Arial" w:eastAsia="Arial" w:hAnsi="Arial"/>
          <w:sz w:val="18"/>
          <w:szCs w:val="18"/>
          <w:color w:val="auto"/>
        </w:rPr>
        <w:t>At December 31, 2016, the Company had available approximately $ 143 million of net operating loss carryforwards, for which we have a deferred tax asset of $ 27.8 million, with expiration dates ranging from one year to indefinite, that may be applied against future taxable income. We believe that it is more likely than not that certain benefits from these net operating loss carryforwards will not be realized and, accordingly, we have recorded a valuation allowance of $19.7 million as of December 31, 2016. Included in the net operating loss carryforwards is approximately $23.0 million of state net operating loss carryforwards that are subject to various business apportionment factors and multiple jurisdictional requirements when utilized. In addition, the Company had available a foreign tax credit carryforward of $41.4 million that will begin to expire in 2020, U.S. and non-U.S. research and development credit carryforwards of $7.9 million, and $ 1.2 million, respectively, that will begin to expire in 2025, and alternative minimum tax credit carryforwards of $1.2 million with no expiration date.</w:t>
      </w:r>
    </w:p>
    <w:p>
      <w:pPr>
        <w:spacing w:after="0" w:line="168"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color w:val="auto"/>
        </w:rPr>
        <w:t>The Company reported a U.S. net deferred tax asset of $45.4 million at December 31, 2016, which contained $52.4 million of tax attributes with limited lives. Although the Company is in a cumulative book income position over the evaluation period (three-year period ending December 31, 2016), management has evaluated its ability to utilize these tax attributes during the carryforward period. The Company’s future profits from operations, available tax elections and tax planning opportunities, coupled with the repatriation of non-U.S. earnings will</w:t>
      </w:r>
    </w:p>
    <w:p>
      <w:pPr>
        <w:spacing w:after="0" w:line="202" w:lineRule="exact"/>
        <w:rPr>
          <w:sz w:val="20"/>
          <w:szCs w:val="20"/>
          <w:color w:val="auto"/>
        </w:rPr>
      </w:pPr>
    </w:p>
    <w:p>
      <w:pPr>
        <w:ind w:left="11220"/>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342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80" w:name="page81"/>
    <w:bookmarkEnd w:id="80"/>
    <w:p>
      <w:pPr>
        <w:ind w:right="140"/>
        <w:spacing w:after="0" w:line="245" w:lineRule="auto"/>
        <w:rPr>
          <w:sz w:val="20"/>
          <w:szCs w:val="20"/>
          <w:color w:val="auto"/>
        </w:rPr>
      </w:pPr>
      <w:r>
        <w:rPr>
          <w:rFonts w:ascii="Arial" w:cs="Arial" w:eastAsia="Arial" w:hAnsi="Arial"/>
          <w:sz w:val="18"/>
          <w:szCs w:val="18"/>
          <w:color w:val="auto"/>
        </w:rPr>
        <w:t>generate income of sufficient character to utilize the remaining tax attributes. Accordingly, no valuation allowance has been established for the remaining U.S. net deferred tax assets.</w:t>
      </w:r>
    </w:p>
    <w:p>
      <w:pPr>
        <w:spacing w:after="0" w:line="157" w:lineRule="exact"/>
        <w:rPr>
          <w:sz w:val="20"/>
          <w:szCs w:val="20"/>
          <w:color w:val="auto"/>
        </w:rPr>
      </w:pPr>
    </w:p>
    <w:p>
      <w:pPr>
        <w:ind w:right="220" w:firstLine="648"/>
        <w:spacing w:after="0"/>
        <w:rPr>
          <w:sz w:val="20"/>
          <w:szCs w:val="20"/>
          <w:color w:val="auto"/>
        </w:rPr>
      </w:pPr>
      <w:r>
        <w:rPr>
          <w:rFonts w:ascii="Arial" w:cs="Arial" w:eastAsia="Arial" w:hAnsi="Arial"/>
          <w:sz w:val="18"/>
          <w:szCs w:val="18"/>
          <w:color w:val="auto"/>
        </w:rPr>
        <w:t>The Company records the residual U.S. and foreign taxes on certain amounts of foreign earnings that have been targeted for repatriation to the U.S. These amounts are not considered to be permanently reinvested, and the Company accrued for the tax cost on these earnings to the extent they cannot be repatriated in a tax-free manner.</w:t>
      </w:r>
    </w:p>
    <w:p>
      <w:pPr>
        <w:spacing w:after="0" w:line="176" w:lineRule="exact"/>
        <w:rPr>
          <w:sz w:val="20"/>
          <w:szCs w:val="20"/>
          <w:color w:val="auto"/>
        </w:rPr>
      </w:pPr>
    </w:p>
    <w:p>
      <w:pPr>
        <w:jc w:val="both"/>
        <w:ind w:right="360" w:firstLine="648"/>
        <w:spacing w:after="0"/>
        <w:rPr>
          <w:sz w:val="20"/>
          <w:szCs w:val="20"/>
          <w:color w:val="auto"/>
        </w:rPr>
      </w:pPr>
      <w:r>
        <w:rPr>
          <w:rFonts w:ascii="Arial" w:cs="Arial" w:eastAsia="Arial" w:hAnsi="Arial"/>
          <w:sz w:val="18"/>
          <w:szCs w:val="18"/>
          <w:color w:val="auto"/>
        </w:rPr>
        <w:t>At December 31, 2016 the Company reported a deferred tax liability of $1.6 million on $24.9 million of non-U.S. earnings that have been targeted for future repatriation to the U.S. Included in these amounts are $1.1 million of tax expense on approximately $14.6 million of foreign earnings that were generated in 2016.</w:t>
      </w:r>
    </w:p>
    <w:p>
      <w:pPr>
        <w:spacing w:after="0" w:line="162"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The accumulated undistributed earnings of the Company’s foreign operations not targeted for repatriation to the U.S. were approximately $164.0 million, and are intended to remain permanently invested in foreign operations. Accordingly, no taxes have been provided on these earnings at December 31, 2016. If these earnings were distributed, the Company would be subject to both foreign withholding taxes and U.S. income taxes that may not be fully offset by foreign tax credits. Determination of the amount of any unrecognized deferred tax liability on these earnings is not practicable because of the complexities of the hypothetical calculation.</w:t>
      </w:r>
    </w:p>
    <w:p>
      <w:pPr>
        <w:spacing w:after="0" w:line="162" w:lineRule="exact"/>
        <w:rPr>
          <w:sz w:val="20"/>
          <w:szCs w:val="20"/>
          <w:color w:val="auto"/>
        </w:rPr>
      </w:pPr>
    </w:p>
    <w:p>
      <w:pPr>
        <w:ind w:right="880" w:firstLine="648"/>
        <w:spacing w:after="0" w:line="246" w:lineRule="auto"/>
        <w:rPr>
          <w:sz w:val="20"/>
          <w:szCs w:val="20"/>
          <w:color w:val="auto"/>
        </w:rPr>
      </w:pPr>
      <w:r>
        <w:rPr>
          <w:rFonts w:ascii="Arial" w:cs="Arial" w:eastAsia="Arial" w:hAnsi="Arial"/>
          <w:sz w:val="18"/>
          <w:szCs w:val="18"/>
          <w:color w:val="auto"/>
        </w:rPr>
        <w:t>The following table provides a reconciliation of the beginning and ending amount of unrecognized tax benefits, all of which, if recognized, would impact the effective tax rate.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060" w:type="dxa"/>
            <w:vAlign w:val="bottom"/>
            <w:tcBorders>
              <w:top w:val="single" w:sz="8" w:color="auto"/>
              <w:bottom w:val="single" w:sz="8" w:color="auto"/>
            </w:tcBorders>
          </w:tcPr>
          <w:p>
            <w:pPr>
              <w:jc w:val="right"/>
              <w:ind w:right="970"/>
              <w:spacing w:after="0"/>
              <w:rPr>
                <w:sz w:val="20"/>
                <w:szCs w:val="20"/>
                <w:color w:val="auto"/>
              </w:rPr>
            </w:pPr>
            <w:r>
              <w:rPr>
                <w:rFonts w:ascii="Arial" w:cs="Arial" w:eastAsia="Arial" w:hAnsi="Arial"/>
                <w:sz w:val="18"/>
                <w:szCs w:val="18"/>
                <w:b w:val="1"/>
                <w:bCs w:val="1"/>
                <w:color w:val="auto"/>
              </w:rPr>
              <w:t>2016</w:t>
            </w:r>
          </w:p>
        </w:tc>
        <w:tc>
          <w:tcPr>
            <w:tcW w:w="2040" w:type="dxa"/>
            <w:vAlign w:val="bottom"/>
            <w:tcBorders>
              <w:top w:val="single" w:sz="8" w:color="auto"/>
              <w:bottom w:val="single" w:sz="8" w:color="auto"/>
            </w:tcBorders>
          </w:tcPr>
          <w:p>
            <w:pPr>
              <w:jc w:val="right"/>
              <w:ind w:right="970"/>
              <w:spacing w:after="0"/>
              <w:rPr>
                <w:sz w:val="20"/>
                <w:szCs w:val="20"/>
                <w:color w:val="auto"/>
              </w:rPr>
            </w:pPr>
            <w:r>
              <w:rPr>
                <w:rFonts w:ascii="Arial" w:cs="Arial" w:eastAsia="Arial" w:hAnsi="Arial"/>
                <w:sz w:val="18"/>
                <w:szCs w:val="18"/>
                <w:b w:val="1"/>
                <w:bCs w:val="1"/>
                <w:color w:val="auto"/>
              </w:rPr>
              <w:t>2015</w:t>
            </w:r>
          </w:p>
        </w:tc>
        <w:tc>
          <w:tcPr>
            <w:tcW w:w="15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r>
      <w:tr>
        <w:trPr>
          <w:trHeight w:val="412"/>
        </w:trPr>
        <w:tc>
          <w:tcPr>
            <w:tcW w:w="5800" w:type="dxa"/>
            <w:vAlign w:val="bottom"/>
          </w:tcPr>
          <w:p>
            <w:pPr>
              <w:ind w:left="40"/>
              <w:spacing w:after="0"/>
              <w:rPr>
                <w:sz w:val="20"/>
                <w:szCs w:val="20"/>
                <w:color w:val="auto"/>
              </w:rPr>
            </w:pPr>
            <w:r>
              <w:rPr>
                <w:rFonts w:ascii="Arial" w:cs="Arial" w:eastAsia="Arial" w:hAnsi="Arial"/>
                <w:sz w:val="18"/>
                <w:szCs w:val="18"/>
                <w:color w:val="auto"/>
              </w:rPr>
              <w:t>Unrecognized tax benefits balance at January 1</w:t>
            </w:r>
          </w:p>
        </w:tc>
        <w:tc>
          <w:tcPr>
            <w:tcW w:w="2060" w:type="dxa"/>
            <w:vAlign w:val="bottom"/>
          </w:tcPr>
          <w:p>
            <w:pPr>
              <w:jc w:val="right"/>
              <w:ind w:right="550"/>
              <w:spacing w:after="0"/>
              <w:rPr>
                <w:sz w:val="20"/>
                <w:szCs w:val="20"/>
                <w:color w:val="auto"/>
              </w:rPr>
            </w:pPr>
            <w:r>
              <w:rPr>
                <w:rFonts w:ascii="Arial" w:cs="Arial" w:eastAsia="Arial" w:hAnsi="Arial"/>
                <w:sz w:val="18"/>
                <w:szCs w:val="18"/>
                <w:b w:val="1"/>
                <w:bCs w:val="1"/>
                <w:color w:val="auto"/>
              </w:rPr>
              <w:t>$19,606</w:t>
            </w:r>
          </w:p>
        </w:tc>
        <w:tc>
          <w:tcPr>
            <w:tcW w:w="2040" w:type="dxa"/>
            <w:vAlign w:val="bottom"/>
          </w:tcPr>
          <w:p>
            <w:pPr>
              <w:jc w:val="right"/>
              <w:ind w:right="530"/>
              <w:spacing w:after="0"/>
              <w:rPr>
                <w:sz w:val="20"/>
                <w:szCs w:val="20"/>
                <w:color w:val="auto"/>
              </w:rPr>
            </w:pPr>
            <w:r>
              <w:rPr>
                <w:rFonts w:ascii="Arial" w:cs="Arial" w:eastAsia="Arial" w:hAnsi="Arial"/>
                <w:sz w:val="18"/>
                <w:szCs w:val="18"/>
                <w:color w:val="auto"/>
              </w:rPr>
              <w:t>$19,509</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$12,538</w:t>
            </w:r>
          </w:p>
        </w:tc>
      </w:tr>
      <w:tr>
        <w:trPr>
          <w:trHeight w:val="405"/>
        </w:trPr>
        <w:tc>
          <w:tcPr>
            <w:tcW w:w="5800" w:type="dxa"/>
            <w:vAlign w:val="bottom"/>
          </w:tcPr>
          <w:p>
            <w:pPr>
              <w:ind w:left="40"/>
              <w:spacing w:after="0"/>
              <w:rPr>
                <w:sz w:val="20"/>
                <w:szCs w:val="20"/>
                <w:color w:val="auto"/>
              </w:rPr>
            </w:pPr>
            <w:r>
              <w:rPr>
                <w:rFonts w:ascii="Arial" w:cs="Arial" w:eastAsia="Arial" w:hAnsi="Arial"/>
                <w:sz w:val="18"/>
                <w:szCs w:val="18"/>
                <w:color w:val="auto"/>
              </w:rPr>
              <w:t>Increase in gross amounts of tax positions related to prior years</w:t>
            </w:r>
          </w:p>
        </w:tc>
        <w:tc>
          <w:tcPr>
            <w:tcW w:w="2060" w:type="dxa"/>
            <w:vAlign w:val="bottom"/>
          </w:tcPr>
          <w:p>
            <w:pPr>
              <w:jc w:val="right"/>
              <w:ind w:right="550"/>
              <w:spacing w:after="0"/>
              <w:rPr>
                <w:sz w:val="20"/>
                <w:szCs w:val="20"/>
                <w:color w:val="auto"/>
              </w:rPr>
            </w:pPr>
            <w:r>
              <w:rPr>
                <w:rFonts w:ascii="Arial" w:cs="Arial" w:eastAsia="Arial" w:hAnsi="Arial"/>
                <w:sz w:val="18"/>
                <w:szCs w:val="18"/>
                <w:b w:val="1"/>
                <w:bCs w:val="1"/>
                <w:color w:val="auto"/>
              </w:rPr>
              <w:t>62</w:t>
            </w:r>
          </w:p>
        </w:tc>
        <w:tc>
          <w:tcPr>
            <w:tcW w:w="2040" w:type="dxa"/>
            <w:vAlign w:val="bottom"/>
          </w:tcPr>
          <w:p>
            <w:pPr>
              <w:jc w:val="right"/>
              <w:ind w:right="530"/>
              <w:spacing w:after="0"/>
              <w:rPr>
                <w:sz w:val="20"/>
                <w:szCs w:val="20"/>
                <w:color w:val="auto"/>
              </w:rPr>
            </w:pPr>
            <w:r>
              <w:rPr>
                <w:rFonts w:ascii="Arial" w:cs="Arial" w:eastAsia="Arial" w:hAnsi="Arial"/>
                <w:sz w:val="18"/>
                <w:szCs w:val="18"/>
                <w:color w:val="auto"/>
              </w:rPr>
              <w:t>2,315</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14,699</w:t>
            </w:r>
          </w:p>
        </w:tc>
      </w:tr>
      <w:tr>
        <w:trPr>
          <w:trHeight w:val="405"/>
        </w:trPr>
        <w:tc>
          <w:tcPr>
            <w:tcW w:w="5800" w:type="dxa"/>
            <w:vAlign w:val="bottom"/>
          </w:tcPr>
          <w:p>
            <w:pPr>
              <w:ind w:left="40"/>
              <w:spacing w:after="0"/>
              <w:rPr>
                <w:sz w:val="20"/>
                <w:szCs w:val="20"/>
                <w:color w:val="auto"/>
              </w:rPr>
            </w:pPr>
            <w:r>
              <w:rPr>
                <w:rFonts w:ascii="Arial" w:cs="Arial" w:eastAsia="Arial" w:hAnsi="Arial"/>
                <w:sz w:val="18"/>
                <w:szCs w:val="18"/>
                <w:color w:val="auto"/>
              </w:rPr>
              <w:t>Decrease in gross amounts of tax positions related to prior years</w:t>
            </w:r>
          </w:p>
        </w:tc>
        <w:tc>
          <w:tcPr>
            <w:tcW w:w="2060" w:type="dxa"/>
            <w:vAlign w:val="bottom"/>
          </w:tcPr>
          <w:p>
            <w:pPr>
              <w:jc w:val="right"/>
              <w:ind w:right="490"/>
              <w:spacing w:after="0"/>
              <w:rPr>
                <w:sz w:val="20"/>
                <w:szCs w:val="20"/>
                <w:color w:val="auto"/>
              </w:rPr>
            </w:pPr>
            <w:r>
              <w:rPr>
                <w:rFonts w:ascii="Arial" w:cs="Arial" w:eastAsia="Arial" w:hAnsi="Arial"/>
                <w:sz w:val="18"/>
                <w:szCs w:val="18"/>
                <w:b w:val="1"/>
                <w:bCs w:val="1"/>
                <w:color w:val="auto"/>
              </w:rPr>
              <w:t>(2,129)</w:t>
            </w:r>
          </w:p>
        </w:tc>
        <w:tc>
          <w:tcPr>
            <w:tcW w:w="2040" w:type="dxa"/>
            <w:vAlign w:val="bottom"/>
          </w:tcPr>
          <w:p>
            <w:pPr>
              <w:jc w:val="right"/>
              <w:ind w:right="470"/>
              <w:spacing w:after="0"/>
              <w:rPr>
                <w:sz w:val="20"/>
                <w:szCs w:val="20"/>
                <w:color w:val="auto"/>
              </w:rPr>
            </w:pPr>
            <w:r>
              <w:rPr>
                <w:rFonts w:ascii="Arial" w:cs="Arial" w:eastAsia="Arial" w:hAnsi="Arial"/>
                <w:sz w:val="18"/>
                <w:szCs w:val="18"/>
                <w:color w:val="auto"/>
              </w:rPr>
              <w:t>(145)</w:t>
            </w:r>
          </w:p>
        </w:tc>
        <w:tc>
          <w:tcPr>
            <w:tcW w:w="15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405"/>
        </w:trPr>
        <w:tc>
          <w:tcPr>
            <w:tcW w:w="5800" w:type="dxa"/>
            <w:vAlign w:val="bottom"/>
          </w:tcPr>
          <w:p>
            <w:pPr>
              <w:ind w:left="40"/>
              <w:spacing w:after="0"/>
              <w:rPr>
                <w:sz w:val="20"/>
                <w:szCs w:val="20"/>
                <w:color w:val="auto"/>
              </w:rPr>
            </w:pPr>
            <w:r>
              <w:rPr>
                <w:rFonts w:ascii="Arial" w:cs="Arial" w:eastAsia="Arial" w:hAnsi="Arial"/>
                <w:sz w:val="18"/>
                <w:szCs w:val="18"/>
                <w:color w:val="auto"/>
              </w:rPr>
              <w:t>Increase in gross amounts of tax positions related to current year</w:t>
            </w:r>
          </w:p>
        </w:tc>
        <w:tc>
          <w:tcPr>
            <w:tcW w:w="2060" w:type="dxa"/>
            <w:vAlign w:val="bottom"/>
          </w:tcPr>
          <w:p>
            <w:pPr>
              <w:jc w:val="right"/>
              <w:ind w:right="550"/>
              <w:spacing w:after="0"/>
              <w:rPr>
                <w:sz w:val="20"/>
                <w:szCs w:val="20"/>
                <w:color w:val="auto"/>
              </w:rPr>
            </w:pPr>
            <w:r>
              <w:rPr>
                <w:rFonts w:ascii="Arial" w:cs="Arial" w:eastAsia="Arial" w:hAnsi="Arial"/>
                <w:sz w:val="18"/>
                <w:szCs w:val="18"/>
                <w:b w:val="1"/>
                <w:bCs w:val="1"/>
                <w:color w:val="auto"/>
              </w:rPr>
              <w:t>585</w:t>
            </w:r>
          </w:p>
        </w:tc>
        <w:tc>
          <w:tcPr>
            <w:tcW w:w="2040" w:type="dxa"/>
            <w:vAlign w:val="bottom"/>
          </w:tcPr>
          <w:p>
            <w:pPr>
              <w:jc w:val="right"/>
              <w:ind w:right="530"/>
              <w:spacing w:after="0"/>
              <w:rPr>
                <w:sz w:val="20"/>
                <w:szCs w:val="20"/>
                <w:color w:val="auto"/>
              </w:rPr>
            </w:pPr>
            <w:r>
              <w:rPr>
                <w:rFonts w:ascii="Arial" w:cs="Arial" w:eastAsia="Arial" w:hAnsi="Arial"/>
                <w:sz w:val="18"/>
                <w:szCs w:val="18"/>
                <w:color w:val="auto"/>
              </w:rPr>
              <w:t>79</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1,077</w:t>
            </w:r>
          </w:p>
        </w:tc>
      </w:tr>
      <w:tr>
        <w:trPr>
          <w:trHeight w:val="405"/>
        </w:trPr>
        <w:tc>
          <w:tcPr>
            <w:tcW w:w="5800" w:type="dxa"/>
            <w:vAlign w:val="bottom"/>
          </w:tcPr>
          <w:p>
            <w:pPr>
              <w:ind w:left="40"/>
              <w:spacing w:after="0"/>
              <w:rPr>
                <w:sz w:val="20"/>
                <w:szCs w:val="20"/>
                <w:color w:val="auto"/>
              </w:rPr>
            </w:pPr>
            <w:r>
              <w:rPr>
                <w:rFonts w:ascii="Arial" w:cs="Arial" w:eastAsia="Arial" w:hAnsi="Arial"/>
                <w:sz w:val="18"/>
                <w:szCs w:val="18"/>
                <w:color w:val="auto"/>
              </w:rPr>
              <w:t>Decrease due to settlements with tax authorities</w:t>
            </w:r>
          </w:p>
        </w:tc>
        <w:tc>
          <w:tcPr>
            <w:tcW w:w="2060" w:type="dxa"/>
            <w:vAlign w:val="bottom"/>
          </w:tcPr>
          <w:p>
            <w:pPr>
              <w:jc w:val="right"/>
              <w:ind w:right="490"/>
              <w:spacing w:after="0"/>
              <w:rPr>
                <w:sz w:val="20"/>
                <w:szCs w:val="20"/>
                <w:color w:val="auto"/>
              </w:rPr>
            </w:pPr>
            <w:r>
              <w:rPr>
                <w:rFonts w:ascii="Arial" w:cs="Arial" w:eastAsia="Arial" w:hAnsi="Arial"/>
                <w:sz w:val="18"/>
                <w:szCs w:val="18"/>
                <w:b w:val="1"/>
                <w:bCs w:val="1"/>
                <w:color w:val="auto"/>
              </w:rPr>
              <w:t>(14,029)</w:t>
            </w:r>
          </w:p>
        </w:tc>
        <w:tc>
          <w:tcPr>
            <w:tcW w:w="2040" w:type="dxa"/>
            <w:vAlign w:val="bottom"/>
          </w:tcPr>
          <w:p>
            <w:pPr>
              <w:jc w:val="right"/>
              <w:ind w:right="470"/>
              <w:spacing w:after="0"/>
              <w:rPr>
                <w:sz w:val="20"/>
                <w:szCs w:val="20"/>
                <w:color w:val="auto"/>
              </w:rPr>
            </w:pPr>
            <w:r>
              <w:rPr>
                <w:rFonts w:ascii="Arial" w:cs="Arial" w:eastAsia="Arial" w:hAnsi="Arial"/>
                <w:sz w:val="18"/>
                <w:szCs w:val="18"/>
                <w:color w:val="auto"/>
              </w:rPr>
              <w:t>(42)</w:t>
            </w:r>
          </w:p>
        </w:tc>
        <w:tc>
          <w:tcPr>
            <w:tcW w:w="15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05"/>
        </w:trPr>
        <w:tc>
          <w:tcPr>
            <w:tcW w:w="5800" w:type="dxa"/>
            <w:vAlign w:val="bottom"/>
          </w:tcPr>
          <w:p>
            <w:pPr>
              <w:ind w:left="40"/>
              <w:spacing w:after="0"/>
              <w:rPr>
                <w:sz w:val="20"/>
                <w:szCs w:val="20"/>
                <w:color w:val="auto"/>
              </w:rPr>
            </w:pPr>
            <w:r>
              <w:rPr>
                <w:rFonts w:ascii="Arial" w:cs="Arial" w:eastAsia="Arial" w:hAnsi="Arial"/>
                <w:sz w:val="18"/>
                <w:szCs w:val="18"/>
                <w:color w:val="auto"/>
              </w:rPr>
              <w:t>Decrease due to lapse in statute of limitations</w:t>
            </w:r>
          </w:p>
        </w:tc>
        <w:tc>
          <w:tcPr>
            <w:tcW w:w="2060" w:type="dxa"/>
            <w:vAlign w:val="bottom"/>
          </w:tcPr>
          <w:p>
            <w:pPr>
              <w:jc w:val="right"/>
              <w:ind w:right="490"/>
              <w:spacing w:after="0"/>
              <w:rPr>
                <w:sz w:val="20"/>
                <w:szCs w:val="20"/>
                <w:color w:val="auto"/>
              </w:rPr>
            </w:pPr>
            <w:r>
              <w:rPr>
                <w:rFonts w:ascii="Arial" w:cs="Arial" w:eastAsia="Arial" w:hAnsi="Arial"/>
                <w:sz w:val="18"/>
                <w:szCs w:val="18"/>
                <w:b w:val="1"/>
                <w:bCs w:val="1"/>
                <w:color w:val="auto"/>
              </w:rPr>
              <w:t>(163)</w:t>
            </w:r>
          </w:p>
        </w:tc>
        <w:tc>
          <w:tcPr>
            <w:tcW w:w="2040" w:type="dxa"/>
            <w:vAlign w:val="bottom"/>
          </w:tcPr>
          <w:p>
            <w:pPr>
              <w:jc w:val="right"/>
              <w:ind w:right="470"/>
              <w:spacing w:after="0"/>
              <w:rPr>
                <w:sz w:val="20"/>
                <w:szCs w:val="20"/>
                <w:color w:val="auto"/>
              </w:rPr>
            </w:pPr>
            <w:r>
              <w:rPr>
                <w:rFonts w:ascii="Arial" w:cs="Arial" w:eastAsia="Arial" w:hAnsi="Arial"/>
                <w:sz w:val="18"/>
                <w:szCs w:val="18"/>
                <w:color w:val="auto"/>
              </w:rPr>
              <w:t>(90)</w:t>
            </w:r>
          </w:p>
        </w:tc>
        <w:tc>
          <w:tcPr>
            <w:tcW w:w="1520" w:type="dxa"/>
            <w:vAlign w:val="bottom"/>
          </w:tcPr>
          <w:p>
            <w:pPr>
              <w:jc w:val="right"/>
              <w:spacing w:after="0"/>
              <w:rPr>
                <w:sz w:val="20"/>
                <w:szCs w:val="20"/>
                <w:color w:val="auto"/>
              </w:rPr>
            </w:pPr>
            <w:r>
              <w:rPr>
                <w:rFonts w:ascii="Arial" w:cs="Arial" w:eastAsia="Arial" w:hAnsi="Arial"/>
                <w:sz w:val="18"/>
                <w:szCs w:val="18"/>
                <w:color w:val="auto"/>
              </w:rPr>
              <w:t>(6,775)</w:t>
            </w:r>
          </w:p>
        </w:tc>
      </w:tr>
      <w:tr>
        <w:trPr>
          <w:trHeight w:val="405"/>
        </w:trPr>
        <w:tc>
          <w:tcPr>
            <w:tcW w:w="5800" w:type="dxa"/>
            <w:vAlign w:val="bottom"/>
          </w:tcPr>
          <w:p>
            <w:pPr>
              <w:ind w:left="40"/>
              <w:spacing w:after="0"/>
              <w:rPr>
                <w:sz w:val="20"/>
                <w:szCs w:val="20"/>
                <w:color w:val="auto"/>
              </w:rPr>
            </w:pPr>
            <w:r>
              <w:rPr>
                <w:rFonts w:ascii="Arial" w:cs="Arial" w:eastAsia="Arial" w:hAnsi="Arial"/>
                <w:sz w:val="18"/>
                <w:szCs w:val="18"/>
                <w:color w:val="auto"/>
              </w:rPr>
              <w:t>Currency translation</w:t>
            </w:r>
          </w:p>
        </w:tc>
        <w:tc>
          <w:tcPr>
            <w:tcW w:w="2060" w:type="dxa"/>
            <w:vAlign w:val="bottom"/>
          </w:tcPr>
          <w:p>
            <w:pPr>
              <w:jc w:val="right"/>
              <w:ind w:right="550"/>
              <w:spacing w:after="0"/>
              <w:rPr>
                <w:sz w:val="20"/>
                <w:szCs w:val="20"/>
                <w:color w:val="auto"/>
              </w:rPr>
            </w:pPr>
            <w:r>
              <w:rPr>
                <w:rFonts w:ascii="Arial" w:cs="Arial" w:eastAsia="Arial" w:hAnsi="Arial"/>
                <w:sz w:val="18"/>
                <w:szCs w:val="18"/>
                <w:b w:val="1"/>
                <w:bCs w:val="1"/>
                <w:color w:val="auto"/>
              </w:rPr>
              <w:t>251</w:t>
            </w:r>
          </w:p>
        </w:tc>
        <w:tc>
          <w:tcPr>
            <w:tcW w:w="2040" w:type="dxa"/>
            <w:vAlign w:val="bottom"/>
          </w:tcPr>
          <w:p>
            <w:pPr>
              <w:jc w:val="right"/>
              <w:ind w:right="470"/>
              <w:spacing w:after="0"/>
              <w:rPr>
                <w:sz w:val="20"/>
                <w:szCs w:val="20"/>
                <w:color w:val="auto"/>
              </w:rPr>
            </w:pPr>
            <w:r>
              <w:rPr>
                <w:rFonts w:ascii="Arial" w:cs="Arial" w:eastAsia="Arial" w:hAnsi="Arial"/>
                <w:sz w:val="18"/>
                <w:szCs w:val="18"/>
                <w:color w:val="auto"/>
              </w:rPr>
              <w:t>(2,020)</w:t>
            </w:r>
          </w:p>
        </w:tc>
        <w:tc>
          <w:tcPr>
            <w:tcW w:w="1520" w:type="dxa"/>
            <w:vAlign w:val="bottom"/>
          </w:tcPr>
          <w:p>
            <w:pPr>
              <w:jc w:val="right"/>
              <w:spacing w:after="0"/>
              <w:rPr>
                <w:sz w:val="20"/>
                <w:szCs w:val="20"/>
                <w:color w:val="auto"/>
              </w:rPr>
            </w:pPr>
            <w:r>
              <w:rPr>
                <w:rFonts w:ascii="Arial" w:cs="Arial" w:eastAsia="Arial" w:hAnsi="Arial"/>
                <w:sz w:val="18"/>
                <w:szCs w:val="18"/>
                <w:color w:val="auto"/>
              </w:rPr>
              <w:t>(1,931)</w:t>
            </w:r>
          </w:p>
        </w:tc>
      </w:tr>
      <w:tr>
        <w:trPr>
          <w:trHeight w:val="189"/>
        </w:trPr>
        <w:tc>
          <w:tcPr>
            <w:tcW w:w="58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r>
      <w:tr>
        <w:trPr>
          <w:trHeight w:val="196"/>
        </w:trPr>
        <w:tc>
          <w:tcPr>
            <w:tcW w:w="580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Unrecognized tax benefits balance at December 31</w:t>
            </w:r>
          </w:p>
        </w:tc>
        <w:tc>
          <w:tcPr>
            <w:tcW w:w="2060" w:type="dxa"/>
            <w:vAlign w:val="bottom"/>
            <w:tcBorders>
              <w:bottom w:val="single" w:sz="8" w:color="auto"/>
            </w:tcBorders>
          </w:tcPr>
          <w:p>
            <w:pPr>
              <w:jc w:val="right"/>
              <w:ind w:right="550"/>
              <w:spacing w:after="0" w:line="196" w:lineRule="exact"/>
              <w:rPr>
                <w:sz w:val="20"/>
                <w:szCs w:val="20"/>
                <w:color w:val="auto"/>
              </w:rPr>
            </w:pPr>
            <w:r>
              <w:rPr>
                <w:rFonts w:ascii="Arial" w:cs="Arial" w:eastAsia="Arial" w:hAnsi="Arial"/>
                <w:sz w:val="18"/>
                <w:szCs w:val="18"/>
                <w:b w:val="1"/>
                <w:bCs w:val="1"/>
                <w:color w:val="auto"/>
              </w:rPr>
              <w:t>$4,183</w:t>
            </w:r>
          </w:p>
        </w:tc>
        <w:tc>
          <w:tcPr>
            <w:tcW w:w="204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color w:val="auto"/>
              </w:rPr>
              <w:t>$19,606</w:t>
            </w:r>
          </w:p>
        </w:tc>
        <w:tc>
          <w:tcPr>
            <w:tcW w:w="15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$19,509</w:t>
            </w:r>
          </w:p>
        </w:tc>
      </w:tr>
    </w:tbl>
    <w:p>
      <w:pPr>
        <w:spacing w:after="0" w:line="377" w:lineRule="exact"/>
        <w:rPr>
          <w:sz w:val="20"/>
          <w:szCs w:val="20"/>
          <w:color w:val="auto"/>
        </w:rPr>
      </w:pPr>
    </w:p>
    <w:p>
      <w:pPr>
        <w:ind w:right="320" w:firstLine="648"/>
        <w:spacing w:after="0" w:line="238" w:lineRule="auto"/>
        <w:rPr>
          <w:sz w:val="20"/>
          <w:szCs w:val="20"/>
          <w:color w:val="auto"/>
        </w:rPr>
      </w:pPr>
      <w:r>
        <w:rPr>
          <w:rFonts w:ascii="Arial" w:cs="Arial" w:eastAsia="Arial" w:hAnsi="Arial"/>
          <w:sz w:val="18"/>
          <w:szCs w:val="18"/>
          <w:color w:val="auto"/>
        </w:rPr>
        <w:t>The Company recognizes interest and penalties related to unrecognized tax benefits within its global operations as a component of income tax expense. The Company recognized (income)/expense for interest and penalties related to the unrecognized tax benefits noted above of ($0.1) million, ($0.1) million and $1.0 million in the Consolidated Statements of Income in 2016, 2015 and 2014, respectively. As of December 31, 2016, 2015 and 2014, the Company had approximately $0.3 million, $0.4 million, and $0.4 million respectively, of accrued interest and penalties related to unrecognized tax benefits.</w:t>
      </w:r>
    </w:p>
    <w:p>
      <w:pPr>
        <w:spacing w:after="0" w:line="162" w:lineRule="exact"/>
        <w:rPr>
          <w:sz w:val="20"/>
          <w:szCs w:val="20"/>
          <w:color w:val="auto"/>
        </w:rPr>
      </w:pPr>
    </w:p>
    <w:p>
      <w:pPr>
        <w:ind w:right="40" w:firstLine="648"/>
        <w:spacing w:after="0" w:line="238" w:lineRule="auto"/>
        <w:rPr>
          <w:sz w:val="20"/>
          <w:szCs w:val="20"/>
          <w:color w:val="auto"/>
        </w:rPr>
      </w:pPr>
      <w:r>
        <w:rPr>
          <w:rFonts w:ascii="Arial" w:cs="Arial" w:eastAsia="Arial" w:hAnsi="Arial"/>
          <w:sz w:val="18"/>
          <w:szCs w:val="18"/>
          <w:color w:val="auto"/>
        </w:rPr>
        <w:t>The Company conducts business globally and, as a result, files income tax returns in the U.S. federal jurisdiction and various state and foreign jurisdictions. In the normal course of business the Company is subject to examination by taxing authorities throughout the world, including major jurisdictions such as the United States, Brazil, Canada, France, Germany, Italy, Mexico, and Switzerland. The open tax years in these jurisdictions range from 2007 to 2016. The Company is currently under audit in non-U.S. tax jurisdictions, including but not limited to Canada, France, and Italy.</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81" w:name="page82"/>
    <w:bookmarkEnd w:id="81"/>
    <w:p>
      <w:pPr>
        <w:ind w:right="100" w:firstLine="648"/>
        <w:spacing w:after="0"/>
        <w:rPr>
          <w:sz w:val="20"/>
          <w:szCs w:val="20"/>
          <w:color w:val="auto"/>
        </w:rPr>
      </w:pPr>
      <w:r>
        <w:rPr>
          <w:rFonts w:ascii="Arial" w:cs="Arial" w:eastAsia="Arial" w:hAnsi="Arial"/>
          <w:sz w:val="18"/>
          <w:szCs w:val="18"/>
          <w:color w:val="auto"/>
        </w:rPr>
        <w:t>It is reasonably possible that over the next twelve months the amount of unrecognized tax benefits may change within a range of a net increase of less than $0.1 million to a net decrease of $0.6 million, from the reevaluation of uncertain tax positions arising in examinations, in appeals, or in the courts, or from the closure of tax statutes.</w:t>
      </w:r>
    </w:p>
    <w:p>
      <w:pPr>
        <w:spacing w:after="0" w:line="161" w:lineRule="exact"/>
        <w:rPr>
          <w:sz w:val="20"/>
          <w:szCs w:val="20"/>
          <w:color w:val="auto"/>
        </w:rPr>
      </w:pPr>
    </w:p>
    <w:p>
      <w:pPr>
        <w:ind w:right="20" w:firstLine="648"/>
        <w:spacing w:after="0" w:line="234" w:lineRule="auto"/>
        <w:rPr>
          <w:sz w:val="20"/>
          <w:szCs w:val="20"/>
          <w:color w:val="auto"/>
        </w:rPr>
      </w:pPr>
      <w:r>
        <w:rPr>
          <w:rFonts w:ascii="Arial" w:cs="Arial" w:eastAsia="Arial" w:hAnsi="Arial"/>
          <w:sz w:val="18"/>
          <w:szCs w:val="18"/>
          <w:color w:val="auto"/>
        </w:rPr>
        <w:t>In the first quarter of 2016, the Company reached a settlement with the German tax authorities over matters that had been outstanding for a number of years. The German Tax Authority had denied tax positions taken by the Company related to a 1999 reorganization. In 2009, the Company made a payment of $14.5 million in order to appeal the German Tax Authority decision, and that payment was recorded as an income tax receivable. As additional information became available in subsequent years, the receivable was written down by $6.3 million in</w:t>
      </w:r>
    </w:p>
    <w:p>
      <w:pPr>
        <w:spacing w:after="0" w:line="3"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2014 and $ 6.4 million in 2015. In 2016, the Company received $3.7 million representing the final settlement of this matter, which resulted in the recognition of a discrete tax benefit.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2016 and 2015, current income taxes prepaid and receivable consisted of the following: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1980" w:type="dxa"/>
            <w:vAlign w:val="bottom"/>
            <w:tcBorders>
              <w:top w:val="single" w:sz="8" w:color="auto"/>
            </w:tcBorders>
          </w:tcPr>
          <w:p>
            <w:pPr>
              <w:jc w:val="right"/>
              <w:ind w:right="1190"/>
              <w:spacing w:after="0"/>
              <w:rPr>
                <w:sz w:val="20"/>
                <w:szCs w:val="20"/>
                <w:color w:val="auto"/>
              </w:rPr>
            </w:pPr>
            <w:r>
              <w:rPr>
                <w:rFonts w:ascii="Arial" w:cs="Arial" w:eastAsia="Arial" w:hAnsi="Arial"/>
                <w:sz w:val="18"/>
                <w:szCs w:val="18"/>
                <w:b w:val="1"/>
                <w:bCs w:val="1"/>
                <w:color w:val="auto"/>
              </w:rPr>
              <w:t>2016</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100" w:type="dxa"/>
            <w:vAlign w:val="bottom"/>
            <w:tcBorders>
              <w:top w:val="single" w:sz="8" w:color="auto"/>
            </w:tcBorders>
          </w:tcPr>
          <w:p>
            <w:pPr>
              <w:ind w:left="20"/>
              <w:spacing w:after="0" w:line="173" w:lineRule="exact"/>
              <w:rPr>
                <w:sz w:val="20"/>
                <w:szCs w:val="20"/>
                <w:color w:val="auto"/>
              </w:rPr>
            </w:pPr>
            <w:r>
              <w:rPr>
                <w:rFonts w:ascii="Arial" w:cs="Arial" w:eastAsia="Arial" w:hAnsi="Arial"/>
                <w:sz w:val="18"/>
                <w:szCs w:val="18"/>
                <w:color w:val="auto"/>
              </w:rPr>
              <w:t>Prepaid taxes</w:t>
            </w:r>
          </w:p>
        </w:tc>
        <w:tc>
          <w:tcPr>
            <w:tcW w:w="1980" w:type="dxa"/>
            <w:vAlign w:val="bottom"/>
            <w:tcBorders>
              <w:top w:val="single" w:sz="8" w:color="auto"/>
            </w:tcBorders>
          </w:tcPr>
          <w:p>
            <w:pPr>
              <w:jc w:val="right"/>
              <w:ind w:right="1190"/>
              <w:spacing w:after="0" w:line="173" w:lineRule="exact"/>
              <w:rPr>
                <w:sz w:val="20"/>
                <w:szCs w:val="20"/>
                <w:color w:val="auto"/>
              </w:rPr>
            </w:pPr>
            <w:r>
              <w:rPr>
                <w:rFonts w:ascii="Arial" w:cs="Arial" w:eastAsia="Arial" w:hAnsi="Arial"/>
                <w:sz w:val="18"/>
                <w:szCs w:val="18"/>
                <w:b w:val="1"/>
                <w:bCs w:val="1"/>
                <w:color w:val="auto"/>
              </w:rPr>
              <w:t>$3,914</w:t>
            </w:r>
          </w:p>
        </w:tc>
        <w:tc>
          <w:tcPr>
            <w:tcW w:w="1320" w:type="dxa"/>
            <w:vAlign w:val="bottom"/>
            <w:tcBorders>
              <w:top w:val="single" w:sz="8" w:color="auto"/>
            </w:tcBorders>
          </w:tcPr>
          <w:p>
            <w:pPr>
              <w:jc w:val="right"/>
              <w:ind w:right="10"/>
              <w:spacing w:after="0" w:line="173" w:lineRule="exact"/>
              <w:rPr>
                <w:sz w:val="20"/>
                <w:szCs w:val="20"/>
                <w:color w:val="auto"/>
              </w:rPr>
            </w:pPr>
            <w:r>
              <w:rPr>
                <w:rFonts w:ascii="Arial" w:cs="Arial" w:eastAsia="Arial" w:hAnsi="Arial"/>
                <w:sz w:val="18"/>
                <w:szCs w:val="18"/>
                <w:color w:val="auto"/>
              </w:rPr>
              <w:t>$2,417</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Taxes receivable</w:t>
            </w:r>
          </w:p>
        </w:tc>
        <w:tc>
          <w:tcPr>
            <w:tcW w:w="1980" w:type="dxa"/>
            <w:vAlign w:val="bottom"/>
            <w:tcBorders>
              <w:bottom w:val="single" w:sz="8" w:color="auto"/>
            </w:tcBorders>
          </w:tcPr>
          <w:p>
            <w:pPr>
              <w:jc w:val="right"/>
              <w:ind w:right="1190"/>
              <w:spacing w:after="0"/>
              <w:rPr>
                <w:sz w:val="20"/>
                <w:szCs w:val="20"/>
                <w:color w:val="auto"/>
              </w:rPr>
            </w:pPr>
            <w:r>
              <w:rPr>
                <w:rFonts w:ascii="Arial" w:cs="Arial" w:eastAsia="Arial" w:hAnsi="Arial"/>
                <w:sz w:val="18"/>
                <w:szCs w:val="18"/>
                <w:b w:val="1"/>
                <w:bCs w:val="1"/>
                <w:color w:val="auto"/>
              </w:rPr>
              <w:t>1,299</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0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Total current income taxes prepaid and receivable</w:t>
            </w:r>
          </w:p>
        </w:tc>
        <w:tc>
          <w:tcPr>
            <w:tcW w:w="1980" w:type="dxa"/>
            <w:vAlign w:val="bottom"/>
            <w:tcBorders>
              <w:bottom w:val="single" w:sz="8" w:color="auto"/>
            </w:tcBorders>
          </w:tcPr>
          <w:p>
            <w:pPr>
              <w:jc w:val="right"/>
              <w:ind w:right="1190"/>
              <w:spacing w:after="0" w:line="196" w:lineRule="exact"/>
              <w:rPr>
                <w:sz w:val="20"/>
                <w:szCs w:val="20"/>
                <w:color w:val="auto"/>
              </w:rPr>
            </w:pPr>
            <w:r>
              <w:rPr>
                <w:rFonts w:ascii="Arial" w:cs="Arial" w:eastAsia="Arial" w:hAnsi="Arial"/>
                <w:sz w:val="18"/>
                <w:szCs w:val="18"/>
                <w:b w:val="1"/>
                <w:bCs w:val="1"/>
                <w:color w:val="auto"/>
              </w:rPr>
              <w:t>$5,213</w:t>
            </w:r>
          </w:p>
        </w:tc>
        <w:tc>
          <w:tcPr>
            <w:tcW w:w="13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$2,927</w:t>
            </w:r>
          </w:p>
        </w:tc>
        <w:tc>
          <w:tcPr>
            <w:tcW w:w="0" w:type="dxa"/>
            <w:vAlign w:val="bottom"/>
          </w:tcPr>
          <w:p>
            <w:pPr>
              <w:spacing w:after="0"/>
              <w:rPr>
                <w:sz w:val="1"/>
                <w:szCs w:val="1"/>
                <w:color w:val="auto"/>
              </w:rPr>
            </w:pPr>
          </w:p>
        </w:tc>
      </w:tr>
      <w:tr>
        <w:trPr>
          <w:trHeight w:val="588"/>
        </w:trPr>
        <w:tc>
          <w:tcPr>
            <w:tcW w:w="20" w:type="dxa"/>
            <w:vAlign w:val="bottom"/>
          </w:tcPr>
          <w:p>
            <w:pPr>
              <w:spacing w:after="0"/>
              <w:rPr>
                <w:sz w:val="24"/>
                <w:szCs w:val="24"/>
                <w:color w:val="auto"/>
              </w:rPr>
            </w:pPr>
          </w:p>
        </w:tc>
        <w:tc>
          <w:tcPr>
            <w:tcW w:w="10080" w:type="dxa"/>
            <w:vAlign w:val="bottom"/>
            <w:gridSpan w:val="2"/>
          </w:tcPr>
          <w:p>
            <w:pPr>
              <w:ind w:left="640"/>
              <w:spacing w:after="0"/>
              <w:rPr>
                <w:sz w:val="20"/>
                <w:szCs w:val="20"/>
                <w:color w:val="auto"/>
              </w:rPr>
            </w:pPr>
            <w:r>
              <w:rPr>
                <w:rFonts w:ascii="Arial" w:cs="Arial" w:eastAsia="Arial" w:hAnsi="Arial"/>
                <w:sz w:val="18"/>
                <w:szCs w:val="18"/>
                <w:color w:val="auto"/>
              </w:rPr>
              <w:t>As of December 31, 2016 and 2015, noncurrent income taxes receivable and deferred consisted of the following:</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810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1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(in thousands)</w:t>
            </w:r>
          </w:p>
        </w:tc>
        <w:tc>
          <w:tcPr>
            <w:tcW w:w="1980" w:type="dxa"/>
            <w:vAlign w:val="bottom"/>
            <w:tcBorders>
              <w:bottom w:val="single" w:sz="8" w:color="auto"/>
            </w:tcBorders>
          </w:tcPr>
          <w:p>
            <w:pPr>
              <w:jc w:val="right"/>
              <w:ind w:right="1190"/>
              <w:spacing w:after="0" w:line="196" w:lineRule="exact"/>
              <w:rPr>
                <w:sz w:val="20"/>
                <w:szCs w:val="20"/>
                <w:color w:val="auto"/>
              </w:rPr>
            </w:pPr>
            <w:r>
              <w:rPr>
                <w:rFonts w:ascii="Arial" w:cs="Arial" w:eastAsia="Arial" w:hAnsi="Arial"/>
                <w:sz w:val="18"/>
                <w:szCs w:val="18"/>
                <w:b w:val="1"/>
                <w:bCs w:val="1"/>
                <w:color w:val="auto"/>
              </w:rPr>
              <w:t>2016</w:t>
            </w:r>
          </w:p>
        </w:tc>
        <w:tc>
          <w:tcPr>
            <w:tcW w:w="13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100" w:type="dxa"/>
            <w:vAlign w:val="bottom"/>
          </w:tcPr>
          <w:p>
            <w:pPr>
              <w:ind w:left="20"/>
              <w:spacing w:after="0" w:line="173" w:lineRule="exact"/>
              <w:rPr>
                <w:sz w:val="20"/>
                <w:szCs w:val="20"/>
                <w:color w:val="auto"/>
              </w:rPr>
            </w:pPr>
            <w:r>
              <w:rPr>
                <w:rFonts w:ascii="Arial" w:cs="Arial" w:eastAsia="Arial" w:hAnsi="Arial"/>
                <w:sz w:val="18"/>
                <w:szCs w:val="18"/>
                <w:color w:val="auto"/>
              </w:rPr>
              <w:t>Deferred income taxes</w:t>
            </w:r>
          </w:p>
        </w:tc>
        <w:tc>
          <w:tcPr>
            <w:tcW w:w="1980" w:type="dxa"/>
            <w:vAlign w:val="bottom"/>
          </w:tcPr>
          <w:p>
            <w:pPr>
              <w:jc w:val="right"/>
              <w:ind w:right="1190"/>
              <w:spacing w:after="0" w:line="173" w:lineRule="exact"/>
              <w:rPr>
                <w:sz w:val="20"/>
                <w:szCs w:val="20"/>
                <w:color w:val="auto"/>
              </w:rPr>
            </w:pPr>
            <w:r>
              <w:rPr>
                <w:rFonts w:ascii="Arial" w:cs="Arial" w:eastAsia="Arial" w:hAnsi="Arial"/>
                <w:sz w:val="18"/>
                <w:szCs w:val="18"/>
                <w:b w:val="1"/>
                <w:bCs w:val="1"/>
                <w:color w:val="auto"/>
              </w:rPr>
              <w:t>$68,865</w:t>
            </w:r>
          </w:p>
        </w:tc>
        <w:tc>
          <w:tcPr>
            <w:tcW w:w="1320" w:type="dxa"/>
            <w:vAlign w:val="bottom"/>
          </w:tcPr>
          <w:p>
            <w:pPr>
              <w:jc w:val="right"/>
              <w:ind w:right="10"/>
              <w:spacing w:after="0" w:line="173" w:lineRule="exact"/>
              <w:rPr>
                <w:sz w:val="20"/>
                <w:szCs w:val="20"/>
                <w:color w:val="auto"/>
              </w:rPr>
            </w:pPr>
            <w:r>
              <w:rPr>
                <w:rFonts w:ascii="Arial" w:cs="Arial" w:eastAsia="Arial" w:hAnsi="Arial"/>
                <w:sz w:val="18"/>
                <w:szCs w:val="18"/>
                <w:color w:val="auto"/>
              </w:rPr>
              <w:t>$105,792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Taxes receivable</w:t>
            </w:r>
          </w:p>
        </w:tc>
        <w:tc>
          <w:tcPr>
            <w:tcW w:w="1980" w:type="dxa"/>
            <w:vAlign w:val="bottom"/>
            <w:tcBorders>
              <w:bottom w:val="single" w:sz="8" w:color="auto"/>
            </w:tcBorders>
          </w:tcPr>
          <w:p>
            <w:pPr>
              <w:jc w:val="right"/>
              <w:ind w:right="119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3,153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0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Total noncurrent income taxes receivable and deferred</w:t>
            </w:r>
          </w:p>
        </w:tc>
        <w:tc>
          <w:tcPr>
            <w:tcW w:w="1980" w:type="dxa"/>
            <w:vAlign w:val="bottom"/>
            <w:tcBorders>
              <w:bottom w:val="single" w:sz="8" w:color="auto"/>
            </w:tcBorders>
          </w:tcPr>
          <w:p>
            <w:pPr>
              <w:jc w:val="right"/>
              <w:ind w:right="1190"/>
              <w:spacing w:after="0" w:line="196" w:lineRule="exact"/>
              <w:rPr>
                <w:sz w:val="20"/>
                <w:szCs w:val="20"/>
                <w:color w:val="auto"/>
              </w:rPr>
            </w:pPr>
            <w:r>
              <w:rPr>
                <w:rFonts w:ascii="Arial" w:cs="Arial" w:eastAsia="Arial" w:hAnsi="Arial"/>
                <w:sz w:val="18"/>
                <w:szCs w:val="18"/>
                <w:b w:val="1"/>
                <w:bCs w:val="1"/>
                <w:color w:val="auto"/>
              </w:rPr>
              <w:t>$68,865</w:t>
            </w:r>
          </w:p>
        </w:tc>
        <w:tc>
          <w:tcPr>
            <w:tcW w:w="13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$108,945</w:t>
            </w:r>
          </w:p>
        </w:tc>
        <w:tc>
          <w:tcPr>
            <w:tcW w:w="0" w:type="dxa"/>
            <w:vAlign w:val="bottom"/>
          </w:tcPr>
          <w:p>
            <w:pPr>
              <w:spacing w:after="0"/>
              <w:rPr>
                <w:sz w:val="1"/>
                <w:szCs w:val="1"/>
                <w:color w:val="auto"/>
              </w:rPr>
            </w:pPr>
          </w:p>
        </w:tc>
      </w:tr>
      <w:tr>
        <w:trPr>
          <w:trHeight w:val="588"/>
        </w:trPr>
        <w:tc>
          <w:tcPr>
            <w:tcW w:w="20" w:type="dxa"/>
            <w:vAlign w:val="bottom"/>
          </w:tcPr>
          <w:p>
            <w:pPr>
              <w:spacing w:after="0"/>
              <w:rPr>
                <w:sz w:val="24"/>
                <w:szCs w:val="24"/>
                <w:color w:val="auto"/>
              </w:rPr>
            </w:pPr>
          </w:p>
        </w:tc>
        <w:tc>
          <w:tcPr>
            <w:tcW w:w="8100" w:type="dxa"/>
            <w:vAlign w:val="bottom"/>
          </w:tcPr>
          <w:p>
            <w:pPr>
              <w:ind w:left="640"/>
              <w:spacing w:after="0"/>
              <w:rPr>
                <w:sz w:val="20"/>
                <w:szCs w:val="20"/>
                <w:color w:val="auto"/>
              </w:rPr>
            </w:pPr>
            <w:r>
              <w:rPr>
                <w:rFonts w:ascii="Arial" w:cs="Arial" w:eastAsia="Arial" w:hAnsi="Arial"/>
                <w:sz w:val="18"/>
                <w:szCs w:val="18"/>
                <w:color w:val="auto"/>
              </w:rPr>
              <w:t>As of December 31, 2016 and 2015, current income taxes payable consisted of the following:</w:t>
            </w:r>
          </w:p>
        </w:tc>
        <w:tc>
          <w:tcPr>
            <w:tcW w:w="19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81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1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(in thousands)</w:t>
            </w:r>
          </w:p>
        </w:tc>
        <w:tc>
          <w:tcPr>
            <w:tcW w:w="1980" w:type="dxa"/>
            <w:vAlign w:val="bottom"/>
            <w:tcBorders>
              <w:bottom w:val="single" w:sz="8" w:color="auto"/>
            </w:tcBorders>
          </w:tcPr>
          <w:p>
            <w:pPr>
              <w:jc w:val="right"/>
              <w:ind w:right="1190"/>
              <w:spacing w:after="0" w:line="196" w:lineRule="exact"/>
              <w:rPr>
                <w:sz w:val="20"/>
                <w:szCs w:val="20"/>
                <w:color w:val="auto"/>
              </w:rPr>
            </w:pPr>
            <w:r>
              <w:rPr>
                <w:rFonts w:ascii="Arial" w:cs="Arial" w:eastAsia="Arial" w:hAnsi="Arial"/>
                <w:sz w:val="18"/>
                <w:szCs w:val="18"/>
                <w:b w:val="1"/>
                <w:bCs w:val="1"/>
                <w:color w:val="auto"/>
              </w:rPr>
              <w:t>2016</w:t>
            </w:r>
          </w:p>
        </w:tc>
        <w:tc>
          <w:tcPr>
            <w:tcW w:w="13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0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Taxes Payable</w:t>
            </w:r>
          </w:p>
        </w:tc>
        <w:tc>
          <w:tcPr>
            <w:tcW w:w="1980" w:type="dxa"/>
            <w:vAlign w:val="bottom"/>
            <w:tcBorders>
              <w:bottom w:val="single" w:sz="8" w:color="auto"/>
            </w:tcBorders>
          </w:tcPr>
          <w:p>
            <w:pPr>
              <w:jc w:val="right"/>
              <w:ind w:right="1190"/>
              <w:spacing w:after="0" w:line="196" w:lineRule="exact"/>
              <w:rPr>
                <w:sz w:val="20"/>
                <w:szCs w:val="20"/>
                <w:color w:val="auto"/>
              </w:rPr>
            </w:pPr>
            <w:r>
              <w:rPr>
                <w:rFonts w:ascii="Arial" w:cs="Arial" w:eastAsia="Arial" w:hAnsi="Arial"/>
                <w:sz w:val="18"/>
                <w:szCs w:val="18"/>
                <w:b w:val="1"/>
                <w:bCs w:val="1"/>
                <w:color w:val="auto"/>
              </w:rPr>
              <w:t>$9,531</w:t>
            </w:r>
          </w:p>
        </w:tc>
        <w:tc>
          <w:tcPr>
            <w:tcW w:w="13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$7,090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0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Total current income taxes payable</w:t>
            </w:r>
          </w:p>
        </w:tc>
        <w:tc>
          <w:tcPr>
            <w:tcW w:w="1980" w:type="dxa"/>
            <w:vAlign w:val="bottom"/>
            <w:tcBorders>
              <w:bottom w:val="single" w:sz="8" w:color="auto"/>
            </w:tcBorders>
          </w:tcPr>
          <w:p>
            <w:pPr>
              <w:jc w:val="right"/>
              <w:ind w:right="1190"/>
              <w:spacing w:after="0" w:line="196" w:lineRule="exact"/>
              <w:rPr>
                <w:sz w:val="20"/>
                <w:szCs w:val="20"/>
                <w:color w:val="auto"/>
              </w:rPr>
            </w:pPr>
            <w:r>
              <w:rPr>
                <w:rFonts w:ascii="Arial" w:cs="Arial" w:eastAsia="Arial" w:hAnsi="Arial"/>
                <w:sz w:val="18"/>
                <w:szCs w:val="18"/>
                <w:b w:val="1"/>
                <w:bCs w:val="1"/>
                <w:color w:val="auto"/>
              </w:rPr>
              <w:t>$9,531</w:t>
            </w:r>
          </w:p>
        </w:tc>
        <w:tc>
          <w:tcPr>
            <w:tcW w:w="13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$7,090</w:t>
            </w:r>
          </w:p>
        </w:tc>
        <w:tc>
          <w:tcPr>
            <w:tcW w:w="0" w:type="dxa"/>
            <w:vAlign w:val="bottom"/>
          </w:tcPr>
          <w:p>
            <w:pPr>
              <w:spacing w:after="0"/>
              <w:rPr>
                <w:sz w:val="1"/>
                <w:szCs w:val="1"/>
                <w:color w:val="auto"/>
              </w:rPr>
            </w:pPr>
          </w:p>
        </w:tc>
      </w:tr>
    </w:tbl>
    <w:p>
      <w:pPr>
        <w:spacing w:after="0" w:line="3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2016 and 2015, noncurrent deferred taxes and other liabilities consisted of the following: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362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2016</w:t>
            </w:r>
          </w:p>
        </w:tc>
        <w:tc>
          <w:tcPr>
            <w:tcW w:w="16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173"/>
        </w:trPr>
        <w:tc>
          <w:tcPr>
            <w:tcW w:w="6120" w:type="dxa"/>
            <w:vAlign w:val="bottom"/>
          </w:tcPr>
          <w:p>
            <w:pPr>
              <w:ind w:left="40"/>
              <w:spacing w:after="0" w:line="173" w:lineRule="exact"/>
              <w:rPr>
                <w:sz w:val="20"/>
                <w:szCs w:val="20"/>
                <w:color w:val="auto"/>
              </w:rPr>
            </w:pPr>
            <w:r>
              <w:rPr>
                <w:rFonts w:ascii="Arial" w:cs="Arial" w:eastAsia="Arial" w:hAnsi="Arial"/>
                <w:sz w:val="18"/>
                <w:szCs w:val="18"/>
                <w:color w:val="auto"/>
              </w:rPr>
              <w:t>Deferred income taxes</w:t>
            </w:r>
          </w:p>
        </w:tc>
        <w:tc>
          <w:tcPr>
            <w:tcW w:w="3620" w:type="dxa"/>
            <w:vAlign w:val="bottom"/>
          </w:tcPr>
          <w:p>
            <w:pPr>
              <w:jc w:val="right"/>
              <w:ind w:right="830"/>
              <w:spacing w:after="0" w:line="173" w:lineRule="exact"/>
              <w:rPr>
                <w:sz w:val="20"/>
                <w:szCs w:val="20"/>
                <w:color w:val="auto"/>
              </w:rPr>
            </w:pPr>
            <w:r>
              <w:rPr>
                <w:rFonts w:ascii="Arial" w:cs="Arial" w:eastAsia="Arial" w:hAnsi="Arial"/>
                <w:sz w:val="18"/>
                <w:szCs w:val="18"/>
                <w:b w:val="1"/>
                <w:bCs w:val="1"/>
                <w:color w:val="auto"/>
              </w:rPr>
              <w:t>$11,188</w:t>
            </w:r>
          </w:p>
        </w:tc>
        <w:tc>
          <w:tcPr>
            <w:tcW w:w="1680" w:type="dxa"/>
            <w:vAlign w:val="bottom"/>
          </w:tcPr>
          <w:p>
            <w:pPr>
              <w:jc w:val="right"/>
              <w:ind w:right="10"/>
              <w:spacing w:after="0" w:line="173" w:lineRule="exact"/>
              <w:rPr>
                <w:sz w:val="20"/>
                <w:szCs w:val="20"/>
                <w:color w:val="auto"/>
              </w:rPr>
            </w:pPr>
            <w:r>
              <w:rPr>
                <w:rFonts w:ascii="Arial" w:cs="Arial" w:eastAsia="Arial" w:hAnsi="Arial"/>
                <w:sz w:val="18"/>
                <w:szCs w:val="18"/>
                <w:color w:val="auto"/>
              </w:rPr>
              <w:t>$12,589</w:t>
            </w:r>
          </w:p>
        </w:tc>
      </w:tr>
      <w:tr>
        <w:trPr>
          <w:trHeight w:val="225"/>
        </w:trPr>
        <w:tc>
          <w:tcPr>
            <w:tcW w:w="61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Other liabilities</w:t>
            </w:r>
          </w:p>
        </w:tc>
        <w:tc>
          <w:tcPr>
            <w:tcW w:w="362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1,201</w:t>
            </w:r>
          </w:p>
        </w:tc>
        <w:tc>
          <w:tcPr>
            <w:tcW w:w="1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1,565</w:t>
            </w:r>
          </w:p>
        </w:tc>
      </w:tr>
      <w:tr>
        <w:trPr>
          <w:trHeight w:val="196"/>
        </w:trPr>
        <w:tc>
          <w:tcPr>
            <w:tcW w:w="612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Total noncurrent deferred taxes and other liabilities</w:t>
            </w:r>
          </w:p>
        </w:tc>
        <w:tc>
          <w:tcPr>
            <w:tcW w:w="3620" w:type="dxa"/>
            <w:vAlign w:val="bottom"/>
            <w:tcBorders>
              <w:bottom w:val="single" w:sz="8" w:color="auto"/>
            </w:tcBorders>
          </w:tcPr>
          <w:p>
            <w:pPr>
              <w:jc w:val="right"/>
              <w:ind w:right="830"/>
              <w:spacing w:after="0" w:line="196" w:lineRule="exact"/>
              <w:rPr>
                <w:sz w:val="20"/>
                <w:szCs w:val="20"/>
                <w:color w:val="auto"/>
              </w:rPr>
            </w:pPr>
            <w:r>
              <w:rPr>
                <w:rFonts w:ascii="Arial" w:cs="Arial" w:eastAsia="Arial" w:hAnsi="Arial"/>
                <w:sz w:val="18"/>
                <w:szCs w:val="18"/>
                <w:b w:val="1"/>
                <w:bCs w:val="1"/>
                <w:color w:val="auto"/>
              </w:rPr>
              <w:t>$12,389</w:t>
            </w:r>
          </w:p>
        </w:tc>
        <w:tc>
          <w:tcPr>
            <w:tcW w:w="16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$14,154</w:t>
            </w:r>
          </w:p>
        </w:tc>
      </w:tr>
    </w:tbl>
    <w:p>
      <w:pPr>
        <w:spacing w:after="0" w:line="3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Taxes paid, net of refunds, amounted to $23.4 million in 2016, $18.3 million in 2015, and $17.6 million in 2014.</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8. Earnings Per Share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amounts used in computing earnings per share and the weighted average number of shares of potentially dilutive securities are as</w:t>
      </w:r>
    </w:p>
    <w:p>
      <w:pPr>
        <w:spacing w:after="0"/>
        <w:rPr>
          <w:sz w:val="20"/>
          <w:szCs w:val="20"/>
          <w:color w:val="auto"/>
        </w:rPr>
      </w:pPr>
      <w:r>
        <w:rPr>
          <w:rFonts w:ascii="Arial" w:cs="Arial" w:eastAsia="Arial" w:hAnsi="Arial"/>
          <w:sz w:val="18"/>
          <w:szCs w:val="18"/>
          <w:color w:val="auto"/>
        </w:rPr>
        <w:t>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market price and earnings per share)</w:t>
            </w:r>
          </w:p>
        </w:tc>
        <w:tc>
          <w:tcPr>
            <w:tcW w:w="2100" w:type="dxa"/>
            <w:vAlign w:val="bottom"/>
            <w:tcBorders>
              <w:top w:val="single" w:sz="8" w:color="auto"/>
              <w:bottom w:val="single" w:sz="8" w:color="auto"/>
            </w:tcBorders>
          </w:tcPr>
          <w:p>
            <w:pPr>
              <w:jc w:val="right"/>
              <w:ind w:right="950"/>
              <w:spacing w:after="0"/>
              <w:rPr>
                <w:sz w:val="20"/>
                <w:szCs w:val="20"/>
                <w:color w:val="auto"/>
              </w:rPr>
            </w:pPr>
            <w:r>
              <w:rPr>
                <w:rFonts w:ascii="Arial" w:cs="Arial" w:eastAsia="Arial" w:hAnsi="Arial"/>
                <w:sz w:val="18"/>
                <w:szCs w:val="18"/>
                <w:b w:val="1"/>
                <w:bCs w:val="1"/>
                <w:color w:val="auto"/>
              </w:rPr>
              <w:t>2016</w:t>
            </w:r>
          </w:p>
        </w:tc>
        <w:tc>
          <w:tcPr>
            <w:tcW w:w="2040" w:type="dxa"/>
            <w:vAlign w:val="bottom"/>
            <w:tcBorders>
              <w:top w:val="single" w:sz="8" w:color="auto"/>
              <w:bottom w:val="single" w:sz="8" w:color="auto"/>
            </w:tcBorders>
          </w:tcPr>
          <w:p>
            <w:pPr>
              <w:jc w:val="right"/>
              <w:ind w:right="950"/>
              <w:spacing w:after="0"/>
              <w:rPr>
                <w:sz w:val="20"/>
                <w:szCs w:val="20"/>
                <w:color w:val="auto"/>
              </w:rPr>
            </w:pPr>
            <w:r>
              <w:rPr>
                <w:rFonts w:ascii="Arial" w:cs="Arial" w:eastAsia="Arial" w:hAnsi="Arial"/>
                <w:sz w:val="18"/>
                <w:szCs w:val="18"/>
                <w:b w:val="1"/>
                <w:bCs w:val="1"/>
                <w:color w:val="auto"/>
              </w:rPr>
              <w:t>2015</w:t>
            </w:r>
          </w:p>
        </w:tc>
        <w:tc>
          <w:tcPr>
            <w:tcW w:w="15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399"/>
        </w:trPr>
        <w:tc>
          <w:tcPr>
            <w:tcW w:w="57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Net income attributable to the Company</w:t>
            </w:r>
          </w:p>
        </w:tc>
        <w:tc>
          <w:tcPr>
            <w:tcW w:w="21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$52,733</w:t>
            </w:r>
          </w:p>
        </w:tc>
        <w:tc>
          <w:tcPr>
            <w:tcW w:w="20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$57,279</w:t>
            </w: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$41,569</w:t>
            </w:r>
          </w:p>
        </w:tc>
        <w:tc>
          <w:tcPr>
            <w:tcW w:w="0" w:type="dxa"/>
            <w:vAlign w:val="bottom"/>
          </w:tcPr>
          <w:p>
            <w:pPr>
              <w:spacing w:after="0"/>
              <w:rPr>
                <w:sz w:val="1"/>
                <w:szCs w:val="1"/>
                <w:color w:val="auto"/>
              </w:rPr>
            </w:pPr>
          </w:p>
        </w:tc>
      </w:tr>
      <w:tr>
        <w:trPr>
          <w:trHeight w:val="412"/>
        </w:trPr>
        <w:tc>
          <w:tcPr>
            <w:tcW w:w="5740" w:type="dxa"/>
            <w:vAlign w:val="bottom"/>
          </w:tcPr>
          <w:p>
            <w:pPr>
              <w:ind w:left="40"/>
              <w:spacing w:after="0"/>
              <w:rPr>
                <w:sz w:val="20"/>
                <w:szCs w:val="20"/>
                <w:color w:val="auto"/>
              </w:rPr>
            </w:pPr>
            <w:r>
              <w:rPr>
                <w:rFonts w:ascii="Arial" w:cs="Arial" w:eastAsia="Arial" w:hAnsi="Arial"/>
                <w:sz w:val="18"/>
                <w:szCs w:val="18"/>
                <w:b w:val="1"/>
                <w:bCs w:val="1"/>
                <w:color w:val="auto"/>
              </w:rPr>
              <w:t>Weighted average number of shares:</w:t>
            </w:r>
          </w:p>
        </w:tc>
        <w:tc>
          <w:tcPr>
            <w:tcW w:w="2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740" w:type="dxa"/>
            <w:vAlign w:val="bottom"/>
          </w:tcPr>
          <w:p>
            <w:pPr>
              <w:ind w:left="180"/>
              <w:spacing w:after="0"/>
              <w:rPr>
                <w:sz w:val="20"/>
                <w:szCs w:val="20"/>
                <w:color w:val="auto"/>
              </w:rPr>
            </w:pPr>
            <w:r>
              <w:rPr>
                <w:rFonts w:ascii="Arial" w:cs="Arial" w:eastAsia="Arial" w:hAnsi="Arial"/>
                <w:sz w:val="18"/>
                <w:szCs w:val="18"/>
                <w:color w:val="auto"/>
              </w:rPr>
              <w:t>Weighted average number of shares used in</w:t>
            </w:r>
          </w:p>
        </w:tc>
        <w:tc>
          <w:tcPr>
            <w:tcW w:w="2100" w:type="dxa"/>
            <w:vAlign w:val="bottom"/>
            <w:vMerge w:val="restart"/>
          </w:tcPr>
          <w:p>
            <w:pPr>
              <w:jc w:val="right"/>
              <w:ind w:right="530"/>
              <w:spacing w:after="0"/>
              <w:rPr>
                <w:sz w:val="20"/>
                <w:szCs w:val="20"/>
                <w:color w:val="auto"/>
              </w:rPr>
            </w:pPr>
            <w:r>
              <w:rPr>
                <w:rFonts w:ascii="Arial" w:cs="Arial" w:eastAsia="Arial" w:hAnsi="Arial"/>
                <w:sz w:val="18"/>
                <w:szCs w:val="18"/>
                <w:b w:val="1"/>
                <w:bCs w:val="1"/>
                <w:color w:val="auto"/>
              </w:rPr>
              <w:t>32,086</w:t>
            </w:r>
          </w:p>
        </w:tc>
        <w:tc>
          <w:tcPr>
            <w:tcW w:w="20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740" w:type="dxa"/>
            <w:vAlign w:val="bottom"/>
          </w:tcPr>
          <w:p>
            <w:pPr>
              <w:ind w:left="180"/>
              <w:spacing w:after="0"/>
              <w:rPr>
                <w:sz w:val="20"/>
                <w:szCs w:val="20"/>
                <w:color w:val="auto"/>
              </w:rPr>
            </w:pPr>
            <w:r>
              <w:rPr>
                <w:rFonts w:ascii="Arial" w:cs="Arial" w:eastAsia="Arial" w:hAnsi="Arial"/>
                <w:sz w:val="18"/>
                <w:szCs w:val="18"/>
                <w:color w:val="auto"/>
              </w:rPr>
              <w:t>calculating basic net income per share</w:t>
            </w:r>
          </w:p>
        </w:tc>
        <w:tc>
          <w:tcPr>
            <w:tcW w:w="2100" w:type="dxa"/>
            <w:vAlign w:val="bottom"/>
            <w:vMerge w:val="continue"/>
          </w:tcPr>
          <w:p>
            <w:pPr>
              <w:spacing w:after="0"/>
              <w:rPr>
                <w:sz w:val="18"/>
                <w:szCs w:val="18"/>
                <w:color w:val="auto"/>
              </w:rPr>
            </w:pPr>
          </w:p>
        </w:tc>
        <w:tc>
          <w:tcPr>
            <w:tcW w:w="2040" w:type="dxa"/>
            <w:vAlign w:val="bottom"/>
          </w:tcPr>
          <w:p>
            <w:pPr>
              <w:jc w:val="right"/>
              <w:ind w:right="510"/>
              <w:spacing w:after="0"/>
              <w:rPr>
                <w:sz w:val="20"/>
                <w:szCs w:val="20"/>
                <w:color w:val="auto"/>
              </w:rPr>
            </w:pPr>
            <w:r>
              <w:rPr>
                <w:rFonts w:ascii="Arial" w:cs="Arial" w:eastAsia="Arial" w:hAnsi="Arial"/>
                <w:sz w:val="18"/>
                <w:szCs w:val="18"/>
                <w:color w:val="auto"/>
              </w:rPr>
              <w:t>31,978</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31,832</w:t>
            </w:r>
          </w:p>
        </w:tc>
        <w:tc>
          <w:tcPr>
            <w:tcW w:w="0" w:type="dxa"/>
            <w:vAlign w:val="bottom"/>
          </w:tcPr>
          <w:p>
            <w:pPr>
              <w:spacing w:after="0"/>
              <w:rPr>
                <w:sz w:val="1"/>
                <w:szCs w:val="1"/>
                <w:color w:val="auto"/>
              </w:rPr>
            </w:pPr>
          </w:p>
        </w:tc>
      </w:tr>
      <w:tr>
        <w:trPr>
          <w:trHeight w:val="405"/>
        </w:trPr>
        <w:tc>
          <w:tcPr>
            <w:tcW w:w="5740" w:type="dxa"/>
            <w:vAlign w:val="bottom"/>
          </w:tcPr>
          <w:p>
            <w:pPr>
              <w:ind w:left="40"/>
              <w:spacing w:after="0"/>
              <w:rPr>
                <w:sz w:val="20"/>
                <w:szCs w:val="20"/>
                <w:color w:val="auto"/>
              </w:rPr>
            </w:pPr>
            <w:r>
              <w:rPr>
                <w:rFonts w:ascii="Arial" w:cs="Arial" w:eastAsia="Arial" w:hAnsi="Arial"/>
                <w:sz w:val="18"/>
                <w:szCs w:val="18"/>
                <w:b w:val="1"/>
                <w:bCs w:val="1"/>
                <w:color w:val="auto"/>
              </w:rPr>
              <w:t>Effect of dilutive stock-based compensation plans:</w:t>
            </w:r>
          </w:p>
        </w:tc>
        <w:tc>
          <w:tcPr>
            <w:tcW w:w="2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740" w:type="dxa"/>
            <w:vAlign w:val="bottom"/>
          </w:tcPr>
          <w:p>
            <w:pPr>
              <w:ind w:left="180"/>
              <w:spacing w:after="0"/>
              <w:rPr>
                <w:sz w:val="20"/>
                <w:szCs w:val="20"/>
                <w:color w:val="auto"/>
              </w:rPr>
            </w:pPr>
            <w:r>
              <w:rPr>
                <w:rFonts w:ascii="Arial" w:cs="Arial" w:eastAsia="Arial" w:hAnsi="Arial"/>
                <w:sz w:val="18"/>
                <w:szCs w:val="18"/>
                <w:color w:val="auto"/>
              </w:rPr>
              <w:t>Stock options</w:t>
            </w:r>
          </w:p>
        </w:tc>
        <w:tc>
          <w:tcPr>
            <w:tcW w:w="2100" w:type="dxa"/>
            <w:vAlign w:val="bottom"/>
          </w:tcPr>
          <w:p>
            <w:pPr>
              <w:jc w:val="right"/>
              <w:ind w:right="530"/>
              <w:spacing w:after="0"/>
              <w:rPr>
                <w:sz w:val="20"/>
                <w:szCs w:val="20"/>
                <w:color w:val="auto"/>
              </w:rPr>
            </w:pPr>
            <w:r>
              <w:rPr>
                <w:rFonts w:ascii="Arial" w:cs="Arial" w:eastAsia="Arial" w:hAnsi="Arial"/>
                <w:sz w:val="18"/>
                <w:szCs w:val="18"/>
                <w:b w:val="1"/>
                <w:bCs w:val="1"/>
                <w:color w:val="auto"/>
              </w:rPr>
              <w:t>39</w:t>
            </w:r>
          </w:p>
        </w:tc>
        <w:tc>
          <w:tcPr>
            <w:tcW w:w="2040" w:type="dxa"/>
            <w:vAlign w:val="bottom"/>
          </w:tcPr>
          <w:p>
            <w:pPr>
              <w:jc w:val="right"/>
              <w:ind w:right="510"/>
              <w:spacing w:after="0"/>
              <w:rPr>
                <w:sz w:val="20"/>
                <w:szCs w:val="20"/>
                <w:color w:val="auto"/>
              </w:rPr>
            </w:pPr>
            <w:r>
              <w:rPr>
                <w:rFonts w:ascii="Arial" w:cs="Arial" w:eastAsia="Arial" w:hAnsi="Arial"/>
                <w:sz w:val="18"/>
                <w:szCs w:val="18"/>
                <w:color w:val="auto"/>
              </w:rPr>
              <w:t>58</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405"/>
        </w:trPr>
        <w:tc>
          <w:tcPr>
            <w:tcW w:w="5740" w:type="dxa"/>
            <w:vAlign w:val="bottom"/>
          </w:tcPr>
          <w:p>
            <w:pPr>
              <w:ind w:left="140"/>
              <w:spacing w:after="0"/>
              <w:rPr>
                <w:sz w:val="20"/>
                <w:szCs w:val="20"/>
                <w:color w:val="auto"/>
              </w:rPr>
            </w:pPr>
            <w:r>
              <w:rPr>
                <w:rFonts w:ascii="Arial" w:cs="Arial" w:eastAsia="Arial" w:hAnsi="Arial"/>
                <w:sz w:val="18"/>
                <w:szCs w:val="18"/>
                <w:color w:val="auto"/>
              </w:rPr>
              <w:t>Long-term incentive plan</w:t>
            </w:r>
          </w:p>
        </w:tc>
        <w:tc>
          <w:tcPr>
            <w:tcW w:w="2100" w:type="dxa"/>
            <w:vAlign w:val="bottom"/>
          </w:tcPr>
          <w:p>
            <w:pPr>
              <w:jc w:val="right"/>
              <w:ind w:right="530"/>
              <w:spacing w:after="0"/>
              <w:rPr>
                <w:sz w:val="20"/>
                <w:szCs w:val="20"/>
                <w:color w:val="auto"/>
              </w:rPr>
            </w:pPr>
            <w:r>
              <w:rPr>
                <w:rFonts w:ascii="Arial" w:cs="Arial" w:eastAsia="Arial" w:hAnsi="Arial"/>
                <w:sz w:val="18"/>
                <w:szCs w:val="18"/>
                <w:b w:val="1"/>
                <w:bCs w:val="1"/>
                <w:color w:val="auto"/>
              </w:rPr>
              <w:t>45</w:t>
            </w:r>
          </w:p>
        </w:tc>
        <w:tc>
          <w:tcPr>
            <w:tcW w:w="2040" w:type="dxa"/>
            <w:vAlign w:val="bottom"/>
          </w:tcPr>
          <w:p>
            <w:pPr>
              <w:jc w:val="right"/>
              <w:ind w:right="510"/>
              <w:spacing w:after="0"/>
              <w:rPr>
                <w:sz w:val="20"/>
                <w:szCs w:val="20"/>
                <w:color w:val="auto"/>
              </w:rPr>
            </w:pPr>
            <w:r>
              <w:rPr>
                <w:rFonts w:ascii="Arial" w:cs="Arial" w:eastAsia="Arial" w:hAnsi="Arial"/>
                <w:sz w:val="18"/>
                <w:szCs w:val="18"/>
                <w:color w:val="auto"/>
              </w:rPr>
              <w:t>52</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391"/>
        </w:trPr>
        <w:tc>
          <w:tcPr>
            <w:tcW w:w="5740" w:type="dxa"/>
            <w:vAlign w:val="bottom"/>
          </w:tcPr>
          <w:p>
            <w:pPr>
              <w:ind w:left="40"/>
              <w:spacing w:after="0"/>
              <w:rPr>
                <w:sz w:val="20"/>
                <w:szCs w:val="20"/>
                <w:color w:val="auto"/>
              </w:rPr>
            </w:pPr>
            <w:r>
              <w:rPr>
                <w:rFonts w:ascii="Arial" w:cs="Arial" w:eastAsia="Arial" w:hAnsi="Arial"/>
                <w:sz w:val="18"/>
                <w:szCs w:val="18"/>
                <w:color w:val="auto"/>
              </w:rPr>
              <w:t>Weighted average number of shares used in</w:t>
            </w:r>
          </w:p>
        </w:tc>
        <w:tc>
          <w:tcPr>
            <w:tcW w:w="2100" w:type="dxa"/>
            <w:vAlign w:val="bottom"/>
            <w:vMerge w:val="restart"/>
          </w:tcPr>
          <w:p>
            <w:pPr>
              <w:jc w:val="right"/>
              <w:ind w:right="530"/>
              <w:spacing w:after="0"/>
              <w:rPr>
                <w:sz w:val="20"/>
                <w:szCs w:val="20"/>
                <w:color w:val="auto"/>
              </w:rPr>
            </w:pPr>
            <w:r>
              <w:rPr>
                <w:rFonts w:ascii="Arial" w:cs="Arial" w:eastAsia="Arial" w:hAnsi="Arial"/>
                <w:sz w:val="18"/>
                <w:szCs w:val="18"/>
                <w:b w:val="1"/>
                <w:bCs w:val="1"/>
                <w:color w:val="auto"/>
              </w:rPr>
              <w:t>32,170</w:t>
            </w:r>
          </w:p>
        </w:tc>
        <w:tc>
          <w:tcPr>
            <w:tcW w:w="20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740" w:type="dxa"/>
            <w:vAlign w:val="bottom"/>
            <w:tcBorders>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calculating diluted net income per share</w:t>
            </w:r>
          </w:p>
        </w:tc>
        <w:tc>
          <w:tcPr>
            <w:tcW w:w="2100" w:type="dxa"/>
            <w:vAlign w:val="bottom"/>
            <w:tcBorders>
              <w:bottom w:val="single" w:sz="8" w:color="auto"/>
            </w:tcBorders>
            <w:vMerge w:val="continue"/>
          </w:tcPr>
          <w:p>
            <w:pPr>
              <w:spacing w:after="0"/>
              <w:rPr>
                <w:sz w:val="17"/>
                <w:szCs w:val="17"/>
                <w:color w:val="auto"/>
              </w:rPr>
            </w:pPr>
          </w:p>
        </w:tc>
        <w:tc>
          <w:tcPr>
            <w:tcW w:w="2040" w:type="dxa"/>
            <w:vAlign w:val="bottom"/>
            <w:tcBorders>
              <w:bottom w:val="single" w:sz="8" w:color="auto"/>
            </w:tcBorders>
          </w:tcPr>
          <w:p>
            <w:pPr>
              <w:jc w:val="right"/>
              <w:ind w:right="510"/>
              <w:spacing w:after="0" w:line="203" w:lineRule="exact"/>
              <w:rPr>
                <w:sz w:val="20"/>
                <w:szCs w:val="20"/>
                <w:color w:val="auto"/>
              </w:rPr>
            </w:pPr>
            <w:r>
              <w:rPr>
                <w:rFonts w:ascii="Arial" w:cs="Arial" w:eastAsia="Arial" w:hAnsi="Arial"/>
                <w:sz w:val="18"/>
                <w:szCs w:val="18"/>
                <w:color w:val="auto"/>
              </w:rPr>
              <w:t>32,088</w:t>
            </w:r>
          </w:p>
        </w:tc>
        <w:tc>
          <w:tcPr>
            <w:tcW w:w="15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31,988</w:t>
            </w:r>
          </w:p>
        </w:tc>
        <w:tc>
          <w:tcPr>
            <w:tcW w:w="0" w:type="dxa"/>
            <w:vAlign w:val="bottom"/>
          </w:tcPr>
          <w:p>
            <w:pPr>
              <w:spacing w:after="0"/>
              <w:rPr>
                <w:sz w:val="1"/>
                <w:szCs w:val="1"/>
                <w:color w:val="auto"/>
              </w:rPr>
            </w:pPr>
          </w:p>
        </w:tc>
      </w:tr>
      <w:tr>
        <w:trPr>
          <w:trHeight w:val="398"/>
        </w:trPr>
        <w:tc>
          <w:tcPr>
            <w:tcW w:w="5740" w:type="dxa"/>
            <w:vAlign w:val="bottom"/>
          </w:tcPr>
          <w:p>
            <w:pPr>
              <w:ind w:left="40"/>
              <w:spacing w:after="0"/>
              <w:rPr>
                <w:sz w:val="20"/>
                <w:szCs w:val="20"/>
                <w:color w:val="auto"/>
              </w:rPr>
            </w:pPr>
            <w:r>
              <w:rPr>
                <w:rFonts w:ascii="Arial" w:cs="Arial" w:eastAsia="Arial" w:hAnsi="Arial"/>
                <w:sz w:val="18"/>
                <w:szCs w:val="18"/>
                <w:color w:val="auto"/>
              </w:rPr>
              <w:t>Average market price of common stock used</w:t>
            </w:r>
          </w:p>
        </w:tc>
        <w:tc>
          <w:tcPr>
            <w:tcW w:w="2100" w:type="dxa"/>
            <w:vAlign w:val="bottom"/>
            <w:vMerge w:val="restart"/>
          </w:tcPr>
          <w:p>
            <w:pPr>
              <w:jc w:val="right"/>
              <w:ind w:right="530"/>
              <w:spacing w:after="0"/>
              <w:rPr>
                <w:sz w:val="20"/>
                <w:szCs w:val="20"/>
                <w:color w:val="auto"/>
              </w:rPr>
            </w:pPr>
            <w:r>
              <w:rPr>
                <w:rFonts w:ascii="Arial" w:cs="Arial" w:eastAsia="Arial" w:hAnsi="Arial"/>
                <w:sz w:val="18"/>
                <w:szCs w:val="18"/>
                <w:b w:val="1"/>
                <w:bCs w:val="1"/>
                <w:color w:val="auto"/>
              </w:rPr>
              <w:t>$40.25</w:t>
            </w:r>
          </w:p>
        </w:tc>
        <w:tc>
          <w:tcPr>
            <w:tcW w:w="20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740" w:type="dxa"/>
            <w:vAlign w:val="bottom"/>
            <w:tcBorders>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for calculation of dilutive shares</w:t>
            </w:r>
          </w:p>
        </w:tc>
        <w:tc>
          <w:tcPr>
            <w:tcW w:w="2100" w:type="dxa"/>
            <w:vAlign w:val="bottom"/>
            <w:tcBorders>
              <w:bottom w:val="single" w:sz="8" w:color="auto"/>
            </w:tcBorders>
            <w:vMerge w:val="continue"/>
          </w:tcPr>
          <w:p>
            <w:pPr>
              <w:spacing w:after="0"/>
              <w:rPr>
                <w:sz w:val="17"/>
                <w:szCs w:val="17"/>
                <w:color w:val="auto"/>
              </w:rPr>
            </w:pPr>
          </w:p>
        </w:tc>
        <w:tc>
          <w:tcPr>
            <w:tcW w:w="2040" w:type="dxa"/>
            <w:vAlign w:val="bottom"/>
            <w:tcBorders>
              <w:bottom w:val="single" w:sz="8" w:color="auto"/>
            </w:tcBorders>
          </w:tcPr>
          <w:p>
            <w:pPr>
              <w:jc w:val="right"/>
              <w:ind w:right="510"/>
              <w:spacing w:after="0" w:line="203" w:lineRule="exact"/>
              <w:rPr>
                <w:sz w:val="20"/>
                <w:szCs w:val="20"/>
                <w:color w:val="auto"/>
              </w:rPr>
            </w:pPr>
            <w:r>
              <w:rPr>
                <w:rFonts w:ascii="Arial" w:cs="Arial" w:eastAsia="Arial" w:hAnsi="Arial"/>
                <w:sz w:val="18"/>
                <w:szCs w:val="18"/>
                <w:color w:val="auto"/>
              </w:rPr>
              <w:t>$36.68</w:t>
            </w:r>
          </w:p>
        </w:tc>
        <w:tc>
          <w:tcPr>
            <w:tcW w:w="15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$36.29</w:t>
            </w:r>
          </w:p>
        </w:tc>
        <w:tc>
          <w:tcPr>
            <w:tcW w:w="0" w:type="dxa"/>
            <w:vAlign w:val="bottom"/>
          </w:tcPr>
          <w:p>
            <w:pPr>
              <w:spacing w:after="0"/>
              <w:rPr>
                <w:sz w:val="1"/>
                <w:szCs w:val="1"/>
                <w:color w:val="auto"/>
              </w:rPr>
            </w:pPr>
          </w:p>
        </w:tc>
      </w:tr>
      <w:tr>
        <w:trPr>
          <w:trHeight w:val="412"/>
        </w:trPr>
        <w:tc>
          <w:tcPr>
            <w:tcW w:w="5740" w:type="dxa"/>
            <w:vAlign w:val="bottom"/>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2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740" w:type="dxa"/>
            <w:vAlign w:val="bottom"/>
          </w:tcPr>
          <w:p>
            <w:pPr>
              <w:ind w:left="180"/>
              <w:spacing w:after="0"/>
              <w:rPr>
                <w:sz w:val="20"/>
                <w:szCs w:val="20"/>
                <w:color w:val="auto"/>
              </w:rPr>
            </w:pPr>
            <w:r>
              <w:rPr>
                <w:rFonts w:ascii="Arial" w:cs="Arial" w:eastAsia="Arial" w:hAnsi="Arial"/>
                <w:sz w:val="18"/>
                <w:szCs w:val="18"/>
                <w:color w:val="auto"/>
              </w:rPr>
              <w:t>Basic</w:t>
            </w:r>
          </w:p>
        </w:tc>
        <w:tc>
          <w:tcPr>
            <w:tcW w:w="2100" w:type="dxa"/>
            <w:vAlign w:val="bottom"/>
          </w:tcPr>
          <w:p>
            <w:pPr>
              <w:jc w:val="right"/>
              <w:ind w:right="530"/>
              <w:spacing w:after="0"/>
              <w:rPr>
                <w:sz w:val="20"/>
                <w:szCs w:val="20"/>
                <w:color w:val="auto"/>
              </w:rPr>
            </w:pPr>
            <w:r>
              <w:rPr>
                <w:rFonts w:ascii="Arial" w:cs="Arial" w:eastAsia="Arial" w:hAnsi="Arial"/>
                <w:sz w:val="18"/>
                <w:szCs w:val="18"/>
                <w:b w:val="1"/>
                <w:bCs w:val="1"/>
                <w:color w:val="auto"/>
              </w:rPr>
              <w:t>$1.64</w:t>
            </w:r>
          </w:p>
        </w:tc>
        <w:tc>
          <w:tcPr>
            <w:tcW w:w="2040" w:type="dxa"/>
            <w:vAlign w:val="bottom"/>
          </w:tcPr>
          <w:p>
            <w:pPr>
              <w:jc w:val="right"/>
              <w:ind w:right="510"/>
              <w:spacing w:after="0"/>
              <w:rPr>
                <w:sz w:val="20"/>
                <w:szCs w:val="20"/>
                <w:color w:val="auto"/>
              </w:rPr>
            </w:pPr>
            <w:r>
              <w:rPr>
                <w:rFonts w:ascii="Arial" w:cs="Arial" w:eastAsia="Arial" w:hAnsi="Arial"/>
                <w:sz w:val="18"/>
                <w:szCs w:val="18"/>
                <w:color w:val="auto"/>
              </w:rPr>
              <w:t>$1.79</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392"/>
        </w:trPr>
        <w:tc>
          <w:tcPr>
            <w:tcW w:w="57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Diluted</w:t>
            </w:r>
          </w:p>
        </w:tc>
        <w:tc>
          <w:tcPr>
            <w:tcW w:w="21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$1.64</w:t>
            </w:r>
          </w:p>
        </w:tc>
        <w:tc>
          <w:tcPr>
            <w:tcW w:w="20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$1.79</w:t>
            </w: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bl>
    <w:p>
      <w:pPr>
        <w:spacing w:after="0" w:line="377" w:lineRule="exact"/>
        <w:rPr>
          <w:sz w:val="20"/>
          <w:szCs w:val="20"/>
          <w:color w:val="auto"/>
        </w:rPr>
      </w:pPr>
    </w:p>
    <w:p>
      <w:pPr>
        <w:ind w:right="360" w:firstLine="648"/>
        <w:spacing w:after="0" w:line="246" w:lineRule="auto"/>
        <w:rPr>
          <w:sz w:val="20"/>
          <w:szCs w:val="20"/>
          <w:color w:val="auto"/>
        </w:rPr>
      </w:pPr>
      <w:r>
        <w:rPr>
          <w:rFonts w:ascii="Arial" w:cs="Arial" w:eastAsia="Arial" w:hAnsi="Arial"/>
          <w:sz w:val="18"/>
          <w:szCs w:val="18"/>
          <w:color w:val="auto"/>
        </w:rPr>
        <w:t>Shares outstanding, net of treasury shares, were 32.1 million as of December 31, 2016, 32.0 million as of December 31, 2015, and 31.9 million as of December 31, 2014.</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38"/>
        </w:trPr>
        <w:tc>
          <w:tcPr>
            <w:tcW w:w="4860" w:type="dxa"/>
            <w:vAlign w:val="bottom"/>
          </w:tcPr>
          <w:p>
            <w:pPr>
              <w:spacing w:after="0"/>
              <w:rPr>
                <w:sz w:val="20"/>
                <w:szCs w:val="20"/>
                <w:color w:val="auto"/>
              </w:rPr>
            </w:pPr>
            <w:r>
              <w:rPr>
                <w:rFonts w:ascii="Arial" w:cs="Arial" w:eastAsia="Arial" w:hAnsi="Arial"/>
                <w:sz w:val="18"/>
                <w:szCs w:val="18"/>
                <w:b w:val="1"/>
                <w:bCs w:val="1"/>
                <w:color w:val="auto"/>
              </w:rPr>
              <w:t>9. Accumulated Other Comprehensive Income (AOCI)</w:t>
            </w:r>
          </w:p>
        </w:tc>
        <w:tc>
          <w:tcPr>
            <w:tcW w:w="16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78"/>
        </w:trPr>
        <w:tc>
          <w:tcPr>
            <w:tcW w:w="9900" w:type="dxa"/>
            <w:vAlign w:val="bottom"/>
            <w:gridSpan w:val="4"/>
          </w:tcPr>
          <w:p>
            <w:pPr>
              <w:ind w:left="660"/>
              <w:spacing w:after="0"/>
              <w:rPr>
                <w:sz w:val="20"/>
                <w:szCs w:val="20"/>
                <w:color w:val="auto"/>
              </w:rPr>
            </w:pPr>
            <w:r>
              <w:rPr>
                <w:rFonts w:ascii="Arial" w:cs="Arial" w:eastAsia="Arial" w:hAnsi="Arial"/>
                <w:sz w:val="18"/>
                <w:szCs w:val="18"/>
                <w:color w:val="auto"/>
              </w:rPr>
              <w:t>The table below presents changes in the components of AOCI from January 1, 2014 to December 31, 2016:</w:t>
            </w:r>
          </w:p>
        </w:tc>
        <w:tc>
          <w:tcPr>
            <w:tcW w:w="1520" w:type="dxa"/>
            <w:vAlign w:val="bottom"/>
          </w:tcPr>
          <w:p>
            <w:pPr>
              <w:spacing w:after="0"/>
              <w:rPr>
                <w:sz w:val="24"/>
                <w:szCs w:val="24"/>
                <w:color w:val="auto"/>
              </w:rPr>
            </w:pPr>
          </w:p>
        </w:tc>
      </w:tr>
      <w:tr>
        <w:trPr>
          <w:trHeight w:val="377"/>
        </w:trPr>
        <w:tc>
          <w:tcPr>
            <w:tcW w:w="48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780" w:type="dxa"/>
            <w:vAlign w:val="bottom"/>
          </w:tcPr>
          <w:p>
            <w:pPr>
              <w:jc w:val="center"/>
              <w:ind w:right="10"/>
              <w:spacing w:after="0"/>
              <w:rPr>
                <w:sz w:val="20"/>
                <w:szCs w:val="20"/>
                <w:color w:val="auto"/>
              </w:rPr>
            </w:pPr>
            <w:r>
              <w:rPr>
                <w:rFonts w:ascii="Arial" w:cs="Arial" w:eastAsia="Arial" w:hAnsi="Arial"/>
                <w:sz w:val="18"/>
                <w:szCs w:val="18"/>
                <w:color w:val="auto"/>
                <w:w w:val="99"/>
              </w:rPr>
              <w:t>Pension and</w:t>
            </w:r>
          </w:p>
        </w:tc>
        <w:tc>
          <w:tcPr>
            <w:tcW w:w="16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03"/>
        </w:trPr>
        <w:tc>
          <w:tcPr>
            <w:tcW w:w="48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780" w:type="dxa"/>
            <w:vAlign w:val="bottom"/>
          </w:tcPr>
          <w:p>
            <w:pPr>
              <w:jc w:val="center"/>
              <w:ind w:right="10"/>
              <w:spacing w:after="0" w:line="202" w:lineRule="exact"/>
              <w:rPr>
                <w:sz w:val="20"/>
                <w:szCs w:val="20"/>
                <w:color w:val="auto"/>
              </w:rPr>
            </w:pPr>
            <w:r>
              <w:rPr>
                <w:rFonts w:ascii="Arial" w:cs="Arial" w:eastAsia="Arial" w:hAnsi="Arial"/>
                <w:sz w:val="18"/>
                <w:szCs w:val="18"/>
                <w:color w:val="auto"/>
              </w:rPr>
              <w:t>postretirement</w:t>
            </w:r>
          </w:p>
        </w:tc>
        <w:tc>
          <w:tcPr>
            <w:tcW w:w="1600" w:type="dxa"/>
            <w:vAlign w:val="bottom"/>
          </w:tcPr>
          <w:p>
            <w:pPr>
              <w:jc w:val="center"/>
              <w:spacing w:after="0" w:line="202" w:lineRule="exact"/>
              <w:rPr>
                <w:sz w:val="20"/>
                <w:szCs w:val="20"/>
                <w:color w:val="auto"/>
              </w:rPr>
            </w:pPr>
            <w:r>
              <w:rPr>
                <w:rFonts w:ascii="Arial" w:cs="Arial" w:eastAsia="Arial" w:hAnsi="Arial"/>
                <w:sz w:val="18"/>
                <w:szCs w:val="18"/>
                <w:color w:val="auto"/>
                <w:w w:val="99"/>
              </w:rPr>
              <w:t>Derivative</w:t>
            </w:r>
          </w:p>
        </w:tc>
        <w:tc>
          <w:tcPr>
            <w:tcW w:w="1520" w:type="dxa"/>
            <w:vAlign w:val="bottom"/>
          </w:tcPr>
          <w:p>
            <w:pPr>
              <w:jc w:val="center"/>
              <w:ind w:left="70"/>
              <w:spacing w:after="0" w:line="202" w:lineRule="exact"/>
              <w:rPr>
                <w:sz w:val="20"/>
                <w:szCs w:val="20"/>
                <w:color w:val="auto"/>
              </w:rPr>
            </w:pPr>
            <w:r>
              <w:rPr>
                <w:rFonts w:ascii="Arial" w:cs="Arial" w:eastAsia="Arial" w:hAnsi="Arial"/>
                <w:sz w:val="18"/>
                <w:szCs w:val="18"/>
                <w:color w:val="auto"/>
                <w:w w:val="97"/>
              </w:rPr>
              <w:t>Total Other</w:t>
            </w:r>
          </w:p>
        </w:tc>
      </w:tr>
      <w:tr>
        <w:trPr>
          <w:trHeight w:val="203"/>
        </w:trPr>
        <w:tc>
          <w:tcPr>
            <w:tcW w:w="4860" w:type="dxa"/>
            <w:vAlign w:val="bottom"/>
          </w:tcPr>
          <w:p>
            <w:pPr>
              <w:spacing w:after="0"/>
              <w:rPr>
                <w:sz w:val="17"/>
                <w:szCs w:val="17"/>
                <w:color w:val="auto"/>
              </w:rPr>
            </w:pPr>
          </w:p>
        </w:tc>
        <w:tc>
          <w:tcPr>
            <w:tcW w:w="166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Translation</w:t>
            </w:r>
          </w:p>
        </w:tc>
        <w:tc>
          <w:tcPr>
            <w:tcW w:w="1780" w:type="dxa"/>
            <w:vAlign w:val="bottom"/>
          </w:tcPr>
          <w:p>
            <w:pPr>
              <w:jc w:val="center"/>
              <w:ind w:right="30"/>
              <w:spacing w:after="0" w:line="202" w:lineRule="exact"/>
              <w:rPr>
                <w:sz w:val="20"/>
                <w:szCs w:val="20"/>
                <w:color w:val="auto"/>
              </w:rPr>
            </w:pPr>
            <w:r>
              <w:rPr>
                <w:rFonts w:ascii="Arial" w:cs="Arial" w:eastAsia="Arial" w:hAnsi="Arial"/>
                <w:sz w:val="18"/>
                <w:szCs w:val="18"/>
                <w:color w:val="auto"/>
                <w:w w:val="99"/>
              </w:rPr>
              <w:t>liability</w:t>
            </w:r>
          </w:p>
        </w:tc>
        <w:tc>
          <w:tcPr>
            <w:tcW w:w="1600" w:type="dxa"/>
            <w:vAlign w:val="bottom"/>
          </w:tcPr>
          <w:p>
            <w:pPr>
              <w:jc w:val="center"/>
              <w:spacing w:after="0" w:line="202" w:lineRule="exact"/>
              <w:rPr>
                <w:sz w:val="20"/>
                <w:szCs w:val="20"/>
                <w:color w:val="auto"/>
              </w:rPr>
            </w:pPr>
            <w:r>
              <w:rPr>
                <w:rFonts w:ascii="Arial" w:cs="Arial" w:eastAsia="Arial" w:hAnsi="Arial"/>
                <w:sz w:val="18"/>
                <w:szCs w:val="18"/>
                <w:color w:val="auto"/>
                <w:w w:val="99"/>
              </w:rPr>
              <w:t>valuation</w:t>
            </w:r>
          </w:p>
        </w:tc>
        <w:tc>
          <w:tcPr>
            <w:tcW w:w="1520" w:type="dxa"/>
            <w:vAlign w:val="bottom"/>
          </w:tcPr>
          <w:p>
            <w:pPr>
              <w:jc w:val="center"/>
              <w:ind w:left="90"/>
              <w:spacing w:after="0" w:line="202" w:lineRule="exact"/>
              <w:rPr>
                <w:sz w:val="20"/>
                <w:szCs w:val="20"/>
                <w:color w:val="auto"/>
              </w:rPr>
            </w:pPr>
            <w:r>
              <w:rPr>
                <w:rFonts w:ascii="Arial" w:cs="Arial" w:eastAsia="Arial" w:hAnsi="Arial"/>
                <w:sz w:val="18"/>
                <w:szCs w:val="18"/>
                <w:color w:val="auto"/>
                <w:w w:val="99"/>
              </w:rPr>
              <w:t>Comprehensive</w:t>
            </w:r>
          </w:p>
        </w:tc>
      </w:tr>
      <w:tr>
        <w:trPr>
          <w:trHeight w:val="203"/>
        </w:trPr>
        <w:tc>
          <w:tcPr>
            <w:tcW w:w="486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(in thousands)</w:t>
            </w:r>
          </w:p>
        </w:tc>
        <w:tc>
          <w:tcPr>
            <w:tcW w:w="1660" w:type="dxa"/>
            <w:vAlign w:val="bottom"/>
            <w:tcBorders>
              <w:bottom w:val="single" w:sz="8" w:color="auto"/>
            </w:tcBorders>
          </w:tcPr>
          <w:p>
            <w:pPr>
              <w:jc w:val="right"/>
              <w:ind w:right="310"/>
              <w:spacing w:after="0" w:line="203" w:lineRule="exact"/>
              <w:rPr>
                <w:sz w:val="20"/>
                <w:szCs w:val="20"/>
                <w:color w:val="auto"/>
              </w:rPr>
            </w:pPr>
            <w:r>
              <w:rPr>
                <w:rFonts w:ascii="Arial" w:cs="Arial" w:eastAsia="Arial" w:hAnsi="Arial"/>
                <w:sz w:val="18"/>
                <w:szCs w:val="18"/>
                <w:color w:val="auto"/>
              </w:rPr>
              <w:t>adjustments</w:t>
            </w:r>
          </w:p>
        </w:tc>
        <w:tc>
          <w:tcPr>
            <w:tcW w:w="1780" w:type="dxa"/>
            <w:vAlign w:val="bottom"/>
            <w:tcBorders>
              <w:bottom w:val="single" w:sz="8" w:color="auto"/>
            </w:tcBorders>
          </w:tcPr>
          <w:p>
            <w:pPr>
              <w:jc w:val="center"/>
              <w:ind w:right="30"/>
              <w:spacing w:after="0" w:line="203" w:lineRule="exact"/>
              <w:rPr>
                <w:sz w:val="20"/>
                <w:szCs w:val="20"/>
                <w:color w:val="auto"/>
              </w:rPr>
            </w:pPr>
            <w:r>
              <w:rPr>
                <w:rFonts w:ascii="Arial" w:cs="Arial" w:eastAsia="Arial" w:hAnsi="Arial"/>
                <w:sz w:val="18"/>
                <w:szCs w:val="18"/>
                <w:color w:val="auto"/>
              </w:rPr>
              <w:t>adjustments</w:t>
            </w:r>
          </w:p>
        </w:tc>
        <w:tc>
          <w:tcPr>
            <w:tcW w:w="160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w w:val="99"/>
              </w:rPr>
              <w:t>adjustment</w:t>
            </w:r>
          </w:p>
        </w:tc>
        <w:tc>
          <w:tcPr>
            <w:tcW w:w="1520" w:type="dxa"/>
            <w:vAlign w:val="bottom"/>
            <w:tcBorders>
              <w:bottom w:val="single" w:sz="8" w:color="auto"/>
            </w:tcBorders>
          </w:tcPr>
          <w:p>
            <w:pPr>
              <w:jc w:val="center"/>
              <w:ind w:left="70"/>
              <w:spacing w:after="0" w:line="203" w:lineRule="exact"/>
              <w:rPr>
                <w:sz w:val="20"/>
                <w:szCs w:val="20"/>
                <w:color w:val="auto"/>
              </w:rPr>
            </w:pPr>
            <w:r>
              <w:rPr>
                <w:rFonts w:ascii="Arial" w:cs="Arial" w:eastAsia="Arial" w:hAnsi="Arial"/>
                <w:sz w:val="18"/>
                <w:szCs w:val="18"/>
                <w:color w:val="auto"/>
              </w:rPr>
              <w:t>Income</w:t>
            </w:r>
          </w:p>
        </w:tc>
      </w:tr>
      <w:tr>
        <w:trPr>
          <w:trHeight w:val="196"/>
        </w:trPr>
        <w:tc>
          <w:tcPr>
            <w:tcW w:w="486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b w:val="1"/>
                <w:bCs w:val="1"/>
                <w:color w:val="auto"/>
              </w:rPr>
              <w:t>January 1, 2014</w:t>
            </w:r>
          </w:p>
        </w:tc>
        <w:tc>
          <w:tcPr>
            <w:tcW w:w="16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b w:val="1"/>
                <w:bCs w:val="1"/>
                <w:color w:val="auto"/>
              </w:rPr>
              <w:t>($138)</w:t>
            </w:r>
          </w:p>
        </w:tc>
        <w:tc>
          <w:tcPr>
            <w:tcW w:w="178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($48,383)</w:t>
            </w:r>
          </w:p>
        </w:tc>
        <w:tc>
          <w:tcPr>
            <w:tcW w:w="160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($977)</w:t>
            </w:r>
          </w:p>
        </w:tc>
        <w:tc>
          <w:tcPr>
            <w:tcW w:w="1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($49,498)</w:t>
            </w:r>
          </w:p>
        </w:tc>
      </w:tr>
      <w:tr>
        <w:trPr>
          <w:trHeight w:val="195"/>
        </w:trPr>
        <w:tc>
          <w:tcPr>
            <w:tcW w:w="4860" w:type="dxa"/>
            <w:vAlign w:val="bottom"/>
          </w:tcPr>
          <w:p>
            <w:pPr>
              <w:ind w:left="40"/>
              <w:spacing w:after="0" w:line="195" w:lineRule="exact"/>
              <w:rPr>
                <w:sz w:val="20"/>
                <w:szCs w:val="20"/>
                <w:color w:val="auto"/>
              </w:rPr>
            </w:pPr>
            <w:r>
              <w:rPr>
                <w:rFonts w:ascii="Arial" w:cs="Arial" w:eastAsia="Arial" w:hAnsi="Arial"/>
                <w:sz w:val="18"/>
                <w:szCs w:val="18"/>
                <w:color w:val="auto"/>
              </w:rPr>
              <w:t>Other comprehensive income/(loss) before</w:t>
            </w:r>
          </w:p>
        </w:tc>
        <w:tc>
          <w:tcPr>
            <w:tcW w:w="16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03"/>
        </w:trPr>
        <w:tc>
          <w:tcPr>
            <w:tcW w:w="4860" w:type="dxa"/>
            <w:vAlign w:val="bottom"/>
          </w:tcPr>
          <w:p>
            <w:pPr>
              <w:ind w:left="40"/>
              <w:spacing w:after="0" w:line="202" w:lineRule="exact"/>
              <w:rPr>
                <w:sz w:val="20"/>
                <w:szCs w:val="20"/>
                <w:color w:val="auto"/>
              </w:rPr>
            </w:pPr>
            <w:r>
              <w:rPr>
                <w:rFonts w:ascii="Arial" w:cs="Arial" w:eastAsia="Arial" w:hAnsi="Arial"/>
                <w:sz w:val="18"/>
                <w:szCs w:val="18"/>
                <w:color w:val="auto"/>
              </w:rPr>
              <w:t>reclassifications</w:t>
            </w:r>
          </w:p>
        </w:tc>
        <w:tc>
          <w:tcPr>
            <w:tcW w:w="16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(55,102)</w:t>
            </w:r>
          </w:p>
        </w:tc>
        <w:tc>
          <w:tcPr>
            <w:tcW w:w="178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252</w:t>
            </w:r>
          </w:p>
        </w:tc>
        <w:tc>
          <w:tcPr>
            <w:tcW w:w="16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(1,052)</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(55,902)</w:t>
            </w:r>
          </w:p>
        </w:tc>
      </w:tr>
      <w:tr>
        <w:trPr>
          <w:trHeight w:val="203"/>
        </w:trPr>
        <w:tc>
          <w:tcPr>
            <w:tcW w:w="4860" w:type="dxa"/>
            <w:vAlign w:val="bottom"/>
          </w:tcPr>
          <w:p>
            <w:pPr>
              <w:ind w:left="40"/>
              <w:spacing w:after="0" w:line="202" w:lineRule="exact"/>
              <w:rPr>
                <w:sz w:val="20"/>
                <w:szCs w:val="20"/>
                <w:color w:val="auto"/>
              </w:rPr>
            </w:pPr>
            <w:r>
              <w:rPr>
                <w:rFonts w:ascii="Arial" w:cs="Arial" w:eastAsia="Arial" w:hAnsi="Arial"/>
                <w:sz w:val="18"/>
                <w:szCs w:val="18"/>
                <w:color w:val="auto"/>
              </w:rPr>
              <w:t>Pension/postretirement settlements and curtailments</w:t>
            </w:r>
          </w:p>
        </w:tc>
        <w:tc>
          <w:tcPr>
            <w:tcW w:w="1660" w:type="dxa"/>
            <w:vAlign w:val="bottom"/>
          </w:tcPr>
          <w:p>
            <w:pPr>
              <w:spacing w:after="0"/>
              <w:rPr>
                <w:sz w:val="17"/>
                <w:szCs w:val="17"/>
                <w:color w:val="auto"/>
              </w:rPr>
            </w:pPr>
          </w:p>
        </w:tc>
        <w:tc>
          <w:tcPr>
            <w:tcW w:w="178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5,167</w:t>
            </w:r>
          </w:p>
        </w:tc>
        <w:tc>
          <w:tcPr>
            <w:tcW w:w="1600" w:type="dxa"/>
            <w:vAlign w:val="bottom"/>
          </w:tcPr>
          <w:p>
            <w:pPr>
              <w:spacing w:after="0"/>
              <w:rPr>
                <w:sz w:val="17"/>
                <w:szCs w:val="17"/>
                <w:color w:val="auto"/>
              </w:rPr>
            </w:pP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5,167</w:t>
            </w:r>
          </w:p>
        </w:tc>
      </w:tr>
      <w:tr>
        <w:trPr>
          <w:trHeight w:val="203"/>
        </w:trPr>
        <w:tc>
          <w:tcPr>
            <w:tcW w:w="4860" w:type="dxa"/>
            <w:vAlign w:val="bottom"/>
          </w:tcPr>
          <w:p>
            <w:pPr>
              <w:ind w:left="40"/>
              <w:spacing w:after="0" w:line="202" w:lineRule="exact"/>
              <w:rPr>
                <w:sz w:val="20"/>
                <w:szCs w:val="20"/>
                <w:color w:val="auto"/>
              </w:rPr>
            </w:pPr>
            <w:r>
              <w:rPr>
                <w:rFonts w:ascii="Arial" w:cs="Arial" w:eastAsia="Arial" w:hAnsi="Arial"/>
                <w:sz w:val="18"/>
                <w:szCs w:val="18"/>
                <w:color w:val="auto"/>
              </w:rPr>
              <w:t>Pension/postretirement plan remeasurement</w:t>
            </w:r>
          </w:p>
        </w:tc>
        <w:tc>
          <w:tcPr>
            <w:tcW w:w="1660" w:type="dxa"/>
            <w:vAlign w:val="bottom"/>
          </w:tcPr>
          <w:p>
            <w:pPr>
              <w:spacing w:after="0"/>
              <w:rPr>
                <w:sz w:val="17"/>
                <w:szCs w:val="17"/>
                <w:color w:val="auto"/>
              </w:rPr>
            </w:pPr>
          </w:p>
        </w:tc>
        <w:tc>
          <w:tcPr>
            <w:tcW w:w="17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(9,265)</w:t>
            </w:r>
          </w:p>
        </w:tc>
        <w:tc>
          <w:tcPr>
            <w:tcW w:w="160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(9,265)</w:t>
            </w:r>
          </w:p>
        </w:tc>
      </w:tr>
      <w:tr>
        <w:trPr>
          <w:trHeight w:val="203"/>
        </w:trPr>
        <w:tc>
          <w:tcPr>
            <w:tcW w:w="4860" w:type="dxa"/>
            <w:vAlign w:val="bottom"/>
          </w:tcPr>
          <w:p>
            <w:pPr>
              <w:ind w:left="40"/>
              <w:spacing w:after="0" w:line="202" w:lineRule="exact"/>
              <w:rPr>
                <w:sz w:val="20"/>
                <w:szCs w:val="20"/>
                <w:color w:val="auto"/>
              </w:rPr>
            </w:pPr>
            <w:r>
              <w:rPr>
                <w:rFonts w:ascii="Arial" w:cs="Arial" w:eastAsia="Arial" w:hAnsi="Arial"/>
                <w:sz w:val="18"/>
                <w:szCs w:val="18"/>
                <w:color w:val="auto"/>
              </w:rPr>
              <w:t>Interest expense related to swaps reclassified to the</w:t>
            </w:r>
          </w:p>
        </w:tc>
        <w:tc>
          <w:tcPr>
            <w:tcW w:w="16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4860" w:type="dxa"/>
            <w:vAlign w:val="bottom"/>
            <w:tcBorders>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Statement of Income, net of tax</w:t>
            </w:r>
          </w:p>
        </w:tc>
        <w:tc>
          <w:tcPr>
            <w:tcW w:w="16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1,168</w:t>
            </w:r>
          </w:p>
        </w:tc>
        <w:tc>
          <w:tcPr>
            <w:tcW w:w="15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1,168</w:t>
            </w:r>
          </w:p>
        </w:tc>
      </w:tr>
      <w:tr>
        <w:trPr>
          <w:trHeight w:val="195"/>
        </w:trPr>
        <w:tc>
          <w:tcPr>
            <w:tcW w:w="4860" w:type="dxa"/>
            <w:vAlign w:val="bottom"/>
          </w:tcPr>
          <w:p>
            <w:pPr>
              <w:ind w:left="40"/>
              <w:spacing w:after="0" w:line="195" w:lineRule="exact"/>
              <w:rPr>
                <w:sz w:val="20"/>
                <w:szCs w:val="20"/>
                <w:color w:val="auto"/>
              </w:rPr>
            </w:pPr>
            <w:r>
              <w:rPr>
                <w:rFonts w:ascii="Arial" w:cs="Arial" w:eastAsia="Arial" w:hAnsi="Arial"/>
                <w:sz w:val="18"/>
                <w:szCs w:val="18"/>
                <w:color w:val="auto"/>
              </w:rPr>
              <w:t>Pension and postretirement liability adjustments</w:t>
            </w:r>
          </w:p>
        </w:tc>
        <w:tc>
          <w:tcPr>
            <w:tcW w:w="16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03"/>
        </w:trPr>
        <w:tc>
          <w:tcPr>
            <w:tcW w:w="4860" w:type="dxa"/>
            <w:vAlign w:val="bottom"/>
            <w:tcBorders>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reclassified to Statement of Income, net of tax</w:t>
            </w:r>
          </w:p>
        </w:tc>
        <w:tc>
          <w:tcPr>
            <w:tcW w:w="16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563</w:t>
            </w:r>
          </w:p>
        </w:tc>
        <w:tc>
          <w:tcPr>
            <w:tcW w:w="16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563</w:t>
            </w:r>
          </w:p>
        </w:tc>
      </w:tr>
      <w:tr>
        <w:trPr>
          <w:trHeight w:val="196"/>
        </w:trPr>
        <w:tc>
          <w:tcPr>
            <w:tcW w:w="486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Net current period other comprehensive income</w:t>
            </w:r>
          </w:p>
        </w:tc>
        <w:tc>
          <w:tcPr>
            <w:tcW w:w="16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(55,102)</w:t>
            </w:r>
          </w:p>
        </w:tc>
        <w:tc>
          <w:tcPr>
            <w:tcW w:w="178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(3,283)</w:t>
            </w:r>
          </w:p>
        </w:tc>
        <w:tc>
          <w:tcPr>
            <w:tcW w:w="160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116</w:t>
            </w:r>
          </w:p>
        </w:tc>
        <w:tc>
          <w:tcPr>
            <w:tcW w:w="1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(58,269)</w:t>
            </w:r>
          </w:p>
        </w:tc>
      </w:tr>
      <w:tr>
        <w:trPr>
          <w:trHeight w:val="196"/>
        </w:trPr>
        <w:tc>
          <w:tcPr>
            <w:tcW w:w="486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b w:val="1"/>
                <w:bCs w:val="1"/>
                <w:color w:val="auto"/>
              </w:rPr>
              <w:t>December 31, 2014</w:t>
            </w:r>
          </w:p>
        </w:tc>
        <w:tc>
          <w:tcPr>
            <w:tcW w:w="16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b w:val="1"/>
                <w:bCs w:val="1"/>
                <w:color w:val="auto"/>
              </w:rPr>
              <w:t>(55,240)</w:t>
            </w:r>
          </w:p>
        </w:tc>
        <w:tc>
          <w:tcPr>
            <w:tcW w:w="178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(51,666)</w:t>
            </w:r>
          </w:p>
        </w:tc>
        <w:tc>
          <w:tcPr>
            <w:tcW w:w="160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(861)</w:t>
            </w:r>
          </w:p>
        </w:tc>
        <w:tc>
          <w:tcPr>
            <w:tcW w:w="1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(107,767)</w:t>
            </w:r>
          </w:p>
        </w:tc>
      </w:tr>
      <w:tr>
        <w:trPr>
          <w:trHeight w:val="195"/>
        </w:trPr>
        <w:tc>
          <w:tcPr>
            <w:tcW w:w="4860" w:type="dxa"/>
            <w:vAlign w:val="bottom"/>
          </w:tcPr>
          <w:p>
            <w:pPr>
              <w:ind w:left="40"/>
              <w:spacing w:after="0" w:line="195" w:lineRule="exact"/>
              <w:rPr>
                <w:sz w:val="20"/>
                <w:szCs w:val="20"/>
                <w:color w:val="auto"/>
              </w:rPr>
            </w:pPr>
            <w:r>
              <w:rPr>
                <w:rFonts w:ascii="Arial" w:cs="Arial" w:eastAsia="Arial" w:hAnsi="Arial"/>
                <w:sz w:val="18"/>
                <w:szCs w:val="18"/>
                <w:color w:val="auto"/>
              </w:rPr>
              <w:t>Other comprehensive income/(loss) before</w:t>
            </w:r>
          </w:p>
        </w:tc>
        <w:tc>
          <w:tcPr>
            <w:tcW w:w="16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03"/>
        </w:trPr>
        <w:tc>
          <w:tcPr>
            <w:tcW w:w="4860" w:type="dxa"/>
            <w:vAlign w:val="bottom"/>
          </w:tcPr>
          <w:p>
            <w:pPr>
              <w:ind w:left="40"/>
              <w:spacing w:after="0" w:line="202" w:lineRule="exact"/>
              <w:rPr>
                <w:sz w:val="20"/>
                <w:szCs w:val="20"/>
                <w:color w:val="auto"/>
              </w:rPr>
            </w:pPr>
            <w:r>
              <w:rPr>
                <w:rFonts w:ascii="Arial" w:cs="Arial" w:eastAsia="Arial" w:hAnsi="Arial"/>
                <w:sz w:val="18"/>
                <w:szCs w:val="18"/>
                <w:color w:val="auto"/>
              </w:rPr>
              <w:t>reclassifications</w:t>
            </w:r>
          </w:p>
        </w:tc>
        <w:tc>
          <w:tcPr>
            <w:tcW w:w="16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(53,415)</w:t>
            </w:r>
          </w:p>
        </w:tc>
        <w:tc>
          <w:tcPr>
            <w:tcW w:w="178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2,238</w:t>
            </w:r>
          </w:p>
        </w:tc>
        <w:tc>
          <w:tcPr>
            <w:tcW w:w="16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(1,836)</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(53,013)</w:t>
            </w:r>
          </w:p>
        </w:tc>
      </w:tr>
      <w:tr>
        <w:trPr>
          <w:trHeight w:val="203"/>
        </w:trPr>
        <w:tc>
          <w:tcPr>
            <w:tcW w:w="4860" w:type="dxa"/>
            <w:vAlign w:val="bottom"/>
          </w:tcPr>
          <w:p>
            <w:pPr>
              <w:ind w:left="40"/>
              <w:spacing w:after="0" w:line="202" w:lineRule="exact"/>
              <w:rPr>
                <w:sz w:val="20"/>
                <w:szCs w:val="20"/>
                <w:color w:val="auto"/>
              </w:rPr>
            </w:pPr>
            <w:r>
              <w:rPr>
                <w:rFonts w:ascii="Arial" w:cs="Arial" w:eastAsia="Arial" w:hAnsi="Arial"/>
                <w:sz w:val="18"/>
                <w:szCs w:val="18"/>
                <w:color w:val="auto"/>
              </w:rPr>
              <w:t>Pension/postretirement settlements and curtailments</w:t>
            </w:r>
          </w:p>
        </w:tc>
        <w:tc>
          <w:tcPr>
            <w:tcW w:w="1660" w:type="dxa"/>
            <w:vAlign w:val="bottom"/>
          </w:tcPr>
          <w:p>
            <w:pPr>
              <w:spacing w:after="0"/>
              <w:rPr>
                <w:sz w:val="17"/>
                <w:szCs w:val="17"/>
                <w:color w:val="auto"/>
              </w:rPr>
            </w:pPr>
          </w:p>
        </w:tc>
        <w:tc>
          <w:tcPr>
            <w:tcW w:w="178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103</w:t>
            </w:r>
          </w:p>
        </w:tc>
        <w:tc>
          <w:tcPr>
            <w:tcW w:w="1600" w:type="dxa"/>
            <w:vAlign w:val="bottom"/>
          </w:tcPr>
          <w:p>
            <w:pPr>
              <w:spacing w:after="0"/>
              <w:rPr>
                <w:sz w:val="17"/>
                <w:szCs w:val="17"/>
                <w:color w:val="auto"/>
              </w:rPr>
            </w:pP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103</w:t>
            </w:r>
          </w:p>
        </w:tc>
      </w:tr>
      <w:tr>
        <w:trPr>
          <w:trHeight w:val="203"/>
        </w:trPr>
        <w:tc>
          <w:tcPr>
            <w:tcW w:w="4860" w:type="dxa"/>
            <w:vAlign w:val="bottom"/>
          </w:tcPr>
          <w:p>
            <w:pPr>
              <w:ind w:left="40"/>
              <w:spacing w:after="0" w:line="202" w:lineRule="exact"/>
              <w:rPr>
                <w:sz w:val="20"/>
                <w:szCs w:val="20"/>
                <w:color w:val="auto"/>
              </w:rPr>
            </w:pPr>
            <w:r>
              <w:rPr>
                <w:rFonts w:ascii="Arial" w:cs="Arial" w:eastAsia="Arial" w:hAnsi="Arial"/>
                <w:sz w:val="18"/>
                <w:szCs w:val="18"/>
                <w:color w:val="auto"/>
              </w:rPr>
              <w:t>Pension/postretirement plan remeasurement</w:t>
            </w:r>
          </w:p>
        </w:tc>
        <w:tc>
          <w:tcPr>
            <w:tcW w:w="1660" w:type="dxa"/>
            <w:vAlign w:val="bottom"/>
          </w:tcPr>
          <w:p>
            <w:pPr>
              <w:spacing w:after="0"/>
              <w:rPr>
                <w:sz w:val="17"/>
                <w:szCs w:val="17"/>
                <w:color w:val="auto"/>
              </w:rPr>
            </w:pPr>
          </w:p>
        </w:tc>
        <w:tc>
          <w:tcPr>
            <w:tcW w:w="17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(622)</w:t>
            </w:r>
          </w:p>
        </w:tc>
        <w:tc>
          <w:tcPr>
            <w:tcW w:w="160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(622)</w:t>
            </w:r>
          </w:p>
        </w:tc>
      </w:tr>
      <w:tr>
        <w:trPr>
          <w:trHeight w:val="203"/>
        </w:trPr>
        <w:tc>
          <w:tcPr>
            <w:tcW w:w="4860" w:type="dxa"/>
            <w:vAlign w:val="bottom"/>
          </w:tcPr>
          <w:p>
            <w:pPr>
              <w:ind w:left="40"/>
              <w:spacing w:after="0" w:line="202" w:lineRule="exact"/>
              <w:rPr>
                <w:sz w:val="20"/>
                <w:szCs w:val="20"/>
                <w:color w:val="auto"/>
              </w:rPr>
            </w:pPr>
            <w:r>
              <w:rPr>
                <w:rFonts w:ascii="Arial" w:cs="Arial" w:eastAsia="Arial" w:hAnsi="Arial"/>
                <w:sz w:val="18"/>
                <w:szCs w:val="18"/>
                <w:color w:val="auto"/>
              </w:rPr>
              <w:t>Interest expense related to swaps reclassified to the</w:t>
            </w:r>
          </w:p>
        </w:tc>
        <w:tc>
          <w:tcPr>
            <w:tcW w:w="16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4860" w:type="dxa"/>
            <w:vAlign w:val="bottom"/>
          </w:tcPr>
          <w:p>
            <w:pPr>
              <w:ind w:left="40"/>
              <w:spacing w:after="0" w:line="202" w:lineRule="exact"/>
              <w:rPr>
                <w:sz w:val="20"/>
                <w:szCs w:val="20"/>
                <w:color w:val="auto"/>
              </w:rPr>
            </w:pPr>
            <w:r>
              <w:rPr>
                <w:rFonts w:ascii="Arial" w:cs="Arial" w:eastAsia="Arial" w:hAnsi="Arial"/>
                <w:sz w:val="18"/>
                <w:szCs w:val="18"/>
                <w:color w:val="auto"/>
              </w:rPr>
              <w:t>Statement of Income, net of tax</w:t>
            </w:r>
          </w:p>
        </w:tc>
        <w:tc>
          <w:tcPr>
            <w:tcW w:w="16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60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1,233</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1,233</w:t>
            </w:r>
          </w:p>
        </w:tc>
      </w:tr>
      <w:tr>
        <w:trPr>
          <w:trHeight w:val="203"/>
        </w:trPr>
        <w:tc>
          <w:tcPr>
            <w:tcW w:w="4860" w:type="dxa"/>
            <w:vAlign w:val="bottom"/>
          </w:tcPr>
          <w:p>
            <w:pPr>
              <w:ind w:left="40"/>
              <w:spacing w:after="0" w:line="202" w:lineRule="exact"/>
              <w:rPr>
                <w:sz w:val="20"/>
                <w:szCs w:val="20"/>
                <w:color w:val="auto"/>
              </w:rPr>
            </w:pPr>
            <w:r>
              <w:rPr>
                <w:rFonts w:ascii="Arial" w:cs="Arial" w:eastAsia="Arial" w:hAnsi="Arial"/>
                <w:sz w:val="18"/>
                <w:szCs w:val="18"/>
                <w:color w:val="auto"/>
              </w:rPr>
              <w:t>Pension and postretirement liability adjustments</w:t>
            </w:r>
          </w:p>
        </w:tc>
        <w:tc>
          <w:tcPr>
            <w:tcW w:w="16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4860" w:type="dxa"/>
            <w:vAlign w:val="bottom"/>
            <w:tcBorders>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reclassified to Statement of Income, net of tax</w:t>
            </w:r>
          </w:p>
        </w:tc>
        <w:tc>
          <w:tcPr>
            <w:tcW w:w="16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1,222</w:t>
            </w:r>
          </w:p>
        </w:tc>
        <w:tc>
          <w:tcPr>
            <w:tcW w:w="16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1,222</w:t>
            </w:r>
          </w:p>
        </w:tc>
      </w:tr>
      <w:tr>
        <w:trPr>
          <w:trHeight w:val="196"/>
        </w:trPr>
        <w:tc>
          <w:tcPr>
            <w:tcW w:w="486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Net current period other comprehensive income</w:t>
            </w:r>
          </w:p>
        </w:tc>
        <w:tc>
          <w:tcPr>
            <w:tcW w:w="16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(53,415)</w:t>
            </w:r>
          </w:p>
        </w:tc>
        <w:tc>
          <w:tcPr>
            <w:tcW w:w="178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2,941</w:t>
            </w:r>
          </w:p>
        </w:tc>
        <w:tc>
          <w:tcPr>
            <w:tcW w:w="160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(603)</w:t>
            </w:r>
          </w:p>
        </w:tc>
        <w:tc>
          <w:tcPr>
            <w:tcW w:w="1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(51,077)</w:t>
            </w:r>
          </w:p>
        </w:tc>
      </w:tr>
      <w:tr>
        <w:trPr>
          <w:trHeight w:val="196"/>
        </w:trPr>
        <w:tc>
          <w:tcPr>
            <w:tcW w:w="486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b w:val="1"/>
                <w:bCs w:val="1"/>
                <w:color w:val="auto"/>
              </w:rPr>
              <w:t>December 31, 2015</w:t>
            </w:r>
          </w:p>
        </w:tc>
        <w:tc>
          <w:tcPr>
            <w:tcW w:w="16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b w:val="1"/>
                <w:bCs w:val="1"/>
                <w:color w:val="auto"/>
              </w:rPr>
              <w:t>(108,655)</w:t>
            </w:r>
          </w:p>
        </w:tc>
        <w:tc>
          <w:tcPr>
            <w:tcW w:w="178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(48,725)</w:t>
            </w:r>
          </w:p>
        </w:tc>
        <w:tc>
          <w:tcPr>
            <w:tcW w:w="160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(1,464)</w:t>
            </w:r>
          </w:p>
        </w:tc>
        <w:tc>
          <w:tcPr>
            <w:tcW w:w="1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(158,844)</w:t>
            </w:r>
          </w:p>
        </w:tc>
      </w:tr>
      <w:tr>
        <w:trPr>
          <w:trHeight w:val="195"/>
        </w:trPr>
        <w:tc>
          <w:tcPr>
            <w:tcW w:w="4860" w:type="dxa"/>
            <w:vAlign w:val="bottom"/>
          </w:tcPr>
          <w:p>
            <w:pPr>
              <w:ind w:left="40"/>
              <w:spacing w:after="0" w:line="195" w:lineRule="exact"/>
              <w:rPr>
                <w:sz w:val="20"/>
                <w:szCs w:val="20"/>
                <w:color w:val="auto"/>
              </w:rPr>
            </w:pPr>
            <w:r>
              <w:rPr>
                <w:rFonts w:ascii="Arial" w:cs="Arial" w:eastAsia="Arial" w:hAnsi="Arial"/>
                <w:sz w:val="18"/>
                <w:szCs w:val="18"/>
                <w:color w:val="auto"/>
              </w:rPr>
              <w:t>Other comprehensive income/(loss) before</w:t>
            </w:r>
          </w:p>
        </w:tc>
        <w:tc>
          <w:tcPr>
            <w:tcW w:w="16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03"/>
        </w:trPr>
        <w:tc>
          <w:tcPr>
            <w:tcW w:w="4860" w:type="dxa"/>
            <w:vAlign w:val="bottom"/>
          </w:tcPr>
          <w:p>
            <w:pPr>
              <w:ind w:left="40"/>
              <w:spacing w:after="0" w:line="202" w:lineRule="exact"/>
              <w:rPr>
                <w:sz w:val="20"/>
                <w:szCs w:val="20"/>
                <w:color w:val="auto"/>
              </w:rPr>
            </w:pPr>
            <w:r>
              <w:rPr>
                <w:rFonts w:ascii="Arial" w:cs="Arial" w:eastAsia="Arial" w:hAnsi="Arial"/>
                <w:sz w:val="18"/>
                <w:szCs w:val="18"/>
                <w:color w:val="auto"/>
              </w:rPr>
              <w:t>reclassifications</w:t>
            </w:r>
          </w:p>
        </w:tc>
        <w:tc>
          <w:tcPr>
            <w:tcW w:w="16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(24,643)</w:t>
            </w:r>
          </w:p>
        </w:tc>
        <w:tc>
          <w:tcPr>
            <w:tcW w:w="178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676</w:t>
            </w:r>
          </w:p>
        </w:tc>
        <w:tc>
          <w:tcPr>
            <w:tcW w:w="160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804</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(23,163)</w:t>
            </w:r>
          </w:p>
        </w:tc>
      </w:tr>
      <w:tr>
        <w:trPr>
          <w:trHeight w:val="203"/>
        </w:trPr>
        <w:tc>
          <w:tcPr>
            <w:tcW w:w="4860" w:type="dxa"/>
            <w:vAlign w:val="bottom"/>
          </w:tcPr>
          <w:p>
            <w:pPr>
              <w:ind w:left="40"/>
              <w:spacing w:after="0" w:line="202" w:lineRule="exact"/>
              <w:rPr>
                <w:sz w:val="20"/>
                <w:szCs w:val="20"/>
                <w:color w:val="auto"/>
              </w:rPr>
            </w:pPr>
            <w:r>
              <w:rPr>
                <w:rFonts w:ascii="Arial" w:cs="Arial" w:eastAsia="Arial" w:hAnsi="Arial"/>
                <w:sz w:val="18"/>
                <w:szCs w:val="18"/>
                <w:color w:val="auto"/>
              </w:rPr>
              <w:t>Pension/postretirement settlements and curtailments</w:t>
            </w:r>
          </w:p>
        </w:tc>
        <w:tc>
          <w:tcPr>
            <w:tcW w:w="1660" w:type="dxa"/>
            <w:vAlign w:val="bottom"/>
          </w:tcPr>
          <w:p>
            <w:pPr>
              <w:spacing w:after="0"/>
              <w:rPr>
                <w:sz w:val="17"/>
                <w:szCs w:val="17"/>
                <w:color w:val="auto"/>
              </w:rPr>
            </w:pPr>
          </w:p>
        </w:tc>
        <w:tc>
          <w:tcPr>
            <w:tcW w:w="178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45</w:t>
            </w:r>
          </w:p>
        </w:tc>
        <w:tc>
          <w:tcPr>
            <w:tcW w:w="1600" w:type="dxa"/>
            <w:vAlign w:val="bottom"/>
          </w:tcPr>
          <w:p>
            <w:pPr>
              <w:spacing w:after="0"/>
              <w:rPr>
                <w:sz w:val="17"/>
                <w:szCs w:val="17"/>
                <w:color w:val="auto"/>
              </w:rPr>
            </w:pP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45</w:t>
            </w:r>
          </w:p>
        </w:tc>
      </w:tr>
      <w:tr>
        <w:trPr>
          <w:trHeight w:val="203"/>
        </w:trPr>
        <w:tc>
          <w:tcPr>
            <w:tcW w:w="4860" w:type="dxa"/>
            <w:vAlign w:val="bottom"/>
          </w:tcPr>
          <w:p>
            <w:pPr>
              <w:ind w:left="40"/>
              <w:spacing w:after="0" w:line="202" w:lineRule="exact"/>
              <w:rPr>
                <w:sz w:val="20"/>
                <w:szCs w:val="20"/>
                <w:color w:val="auto"/>
              </w:rPr>
            </w:pPr>
            <w:r>
              <w:rPr>
                <w:rFonts w:ascii="Arial" w:cs="Arial" w:eastAsia="Arial" w:hAnsi="Arial"/>
                <w:sz w:val="18"/>
                <w:szCs w:val="18"/>
                <w:color w:val="auto"/>
              </w:rPr>
              <w:t>Pension/postretirement plan remeasurement</w:t>
            </w:r>
          </w:p>
        </w:tc>
        <w:tc>
          <w:tcPr>
            <w:tcW w:w="1660" w:type="dxa"/>
            <w:vAlign w:val="bottom"/>
          </w:tcPr>
          <w:p>
            <w:pPr>
              <w:spacing w:after="0"/>
              <w:rPr>
                <w:sz w:val="17"/>
                <w:szCs w:val="17"/>
                <w:color w:val="auto"/>
              </w:rPr>
            </w:pPr>
          </w:p>
        </w:tc>
        <w:tc>
          <w:tcPr>
            <w:tcW w:w="17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(4,394)</w:t>
            </w:r>
          </w:p>
        </w:tc>
        <w:tc>
          <w:tcPr>
            <w:tcW w:w="160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(4,394)</w:t>
            </w:r>
          </w:p>
        </w:tc>
      </w:tr>
      <w:tr>
        <w:trPr>
          <w:trHeight w:val="203"/>
        </w:trPr>
        <w:tc>
          <w:tcPr>
            <w:tcW w:w="4860" w:type="dxa"/>
            <w:vAlign w:val="bottom"/>
          </w:tcPr>
          <w:p>
            <w:pPr>
              <w:ind w:left="40"/>
              <w:spacing w:after="0" w:line="202" w:lineRule="exact"/>
              <w:rPr>
                <w:sz w:val="20"/>
                <w:szCs w:val="20"/>
                <w:color w:val="auto"/>
              </w:rPr>
            </w:pPr>
            <w:r>
              <w:rPr>
                <w:rFonts w:ascii="Arial" w:cs="Arial" w:eastAsia="Arial" w:hAnsi="Arial"/>
                <w:sz w:val="18"/>
                <w:szCs w:val="18"/>
                <w:color w:val="auto"/>
              </w:rPr>
              <w:t>Interest expense related to swaps reclassified to the</w:t>
            </w:r>
          </w:p>
        </w:tc>
        <w:tc>
          <w:tcPr>
            <w:tcW w:w="16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4860" w:type="dxa"/>
            <w:vAlign w:val="bottom"/>
          </w:tcPr>
          <w:p>
            <w:pPr>
              <w:ind w:left="40"/>
              <w:spacing w:after="0" w:line="202" w:lineRule="exact"/>
              <w:rPr>
                <w:sz w:val="20"/>
                <w:szCs w:val="20"/>
                <w:color w:val="auto"/>
              </w:rPr>
            </w:pPr>
            <w:r>
              <w:rPr>
                <w:rFonts w:ascii="Arial" w:cs="Arial" w:eastAsia="Arial" w:hAnsi="Arial"/>
                <w:sz w:val="18"/>
                <w:szCs w:val="18"/>
                <w:color w:val="auto"/>
              </w:rPr>
              <w:t>Statement of Income, net of tax</w:t>
            </w:r>
          </w:p>
        </w:tc>
        <w:tc>
          <w:tcPr>
            <w:tcW w:w="16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60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1,488</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1,488</w:t>
            </w:r>
          </w:p>
        </w:tc>
      </w:tr>
      <w:tr>
        <w:trPr>
          <w:trHeight w:val="203"/>
        </w:trPr>
        <w:tc>
          <w:tcPr>
            <w:tcW w:w="4860" w:type="dxa"/>
            <w:vAlign w:val="bottom"/>
          </w:tcPr>
          <w:p>
            <w:pPr>
              <w:ind w:left="40"/>
              <w:spacing w:after="0" w:line="202" w:lineRule="exact"/>
              <w:rPr>
                <w:sz w:val="20"/>
                <w:szCs w:val="20"/>
                <w:color w:val="auto"/>
              </w:rPr>
            </w:pPr>
            <w:r>
              <w:rPr>
                <w:rFonts w:ascii="Arial" w:cs="Arial" w:eastAsia="Arial" w:hAnsi="Arial"/>
                <w:sz w:val="18"/>
                <w:szCs w:val="18"/>
                <w:color w:val="auto"/>
              </w:rPr>
              <w:t>Pension and postretirement liability adjustments</w:t>
            </w:r>
          </w:p>
        </w:tc>
        <w:tc>
          <w:tcPr>
            <w:tcW w:w="16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4860" w:type="dxa"/>
            <w:vAlign w:val="bottom"/>
            <w:tcBorders>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reclassified to Statement of Income, net of tax</w:t>
            </w:r>
          </w:p>
        </w:tc>
        <w:tc>
          <w:tcPr>
            <w:tcW w:w="16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679</w:t>
            </w:r>
          </w:p>
        </w:tc>
        <w:tc>
          <w:tcPr>
            <w:tcW w:w="16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679</w:t>
            </w:r>
          </w:p>
        </w:tc>
      </w:tr>
      <w:tr>
        <w:trPr>
          <w:trHeight w:val="196"/>
        </w:trPr>
        <w:tc>
          <w:tcPr>
            <w:tcW w:w="486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Net current period other comprehensive income</w:t>
            </w:r>
          </w:p>
        </w:tc>
        <w:tc>
          <w:tcPr>
            <w:tcW w:w="16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(24,643)</w:t>
            </w:r>
          </w:p>
        </w:tc>
        <w:tc>
          <w:tcPr>
            <w:tcW w:w="178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(2,994)</w:t>
            </w:r>
          </w:p>
        </w:tc>
        <w:tc>
          <w:tcPr>
            <w:tcW w:w="160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2,292</w:t>
            </w:r>
          </w:p>
        </w:tc>
        <w:tc>
          <w:tcPr>
            <w:tcW w:w="1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(25,345)</w:t>
            </w:r>
          </w:p>
        </w:tc>
      </w:tr>
      <w:tr>
        <w:trPr>
          <w:trHeight w:val="196"/>
        </w:trPr>
        <w:tc>
          <w:tcPr>
            <w:tcW w:w="486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b w:val="1"/>
                <w:bCs w:val="1"/>
                <w:color w:val="auto"/>
              </w:rPr>
              <w:t>December 31, 2016</w:t>
            </w:r>
          </w:p>
        </w:tc>
        <w:tc>
          <w:tcPr>
            <w:tcW w:w="16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b w:val="1"/>
                <w:bCs w:val="1"/>
                <w:color w:val="auto"/>
              </w:rPr>
              <w:t>($133,298)</w:t>
            </w:r>
          </w:p>
        </w:tc>
        <w:tc>
          <w:tcPr>
            <w:tcW w:w="178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($51,719)</w:t>
            </w:r>
          </w:p>
        </w:tc>
        <w:tc>
          <w:tcPr>
            <w:tcW w:w="160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b w:val="1"/>
                <w:bCs w:val="1"/>
                <w:color w:val="auto"/>
              </w:rPr>
              <w:t>$828</w:t>
            </w:r>
          </w:p>
        </w:tc>
        <w:tc>
          <w:tcPr>
            <w:tcW w:w="1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($184,189)</w:t>
            </w:r>
          </w:p>
        </w:tc>
      </w:tr>
    </w:tbl>
    <w:p>
      <w:pPr>
        <w:spacing w:after="0" w:line="310" w:lineRule="exact"/>
        <w:rPr>
          <w:sz w:val="20"/>
          <w:szCs w:val="20"/>
          <w:color w:val="auto"/>
        </w:rPr>
      </w:pPr>
    </w:p>
    <w:p>
      <w:pPr>
        <w:ind w:right="380" w:firstLine="648"/>
        <w:spacing w:after="0"/>
        <w:rPr>
          <w:sz w:val="20"/>
          <w:szCs w:val="20"/>
          <w:color w:val="auto"/>
        </w:rPr>
      </w:pPr>
      <w:r>
        <w:rPr>
          <w:rFonts w:ascii="Arial" w:cs="Arial" w:eastAsia="Arial" w:hAnsi="Arial"/>
          <w:sz w:val="18"/>
          <w:szCs w:val="18"/>
          <w:color w:val="auto"/>
        </w:rPr>
        <w:t>As part of the Company’s pension de-risking strategy, in 2014, certain U.S. participants received a lump-sum distribution from the pension plan, which led to a pension settlement charge of $8.2 million. Including other 2014 pension plan settlements and curtailments, the amount reclassified from AOCI was $8.4 million before tax, and $5.2 million after tax effects.</w:t>
      </w:r>
    </w:p>
    <w:p>
      <w:pPr>
        <w:spacing w:after="0" w:line="162" w:lineRule="exact"/>
        <w:rPr>
          <w:sz w:val="20"/>
          <w:szCs w:val="20"/>
          <w:color w:val="auto"/>
        </w:rPr>
      </w:pPr>
    </w:p>
    <w:p>
      <w:pPr>
        <w:ind w:right="540" w:firstLine="648"/>
        <w:spacing w:after="0" w:line="246" w:lineRule="auto"/>
        <w:rPr>
          <w:sz w:val="20"/>
          <w:szCs w:val="20"/>
          <w:color w:val="auto"/>
        </w:rPr>
      </w:pPr>
      <w:r>
        <w:rPr>
          <w:rFonts w:ascii="Arial" w:cs="Arial" w:eastAsia="Arial" w:hAnsi="Arial"/>
          <w:sz w:val="18"/>
          <w:szCs w:val="18"/>
          <w:color w:val="auto"/>
        </w:rPr>
        <w:t>The components of our Accumulated Other Comprehensive Income that are reclassified to the Statement of Income relate to our pension and postretirement plans and interest rate swaps.</w:t>
      </w:r>
    </w:p>
    <w:p>
      <w:pPr>
        <w:spacing w:after="0" w:line="197" w:lineRule="exact"/>
        <w:rPr>
          <w:sz w:val="20"/>
          <w:szCs w:val="20"/>
          <w:color w:val="auto"/>
        </w:rPr>
      </w:pPr>
    </w:p>
    <w:p>
      <w:pPr>
        <w:ind w:left="11220"/>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342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4" w:name="page85"/>
    <w:bookmarkEnd w:id="84"/>
    <w:p>
      <w:pPr>
        <w:ind w:right="80" w:firstLine="648"/>
        <w:spacing w:after="0" w:line="246" w:lineRule="auto"/>
        <w:rPr>
          <w:sz w:val="20"/>
          <w:szCs w:val="20"/>
          <w:color w:val="auto"/>
        </w:rPr>
      </w:pPr>
      <w:r>
        <w:rPr>
          <w:rFonts w:ascii="Arial" w:cs="Arial" w:eastAsia="Arial" w:hAnsi="Arial"/>
          <w:sz w:val="18"/>
          <w:szCs w:val="18"/>
          <w:color w:val="auto"/>
        </w:rPr>
        <w:t>The table below presents the expense/(income) amounts reclassified, and the line items of the Statement of Income that were affected for the periods ended December 31, 2016, 2015 and 2014.</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8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(in thousands)</w:t>
            </w:r>
          </w:p>
        </w:tc>
        <w:tc>
          <w:tcPr>
            <w:tcW w:w="13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2016</w:t>
            </w:r>
          </w:p>
        </w:tc>
        <w:tc>
          <w:tcPr>
            <w:tcW w:w="11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2015</w:t>
            </w: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195"/>
        </w:trPr>
        <w:tc>
          <w:tcPr>
            <w:tcW w:w="7880" w:type="dxa"/>
            <w:vAlign w:val="bottom"/>
          </w:tcPr>
          <w:p>
            <w:pPr>
              <w:ind w:left="40"/>
              <w:spacing w:after="0" w:line="195" w:lineRule="exact"/>
              <w:rPr>
                <w:sz w:val="20"/>
                <w:szCs w:val="20"/>
                <w:color w:val="auto"/>
              </w:rPr>
            </w:pPr>
            <w:r>
              <w:rPr>
                <w:rFonts w:ascii="Arial" w:cs="Arial" w:eastAsia="Arial" w:hAnsi="Arial"/>
                <w:sz w:val="18"/>
                <w:szCs w:val="18"/>
                <w:b w:val="1"/>
                <w:bCs w:val="1"/>
                <w:color w:val="auto"/>
              </w:rPr>
              <w:t>Pretax Derivative valuation reclassified from Accumulated Other Comprehensive Income:</w:t>
            </w:r>
          </w:p>
        </w:tc>
        <w:tc>
          <w:tcPr>
            <w:tcW w:w="138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$2,400</w:t>
            </w:r>
          </w:p>
        </w:tc>
        <w:tc>
          <w:tcPr>
            <w:tcW w:w="1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7880" w:type="dxa"/>
            <w:vAlign w:val="bottom"/>
          </w:tcPr>
          <w:p>
            <w:pPr>
              <w:ind w:left="180"/>
              <w:spacing w:after="0" w:line="181" w:lineRule="exact"/>
              <w:rPr>
                <w:sz w:val="20"/>
                <w:szCs w:val="20"/>
                <w:color w:val="auto"/>
              </w:rPr>
            </w:pPr>
            <w:r>
              <w:rPr>
                <w:rFonts w:ascii="Arial" w:cs="Arial" w:eastAsia="Arial" w:hAnsi="Arial"/>
                <w:sz w:val="18"/>
                <w:szCs w:val="18"/>
                <w:color w:val="auto"/>
              </w:rPr>
              <w:t>Expense related to interest rate swaps included in Income before taxes (a)</w:t>
            </w:r>
          </w:p>
        </w:tc>
        <w:tc>
          <w:tcPr>
            <w:tcW w:w="1380" w:type="dxa"/>
            <w:vAlign w:val="bottom"/>
            <w:vMerge w:val="continue"/>
          </w:tcPr>
          <w:p>
            <w:pPr>
              <w:spacing w:after="0"/>
              <w:rPr>
                <w:sz w:val="15"/>
                <w:szCs w:val="15"/>
                <w:color w:val="auto"/>
              </w:rPr>
            </w:pPr>
          </w:p>
        </w:tc>
        <w:tc>
          <w:tcPr>
            <w:tcW w:w="1120" w:type="dxa"/>
            <w:vAlign w:val="bottom"/>
          </w:tcPr>
          <w:p>
            <w:pPr>
              <w:jc w:val="right"/>
              <w:ind w:right="130"/>
              <w:spacing w:after="0" w:line="181" w:lineRule="exact"/>
              <w:rPr>
                <w:sz w:val="20"/>
                <w:szCs w:val="20"/>
                <w:color w:val="auto"/>
              </w:rPr>
            </w:pPr>
            <w:r>
              <w:rPr>
                <w:rFonts w:ascii="Arial" w:cs="Arial" w:eastAsia="Arial" w:hAnsi="Arial"/>
                <w:sz w:val="18"/>
                <w:szCs w:val="18"/>
                <w:color w:val="auto"/>
              </w:rPr>
              <w:t>$1,988</w:t>
            </w:r>
          </w:p>
        </w:tc>
        <w:tc>
          <w:tcPr>
            <w:tcW w:w="1040" w:type="dxa"/>
            <w:vAlign w:val="bottom"/>
          </w:tcPr>
          <w:p>
            <w:pPr>
              <w:jc w:val="right"/>
              <w:spacing w:after="0" w:line="181" w:lineRule="exact"/>
              <w:rPr>
                <w:sz w:val="20"/>
                <w:szCs w:val="20"/>
                <w:color w:val="auto"/>
              </w:rPr>
            </w:pPr>
            <w:r>
              <w:rPr>
                <w:rFonts w:ascii="Arial" w:cs="Arial" w:eastAsia="Arial" w:hAnsi="Arial"/>
                <w:sz w:val="18"/>
                <w:szCs w:val="18"/>
                <w:color w:val="auto"/>
              </w:rPr>
              <w:t>$1,914</w:t>
            </w:r>
          </w:p>
        </w:tc>
        <w:tc>
          <w:tcPr>
            <w:tcW w:w="0" w:type="dxa"/>
            <w:vAlign w:val="bottom"/>
          </w:tcPr>
          <w:p>
            <w:pPr>
              <w:spacing w:after="0"/>
              <w:rPr>
                <w:sz w:val="1"/>
                <w:szCs w:val="1"/>
                <w:color w:val="auto"/>
              </w:rPr>
            </w:pPr>
          </w:p>
        </w:tc>
      </w:tr>
      <w:tr>
        <w:trPr>
          <w:trHeight w:val="225"/>
        </w:trPr>
        <w:tc>
          <w:tcPr>
            <w:tcW w:w="78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Income tax effect</w:t>
            </w:r>
          </w:p>
        </w:tc>
        <w:tc>
          <w:tcPr>
            <w:tcW w:w="13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(912)</w:t>
            </w: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(755)</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196"/>
        </w:trPr>
        <w:tc>
          <w:tcPr>
            <w:tcW w:w="788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Effect on net income due to items reclassified from Accumulated Other Comprehensive Income</w:t>
            </w:r>
          </w:p>
        </w:tc>
        <w:tc>
          <w:tcPr>
            <w:tcW w:w="138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$1,488</w:t>
            </w:r>
          </w:p>
        </w:tc>
        <w:tc>
          <w:tcPr>
            <w:tcW w:w="11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$1,233</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$1,168</w:t>
            </w:r>
          </w:p>
        </w:tc>
        <w:tc>
          <w:tcPr>
            <w:tcW w:w="0" w:type="dxa"/>
            <w:vAlign w:val="bottom"/>
          </w:tcPr>
          <w:p>
            <w:pPr>
              <w:spacing w:after="0"/>
              <w:rPr>
                <w:sz w:val="1"/>
                <w:szCs w:val="1"/>
                <w:color w:val="auto"/>
              </w:rPr>
            </w:pPr>
          </w:p>
        </w:tc>
      </w:tr>
      <w:tr>
        <w:trPr>
          <w:trHeight w:val="376"/>
        </w:trPr>
        <w:tc>
          <w:tcPr>
            <w:tcW w:w="9260" w:type="dxa"/>
            <w:vAlign w:val="bottom"/>
            <w:gridSpan w:val="2"/>
          </w:tcPr>
          <w:p>
            <w:pPr>
              <w:ind w:left="40"/>
              <w:spacing w:after="0"/>
              <w:rPr>
                <w:sz w:val="20"/>
                <w:szCs w:val="20"/>
                <w:color w:val="auto"/>
              </w:rPr>
            </w:pPr>
            <w:r>
              <w:rPr>
                <w:rFonts w:ascii="Arial" w:cs="Arial" w:eastAsia="Arial" w:hAnsi="Arial"/>
                <w:sz w:val="18"/>
                <w:szCs w:val="18"/>
                <w:b w:val="1"/>
                <w:bCs w:val="1"/>
                <w:color w:val="auto"/>
              </w:rPr>
              <w:t>Pretax pension and postretirement liabilities reclassified from Accumulated Other Comprehensive Income:</w:t>
            </w: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880" w:type="dxa"/>
            <w:vAlign w:val="bottom"/>
          </w:tcPr>
          <w:p>
            <w:pPr>
              <w:ind w:left="180"/>
              <w:spacing w:after="0" w:line="202" w:lineRule="exact"/>
              <w:rPr>
                <w:sz w:val="20"/>
                <w:szCs w:val="20"/>
                <w:color w:val="auto"/>
              </w:rPr>
            </w:pPr>
            <w:r>
              <w:rPr>
                <w:rFonts w:ascii="Arial" w:cs="Arial" w:eastAsia="Arial" w:hAnsi="Arial"/>
                <w:sz w:val="18"/>
                <w:szCs w:val="18"/>
                <w:color w:val="auto"/>
              </w:rPr>
              <w:t>Pension/postretirement settlements and curtailments</w:t>
            </w:r>
          </w:p>
        </w:tc>
        <w:tc>
          <w:tcPr>
            <w:tcW w:w="1380" w:type="dxa"/>
            <w:vAlign w:val="bottom"/>
          </w:tcPr>
          <w:p>
            <w:pPr>
              <w:jc w:val="right"/>
              <w:ind w:right="270"/>
              <w:spacing w:after="0" w:line="202" w:lineRule="exact"/>
              <w:rPr>
                <w:sz w:val="20"/>
                <w:szCs w:val="20"/>
                <w:color w:val="auto"/>
              </w:rPr>
            </w:pPr>
            <w:r>
              <w:rPr>
                <w:rFonts w:ascii="Arial" w:cs="Arial" w:eastAsia="Arial" w:hAnsi="Arial"/>
                <w:sz w:val="18"/>
                <w:szCs w:val="18"/>
                <w:b w:val="1"/>
                <w:bCs w:val="1"/>
                <w:color w:val="auto"/>
              </w:rPr>
              <w:t>$51</w:t>
            </w:r>
          </w:p>
        </w:tc>
        <w:tc>
          <w:tcPr>
            <w:tcW w:w="11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$103</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$8,377</w:t>
            </w:r>
          </w:p>
        </w:tc>
        <w:tc>
          <w:tcPr>
            <w:tcW w:w="0" w:type="dxa"/>
            <w:vAlign w:val="bottom"/>
          </w:tcPr>
          <w:p>
            <w:pPr>
              <w:spacing w:after="0"/>
              <w:rPr>
                <w:sz w:val="1"/>
                <w:szCs w:val="1"/>
                <w:color w:val="auto"/>
              </w:rPr>
            </w:pPr>
          </w:p>
        </w:tc>
      </w:tr>
      <w:tr>
        <w:trPr>
          <w:trHeight w:val="203"/>
        </w:trPr>
        <w:tc>
          <w:tcPr>
            <w:tcW w:w="7880" w:type="dxa"/>
            <w:vAlign w:val="bottom"/>
          </w:tcPr>
          <w:p>
            <w:pPr>
              <w:ind w:left="180"/>
              <w:spacing w:after="0" w:line="202" w:lineRule="exact"/>
              <w:rPr>
                <w:sz w:val="20"/>
                <w:szCs w:val="20"/>
                <w:color w:val="auto"/>
              </w:rPr>
            </w:pPr>
            <w:r>
              <w:rPr>
                <w:rFonts w:ascii="Arial" w:cs="Arial" w:eastAsia="Arial" w:hAnsi="Arial"/>
                <w:sz w:val="18"/>
                <w:szCs w:val="18"/>
                <w:color w:val="auto"/>
              </w:rPr>
              <w:t>Amortization of prior service credit</w:t>
            </w:r>
          </w:p>
        </w:tc>
        <w:tc>
          <w:tcPr>
            <w:tcW w:w="1380" w:type="dxa"/>
            <w:vAlign w:val="bottom"/>
          </w:tcPr>
          <w:p>
            <w:pPr>
              <w:jc w:val="right"/>
              <w:ind w:right="270"/>
              <w:spacing w:after="0" w:line="202" w:lineRule="exact"/>
              <w:rPr>
                <w:sz w:val="20"/>
                <w:szCs w:val="20"/>
                <w:color w:val="auto"/>
              </w:rPr>
            </w:pPr>
            <w:r>
              <w:rPr>
                <w:rFonts w:ascii="Arial" w:cs="Arial" w:eastAsia="Arial" w:hAnsi="Arial"/>
                <w:sz w:val="18"/>
                <w:szCs w:val="18"/>
                <w:b w:val="1"/>
                <w:bCs w:val="1"/>
                <w:color w:val="auto"/>
              </w:rPr>
              <w:t>(4,450)</w:t>
            </w:r>
          </w:p>
        </w:tc>
        <w:tc>
          <w:tcPr>
            <w:tcW w:w="11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(4,440)</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(4,436)</w:t>
            </w:r>
          </w:p>
        </w:tc>
        <w:tc>
          <w:tcPr>
            <w:tcW w:w="0" w:type="dxa"/>
            <w:vAlign w:val="bottom"/>
          </w:tcPr>
          <w:p>
            <w:pPr>
              <w:spacing w:after="0"/>
              <w:rPr>
                <w:sz w:val="1"/>
                <w:szCs w:val="1"/>
                <w:color w:val="auto"/>
              </w:rPr>
            </w:pPr>
          </w:p>
        </w:tc>
      </w:tr>
      <w:tr>
        <w:trPr>
          <w:trHeight w:val="225"/>
        </w:trPr>
        <w:tc>
          <w:tcPr>
            <w:tcW w:w="78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Amortization of net actuarial loss</w:t>
            </w:r>
          </w:p>
        </w:tc>
        <w:tc>
          <w:tcPr>
            <w:tcW w:w="13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5,102</w:t>
            </w: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5,932</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5,329</w:t>
            </w:r>
          </w:p>
        </w:tc>
        <w:tc>
          <w:tcPr>
            <w:tcW w:w="0" w:type="dxa"/>
            <w:vAlign w:val="bottom"/>
          </w:tcPr>
          <w:p>
            <w:pPr>
              <w:spacing w:after="0"/>
              <w:rPr>
                <w:sz w:val="1"/>
                <w:szCs w:val="1"/>
                <w:color w:val="auto"/>
              </w:rPr>
            </w:pPr>
          </w:p>
        </w:tc>
      </w:tr>
      <w:tr>
        <w:trPr>
          <w:trHeight w:val="232"/>
        </w:trPr>
        <w:tc>
          <w:tcPr>
            <w:tcW w:w="7880" w:type="dxa"/>
            <w:vAlign w:val="bottom"/>
          </w:tcPr>
          <w:p>
            <w:pPr>
              <w:ind w:left="40"/>
              <w:spacing w:after="0"/>
              <w:rPr>
                <w:sz w:val="20"/>
                <w:szCs w:val="20"/>
                <w:color w:val="auto"/>
              </w:rPr>
            </w:pPr>
            <w:r>
              <w:rPr>
                <w:rFonts w:ascii="Arial" w:cs="Arial" w:eastAsia="Arial" w:hAnsi="Arial"/>
                <w:sz w:val="18"/>
                <w:szCs w:val="18"/>
                <w:color w:val="auto"/>
              </w:rPr>
              <w:t>Total pretax amount reclassified (b)</w:t>
            </w:r>
          </w:p>
        </w:tc>
        <w:tc>
          <w:tcPr>
            <w:tcW w:w="1380" w:type="dxa"/>
            <w:vAlign w:val="bottom"/>
          </w:tcPr>
          <w:p>
            <w:pPr>
              <w:jc w:val="right"/>
              <w:ind w:right="270"/>
              <w:spacing w:after="0"/>
              <w:rPr>
                <w:sz w:val="20"/>
                <w:szCs w:val="20"/>
                <w:color w:val="auto"/>
              </w:rPr>
            </w:pPr>
            <w:r>
              <w:rPr>
                <w:rFonts w:ascii="Arial" w:cs="Arial" w:eastAsia="Arial" w:hAnsi="Arial"/>
                <w:sz w:val="18"/>
                <w:szCs w:val="18"/>
                <w:b w:val="1"/>
                <w:bCs w:val="1"/>
                <w:color w:val="auto"/>
              </w:rPr>
              <w:t>703</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1,595</w:t>
            </w:r>
          </w:p>
        </w:tc>
        <w:tc>
          <w:tcPr>
            <w:tcW w:w="1040" w:type="dxa"/>
            <w:vAlign w:val="bottom"/>
          </w:tcPr>
          <w:p>
            <w:pPr>
              <w:jc w:val="right"/>
              <w:spacing w:after="0"/>
              <w:rPr>
                <w:sz w:val="20"/>
                <w:szCs w:val="20"/>
                <w:color w:val="auto"/>
              </w:rPr>
            </w:pPr>
            <w:r>
              <w:rPr>
                <w:rFonts w:ascii="Arial" w:cs="Arial" w:eastAsia="Arial" w:hAnsi="Arial"/>
                <w:sz w:val="18"/>
                <w:szCs w:val="18"/>
                <w:color w:val="auto"/>
              </w:rPr>
              <w:t>9,270</w:t>
            </w:r>
          </w:p>
        </w:tc>
        <w:tc>
          <w:tcPr>
            <w:tcW w:w="0" w:type="dxa"/>
            <w:vAlign w:val="bottom"/>
          </w:tcPr>
          <w:p>
            <w:pPr>
              <w:spacing w:after="0"/>
              <w:rPr>
                <w:sz w:val="1"/>
                <w:szCs w:val="1"/>
                <w:color w:val="auto"/>
              </w:rPr>
            </w:pPr>
          </w:p>
        </w:tc>
      </w:tr>
      <w:tr>
        <w:trPr>
          <w:trHeight w:val="369"/>
        </w:trPr>
        <w:tc>
          <w:tcPr>
            <w:tcW w:w="78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Income tax effect</w:t>
            </w:r>
          </w:p>
        </w:tc>
        <w:tc>
          <w:tcPr>
            <w:tcW w:w="13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21</w:t>
            </w: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(270)</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(3,540)</w:t>
            </w:r>
          </w:p>
        </w:tc>
        <w:tc>
          <w:tcPr>
            <w:tcW w:w="0" w:type="dxa"/>
            <w:vAlign w:val="bottom"/>
          </w:tcPr>
          <w:p>
            <w:pPr>
              <w:spacing w:after="0"/>
              <w:rPr>
                <w:sz w:val="1"/>
                <w:szCs w:val="1"/>
                <w:color w:val="auto"/>
              </w:rPr>
            </w:pPr>
          </w:p>
        </w:tc>
      </w:tr>
      <w:tr>
        <w:trPr>
          <w:trHeight w:val="196"/>
        </w:trPr>
        <w:tc>
          <w:tcPr>
            <w:tcW w:w="788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Effect on net income due to items reclassified from Accumulated Other Comprehensive Income</w:t>
            </w:r>
          </w:p>
        </w:tc>
        <w:tc>
          <w:tcPr>
            <w:tcW w:w="138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$724</w:t>
            </w:r>
          </w:p>
        </w:tc>
        <w:tc>
          <w:tcPr>
            <w:tcW w:w="11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$1,325</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$5,730</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980" w:right="340" w:hanging="324"/>
        <w:spacing w:after="0" w:line="234"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Included in Interest expense are payments related to the interest rate swap agreements and amortization of swap buyouts (see Note 15).</w:t>
      </w:r>
    </w:p>
    <w:p>
      <w:pPr>
        <w:spacing w:after="0" w:line="1" w:lineRule="exact"/>
        <w:rPr>
          <w:rFonts w:ascii="Arial" w:cs="Arial" w:eastAsia="Arial" w:hAnsi="Arial"/>
          <w:sz w:val="18"/>
          <w:szCs w:val="18"/>
          <w:color w:val="auto"/>
        </w:rPr>
      </w:pPr>
    </w:p>
    <w:p>
      <w:pPr>
        <w:ind w:left="980" w:right="280" w:hanging="324"/>
        <w:spacing w:after="0" w:line="246"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These accumulated other comprehensive income components are included in the computation of net periodic pension cost (see Note 4).</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10. Noncontrolling Interest</w:t>
      </w:r>
    </w:p>
    <w:p>
      <w:pPr>
        <w:spacing w:after="0" w:line="192" w:lineRule="exact"/>
        <w:rPr>
          <w:sz w:val="20"/>
          <w:szCs w:val="20"/>
          <w:color w:val="auto"/>
        </w:rPr>
      </w:pPr>
    </w:p>
    <w:p>
      <w:pPr>
        <w:ind w:right="200" w:firstLine="648"/>
        <w:spacing w:after="0" w:line="237" w:lineRule="auto"/>
        <w:rPr>
          <w:sz w:val="20"/>
          <w:szCs w:val="20"/>
          <w:color w:val="auto"/>
        </w:rPr>
      </w:pPr>
      <w:r>
        <w:rPr>
          <w:rFonts w:ascii="Arial" w:cs="Arial" w:eastAsia="Arial" w:hAnsi="Arial"/>
          <w:sz w:val="18"/>
          <w:szCs w:val="18"/>
          <w:color w:val="auto"/>
        </w:rPr>
        <w:t>Effective October 31, 2013, Safran S.A. (Safran) acquired a 10 percent equity interest in a new Albany subsidiary, Albany Safran Composites, LLC (ASC). Under the terms of the transaction agreements, ASC will be the exclusive supplier to Safran of advanced 3D-woven composite parts for use in aircraft and rocket engines, thrust reversers and nacelles, and aircraft landing and braking systems (the “Safran Applications”). AEC may develop and supply parts other than advanced 3D-woven composite parts for all aerospace applications, as well as advanced 3D-woven composite parts for any aerospace applications that are not Safran Applications (such as airframe applications) and any non-aerospace applications.</w:t>
      </w:r>
    </w:p>
    <w:p>
      <w:pPr>
        <w:spacing w:after="0" w:line="178" w:lineRule="exact"/>
        <w:rPr>
          <w:sz w:val="20"/>
          <w:szCs w:val="20"/>
          <w:color w:val="auto"/>
        </w:rPr>
      </w:pPr>
    </w:p>
    <w:p>
      <w:pPr>
        <w:ind w:right="460" w:firstLine="648"/>
        <w:spacing w:after="0" w:line="239" w:lineRule="auto"/>
        <w:rPr>
          <w:sz w:val="20"/>
          <w:szCs w:val="20"/>
          <w:color w:val="auto"/>
        </w:rPr>
      </w:pPr>
      <w:r>
        <w:rPr>
          <w:rFonts w:ascii="Arial" w:cs="Arial" w:eastAsia="Arial" w:hAnsi="Arial"/>
          <w:sz w:val="18"/>
          <w:szCs w:val="18"/>
          <w:color w:val="auto"/>
        </w:rPr>
        <w:t>The agreement provides Safran an option to purchase Albany’s remaining 90 percent interest upon the occurrence of certain bankruptcy or performance default events, or if Albany’s Engineered Composites business is sold to a direct competitor of Safran. The purchase price is based initially on the same valuation of ASC used to determine Safran’s 10% equity interest, and increases over time as LEAP production increases.</w:t>
      </w:r>
    </w:p>
    <w:p>
      <w:pPr>
        <w:spacing w:after="0" w:line="161" w:lineRule="exact"/>
        <w:rPr>
          <w:sz w:val="20"/>
          <w:szCs w:val="20"/>
          <w:color w:val="auto"/>
        </w:rPr>
      </w:pPr>
    </w:p>
    <w:p>
      <w:pPr>
        <w:jc w:val="both"/>
        <w:ind w:right="120" w:firstLine="648"/>
        <w:spacing w:after="0" w:line="246" w:lineRule="auto"/>
        <w:rPr>
          <w:sz w:val="20"/>
          <w:szCs w:val="20"/>
          <w:color w:val="auto"/>
        </w:rPr>
      </w:pPr>
      <w:r>
        <w:rPr>
          <w:rFonts w:ascii="Arial" w:cs="Arial" w:eastAsia="Arial" w:hAnsi="Arial"/>
          <w:sz w:val="18"/>
          <w:szCs w:val="18"/>
          <w:color w:val="auto"/>
        </w:rPr>
        <w:t>In accordance with the operating agreement, Albany received a $28 million preferred holding in ASC which includes a preferred return based on the Company’s revolving credit agreement. The common shares of ASC are owned 90 percent by Albany and 10 percent by Safran.</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a reconciliation of income attributable to the noncontrolling interest and noncontrolling equity: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percentages)</w:t>
            </w:r>
          </w:p>
        </w:tc>
        <w:tc>
          <w:tcPr>
            <w:tcW w:w="2560" w:type="dxa"/>
            <w:vAlign w:val="bottom"/>
            <w:tcBorders>
              <w:top w:val="single" w:sz="8" w:color="auto"/>
              <w:bottom w:val="single" w:sz="8" w:color="auto"/>
            </w:tcBorders>
          </w:tcPr>
          <w:p>
            <w:pPr>
              <w:jc w:val="right"/>
              <w:ind w:right="1070"/>
              <w:spacing w:after="0"/>
              <w:rPr>
                <w:sz w:val="20"/>
                <w:szCs w:val="20"/>
                <w:color w:val="auto"/>
              </w:rPr>
            </w:pPr>
            <w:r>
              <w:rPr>
                <w:rFonts w:ascii="Arial" w:cs="Arial" w:eastAsia="Arial" w:hAnsi="Arial"/>
                <w:sz w:val="18"/>
                <w:szCs w:val="18"/>
                <w:b w:val="1"/>
                <w:bCs w:val="1"/>
                <w:color w:val="auto"/>
              </w:rPr>
              <w:t>2016</w:t>
            </w:r>
          </w:p>
        </w:tc>
        <w:tc>
          <w:tcPr>
            <w:tcW w:w="16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2015</w:t>
            </w:r>
          </w:p>
        </w:tc>
      </w:tr>
      <w:tr>
        <w:trPr>
          <w:trHeight w:val="173"/>
        </w:trPr>
        <w:tc>
          <w:tcPr>
            <w:tcW w:w="7260" w:type="dxa"/>
            <w:vAlign w:val="bottom"/>
          </w:tcPr>
          <w:p>
            <w:pPr>
              <w:ind w:left="40"/>
              <w:spacing w:after="0" w:line="173" w:lineRule="exact"/>
              <w:rPr>
                <w:sz w:val="20"/>
                <w:szCs w:val="20"/>
                <w:color w:val="auto"/>
              </w:rPr>
            </w:pPr>
            <w:r>
              <w:rPr>
                <w:rFonts w:ascii="Arial" w:cs="Arial" w:eastAsia="Arial" w:hAnsi="Arial"/>
                <w:sz w:val="18"/>
                <w:szCs w:val="18"/>
                <w:color w:val="auto"/>
              </w:rPr>
              <w:t>Net income of ASC</w:t>
            </w:r>
          </w:p>
        </w:tc>
        <w:tc>
          <w:tcPr>
            <w:tcW w:w="2560" w:type="dxa"/>
            <w:vAlign w:val="bottom"/>
          </w:tcPr>
          <w:p>
            <w:pPr>
              <w:jc w:val="right"/>
              <w:ind w:right="910"/>
              <w:spacing w:after="0" w:line="173" w:lineRule="exact"/>
              <w:rPr>
                <w:sz w:val="20"/>
                <w:szCs w:val="20"/>
                <w:color w:val="auto"/>
              </w:rPr>
            </w:pPr>
            <w:r>
              <w:rPr>
                <w:rFonts w:ascii="Arial" w:cs="Arial" w:eastAsia="Arial" w:hAnsi="Arial"/>
                <w:sz w:val="18"/>
                <w:szCs w:val="18"/>
                <w:b w:val="1"/>
                <w:bCs w:val="1"/>
                <w:color w:val="auto"/>
              </w:rPr>
              <w:t>$1,777</w:t>
            </w:r>
          </w:p>
        </w:tc>
        <w:tc>
          <w:tcPr>
            <w:tcW w:w="1600" w:type="dxa"/>
            <w:vAlign w:val="bottom"/>
          </w:tcPr>
          <w:p>
            <w:pPr>
              <w:jc w:val="right"/>
              <w:ind w:right="10"/>
              <w:spacing w:after="0" w:line="173" w:lineRule="exact"/>
              <w:rPr>
                <w:sz w:val="20"/>
                <w:szCs w:val="20"/>
                <w:color w:val="auto"/>
              </w:rPr>
            </w:pPr>
            <w:r>
              <w:rPr>
                <w:rFonts w:ascii="Arial" w:cs="Arial" w:eastAsia="Arial" w:hAnsi="Arial"/>
                <w:sz w:val="18"/>
                <w:szCs w:val="18"/>
                <w:color w:val="auto"/>
              </w:rPr>
              <w:t>$842</w:t>
            </w:r>
          </w:p>
        </w:tc>
      </w:tr>
      <w:tr>
        <w:trPr>
          <w:trHeight w:val="225"/>
        </w:trPr>
        <w:tc>
          <w:tcPr>
            <w:tcW w:w="7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Less: Return attributable to the Company's preferred holding</w:t>
            </w:r>
          </w:p>
        </w:tc>
        <w:tc>
          <w:tcPr>
            <w:tcW w:w="256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b w:val="1"/>
                <w:bCs w:val="1"/>
                <w:color w:val="auto"/>
              </w:rPr>
              <w:t>987</w:t>
            </w:r>
          </w:p>
        </w:tc>
        <w:tc>
          <w:tcPr>
            <w:tcW w:w="1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978</w:t>
            </w:r>
          </w:p>
        </w:tc>
      </w:tr>
      <w:tr>
        <w:trPr>
          <w:trHeight w:val="173"/>
        </w:trPr>
        <w:tc>
          <w:tcPr>
            <w:tcW w:w="7260" w:type="dxa"/>
            <w:vAlign w:val="bottom"/>
          </w:tcPr>
          <w:p>
            <w:pPr>
              <w:ind w:left="40"/>
              <w:spacing w:after="0" w:line="173" w:lineRule="exact"/>
              <w:rPr>
                <w:sz w:val="20"/>
                <w:szCs w:val="20"/>
                <w:color w:val="auto"/>
              </w:rPr>
            </w:pPr>
            <w:r>
              <w:rPr>
                <w:rFonts w:ascii="Arial" w:cs="Arial" w:eastAsia="Arial" w:hAnsi="Arial"/>
                <w:sz w:val="18"/>
                <w:szCs w:val="18"/>
                <w:color w:val="auto"/>
              </w:rPr>
              <w:t>Net income/(loss) of ASC available for common ownership</w:t>
            </w:r>
          </w:p>
        </w:tc>
        <w:tc>
          <w:tcPr>
            <w:tcW w:w="2560" w:type="dxa"/>
            <w:vAlign w:val="bottom"/>
          </w:tcPr>
          <w:p>
            <w:pPr>
              <w:jc w:val="right"/>
              <w:ind w:right="910"/>
              <w:spacing w:after="0" w:line="173" w:lineRule="exact"/>
              <w:rPr>
                <w:sz w:val="20"/>
                <w:szCs w:val="20"/>
                <w:color w:val="auto"/>
              </w:rPr>
            </w:pPr>
            <w:r>
              <w:rPr>
                <w:rFonts w:ascii="Arial" w:cs="Arial" w:eastAsia="Arial" w:hAnsi="Arial"/>
                <w:sz w:val="18"/>
                <w:szCs w:val="18"/>
                <w:b w:val="1"/>
                <w:bCs w:val="1"/>
                <w:color w:val="auto"/>
              </w:rPr>
              <w:t>$790</w:t>
            </w:r>
          </w:p>
        </w:tc>
        <w:tc>
          <w:tcPr>
            <w:tcW w:w="1600" w:type="dxa"/>
            <w:vAlign w:val="bottom"/>
          </w:tcPr>
          <w:p>
            <w:pPr>
              <w:jc w:val="right"/>
              <w:spacing w:after="0" w:line="173" w:lineRule="exact"/>
              <w:rPr>
                <w:sz w:val="20"/>
                <w:szCs w:val="20"/>
                <w:color w:val="auto"/>
              </w:rPr>
            </w:pPr>
            <w:r>
              <w:rPr>
                <w:rFonts w:ascii="Arial" w:cs="Arial" w:eastAsia="Arial" w:hAnsi="Arial"/>
                <w:sz w:val="18"/>
                <w:szCs w:val="18"/>
                <w:color w:val="auto"/>
              </w:rPr>
              <w:t>(136)</w:t>
            </w:r>
          </w:p>
        </w:tc>
      </w:tr>
      <w:tr>
        <w:trPr>
          <w:trHeight w:val="225"/>
        </w:trPr>
        <w:tc>
          <w:tcPr>
            <w:tcW w:w="7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Ownership percentage of noncontrolling shareholder</w:t>
            </w:r>
          </w:p>
        </w:tc>
        <w:tc>
          <w:tcPr>
            <w:tcW w:w="256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b w:val="1"/>
                <w:bCs w:val="1"/>
                <w:color w:val="auto"/>
              </w:rPr>
              <w:t>10%</w:t>
            </w:r>
          </w:p>
        </w:tc>
        <w:tc>
          <w:tcPr>
            <w:tcW w:w="1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r>
      <w:tr>
        <w:trPr>
          <w:trHeight w:val="196"/>
        </w:trPr>
        <w:tc>
          <w:tcPr>
            <w:tcW w:w="726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Net income/(loss) attributable to noncontrolling interest</w:t>
            </w:r>
          </w:p>
        </w:tc>
        <w:tc>
          <w:tcPr>
            <w:tcW w:w="2560" w:type="dxa"/>
            <w:vAlign w:val="bottom"/>
            <w:tcBorders>
              <w:bottom w:val="single" w:sz="8" w:color="auto"/>
            </w:tcBorders>
          </w:tcPr>
          <w:p>
            <w:pPr>
              <w:jc w:val="right"/>
              <w:ind w:right="910"/>
              <w:spacing w:after="0" w:line="196" w:lineRule="exact"/>
              <w:rPr>
                <w:sz w:val="20"/>
                <w:szCs w:val="20"/>
                <w:color w:val="auto"/>
              </w:rPr>
            </w:pPr>
            <w:r>
              <w:rPr>
                <w:rFonts w:ascii="Arial" w:cs="Arial" w:eastAsia="Arial" w:hAnsi="Arial"/>
                <w:sz w:val="18"/>
                <w:szCs w:val="18"/>
                <w:b w:val="1"/>
                <w:bCs w:val="1"/>
                <w:color w:val="auto"/>
              </w:rPr>
              <w:t>$79</w:t>
            </w:r>
          </w:p>
        </w:tc>
        <w:tc>
          <w:tcPr>
            <w:tcW w:w="1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w:t>
            </w:r>
          </w:p>
        </w:tc>
      </w:tr>
      <w:tr>
        <w:trPr>
          <w:trHeight w:val="376"/>
        </w:trPr>
        <w:tc>
          <w:tcPr>
            <w:tcW w:w="7260" w:type="dxa"/>
            <w:vAlign w:val="bottom"/>
          </w:tcPr>
          <w:p>
            <w:pPr>
              <w:ind w:left="40"/>
              <w:spacing w:after="0"/>
              <w:rPr>
                <w:sz w:val="20"/>
                <w:szCs w:val="20"/>
                <w:color w:val="auto"/>
              </w:rPr>
            </w:pPr>
            <w:r>
              <w:rPr>
                <w:rFonts w:ascii="Arial" w:cs="Arial" w:eastAsia="Arial" w:hAnsi="Arial"/>
                <w:sz w:val="18"/>
                <w:szCs w:val="18"/>
                <w:color w:val="auto"/>
              </w:rPr>
              <w:t>Noncontrolling interest, beginning of year</w:t>
            </w:r>
          </w:p>
        </w:tc>
        <w:tc>
          <w:tcPr>
            <w:tcW w:w="2560" w:type="dxa"/>
            <w:vAlign w:val="bottom"/>
          </w:tcPr>
          <w:p>
            <w:pPr>
              <w:jc w:val="right"/>
              <w:ind w:right="910"/>
              <w:spacing w:after="0"/>
              <w:rPr>
                <w:sz w:val="20"/>
                <w:szCs w:val="20"/>
                <w:color w:val="auto"/>
              </w:rPr>
            </w:pPr>
            <w:r>
              <w:rPr>
                <w:rFonts w:ascii="Arial" w:cs="Arial" w:eastAsia="Arial" w:hAnsi="Arial"/>
                <w:sz w:val="18"/>
                <w:szCs w:val="18"/>
                <w:b w:val="1"/>
                <w:bCs w:val="1"/>
                <w:color w:val="auto"/>
              </w:rPr>
              <w:t>$3,690</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$3,699</w:t>
            </w:r>
          </w:p>
        </w:tc>
      </w:tr>
      <w:tr>
        <w:trPr>
          <w:trHeight w:val="203"/>
        </w:trPr>
        <w:tc>
          <w:tcPr>
            <w:tcW w:w="7260" w:type="dxa"/>
            <w:vAlign w:val="bottom"/>
          </w:tcPr>
          <w:p>
            <w:pPr>
              <w:ind w:left="40"/>
              <w:spacing w:after="0" w:line="202" w:lineRule="exact"/>
              <w:rPr>
                <w:sz w:val="20"/>
                <w:szCs w:val="20"/>
                <w:color w:val="auto"/>
              </w:rPr>
            </w:pPr>
            <w:r>
              <w:rPr>
                <w:rFonts w:ascii="Arial" w:cs="Arial" w:eastAsia="Arial" w:hAnsi="Arial"/>
                <w:sz w:val="18"/>
                <w:szCs w:val="18"/>
                <w:color w:val="auto"/>
              </w:rPr>
              <w:t>Net income/(loss) attributable to noncontrolling interest</w:t>
            </w:r>
          </w:p>
        </w:tc>
        <w:tc>
          <w:tcPr>
            <w:tcW w:w="2560" w:type="dxa"/>
            <w:vAlign w:val="bottom"/>
          </w:tcPr>
          <w:p>
            <w:pPr>
              <w:jc w:val="right"/>
              <w:ind w:right="910"/>
              <w:spacing w:after="0" w:line="202" w:lineRule="exact"/>
              <w:rPr>
                <w:sz w:val="20"/>
                <w:szCs w:val="20"/>
                <w:color w:val="auto"/>
              </w:rPr>
            </w:pPr>
            <w:r>
              <w:rPr>
                <w:rFonts w:ascii="Arial" w:cs="Arial" w:eastAsia="Arial" w:hAnsi="Arial"/>
                <w:sz w:val="18"/>
                <w:szCs w:val="18"/>
                <w:b w:val="1"/>
                <w:bCs w:val="1"/>
                <w:color w:val="auto"/>
              </w:rPr>
              <w:t>79</w:t>
            </w: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r>
      <w:tr>
        <w:trPr>
          <w:trHeight w:val="225"/>
        </w:trPr>
        <w:tc>
          <w:tcPr>
            <w:tcW w:w="7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Changes in other comprehensive income attributable to noncontrolling interest</w:t>
            </w:r>
          </w:p>
        </w:tc>
        <w:tc>
          <w:tcPr>
            <w:tcW w:w="256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w:t>
            </w:r>
          </w:p>
        </w:tc>
        <w:tc>
          <w:tcPr>
            <w:tcW w:w="1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r>
      <w:tr>
        <w:trPr>
          <w:trHeight w:val="196"/>
        </w:trPr>
        <w:tc>
          <w:tcPr>
            <w:tcW w:w="726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Noncontrolling interest, end of year</w:t>
            </w:r>
          </w:p>
        </w:tc>
        <w:tc>
          <w:tcPr>
            <w:tcW w:w="2560" w:type="dxa"/>
            <w:vAlign w:val="bottom"/>
            <w:tcBorders>
              <w:bottom w:val="single" w:sz="8" w:color="auto"/>
            </w:tcBorders>
          </w:tcPr>
          <w:p>
            <w:pPr>
              <w:jc w:val="right"/>
              <w:ind w:right="910"/>
              <w:spacing w:after="0" w:line="196" w:lineRule="exact"/>
              <w:rPr>
                <w:sz w:val="20"/>
                <w:szCs w:val="20"/>
                <w:color w:val="auto"/>
              </w:rPr>
            </w:pPr>
            <w:r>
              <w:rPr>
                <w:rFonts w:ascii="Arial" w:cs="Arial" w:eastAsia="Arial" w:hAnsi="Arial"/>
                <w:sz w:val="18"/>
                <w:szCs w:val="18"/>
                <w:b w:val="1"/>
                <w:bCs w:val="1"/>
                <w:color w:val="auto"/>
              </w:rPr>
              <w:t>$3,767</w:t>
            </w:r>
          </w:p>
        </w:tc>
        <w:tc>
          <w:tcPr>
            <w:tcW w:w="16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$3,690</w:t>
            </w:r>
          </w:p>
        </w:tc>
      </w:tr>
      <w:tr>
        <w:trPr>
          <w:trHeight w:val="628"/>
        </w:trPr>
        <w:tc>
          <w:tcPr>
            <w:tcW w:w="72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129"/>
        </w:trPr>
        <w:tc>
          <w:tcPr>
            <w:tcW w:w="7260" w:type="dxa"/>
            <w:vAlign w:val="bottom"/>
            <w:tcBorders>
              <w:bottom w:val="single" w:sz="8" w:color="auto"/>
            </w:tcBorders>
          </w:tcPr>
          <w:p>
            <w:pPr>
              <w:spacing w:after="0"/>
              <w:rPr>
                <w:sz w:val="11"/>
                <w:szCs w:val="11"/>
                <w:color w:val="auto"/>
              </w:rPr>
            </w:pPr>
          </w:p>
        </w:tc>
        <w:tc>
          <w:tcPr>
            <w:tcW w:w="256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spacing w:after="0"/>
              <w:rPr>
                <w:sz w:val="11"/>
                <w:szCs w:val="11"/>
                <w:color w:val="auto"/>
              </w:rPr>
            </w:pPr>
          </w:p>
        </w:tc>
      </w:tr>
    </w:tbl>
    <w:p>
      <w:pPr>
        <w:sectPr>
          <w:pgSz w:w="11900" w:h="16838" w:orient="portrait"/>
          <w:cols w:equalWidth="0" w:num="1">
            <w:col w:w="11420"/>
          </w:cols>
          <w:pgMar w:left="240" w:top="118"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11. Property, Plant and Equipment</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sets forth the reclassification and components of property, plant and equipment as of December 31, 2016 and 2015:</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2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2016</w:t>
            </w:r>
          </w:p>
        </w:tc>
        <w:tc>
          <w:tcPr>
            <w:tcW w:w="13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2015</w:t>
            </w:r>
          </w:p>
        </w:tc>
        <w:tc>
          <w:tcPr>
            <w:tcW w:w="32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b w:val="1"/>
                <w:bCs w:val="1"/>
                <w:color w:val="auto"/>
              </w:rPr>
              <w:t>Estimated useful life</w:t>
            </w:r>
          </w:p>
        </w:tc>
      </w:tr>
      <w:tr>
        <w:trPr>
          <w:trHeight w:val="412"/>
        </w:trPr>
        <w:tc>
          <w:tcPr>
            <w:tcW w:w="4560" w:type="dxa"/>
            <w:vAlign w:val="bottom"/>
          </w:tcPr>
          <w:p>
            <w:pPr>
              <w:ind w:left="40"/>
              <w:spacing w:after="0"/>
              <w:rPr>
                <w:sz w:val="20"/>
                <w:szCs w:val="20"/>
                <w:color w:val="auto"/>
              </w:rPr>
            </w:pPr>
            <w:r>
              <w:rPr>
                <w:rFonts w:ascii="Arial" w:cs="Arial" w:eastAsia="Arial" w:hAnsi="Arial"/>
                <w:sz w:val="18"/>
                <w:szCs w:val="18"/>
                <w:color w:val="auto"/>
              </w:rPr>
              <w:t>Land and land improvements</w:t>
            </w:r>
          </w:p>
        </w:tc>
        <w:tc>
          <w:tcPr>
            <w:tcW w:w="2220" w:type="dxa"/>
            <w:vAlign w:val="bottom"/>
          </w:tcPr>
          <w:p>
            <w:pPr>
              <w:jc w:val="right"/>
              <w:ind w:right="270"/>
              <w:spacing w:after="0"/>
              <w:rPr>
                <w:sz w:val="20"/>
                <w:szCs w:val="20"/>
                <w:color w:val="auto"/>
              </w:rPr>
            </w:pPr>
            <w:r>
              <w:rPr>
                <w:rFonts w:ascii="Arial" w:cs="Arial" w:eastAsia="Arial" w:hAnsi="Arial"/>
                <w:sz w:val="18"/>
                <w:szCs w:val="18"/>
                <w:b w:val="1"/>
                <w:bCs w:val="1"/>
                <w:color w:val="auto"/>
              </w:rPr>
              <w:t>$13,339</w:t>
            </w: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$14,307</w:t>
            </w:r>
          </w:p>
        </w:tc>
        <w:tc>
          <w:tcPr>
            <w:tcW w:w="3280" w:type="dxa"/>
            <w:vAlign w:val="bottom"/>
          </w:tcPr>
          <w:p>
            <w:pPr>
              <w:ind w:left="220"/>
              <w:spacing w:after="0"/>
              <w:rPr>
                <w:sz w:val="20"/>
                <w:szCs w:val="20"/>
                <w:color w:val="auto"/>
              </w:rPr>
            </w:pPr>
            <w:r>
              <w:rPr>
                <w:rFonts w:ascii="Arial" w:cs="Arial" w:eastAsia="Arial" w:hAnsi="Arial"/>
                <w:sz w:val="18"/>
                <w:szCs w:val="18"/>
                <w:color w:val="auto"/>
              </w:rPr>
              <w:t>25 years for improvements</w:t>
            </w:r>
          </w:p>
        </w:tc>
      </w:tr>
      <w:tr>
        <w:trPr>
          <w:trHeight w:val="405"/>
        </w:trPr>
        <w:tc>
          <w:tcPr>
            <w:tcW w:w="4560" w:type="dxa"/>
            <w:vAlign w:val="bottom"/>
          </w:tcPr>
          <w:p>
            <w:pPr>
              <w:ind w:left="40"/>
              <w:spacing w:after="0"/>
              <w:rPr>
                <w:sz w:val="20"/>
                <w:szCs w:val="20"/>
                <w:color w:val="auto"/>
              </w:rPr>
            </w:pPr>
            <w:r>
              <w:rPr>
                <w:rFonts w:ascii="Arial" w:cs="Arial" w:eastAsia="Arial" w:hAnsi="Arial"/>
                <w:sz w:val="18"/>
                <w:szCs w:val="18"/>
                <w:color w:val="auto"/>
              </w:rPr>
              <w:t>Buildings</w:t>
            </w:r>
          </w:p>
        </w:tc>
        <w:tc>
          <w:tcPr>
            <w:tcW w:w="2220" w:type="dxa"/>
            <w:vAlign w:val="bottom"/>
          </w:tcPr>
          <w:p>
            <w:pPr>
              <w:jc w:val="right"/>
              <w:ind w:right="270"/>
              <w:spacing w:after="0"/>
              <w:rPr>
                <w:sz w:val="20"/>
                <w:szCs w:val="20"/>
                <w:color w:val="auto"/>
              </w:rPr>
            </w:pPr>
            <w:r>
              <w:rPr>
                <w:rFonts w:ascii="Arial" w:cs="Arial" w:eastAsia="Arial" w:hAnsi="Arial"/>
                <w:sz w:val="18"/>
                <w:szCs w:val="18"/>
                <w:b w:val="1"/>
                <w:bCs w:val="1"/>
                <w:color w:val="auto"/>
              </w:rPr>
              <w:t>214,086</w:t>
            </w: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211,027</w:t>
            </w:r>
          </w:p>
        </w:tc>
        <w:tc>
          <w:tcPr>
            <w:tcW w:w="3280" w:type="dxa"/>
            <w:vAlign w:val="bottom"/>
          </w:tcPr>
          <w:p>
            <w:pPr>
              <w:ind w:left="220"/>
              <w:spacing w:after="0"/>
              <w:rPr>
                <w:sz w:val="20"/>
                <w:szCs w:val="20"/>
                <w:color w:val="auto"/>
              </w:rPr>
            </w:pPr>
            <w:r>
              <w:rPr>
                <w:rFonts w:ascii="Arial" w:cs="Arial" w:eastAsia="Arial" w:hAnsi="Arial"/>
                <w:sz w:val="18"/>
                <w:szCs w:val="18"/>
                <w:color w:val="auto"/>
              </w:rPr>
              <w:t>25 to 40 years</w:t>
            </w:r>
          </w:p>
        </w:tc>
      </w:tr>
      <w:tr>
        <w:trPr>
          <w:trHeight w:val="405"/>
        </w:trPr>
        <w:tc>
          <w:tcPr>
            <w:tcW w:w="4560" w:type="dxa"/>
            <w:vAlign w:val="bottom"/>
          </w:tcPr>
          <w:p>
            <w:pPr>
              <w:ind w:left="40"/>
              <w:spacing w:after="0"/>
              <w:rPr>
                <w:sz w:val="20"/>
                <w:szCs w:val="20"/>
                <w:color w:val="auto"/>
              </w:rPr>
            </w:pPr>
            <w:r>
              <w:rPr>
                <w:rFonts w:ascii="Arial" w:cs="Arial" w:eastAsia="Arial" w:hAnsi="Arial"/>
                <w:sz w:val="18"/>
                <w:szCs w:val="18"/>
                <w:color w:val="auto"/>
              </w:rPr>
              <w:t>Assets under capital lease</w:t>
            </w:r>
          </w:p>
        </w:tc>
        <w:tc>
          <w:tcPr>
            <w:tcW w:w="2220" w:type="dxa"/>
            <w:vAlign w:val="bottom"/>
          </w:tcPr>
          <w:p>
            <w:pPr>
              <w:jc w:val="right"/>
              <w:ind w:right="270"/>
              <w:spacing w:after="0"/>
              <w:rPr>
                <w:sz w:val="20"/>
                <w:szCs w:val="20"/>
                <w:color w:val="auto"/>
              </w:rPr>
            </w:pPr>
            <w:r>
              <w:rPr>
                <w:rFonts w:ascii="Arial" w:cs="Arial" w:eastAsia="Arial" w:hAnsi="Arial"/>
                <w:sz w:val="18"/>
                <w:szCs w:val="18"/>
                <w:b w:val="1"/>
                <w:bCs w:val="1"/>
                <w:color w:val="auto"/>
              </w:rPr>
              <w:t>8,140</w:t>
            </w:r>
          </w:p>
        </w:tc>
        <w:tc>
          <w:tcPr>
            <w:tcW w:w="136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3280" w:type="dxa"/>
            <w:vAlign w:val="bottom"/>
          </w:tcPr>
          <w:p>
            <w:pPr>
              <w:ind w:left="220"/>
              <w:spacing w:after="0"/>
              <w:rPr>
                <w:sz w:val="20"/>
                <w:szCs w:val="20"/>
                <w:color w:val="auto"/>
              </w:rPr>
            </w:pPr>
            <w:r>
              <w:rPr>
                <w:rFonts w:ascii="Arial" w:cs="Arial" w:eastAsia="Arial" w:hAnsi="Arial"/>
                <w:sz w:val="18"/>
                <w:szCs w:val="18"/>
                <w:color w:val="auto"/>
              </w:rPr>
              <w:t>7 years</w:t>
            </w:r>
          </w:p>
        </w:tc>
      </w:tr>
      <w:tr>
        <w:trPr>
          <w:trHeight w:val="405"/>
        </w:trPr>
        <w:tc>
          <w:tcPr>
            <w:tcW w:w="456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2220" w:type="dxa"/>
            <w:vAlign w:val="bottom"/>
          </w:tcPr>
          <w:p>
            <w:pPr>
              <w:jc w:val="right"/>
              <w:ind w:right="270"/>
              <w:spacing w:after="0"/>
              <w:rPr>
                <w:sz w:val="20"/>
                <w:szCs w:val="20"/>
                <w:color w:val="auto"/>
              </w:rPr>
            </w:pPr>
            <w:r>
              <w:rPr>
                <w:rFonts w:ascii="Arial" w:cs="Arial" w:eastAsia="Arial" w:hAnsi="Arial"/>
                <w:sz w:val="18"/>
                <w:szCs w:val="18"/>
                <w:b w:val="1"/>
                <w:bCs w:val="1"/>
                <w:color w:val="auto"/>
              </w:rPr>
              <w:t>842,921</w:t>
            </w: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828,409</w:t>
            </w:r>
          </w:p>
        </w:tc>
        <w:tc>
          <w:tcPr>
            <w:tcW w:w="3280" w:type="dxa"/>
            <w:vAlign w:val="bottom"/>
          </w:tcPr>
          <w:p>
            <w:pPr>
              <w:ind w:left="220"/>
              <w:spacing w:after="0"/>
              <w:rPr>
                <w:sz w:val="20"/>
                <w:szCs w:val="20"/>
                <w:color w:val="auto"/>
              </w:rPr>
            </w:pPr>
            <w:r>
              <w:rPr>
                <w:rFonts w:ascii="Arial" w:cs="Arial" w:eastAsia="Arial" w:hAnsi="Arial"/>
                <w:sz w:val="18"/>
                <w:szCs w:val="18"/>
                <w:color w:val="auto"/>
              </w:rPr>
              <w:t>5 to 15 years</w:t>
            </w:r>
          </w:p>
        </w:tc>
      </w:tr>
      <w:tr>
        <w:trPr>
          <w:trHeight w:val="405"/>
        </w:trPr>
        <w:tc>
          <w:tcPr>
            <w:tcW w:w="456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2220" w:type="dxa"/>
            <w:vAlign w:val="bottom"/>
          </w:tcPr>
          <w:p>
            <w:pPr>
              <w:jc w:val="right"/>
              <w:ind w:right="270"/>
              <w:spacing w:after="0"/>
              <w:rPr>
                <w:sz w:val="20"/>
                <w:szCs w:val="20"/>
                <w:color w:val="auto"/>
              </w:rPr>
            </w:pPr>
            <w:r>
              <w:rPr>
                <w:rFonts w:ascii="Arial" w:cs="Arial" w:eastAsia="Arial" w:hAnsi="Arial"/>
                <w:sz w:val="18"/>
                <w:szCs w:val="18"/>
                <w:b w:val="1"/>
                <w:bCs w:val="1"/>
                <w:color w:val="auto"/>
              </w:rPr>
              <w:t>7,632</w:t>
            </w: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6,074</w:t>
            </w:r>
          </w:p>
        </w:tc>
        <w:tc>
          <w:tcPr>
            <w:tcW w:w="3280" w:type="dxa"/>
            <w:vAlign w:val="bottom"/>
          </w:tcPr>
          <w:p>
            <w:pPr>
              <w:ind w:left="220"/>
              <w:spacing w:after="0"/>
              <w:rPr>
                <w:sz w:val="20"/>
                <w:szCs w:val="20"/>
                <w:color w:val="auto"/>
              </w:rPr>
            </w:pPr>
            <w:r>
              <w:rPr>
                <w:rFonts w:ascii="Arial" w:cs="Arial" w:eastAsia="Arial" w:hAnsi="Arial"/>
                <w:sz w:val="18"/>
                <w:szCs w:val="18"/>
                <w:color w:val="auto"/>
              </w:rPr>
              <w:t>5 years</w:t>
            </w:r>
          </w:p>
        </w:tc>
      </w:tr>
      <w:tr>
        <w:trPr>
          <w:trHeight w:val="405"/>
        </w:trPr>
        <w:tc>
          <w:tcPr>
            <w:tcW w:w="4560" w:type="dxa"/>
            <w:vAlign w:val="bottom"/>
          </w:tcPr>
          <w:p>
            <w:pPr>
              <w:ind w:left="40"/>
              <w:spacing w:after="0"/>
              <w:rPr>
                <w:sz w:val="20"/>
                <w:szCs w:val="20"/>
                <w:color w:val="auto"/>
              </w:rPr>
            </w:pPr>
            <w:r>
              <w:rPr>
                <w:rFonts w:ascii="Arial" w:cs="Arial" w:eastAsia="Arial" w:hAnsi="Arial"/>
                <w:sz w:val="18"/>
                <w:szCs w:val="18"/>
                <w:color w:val="auto"/>
              </w:rPr>
              <w:t>Computer and other equipment</w:t>
            </w:r>
          </w:p>
        </w:tc>
        <w:tc>
          <w:tcPr>
            <w:tcW w:w="2220" w:type="dxa"/>
            <w:vAlign w:val="bottom"/>
          </w:tcPr>
          <w:p>
            <w:pPr>
              <w:jc w:val="right"/>
              <w:ind w:right="270"/>
              <w:spacing w:after="0"/>
              <w:rPr>
                <w:sz w:val="20"/>
                <w:szCs w:val="20"/>
                <w:color w:val="auto"/>
              </w:rPr>
            </w:pPr>
            <w:r>
              <w:rPr>
                <w:rFonts w:ascii="Arial" w:cs="Arial" w:eastAsia="Arial" w:hAnsi="Arial"/>
                <w:sz w:val="18"/>
                <w:szCs w:val="18"/>
                <w:b w:val="1"/>
                <w:bCs w:val="1"/>
                <w:color w:val="auto"/>
              </w:rPr>
              <w:t>15,264</w:t>
            </w: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14,813</w:t>
            </w:r>
          </w:p>
        </w:tc>
        <w:tc>
          <w:tcPr>
            <w:tcW w:w="3280" w:type="dxa"/>
            <w:vAlign w:val="bottom"/>
          </w:tcPr>
          <w:p>
            <w:pPr>
              <w:ind w:left="220"/>
              <w:spacing w:after="0"/>
              <w:rPr>
                <w:sz w:val="20"/>
                <w:szCs w:val="20"/>
                <w:color w:val="auto"/>
              </w:rPr>
            </w:pPr>
            <w:r>
              <w:rPr>
                <w:rFonts w:ascii="Arial" w:cs="Arial" w:eastAsia="Arial" w:hAnsi="Arial"/>
                <w:sz w:val="18"/>
                <w:szCs w:val="18"/>
                <w:color w:val="auto"/>
              </w:rPr>
              <w:t>3 to 10 years</w:t>
            </w:r>
          </w:p>
        </w:tc>
      </w:tr>
      <w:tr>
        <w:trPr>
          <w:trHeight w:val="405"/>
        </w:trPr>
        <w:tc>
          <w:tcPr>
            <w:tcW w:w="4560" w:type="dxa"/>
            <w:vAlign w:val="bottom"/>
          </w:tcPr>
          <w:p>
            <w:pPr>
              <w:ind w:left="40"/>
              <w:spacing w:after="0"/>
              <w:rPr>
                <w:sz w:val="20"/>
                <w:szCs w:val="20"/>
                <w:color w:val="auto"/>
              </w:rPr>
            </w:pPr>
            <w:r>
              <w:rPr>
                <w:rFonts w:ascii="Arial" w:cs="Arial" w:eastAsia="Arial" w:hAnsi="Arial"/>
                <w:sz w:val="18"/>
                <w:szCs w:val="18"/>
                <w:color w:val="auto"/>
              </w:rPr>
              <w:t>Software</w:t>
            </w:r>
          </w:p>
        </w:tc>
        <w:tc>
          <w:tcPr>
            <w:tcW w:w="2220" w:type="dxa"/>
            <w:vAlign w:val="bottom"/>
          </w:tcPr>
          <w:p>
            <w:pPr>
              <w:jc w:val="right"/>
              <w:ind w:right="270"/>
              <w:spacing w:after="0"/>
              <w:rPr>
                <w:sz w:val="20"/>
                <w:szCs w:val="20"/>
                <w:color w:val="auto"/>
              </w:rPr>
            </w:pPr>
            <w:r>
              <w:rPr>
                <w:rFonts w:ascii="Arial" w:cs="Arial" w:eastAsia="Arial" w:hAnsi="Arial"/>
                <w:sz w:val="18"/>
                <w:szCs w:val="18"/>
                <w:b w:val="1"/>
                <w:bCs w:val="1"/>
                <w:color w:val="auto"/>
              </w:rPr>
              <w:t>54,212</w:t>
            </w: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52,503</w:t>
            </w:r>
          </w:p>
        </w:tc>
        <w:tc>
          <w:tcPr>
            <w:tcW w:w="3280" w:type="dxa"/>
            <w:vAlign w:val="bottom"/>
          </w:tcPr>
          <w:p>
            <w:pPr>
              <w:ind w:left="220"/>
              <w:spacing w:after="0"/>
              <w:rPr>
                <w:sz w:val="20"/>
                <w:szCs w:val="20"/>
                <w:color w:val="auto"/>
              </w:rPr>
            </w:pPr>
            <w:r>
              <w:rPr>
                <w:rFonts w:ascii="Arial" w:cs="Arial" w:eastAsia="Arial" w:hAnsi="Arial"/>
                <w:sz w:val="18"/>
                <w:szCs w:val="18"/>
                <w:color w:val="auto"/>
              </w:rPr>
              <w:t>5 to 8 years</w:t>
            </w:r>
          </w:p>
        </w:tc>
      </w:tr>
      <w:tr>
        <w:trPr>
          <w:trHeight w:val="392"/>
        </w:trPr>
        <w:tc>
          <w:tcPr>
            <w:tcW w:w="45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Capital expenditures in progress</w:t>
            </w:r>
          </w:p>
        </w:tc>
        <w:tc>
          <w:tcPr>
            <w:tcW w:w="22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66,900</w:t>
            </w: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26,291</w:t>
            </w:r>
          </w:p>
        </w:tc>
        <w:tc>
          <w:tcPr>
            <w:tcW w:w="3280" w:type="dxa"/>
            <w:vAlign w:val="bottom"/>
            <w:tcBorders>
              <w:bottom w:val="single" w:sz="8" w:color="auto"/>
            </w:tcBorders>
          </w:tcPr>
          <w:p>
            <w:pPr>
              <w:spacing w:after="0"/>
              <w:rPr>
                <w:sz w:val="24"/>
                <w:szCs w:val="24"/>
                <w:color w:val="auto"/>
              </w:rPr>
            </w:pPr>
          </w:p>
        </w:tc>
      </w:tr>
      <w:tr>
        <w:trPr>
          <w:trHeight w:val="412"/>
        </w:trPr>
        <w:tc>
          <w:tcPr>
            <w:tcW w:w="4560" w:type="dxa"/>
            <w:vAlign w:val="bottom"/>
          </w:tcPr>
          <w:p>
            <w:pPr>
              <w:ind w:left="40"/>
              <w:spacing w:after="0"/>
              <w:rPr>
                <w:sz w:val="20"/>
                <w:szCs w:val="20"/>
                <w:color w:val="auto"/>
              </w:rPr>
            </w:pPr>
            <w:r>
              <w:rPr>
                <w:rFonts w:ascii="Arial" w:cs="Arial" w:eastAsia="Arial" w:hAnsi="Arial"/>
                <w:sz w:val="18"/>
                <w:szCs w:val="18"/>
                <w:color w:val="auto"/>
              </w:rPr>
              <w:t>Property, plant and equipment, gross</w:t>
            </w:r>
          </w:p>
        </w:tc>
        <w:tc>
          <w:tcPr>
            <w:tcW w:w="2220" w:type="dxa"/>
            <w:vAlign w:val="bottom"/>
          </w:tcPr>
          <w:p>
            <w:pPr>
              <w:jc w:val="right"/>
              <w:ind w:right="270"/>
              <w:spacing w:after="0"/>
              <w:rPr>
                <w:sz w:val="20"/>
                <w:szCs w:val="20"/>
                <w:color w:val="auto"/>
              </w:rPr>
            </w:pPr>
            <w:r>
              <w:rPr>
                <w:rFonts w:ascii="Arial" w:cs="Arial" w:eastAsia="Arial" w:hAnsi="Arial"/>
                <w:sz w:val="18"/>
                <w:szCs w:val="18"/>
                <w:b w:val="1"/>
                <w:bCs w:val="1"/>
                <w:color w:val="auto"/>
              </w:rPr>
              <w:t>1,222,494</w:t>
            </w: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1,153,424</w:t>
            </w:r>
          </w:p>
        </w:tc>
        <w:tc>
          <w:tcPr>
            <w:tcW w:w="3280" w:type="dxa"/>
            <w:vAlign w:val="bottom"/>
          </w:tcPr>
          <w:p>
            <w:pPr>
              <w:spacing w:after="0"/>
              <w:rPr>
                <w:sz w:val="24"/>
                <w:szCs w:val="24"/>
                <w:color w:val="auto"/>
              </w:rPr>
            </w:pPr>
          </w:p>
        </w:tc>
      </w:tr>
      <w:tr>
        <w:trPr>
          <w:trHeight w:val="392"/>
        </w:trPr>
        <w:tc>
          <w:tcPr>
            <w:tcW w:w="45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Accumulated depreciation and amortization</w:t>
            </w:r>
          </w:p>
        </w:tc>
        <w:tc>
          <w:tcPr>
            <w:tcW w:w="22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(799,930)</w:t>
            </w:r>
          </w:p>
        </w:tc>
        <w:tc>
          <w:tcPr>
            <w:tcW w:w="1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(795,954)</w:t>
            </w:r>
          </w:p>
        </w:tc>
        <w:tc>
          <w:tcPr>
            <w:tcW w:w="3280" w:type="dxa"/>
            <w:vAlign w:val="bottom"/>
            <w:tcBorders>
              <w:bottom w:val="single" w:sz="8" w:color="auto"/>
            </w:tcBorders>
          </w:tcPr>
          <w:p>
            <w:pPr>
              <w:spacing w:after="0"/>
              <w:rPr>
                <w:sz w:val="24"/>
                <w:szCs w:val="24"/>
                <w:color w:val="auto"/>
              </w:rPr>
            </w:pPr>
          </w:p>
        </w:tc>
      </w:tr>
      <w:tr>
        <w:trPr>
          <w:trHeight w:val="399"/>
        </w:trPr>
        <w:tc>
          <w:tcPr>
            <w:tcW w:w="45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Property, plant and equipment, net</w:t>
            </w:r>
          </w:p>
        </w:tc>
        <w:tc>
          <w:tcPr>
            <w:tcW w:w="22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$422,564</w:t>
            </w: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$357,470</w:t>
            </w:r>
          </w:p>
        </w:tc>
        <w:tc>
          <w:tcPr>
            <w:tcW w:w="3280" w:type="dxa"/>
            <w:vAlign w:val="bottom"/>
            <w:tcBorders>
              <w:bottom w:val="single" w:sz="8" w:color="auto"/>
            </w:tcBorders>
          </w:tcPr>
          <w:p>
            <w:pPr>
              <w:spacing w:after="0"/>
              <w:rPr>
                <w:sz w:val="24"/>
                <w:szCs w:val="24"/>
                <w:color w:val="auto"/>
              </w:rPr>
            </w:pPr>
          </w:p>
        </w:tc>
      </w:tr>
    </w:tbl>
    <w:p>
      <w:pPr>
        <w:spacing w:after="0" w:line="377" w:lineRule="exact"/>
        <w:rPr>
          <w:sz w:val="20"/>
          <w:szCs w:val="20"/>
          <w:color w:val="auto"/>
        </w:rPr>
      </w:pPr>
    </w:p>
    <w:p>
      <w:pPr>
        <w:ind w:right="200" w:firstLine="648"/>
        <w:spacing w:after="0"/>
        <w:rPr>
          <w:sz w:val="20"/>
          <w:szCs w:val="20"/>
          <w:color w:val="auto"/>
        </w:rPr>
      </w:pPr>
      <w:r>
        <w:rPr>
          <w:rFonts w:ascii="Arial" w:cs="Arial" w:eastAsia="Arial" w:hAnsi="Arial"/>
          <w:sz w:val="18"/>
          <w:szCs w:val="18"/>
          <w:color w:val="auto"/>
        </w:rPr>
        <w:t>In April 2016, we acquired Harris Corporation’s composite aerostructures business which increased property, plant and equipment by $62.8 million, including $8.1 million for a building under capital lease. We included amortization of the capital lease in depreciation expense. Accumulated amortization of the capital lease was $0.9 million as of December 31, 2016.</w:t>
      </w:r>
    </w:p>
    <w:p>
      <w:pPr>
        <w:spacing w:after="0" w:line="176" w:lineRule="exact"/>
        <w:rPr>
          <w:sz w:val="20"/>
          <w:szCs w:val="20"/>
          <w:color w:val="auto"/>
        </w:rPr>
      </w:pPr>
    </w:p>
    <w:p>
      <w:pPr>
        <w:ind w:right="240" w:firstLine="648"/>
        <w:spacing w:after="0" w:line="246" w:lineRule="auto"/>
        <w:rPr>
          <w:sz w:val="20"/>
          <w:szCs w:val="20"/>
          <w:color w:val="auto"/>
        </w:rPr>
      </w:pPr>
      <w:r>
        <w:rPr>
          <w:rFonts w:ascii="Arial" w:cs="Arial" w:eastAsia="Arial" w:hAnsi="Arial"/>
          <w:sz w:val="18"/>
          <w:szCs w:val="18"/>
          <w:color w:val="auto"/>
        </w:rPr>
        <w:t>Expenditures for maintenance and repairs are charged to income as incurred and amounted to $16.6 million in 2016, $16.6 million in 2015, and $17.4 million in 2014.</w:t>
      </w:r>
    </w:p>
    <w:p>
      <w:pPr>
        <w:spacing w:after="0" w:line="156" w:lineRule="exact"/>
        <w:rPr>
          <w:sz w:val="20"/>
          <w:szCs w:val="20"/>
          <w:color w:val="auto"/>
        </w:rPr>
      </w:pPr>
    </w:p>
    <w:p>
      <w:pPr>
        <w:jc w:val="both"/>
        <w:ind w:right="40" w:firstLine="648"/>
        <w:spacing w:after="0" w:line="239" w:lineRule="auto"/>
        <w:rPr>
          <w:sz w:val="20"/>
          <w:szCs w:val="20"/>
          <w:color w:val="auto"/>
        </w:rPr>
      </w:pPr>
      <w:r>
        <w:rPr>
          <w:rFonts w:ascii="Arial" w:cs="Arial" w:eastAsia="Arial" w:hAnsi="Arial"/>
          <w:sz w:val="18"/>
          <w:szCs w:val="18"/>
          <w:color w:val="auto"/>
        </w:rPr>
        <w:t>Depreciation expense was $58.1 million in 2016, $ 53.0 million in 2015, and $56.6 million in 2014. Software amortization is recorded in Selling, general, and administrative expense and was $4.0 million in 2016, $6.5 million in 2015, and $6.2 million in 2014. Capital expenditures, including purchased software, were $78.5 million in 2016, $50.6 million in 2015, and $58.9 million in 2014. Unamortized software cost was $7.2 million and $9.6 million as of December 31, 2016 and 2015,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Goodwill and Other Intangible Assets</w:t>
      </w:r>
    </w:p>
    <w:p>
      <w:pPr>
        <w:spacing w:after="0" w:line="207" w:lineRule="exact"/>
        <w:rPr>
          <w:sz w:val="20"/>
          <w:szCs w:val="20"/>
          <w:color w:val="auto"/>
        </w:rPr>
      </w:pPr>
    </w:p>
    <w:p>
      <w:pPr>
        <w:jc w:val="both"/>
        <w:ind w:right="180" w:firstLine="648"/>
        <w:spacing w:after="0"/>
        <w:rPr>
          <w:sz w:val="20"/>
          <w:szCs w:val="20"/>
          <w:color w:val="auto"/>
        </w:rPr>
      </w:pPr>
      <w:r>
        <w:rPr>
          <w:rFonts w:ascii="Arial" w:cs="Arial" w:eastAsia="Arial" w:hAnsi="Arial"/>
          <w:sz w:val="18"/>
          <w:szCs w:val="18"/>
          <w:color w:val="auto"/>
        </w:rPr>
        <w:t>Goodwill and intangible assets with indefinite useful lives are not amortized, but are tested for impairment at least annually. Goodwill represents the excess of the purchase price over the fair value of the net tangible and identifiable intangible assets acquired in each business combination. Our reporting units are consistent with our operating segments.</w:t>
      </w:r>
    </w:p>
    <w:p>
      <w:pPr>
        <w:spacing w:after="0" w:line="162" w:lineRule="exact"/>
        <w:rPr>
          <w:sz w:val="20"/>
          <w:szCs w:val="20"/>
          <w:color w:val="auto"/>
        </w:rPr>
      </w:pPr>
    </w:p>
    <w:p>
      <w:pPr>
        <w:ind w:right="40" w:firstLine="648"/>
        <w:spacing w:after="0" w:line="239" w:lineRule="auto"/>
        <w:rPr>
          <w:sz w:val="20"/>
          <w:szCs w:val="20"/>
          <w:color w:val="auto"/>
        </w:rPr>
      </w:pPr>
      <w:r>
        <w:rPr>
          <w:rFonts w:ascii="Arial" w:cs="Arial" w:eastAsia="Arial" w:hAnsi="Arial"/>
          <w:sz w:val="18"/>
          <w:szCs w:val="18"/>
          <w:color w:val="auto"/>
        </w:rPr>
        <w:t>Determining the fair value of a reporting unit requires the use of significant estimates and assumptions, including revenue growth rates, operating margins, discount rates, and future market conditions, among others. Goodwill and other long-lived assets are reviewed for impairment whenever events, such as significant changes in the business climate, plant closures, changes in product offerings, or other circumstances indicate that the carrying amount may not be recoverable.</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87" w:name="page88"/>
    <w:bookmarkEnd w:id="87"/>
    <w:p>
      <w:pPr>
        <w:ind w:right="20" w:firstLine="648"/>
        <w:spacing w:after="0" w:line="238" w:lineRule="auto"/>
        <w:rPr>
          <w:sz w:val="20"/>
          <w:szCs w:val="20"/>
          <w:color w:val="auto"/>
        </w:rPr>
      </w:pPr>
      <w:r>
        <w:rPr>
          <w:rFonts w:ascii="Arial" w:cs="Arial" w:eastAsia="Arial" w:hAnsi="Arial"/>
          <w:sz w:val="18"/>
          <w:szCs w:val="18"/>
          <w:color w:val="auto"/>
        </w:rPr>
        <w:t>To determine fair value, we utilize two market-based approaches and an income approach. Under the market-based approaches, we utilize information regarding the Company as well as publicly available industry information to determine earnings multiples and sales multiples. Under the income approach, we determine fair value based on estimated future cash flows of each reporting unit, discounted by an estimated weighted-average cost of capital, which reflects the overall level of inherent risk of a reporting unit and the rate of return an outside investor would expect to earn.</w:t>
      </w:r>
    </w:p>
    <w:p>
      <w:pPr>
        <w:spacing w:after="0" w:line="161" w:lineRule="exact"/>
        <w:rPr>
          <w:sz w:val="20"/>
          <w:szCs w:val="20"/>
          <w:color w:val="auto"/>
        </w:rPr>
      </w:pPr>
    </w:p>
    <w:p>
      <w:pPr>
        <w:jc w:val="both"/>
        <w:ind w:right="40" w:firstLine="648"/>
        <w:spacing w:after="0"/>
        <w:rPr>
          <w:sz w:val="20"/>
          <w:szCs w:val="20"/>
          <w:color w:val="auto"/>
        </w:rPr>
      </w:pPr>
      <w:r>
        <w:rPr>
          <w:rFonts w:ascii="Arial" w:cs="Arial" w:eastAsia="Arial" w:hAnsi="Arial"/>
          <w:sz w:val="18"/>
          <w:szCs w:val="18"/>
          <w:color w:val="auto"/>
        </w:rPr>
        <w:t>On April 8, 2016, the Company acquired the outstanding shares of Harris Corporation’s composite aerostructures business. The assets acquired include amortizable intangible assets of $71.6 million and goodwill of $95.7 million. As of December 31, 2016, the amount of goodwill acquired was still provisional because the Company is waiting for information needed to finalize the amount.</w:t>
      </w:r>
    </w:p>
    <w:p>
      <w:pPr>
        <w:spacing w:after="0" w:line="176" w:lineRule="exact"/>
        <w:rPr>
          <w:sz w:val="20"/>
          <w:szCs w:val="20"/>
          <w:color w:val="auto"/>
        </w:rPr>
      </w:pPr>
    </w:p>
    <w:p>
      <w:pPr>
        <w:ind w:right="160" w:firstLine="648"/>
        <w:spacing w:after="0" w:line="239" w:lineRule="auto"/>
        <w:rPr>
          <w:sz w:val="20"/>
          <w:szCs w:val="20"/>
          <w:color w:val="auto"/>
        </w:rPr>
      </w:pPr>
      <w:r>
        <w:rPr>
          <w:rFonts w:ascii="Arial" w:cs="Arial" w:eastAsia="Arial" w:hAnsi="Arial"/>
          <w:sz w:val="18"/>
          <w:szCs w:val="18"/>
          <w:color w:val="auto"/>
        </w:rPr>
        <w:t>Prior to the acquisition, the entire balance of goodwill on our books was attributable to the Machine Clothing business. In the second quarter of 2016, the Company applied the qualitative assessment approach in performing its annual evaluation of goodwill and concluded that no impairment provision was required. There were no Machine Clothing amounts at risk due to the large spread between the fair and carrying values.</w:t>
      </w:r>
    </w:p>
    <w:p>
      <w:pPr>
        <w:spacing w:after="0" w:line="161" w:lineRule="exact"/>
        <w:rPr>
          <w:sz w:val="20"/>
          <w:szCs w:val="20"/>
          <w:color w:val="auto"/>
        </w:rPr>
      </w:pPr>
    </w:p>
    <w:p>
      <w:pPr>
        <w:ind w:right="540" w:firstLine="648"/>
        <w:spacing w:after="0" w:line="246" w:lineRule="auto"/>
        <w:rPr>
          <w:sz w:val="20"/>
          <w:szCs w:val="20"/>
          <w:color w:val="auto"/>
        </w:rPr>
      </w:pPr>
      <w:r>
        <w:rPr>
          <w:rFonts w:ascii="Arial" w:cs="Arial" w:eastAsia="Arial" w:hAnsi="Arial"/>
          <w:sz w:val="18"/>
          <w:szCs w:val="18"/>
          <w:color w:val="auto"/>
        </w:rPr>
        <w:t>We are continuing to amortize certain patents, trade names, customer contracts and technology assets that have finite lives. The changes in intangible assets and goodwill from December 31, 2014 to December 31, 2016, were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20" w:type="dxa"/>
            <w:vAlign w:val="bottom"/>
            <w:tcBorders>
              <w:top w:val="single" w:sz="8" w:color="auto"/>
            </w:tcBorders>
          </w:tcPr>
          <w:p>
            <w:pPr>
              <w:spacing w:after="0"/>
              <w:rPr>
                <w:sz w:val="14"/>
                <w:szCs w:val="14"/>
                <w:color w:val="auto"/>
              </w:rPr>
            </w:pPr>
          </w:p>
        </w:tc>
        <w:tc>
          <w:tcPr>
            <w:tcW w:w="1940" w:type="dxa"/>
            <w:vAlign w:val="bottom"/>
            <w:tcBorders>
              <w:top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Amortization life</w:t>
            </w:r>
          </w:p>
        </w:tc>
        <w:tc>
          <w:tcPr>
            <w:tcW w:w="1480" w:type="dxa"/>
            <w:vAlign w:val="bottom"/>
            <w:tcBorders>
              <w:top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Balance at</w:t>
            </w:r>
          </w:p>
        </w:tc>
        <w:tc>
          <w:tcPr>
            <w:tcW w:w="10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Currency</w:t>
            </w:r>
          </w:p>
        </w:tc>
        <w:tc>
          <w:tcPr>
            <w:tcW w:w="1420" w:type="dxa"/>
            <w:vAlign w:val="bottom"/>
            <w:tcBorders>
              <w:top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Balance at</w:t>
            </w:r>
          </w:p>
        </w:tc>
      </w:tr>
      <w:tr>
        <w:trPr>
          <w:trHeight w:val="175"/>
        </w:trPr>
        <w:tc>
          <w:tcPr>
            <w:tcW w:w="3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 except for years)</w:t>
            </w:r>
          </w:p>
        </w:tc>
        <w:tc>
          <w:tcPr>
            <w:tcW w:w="19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in years</w:t>
            </w:r>
          </w:p>
        </w:tc>
        <w:tc>
          <w:tcPr>
            <w:tcW w:w="14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December 31, 2015</w:t>
            </w: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Acquisition</w:t>
            </w: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Amortization</w:t>
            </w: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Translation</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 2016</w:t>
            </w:r>
          </w:p>
        </w:tc>
      </w:tr>
      <w:tr>
        <w:trPr>
          <w:trHeight w:val="195"/>
        </w:trPr>
        <w:tc>
          <w:tcPr>
            <w:tcW w:w="3420" w:type="dxa"/>
            <w:vAlign w:val="bottom"/>
          </w:tcPr>
          <w:p>
            <w:pPr>
              <w:ind w:left="40"/>
              <w:spacing w:after="0" w:line="195" w:lineRule="exact"/>
              <w:rPr>
                <w:sz w:val="20"/>
                <w:szCs w:val="20"/>
                <w:color w:val="auto"/>
              </w:rPr>
            </w:pPr>
            <w:r>
              <w:rPr>
                <w:rFonts w:ascii="Arial" w:cs="Arial" w:eastAsia="Arial" w:hAnsi="Arial"/>
                <w:sz w:val="18"/>
                <w:szCs w:val="18"/>
                <w:color w:val="auto"/>
              </w:rPr>
              <w:t>Amortized intangible assets:</w:t>
            </w:r>
          </w:p>
        </w:tc>
        <w:tc>
          <w:tcPr>
            <w:tcW w:w="19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03"/>
        </w:trPr>
        <w:tc>
          <w:tcPr>
            <w:tcW w:w="3420" w:type="dxa"/>
            <w:vAlign w:val="bottom"/>
          </w:tcPr>
          <w:p>
            <w:pPr>
              <w:ind w:left="180"/>
              <w:spacing w:after="0" w:line="202" w:lineRule="exact"/>
              <w:rPr>
                <w:sz w:val="20"/>
                <w:szCs w:val="20"/>
                <w:color w:val="auto"/>
              </w:rPr>
            </w:pPr>
            <w:r>
              <w:rPr>
                <w:rFonts w:ascii="Arial" w:cs="Arial" w:eastAsia="Arial" w:hAnsi="Arial"/>
                <w:sz w:val="18"/>
                <w:szCs w:val="18"/>
                <w:color w:val="auto"/>
              </w:rPr>
              <w:t>AEC trade names</w:t>
            </w:r>
          </w:p>
        </w:tc>
        <w:tc>
          <w:tcPr>
            <w:tcW w:w="194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15</w:t>
            </w:r>
          </w:p>
        </w:tc>
        <w:tc>
          <w:tcPr>
            <w:tcW w:w="1480" w:type="dxa"/>
            <w:vAlign w:val="bottom"/>
          </w:tcPr>
          <w:p>
            <w:pPr>
              <w:jc w:val="right"/>
              <w:ind w:right="173"/>
              <w:spacing w:after="0" w:line="202" w:lineRule="exact"/>
              <w:rPr>
                <w:sz w:val="20"/>
                <w:szCs w:val="20"/>
                <w:color w:val="auto"/>
              </w:rPr>
            </w:pPr>
            <w:r>
              <w:rPr>
                <w:rFonts w:ascii="Arial" w:cs="Arial" w:eastAsia="Arial" w:hAnsi="Arial"/>
                <w:sz w:val="18"/>
                <w:szCs w:val="18"/>
                <w:color w:val="auto"/>
              </w:rPr>
              <w:t>$25</w:t>
            </w:r>
          </w:p>
        </w:tc>
        <w:tc>
          <w:tcPr>
            <w:tcW w:w="102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($5)</w:t>
            </w:r>
          </w:p>
        </w:tc>
        <w:tc>
          <w:tcPr>
            <w:tcW w:w="1020" w:type="dxa"/>
            <w:vAlign w:val="bottom"/>
          </w:tcPr>
          <w:p>
            <w:pPr>
              <w:jc w:val="right"/>
              <w:ind w:right="93"/>
              <w:spacing w:after="0" w:line="202" w:lineRule="exact"/>
              <w:rPr>
                <w:sz w:val="20"/>
                <w:szCs w:val="20"/>
                <w:color w:val="auto"/>
              </w:rPr>
            </w:pPr>
            <w:r>
              <w:rPr>
                <w:rFonts w:ascii="Arial" w:cs="Arial" w:eastAsia="Arial" w:hAnsi="Arial"/>
                <w:sz w:val="18"/>
                <w:szCs w:val="18"/>
                <w:color w:val="auto"/>
              </w:rPr>
              <w:t>$-</w:t>
            </w:r>
          </w:p>
        </w:tc>
        <w:tc>
          <w:tcPr>
            <w:tcW w:w="1420" w:type="dxa"/>
            <w:vAlign w:val="bottom"/>
          </w:tcPr>
          <w:p>
            <w:pPr>
              <w:jc w:val="right"/>
              <w:ind w:right="73"/>
              <w:spacing w:after="0" w:line="202" w:lineRule="exact"/>
              <w:rPr>
                <w:sz w:val="20"/>
                <w:szCs w:val="20"/>
                <w:color w:val="auto"/>
              </w:rPr>
            </w:pPr>
            <w:r>
              <w:rPr>
                <w:rFonts w:ascii="Arial" w:cs="Arial" w:eastAsia="Arial" w:hAnsi="Arial"/>
                <w:sz w:val="18"/>
                <w:szCs w:val="18"/>
                <w:color w:val="auto"/>
              </w:rPr>
              <w:t>$20</w:t>
            </w:r>
          </w:p>
        </w:tc>
      </w:tr>
      <w:tr>
        <w:trPr>
          <w:trHeight w:val="203"/>
        </w:trPr>
        <w:tc>
          <w:tcPr>
            <w:tcW w:w="3420" w:type="dxa"/>
            <w:vAlign w:val="bottom"/>
          </w:tcPr>
          <w:p>
            <w:pPr>
              <w:ind w:left="180"/>
              <w:spacing w:after="0" w:line="202" w:lineRule="exact"/>
              <w:rPr>
                <w:sz w:val="20"/>
                <w:szCs w:val="20"/>
                <w:color w:val="auto"/>
              </w:rPr>
            </w:pPr>
            <w:r>
              <w:rPr>
                <w:rFonts w:ascii="Arial" w:cs="Arial" w:eastAsia="Arial" w:hAnsi="Arial"/>
                <w:sz w:val="18"/>
                <w:szCs w:val="18"/>
                <w:color w:val="auto"/>
              </w:rPr>
              <w:t>AEC technology</w:t>
            </w:r>
          </w:p>
        </w:tc>
        <w:tc>
          <w:tcPr>
            <w:tcW w:w="194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15</w:t>
            </w:r>
          </w:p>
        </w:tc>
        <w:tc>
          <w:tcPr>
            <w:tcW w:w="1480" w:type="dxa"/>
            <w:vAlign w:val="bottom"/>
          </w:tcPr>
          <w:p>
            <w:pPr>
              <w:jc w:val="right"/>
              <w:ind w:right="173"/>
              <w:spacing w:after="0" w:line="202" w:lineRule="exact"/>
              <w:rPr>
                <w:sz w:val="20"/>
                <w:szCs w:val="20"/>
                <w:color w:val="auto"/>
              </w:rPr>
            </w:pPr>
            <w:r>
              <w:rPr>
                <w:rFonts w:ascii="Arial" w:cs="Arial" w:eastAsia="Arial" w:hAnsi="Arial"/>
                <w:sz w:val="18"/>
                <w:szCs w:val="18"/>
                <w:color w:val="auto"/>
              </w:rPr>
              <w:t>129</w:t>
            </w:r>
          </w:p>
        </w:tc>
        <w:tc>
          <w:tcPr>
            <w:tcW w:w="102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(25)</w:t>
            </w:r>
          </w:p>
        </w:tc>
        <w:tc>
          <w:tcPr>
            <w:tcW w:w="1020" w:type="dxa"/>
            <w:vAlign w:val="bottom"/>
          </w:tcPr>
          <w:p>
            <w:pPr>
              <w:jc w:val="right"/>
              <w:ind w:right="93"/>
              <w:spacing w:after="0" w:line="202" w:lineRule="exact"/>
              <w:rPr>
                <w:sz w:val="20"/>
                <w:szCs w:val="20"/>
                <w:color w:val="auto"/>
              </w:rPr>
            </w:pPr>
            <w:r>
              <w:rPr>
                <w:rFonts w:ascii="Arial" w:cs="Arial" w:eastAsia="Arial" w:hAnsi="Arial"/>
                <w:sz w:val="18"/>
                <w:szCs w:val="18"/>
                <w:color w:val="auto"/>
              </w:rPr>
              <w:t>-</w:t>
            </w:r>
          </w:p>
        </w:tc>
        <w:tc>
          <w:tcPr>
            <w:tcW w:w="1420" w:type="dxa"/>
            <w:vAlign w:val="bottom"/>
          </w:tcPr>
          <w:p>
            <w:pPr>
              <w:jc w:val="right"/>
              <w:ind w:right="73"/>
              <w:spacing w:after="0" w:line="202" w:lineRule="exact"/>
              <w:rPr>
                <w:sz w:val="20"/>
                <w:szCs w:val="20"/>
                <w:color w:val="auto"/>
              </w:rPr>
            </w:pPr>
            <w:r>
              <w:rPr>
                <w:rFonts w:ascii="Arial" w:cs="Arial" w:eastAsia="Arial" w:hAnsi="Arial"/>
                <w:sz w:val="18"/>
                <w:szCs w:val="18"/>
                <w:color w:val="auto"/>
              </w:rPr>
              <w:t>104</w:t>
            </w:r>
          </w:p>
        </w:tc>
      </w:tr>
      <w:tr>
        <w:trPr>
          <w:trHeight w:val="203"/>
        </w:trPr>
        <w:tc>
          <w:tcPr>
            <w:tcW w:w="3420" w:type="dxa"/>
            <w:vAlign w:val="bottom"/>
          </w:tcPr>
          <w:p>
            <w:pPr>
              <w:ind w:left="180"/>
              <w:spacing w:after="0" w:line="202" w:lineRule="exact"/>
              <w:rPr>
                <w:sz w:val="20"/>
                <w:szCs w:val="20"/>
                <w:color w:val="auto"/>
              </w:rPr>
            </w:pPr>
            <w:r>
              <w:rPr>
                <w:rFonts w:ascii="Arial" w:cs="Arial" w:eastAsia="Arial" w:hAnsi="Arial"/>
                <w:sz w:val="18"/>
                <w:szCs w:val="18"/>
                <w:color w:val="auto"/>
              </w:rPr>
              <w:t>AEC customer contracts</w:t>
            </w:r>
          </w:p>
        </w:tc>
        <w:tc>
          <w:tcPr>
            <w:tcW w:w="194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6</w:t>
            </w:r>
          </w:p>
        </w:tc>
        <w:tc>
          <w:tcPr>
            <w:tcW w:w="1480" w:type="dxa"/>
            <w:vAlign w:val="bottom"/>
          </w:tcPr>
          <w:p>
            <w:pPr>
              <w:jc w:val="right"/>
              <w:ind w:right="173"/>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92"/>
              <w:spacing w:after="0" w:line="202" w:lineRule="exact"/>
              <w:rPr>
                <w:sz w:val="20"/>
                <w:szCs w:val="20"/>
                <w:color w:val="auto"/>
              </w:rPr>
            </w:pPr>
            <w:r>
              <w:rPr>
                <w:rFonts w:ascii="Arial" w:cs="Arial" w:eastAsia="Arial" w:hAnsi="Arial"/>
                <w:sz w:val="18"/>
                <w:szCs w:val="18"/>
                <w:color w:val="auto"/>
              </w:rPr>
              <w:t>20,420</w:t>
            </w:r>
          </w:p>
        </w:tc>
        <w:tc>
          <w:tcPr>
            <w:tcW w:w="11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(2,561)</w:t>
            </w:r>
          </w:p>
        </w:tc>
        <w:tc>
          <w:tcPr>
            <w:tcW w:w="1020" w:type="dxa"/>
            <w:vAlign w:val="bottom"/>
          </w:tcPr>
          <w:p>
            <w:pPr>
              <w:jc w:val="right"/>
              <w:ind w:right="93"/>
              <w:spacing w:after="0" w:line="202" w:lineRule="exact"/>
              <w:rPr>
                <w:sz w:val="20"/>
                <w:szCs w:val="20"/>
                <w:color w:val="auto"/>
              </w:rPr>
            </w:pPr>
            <w:r>
              <w:rPr>
                <w:rFonts w:ascii="Arial" w:cs="Arial" w:eastAsia="Arial" w:hAnsi="Arial"/>
                <w:sz w:val="18"/>
                <w:szCs w:val="18"/>
                <w:color w:val="auto"/>
              </w:rPr>
              <w:t>-</w:t>
            </w:r>
          </w:p>
        </w:tc>
        <w:tc>
          <w:tcPr>
            <w:tcW w:w="1420" w:type="dxa"/>
            <w:vAlign w:val="bottom"/>
          </w:tcPr>
          <w:p>
            <w:pPr>
              <w:jc w:val="right"/>
              <w:ind w:right="73"/>
              <w:spacing w:after="0" w:line="202" w:lineRule="exact"/>
              <w:rPr>
                <w:sz w:val="20"/>
                <w:szCs w:val="20"/>
                <w:color w:val="auto"/>
              </w:rPr>
            </w:pPr>
            <w:r>
              <w:rPr>
                <w:rFonts w:ascii="Arial" w:cs="Arial" w:eastAsia="Arial" w:hAnsi="Arial"/>
                <w:sz w:val="18"/>
                <w:szCs w:val="18"/>
                <w:color w:val="auto"/>
              </w:rPr>
              <w:t>17,859</w:t>
            </w:r>
          </w:p>
        </w:tc>
      </w:tr>
      <w:tr>
        <w:trPr>
          <w:trHeight w:val="203"/>
        </w:trPr>
        <w:tc>
          <w:tcPr>
            <w:tcW w:w="3420" w:type="dxa"/>
            <w:vAlign w:val="bottom"/>
          </w:tcPr>
          <w:p>
            <w:pPr>
              <w:ind w:left="180"/>
              <w:spacing w:after="0" w:line="202" w:lineRule="exact"/>
              <w:rPr>
                <w:sz w:val="20"/>
                <w:szCs w:val="20"/>
                <w:color w:val="auto"/>
              </w:rPr>
            </w:pPr>
            <w:r>
              <w:rPr>
                <w:rFonts w:ascii="Arial" w:cs="Arial" w:eastAsia="Arial" w:hAnsi="Arial"/>
                <w:sz w:val="18"/>
                <w:szCs w:val="18"/>
                <w:color w:val="auto"/>
              </w:rPr>
              <w:t>AEC customer relationships</w:t>
            </w:r>
          </w:p>
        </w:tc>
        <w:tc>
          <w:tcPr>
            <w:tcW w:w="194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15</w:t>
            </w:r>
          </w:p>
        </w:tc>
        <w:tc>
          <w:tcPr>
            <w:tcW w:w="1480" w:type="dxa"/>
            <w:vAlign w:val="bottom"/>
          </w:tcPr>
          <w:p>
            <w:pPr>
              <w:jc w:val="right"/>
              <w:ind w:right="173"/>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92"/>
              <w:spacing w:after="0" w:line="202" w:lineRule="exact"/>
              <w:rPr>
                <w:sz w:val="20"/>
                <w:szCs w:val="20"/>
                <w:color w:val="auto"/>
              </w:rPr>
            </w:pPr>
            <w:r>
              <w:rPr>
                <w:rFonts w:ascii="Arial" w:cs="Arial" w:eastAsia="Arial" w:hAnsi="Arial"/>
                <w:sz w:val="18"/>
                <w:szCs w:val="18"/>
                <w:color w:val="auto"/>
              </w:rPr>
              <w:t>49,490</w:t>
            </w:r>
          </w:p>
        </w:tc>
        <w:tc>
          <w:tcPr>
            <w:tcW w:w="11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(2,481)</w:t>
            </w:r>
          </w:p>
        </w:tc>
        <w:tc>
          <w:tcPr>
            <w:tcW w:w="1020" w:type="dxa"/>
            <w:vAlign w:val="bottom"/>
          </w:tcPr>
          <w:p>
            <w:pPr>
              <w:jc w:val="right"/>
              <w:ind w:right="93"/>
              <w:spacing w:after="0" w:line="202" w:lineRule="exact"/>
              <w:rPr>
                <w:sz w:val="20"/>
                <w:szCs w:val="20"/>
                <w:color w:val="auto"/>
              </w:rPr>
            </w:pPr>
            <w:r>
              <w:rPr>
                <w:rFonts w:ascii="Arial" w:cs="Arial" w:eastAsia="Arial" w:hAnsi="Arial"/>
                <w:sz w:val="18"/>
                <w:szCs w:val="18"/>
                <w:color w:val="auto"/>
              </w:rPr>
              <w:t>-</w:t>
            </w:r>
          </w:p>
        </w:tc>
        <w:tc>
          <w:tcPr>
            <w:tcW w:w="1420" w:type="dxa"/>
            <w:vAlign w:val="bottom"/>
          </w:tcPr>
          <w:p>
            <w:pPr>
              <w:jc w:val="right"/>
              <w:ind w:right="73"/>
              <w:spacing w:after="0" w:line="202" w:lineRule="exact"/>
              <w:rPr>
                <w:sz w:val="20"/>
                <w:szCs w:val="20"/>
                <w:color w:val="auto"/>
              </w:rPr>
            </w:pPr>
            <w:r>
              <w:rPr>
                <w:rFonts w:ascii="Arial" w:cs="Arial" w:eastAsia="Arial" w:hAnsi="Arial"/>
                <w:sz w:val="18"/>
                <w:szCs w:val="18"/>
                <w:color w:val="auto"/>
              </w:rPr>
              <w:t>47,009</w:t>
            </w:r>
          </w:p>
        </w:tc>
      </w:tr>
      <w:tr>
        <w:trPr>
          <w:trHeight w:val="203"/>
        </w:trPr>
        <w:tc>
          <w:tcPr>
            <w:tcW w:w="3420" w:type="dxa"/>
            <w:vAlign w:val="bottom"/>
            <w:tcBorders>
              <w:bottom w:val="single" w:sz="8" w:color="auto"/>
            </w:tcBorders>
          </w:tcPr>
          <w:p>
            <w:pPr>
              <w:ind w:left="180"/>
              <w:spacing w:after="0" w:line="203" w:lineRule="exact"/>
              <w:rPr>
                <w:sz w:val="20"/>
                <w:szCs w:val="20"/>
                <w:color w:val="auto"/>
              </w:rPr>
            </w:pPr>
            <w:r>
              <w:rPr>
                <w:rFonts w:ascii="Arial" w:cs="Arial" w:eastAsia="Arial" w:hAnsi="Arial"/>
                <w:sz w:val="18"/>
                <w:szCs w:val="18"/>
                <w:color w:val="auto"/>
              </w:rPr>
              <w:t>AEC other intangibles</w:t>
            </w:r>
          </w:p>
        </w:tc>
        <w:tc>
          <w:tcPr>
            <w:tcW w:w="1940" w:type="dxa"/>
            <w:vAlign w:val="bottom"/>
            <w:tcBorders>
              <w:bottom w:val="single" w:sz="8" w:color="auto"/>
            </w:tcBorders>
          </w:tcPr>
          <w:p>
            <w:pPr>
              <w:jc w:val="right"/>
              <w:ind w:right="155"/>
              <w:spacing w:after="0" w:line="203" w:lineRule="exact"/>
              <w:rPr>
                <w:sz w:val="20"/>
                <w:szCs w:val="20"/>
                <w:color w:val="auto"/>
              </w:rPr>
            </w:pPr>
            <w:r>
              <w:rPr>
                <w:rFonts w:ascii="Arial" w:cs="Arial" w:eastAsia="Arial" w:hAnsi="Arial"/>
                <w:sz w:val="18"/>
                <w:szCs w:val="18"/>
                <w:color w:val="auto"/>
              </w:rPr>
              <w:t>5</w:t>
            </w:r>
          </w:p>
        </w:tc>
        <w:tc>
          <w:tcPr>
            <w:tcW w:w="1480" w:type="dxa"/>
            <w:vAlign w:val="bottom"/>
            <w:tcBorders>
              <w:bottom w:val="single" w:sz="8" w:color="auto"/>
            </w:tcBorders>
          </w:tcPr>
          <w:p>
            <w:pPr>
              <w:jc w:val="right"/>
              <w:ind w:right="173"/>
              <w:spacing w:after="0" w:line="203"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92"/>
              <w:spacing w:after="0" w:line="203" w:lineRule="exact"/>
              <w:rPr>
                <w:sz w:val="20"/>
                <w:szCs w:val="20"/>
                <w:color w:val="auto"/>
              </w:rPr>
            </w:pPr>
            <w:r>
              <w:rPr>
                <w:rFonts w:ascii="Arial" w:cs="Arial" w:eastAsia="Arial" w:hAnsi="Arial"/>
                <w:sz w:val="18"/>
                <w:szCs w:val="18"/>
                <w:color w:val="auto"/>
              </w:rPr>
              <w:t>1,720</w:t>
            </w:r>
          </w:p>
        </w:tc>
        <w:tc>
          <w:tcPr>
            <w:tcW w:w="1120" w:type="dxa"/>
            <w:vAlign w:val="bottom"/>
            <w:tcBorders>
              <w:bottom w:val="single" w:sz="8" w:color="auto"/>
            </w:tcBorders>
          </w:tcPr>
          <w:p>
            <w:pPr>
              <w:jc w:val="right"/>
              <w:ind w:right="72"/>
              <w:spacing w:after="0" w:line="203" w:lineRule="exact"/>
              <w:rPr>
                <w:sz w:val="20"/>
                <w:szCs w:val="20"/>
                <w:color w:val="auto"/>
              </w:rPr>
            </w:pPr>
            <w:r>
              <w:rPr>
                <w:rFonts w:ascii="Arial" w:cs="Arial" w:eastAsia="Arial" w:hAnsi="Arial"/>
                <w:sz w:val="18"/>
                <w:szCs w:val="18"/>
                <w:color w:val="auto"/>
              </w:rPr>
              <w:t>(258)</w:t>
            </w:r>
          </w:p>
        </w:tc>
        <w:tc>
          <w:tcPr>
            <w:tcW w:w="1020" w:type="dxa"/>
            <w:vAlign w:val="bottom"/>
            <w:tcBorders>
              <w:bottom w:val="single" w:sz="8" w:color="auto"/>
            </w:tcBorders>
          </w:tcPr>
          <w:p>
            <w:pPr>
              <w:jc w:val="right"/>
              <w:ind w:right="93"/>
              <w:spacing w:after="0" w:line="203" w:lineRule="exact"/>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73"/>
              <w:spacing w:after="0" w:line="203" w:lineRule="exact"/>
              <w:rPr>
                <w:sz w:val="20"/>
                <w:szCs w:val="20"/>
                <w:color w:val="auto"/>
              </w:rPr>
            </w:pPr>
            <w:r>
              <w:rPr>
                <w:rFonts w:ascii="Arial" w:cs="Arial" w:eastAsia="Arial" w:hAnsi="Arial"/>
                <w:sz w:val="18"/>
                <w:szCs w:val="18"/>
                <w:color w:val="auto"/>
              </w:rPr>
              <w:t>1,462</w:t>
            </w:r>
          </w:p>
        </w:tc>
      </w:tr>
      <w:tr>
        <w:trPr>
          <w:trHeight w:val="196"/>
        </w:trPr>
        <w:tc>
          <w:tcPr>
            <w:tcW w:w="342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Total amortized intangible assets</w:t>
            </w:r>
          </w:p>
        </w:tc>
        <w:tc>
          <w:tcPr>
            <w:tcW w:w="19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73"/>
              <w:spacing w:after="0" w:line="196" w:lineRule="exact"/>
              <w:rPr>
                <w:sz w:val="20"/>
                <w:szCs w:val="20"/>
                <w:color w:val="auto"/>
              </w:rPr>
            </w:pPr>
            <w:r>
              <w:rPr>
                <w:rFonts w:ascii="Arial" w:cs="Arial" w:eastAsia="Arial" w:hAnsi="Arial"/>
                <w:sz w:val="18"/>
                <w:szCs w:val="18"/>
                <w:color w:val="auto"/>
              </w:rPr>
              <w:t>$154</w:t>
            </w:r>
          </w:p>
        </w:tc>
        <w:tc>
          <w:tcPr>
            <w:tcW w:w="1020" w:type="dxa"/>
            <w:vAlign w:val="bottom"/>
            <w:tcBorders>
              <w:bottom w:val="single" w:sz="8" w:color="auto"/>
            </w:tcBorders>
          </w:tcPr>
          <w:p>
            <w:pPr>
              <w:jc w:val="right"/>
              <w:ind w:right="92"/>
              <w:spacing w:after="0" w:line="196" w:lineRule="exact"/>
              <w:rPr>
                <w:sz w:val="20"/>
                <w:szCs w:val="20"/>
                <w:color w:val="auto"/>
              </w:rPr>
            </w:pPr>
            <w:r>
              <w:rPr>
                <w:rFonts w:ascii="Arial" w:cs="Arial" w:eastAsia="Arial" w:hAnsi="Arial"/>
                <w:sz w:val="18"/>
                <w:szCs w:val="18"/>
                <w:color w:val="auto"/>
              </w:rPr>
              <w:t>$71,630</w:t>
            </w:r>
          </w:p>
        </w:tc>
        <w:tc>
          <w:tcPr>
            <w:tcW w:w="1120" w:type="dxa"/>
            <w:vAlign w:val="bottom"/>
            <w:tcBorders>
              <w:bottom w:val="single" w:sz="8" w:color="auto"/>
            </w:tcBorders>
          </w:tcPr>
          <w:p>
            <w:pPr>
              <w:jc w:val="right"/>
              <w:ind w:right="72"/>
              <w:spacing w:after="0" w:line="196" w:lineRule="exact"/>
              <w:rPr>
                <w:sz w:val="20"/>
                <w:szCs w:val="20"/>
                <w:color w:val="auto"/>
              </w:rPr>
            </w:pPr>
            <w:r>
              <w:rPr>
                <w:rFonts w:ascii="Arial" w:cs="Arial" w:eastAsia="Arial" w:hAnsi="Arial"/>
                <w:sz w:val="18"/>
                <w:szCs w:val="18"/>
                <w:color w:val="auto"/>
              </w:rPr>
              <w:t>($5,330)</w:t>
            </w:r>
          </w:p>
        </w:tc>
        <w:tc>
          <w:tcPr>
            <w:tcW w:w="1020" w:type="dxa"/>
            <w:vAlign w:val="bottom"/>
            <w:tcBorders>
              <w:bottom w:val="single" w:sz="8" w:color="auto"/>
            </w:tcBorders>
          </w:tcPr>
          <w:p>
            <w:pPr>
              <w:jc w:val="right"/>
              <w:ind w:right="93"/>
              <w:spacing w:after="0" w:line="196" w:lineRule="exact"/>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73"/>
              <w:spacing w:after="0" w:line="196" w:lineRule="exact"/>
              <w:rPr>
                <w:sz w:val="20"/>
                <w:szCs w:val="20"/>
                <w:color w:val="auto"/>
              </w:rPr>
            </w:pPr>
            <w:r>
              <w:rPr>
                <w:rFonts w:ascii="Arial" w:cs="Arial" w:eastAsia="Arial" w:hAnsi="Arial"/>
                <w:sz w:val="18"/>
                <w:szCs w:val="18"/>
                <w:color w:val="auto"/>
              </w:rPr>
              <w:t>$66,454</w:t>
            </w:r>
          </w:p>
        </w:tc>
      </w:tr>
      <w:tr>
        <w:trPr>
          <w:trHeight w:val="398"/>
        </w:trPr>
        <w:tc>
          <w:tcPr>
            <w:tcW w:w="3420" w:type="dxa"/>
            <w:vAlign w:val="bottom"/>
          </w:tcPr>
          <w:p>
            <w:pPr>
              <w:ind w:left="40"/>
              <w:spacing w:after="0"/>
              <w:rPr>
                <w:sz w:val="20"/>
                <w:szCs w:val="20"/>
                <w:color w:val="auto"/>
              </w:rPr>
            </w:pPr>
            <w:r>
              <w:rPr>
                <w:rFonts w:ascii="Arial" w:cs="Arial" w:eastAsia="Arial" w:hAnsi="Arial"/>
                <w:sz w:val="18"/>
                <w:szCs w:val="18"/>
                <w:b w:val="1"/>
                <w:bCs w:val="1"/>
                <w:color w:val="auto"/>
              </w:rPr>
              <w:t>Unamortized intangible assets:</w:t>
            </w:r>
          </w:p>
        </w:tc>
        <w:tc>
          <w:tcPr>
            <w:tcW w:w="1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3420" w:type="dxa"/>
            <w:vAlign w:val="bottom"/>
          </w:tcPr>
          <w:p>
            <w:pPr>
              <w:ind w:left="380"/>
              <w:spacing w:after="0" w:line="202" w:lineRule="exact"/>
              <w:rPr>
                <w:sz w:val="20"/>
                <w:szCs w:val="20"/>
                <w:color w:val="auto"/>
              </w:rPr>
            </w:pPr>
            <w:r>
              <w:rPr>
                <w:rFonts w:ascii="Arial" w:cs="Arial" w:eastAsia="Arial" w:hAnsi="Arial"/>
                <w:sz w:val="18"/>
                <w:szCs w:val="18"/>
                <w:color w:val="auto"/>
              </w:rPr>
              <w:t>MC Goodwill</w:t>
            </w:r>
          </w:p>
        </w:tc>
        <w:tc>
          <w:tcPr>
            <w:tcW w:w="1940" w:type="dxa"/>
            <w:vAlign w:val="bottom"/>
          </w:tcPr>
          <w:p>
            <w:pPr>
              <w:spacing w:after="0"/>
              <w:rPr>
                <w:sz w:val="17"/>
                <w:szCs w:val="17"/>
                <w:color w:val="auto"/>
              </w:rPr>
            </w:pPr>
          </w:p>
        </w:tc>
        <w:tc>
          <w:tcPr>
            <w:tcW w:w="1480" w:type="dxa"/>
            <w:vAlign w:val="bottom"/>
          </w:tcPr>
          <w:p>
            <w:pPr>
              <w:jc w:val="right"/>
              <w:ind w:right="173"/>
              <w:spacing w:after="0" w:line="202" w:lineRule="exact"/>
              <w:rPr>
                <w:sz w:val="20"/>
                <w:szCs w:val="20"/>
                <w:color w:val="auto"/>
              </w:rPr>
            </w:pPr>
            <w:r>
              <w:rPr>
                <w:rFonts w:ascii="Arial" w:cs="Arial" w:eastAsia="Arial" w:hAnsi="Arial"/>
                <w:sz w:val="18"/>
                <w:szCs w:val="18"/>
                <w:color w:val="auto"/>
              </w:rPr>
              <w:t>$66,373</w:t>
            </w:r>
          </w:p>
        </w:tc>
        <w:tc>
          <w:tcPr>
            <w:tcW w:w="102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($1,728)</w:t>
            </w:r>
          </w:p>
        </w:tc>
        <w:tc>
          <w:tcPr>
            <w:tcW w:w="1420" w:type="dxa"/>
            <w:vAlign w:val="bottom"/>
          </w:tcPr>
          <w:p>
            <w:pPr>
              <w:jc w:val="right"/>
              <w:ind w:right="73"/>
              <w:spacing w:after="0" w:line="202" w:lineRule="exact"/>
              <w:rPr>
                <w:sz w:val="20"/>
                <w:szCs w:val="20"/>
                <w:color w:val="auto"/>
              </w:rPr>
            </w:pPr>
            <w:r>
              <w:rPr>
                <w:rFonts w:ascii="Arial" w:cs="Arial" w:eastAsia="Arial" w:hAnsi="Arial"/>
                <w:sz w:val="18"/>
                <w:szCs w:val="18"/>
                <w:color w:val="auto"/>
              </w:rPr>
              <w:t>$64,645</w:t>
            </w:r>
          </w:p>
        </w:tc>
      </w:tr>
      <w:tr>
        <w:trPr>
          <w:trHeight w:val="203"/>
        </w:trPr>
        <w:tc>
          <w:tcPr>
            <w:tcW w:w="3420" w:type="dxa"/>
            <w:vAlign w:val="bottom"/>
            <w:tcBorders>
              <w:bottom w:val="single" w:sz="8" w:color="auto"/>
            </w:tcBorders>
          </w:tcPr>
          <w:p>
            <w:pPr>
              <w:ind w:left="380"/>
              <w:spacing w:after="0" w:line="203" w:lineRule="exact"/>
              <w:rPr>
                <w:sz w:val="20"/>
                <w:szCs w:val="20"/>
                <w:color w:val="auto"/>
              </w:rPr>
            </w:pPr>
            <w:r>
              <w:rPr>
                <w:rFonts w:ascii="Arial" w:cs="Arial" w:eastAsia="Arial" w:hAnsi="Arial"/>
                <w:sz w:val="18"/>
                <w:szCs w:val="18"/>
                <w:color w:val="auto"/>
              </w:rPr>
              <w:t>AEC Goodwill</w:t>
            </w:r>
          </w:p>
        </w:tc>
        <w:tc>
          <w:tcPr>
            <w:tcW w:w="19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73"/>
              <w:spacing w:after="0" w:line="203"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92"/>
              <w:spacing w:after="0" w:line="203" w:lineRule="exact"/>
              <w:rPr>
                <w:sz w:val="20"/>
                <w:szCs w:val="20"/>
                <w:color w:val="auto"/>
              </w:rPr>
            </w:pPr>
            <w:r>
              <w:rPr>
                <w:rFonts w:ascii="Arial" w:cs="Arial" w:eastAsia="Arial" w:hAnsi="Arial"/>
                <w:sz w:val="18"/>
                <w:szCs w:val="18"/>
                <w:color w:val="auto"/>
              </w:rPr>
              <w:t>95,730</w:t>
            </w:r>
          </w:p>
        </w:tc>
        <w:tc>
          <w:tcPr>
            <w:tcW w:w="1120" w:type="dxa"/>
            <w:vAlign w:val="bottom"/>
            <w:tcBorders>
              <w:bottom w:val="single" w:sz="8" w:color="auto"/>
            </w:tcBorders>
          </w:tcPr>
          <w:p>
            <w:pPr>
              <w:jc w:val="right"/>
              <w:ind w:right="132"/>
              <w:spacing w:after="0" w:line="203"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93"/>
              <w:spacing w:after="0" w:line="203" w:lineRule="exact"/>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73"/>
              <w:spacing w:after="0" w:line="203" w:lineRule="exact"/>
              <w:rPr>
                <w:sz w:val="20"/>
                <w:szCs w:val="20"/>
                <w:color w:val="auto"/>
              </w:rPr>
            </w:pPr>
            <w:r>
              <w:rPr>
                <w:rFonts w:ascii="Arial" w:cs="Arial" w:eastAsia="Arial" w:hAnsi="Arial"/>
                <w:sz w:val="18"/>
                <w:szCs w:val="18"/>
                <w:color w:val="auto"/>
              </w:rPr>
              <w:t>95,730</w:t>
            </w:r>
          </w:p>
        </w:tc>
      </w:tr>
      <w:tr>
        <w:trPr>
          <w:trHeight w:val="196"/>
        </w:trPr>
        <w:tc>
          <w:tcPr>
            <w:tcW w:w="342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Total amortized intangible assets</w:t>
            </w:r>
          </w:p>
        </w:tc>
        <w:tc>
          <w:tcPr>
            <w:tcW w:w="19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73"/>
              <w:spacing w:after="0" w:line="196" w:lineRule="exact"/>
              <w:rPr>
                <w:sz w:val="20"/>
                <w:szCs w:val="20"/>
                <w:color w:val="auto"/>
              </w:rPr>
            </w:pPr>
            <w:r>
              <w:rPr>
                <w:rFonts w:ascii="Arial" w:cs="Arial" w:eastAsia="Arial" w:hAnsi="Arial"/>
                <w:sz w:val="18"/>
                <w:szCs w:val="18"/>
                <w:color w:val="auto"/>
              </w:rPr>
              <w:t>$66,373</w:t>
            </w:r>
          </w:p>
        </w:tc>
        <w:tc>
          <w:tcPr>
            <w:tcW w:w="1020" w:type="dxa"/>
            <w:vAlign w:val="bottom"/>
            <w:tcBorders>
              <w:bottom w:val="single" w:sz="8" w:color="auto"/>
            </w:tcBorders>
          </w:tcPr>
          <w:p>
            <w:pPr>
              <w:jc w:val="right"/>
              <w:ind w:right="92"/>
              <w:spacing w:after="0" w:line="196" w:lineRule="exact"/>
              <w:rPr>
                <w:sz w:val="20"/>
                <w:szCs w:val="20"/>
                <w:color w:val="auto"/>
              </w:rPr>
            </w:pPr>
            <w:r>
              <w:rPr>
                <w:rFonts w:ascii="Arial" w:cs="Arial" w:eastAsia="Arial" w:hAnsi="Arial"/>
                <w:sz w:val="18"/>
                <w:szCs w:val="18"/>
                <w:color w:val="auto"/>
              </w:rPr>
              <w:t>$95,730</w:t>
            </w:r>
          </w:p>
        </w:tc>
        <w:tc>
          <w:tcPr>
            <w:tcW w:w="1120" w:type="dxa"/>
            <w:vAlign w:val="bottom"/>
            <w:tcBorders>
              <w:bottom w:val="single" w:sz="8" w:color="auto"/>
            </w:tcBorders>
          </w:tcPr>
          <w:p>
            <w:pPr>
              <w:jc w:val="right"/>
              <w:ind w:right="132"/>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3"/>
              <w:spacing w:after="0" w:line="196" w:lineRule="exact"/>
              <w:rPr>
                <w:sz w:val="20"/>
                <w:szCs w:val="20"/>
                <w:color w:val="auto"/>
              </w:rPr>
            </w:pPr>
            <w:r>
              <w:rPr>
                <w:rFonts w:ascii="Arial" w:cs="Arial" w:eastAsia="Arial" w:hAnsi="Arial"/>
                <w:sz w:val="18"/>
                <w:szCs w:val="18"/>
                <w:color w:val="auto"/>
              </w:rPr>
              <w:t>($1,728)</w:t>
            </w:r>
          </w:p>
        </w:tc>
        <w:tc>
          <w:tcPr>
            <w:tcW w:w="1420" w:type="dxa"/>
            <w:vAlign w:val="bottom"/>
            <w:tcBorders>
              <w:bottom w:val="single" w:sz="8" w:color="auto"/>
            </w:tcBorders>
          </w:tcPr>
          <w:p>
            <w:pPr>
              <w:jc w:val="right"/>
              <w:ind w:right="73"/>
              <w:spacing w:after="0" w:line="196" w:lineRule="exact"/>
              <w:rPr>
                <w:sz w:val="20"/>
                <w:szCs w:val="20"/>
                <w:color w:val="auto"/>
              </w:rPr>
            </w:pPr>
            <w:r>
              <w:rPr>
                <w:rFonts w:ascii="Arial" w:cs="Arial" w:eastAsia="Arial" w:hAnsi="Arial"/>
                <w:sz w:val="18"/>
                <w:szCs w:val="18"/>
                <w:color w:val="auto"/>
              </w:rPr>
              <w:t>$160,375</w:t>
            </w:r>
          </w:p>
        </w:tc>
      </w:tr>
    </w:tbl>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40" w:type="dxa"/>
            <w:vAlign w:val="bottom"/>
            <w:tcBorders>
              <w:top w:val="single" w:sz="8" w:color="auto"/>
            </w:tcBorders>
          </w:tcPr>
          <w:p>
            <w:pPr>
              <w:spacing w:after="0"/>
              <w:rPr>
                <w:sz w:val="14"/>
                <w:szCs w:val="14"/>
                <w:color w:val="auto"/>
              </w:rPr>
            </w:pPr>
          </w:p>
        </w:tc>
        <w:tc>
          <w:tcPr>
            <w:tcW w:w="2760" w:type="dxa"/>
            <w:vAlign w:val="bottom"/>
            <w:tcBorders>
              <w:top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Balance at</w:t>
            </w:r>
          </w:p>
        </w:tc>
        <w:tc>
          <w:tcPr>
            <w:tcW w:w="172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Currency</w:t>
            </w:r>
          </w:p>
        </w:tc>
        <w:tc>
          <w:tcPr>
            <w:tcW w:w="1520" w:type="dxa"/>
            <w:vAlign w:val="bottom"/>
            <w:tcBorders>
              <w:top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Balance at</w:t>
            </w:r>
          </w:p>
        </w:tc>
      </w:tr>
      <w:tr>
        <w:trPr>
          <w:trHeight w:val="175"/>
        </w:trPr>
        <w:tc>
          <w:tcPr>
            <w:tcW w:w="3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276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December 31, 2014</w:t>
            </w:r>
          </w:p>
        </w:tc>
        <w:tc>
          <w:tcPr>
            <w:tcW w:w="17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Amortization</w:t>
            </w:r>
          </w:p>
        </w:tc>
        <w:tc>
          <w:tcPr>
            <w:tcW w:w="15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Translation</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 2015</w:t>
            </w:r>
          </w:p>
        </w:tc>
      </w:tr>
      <w:tr>
        <w:trPr>
          <w:trHeight w:val="195"/>
        </w:trPr>
        <w:tc>
          <w:tcPr>
            <w:tcW w:w="3840" w:type="dxa"/>
            <w:vAlign w:val="bottom"/>
          </w:tcPr>
          <w:p>
            <w:pPr>
              <w:ind w:left="40"/>
              <w:spacing w:after="0" w:line="195" w:lineRule="exact"/>
              <w:rPr>
                <w:sz w:val="20"/>
                <w:szCs w:val="20"/>
                <w:color w:val="auto"/>
              </w:rPr>
            </w:pPr>
            <w:r>
              <w:rPr>
                <w:rFonts w:ascii="Arial" w:cs="Arial" w:eastAsia="Arial" w:hAnsi="Arial"/>
                <w:sz w:val="18"/>
                <w:szCs w:val="18"/>
                <w:color w:val="auto"/>
              </w:rPr>
              <w:t>Amortized intangible assets:</w:t>
            </w:r>
          </w:p>
        </w:tc>
        <w:tc>
          <w:tcPr>
            <w:tcW w:w="27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03"/>
        </w:trPr>
        <w:tc>
          <w:tcPr>
            <w:tcW w:w="3840" w:type="dxa"/>
            <w:vAlign w:val="bottom"/>
          </w:tcPr>
          <w:p>
            <w:pPr>
              <w:ind w:left="180"/>
              <w:spacing w:after="0" w:line="202" w:lineRule="exact"/>
              <w:rPr>
                <w:sz w:val="20"/>
                <w:szCs w:val="20"/>
                <w:color w:val="auto"/>
              </w:rPr>
            </w:pPr>
            <w:r>
              <w:rPr>
                <w:rFonts w:ascii="Arial" w:cs="Arial" w:eastAsia="Arial" w:hAnsi="Arial"/>
                <w:sz w:val="18"/>
                <w:szCs w:val="18"/>
                <w:color w:val="auto"/>
              </w:rPr>
              <w:t>AEC trade names</w:t>
            </w:r>
          </w:p>
        </w:tc>
        <w:tc>
          <w:tcPr>
            <w:tcW w:w="2760" w:type="dxa"/>
            <w:vAlign w:val="bottom"/>
          </w:tcPr>
          <w:p>
            <w:pPr>
              <w:jc w:val="right"/>
              <w:ind w:right="315"/>
              <w:spacing w:after="0" w:line="202" w:lineRule="exact"/>
              <w:rPr>
                <w:sz w:val="20"/>
                <w:szCs w:val="20"/>
                <w:color w:val="auto"/>
              </w:rPr>
            </w:pPr>
            <w:r>
              <w:rPr>
                <w:rFonts w:ascii="Arial" w:cs="Arial" w:eastAsia="Arial" w:hAnsi="Arial"/>
                <w:sz w:val="18"/>
                <w:szCs w:val="18"/>
                <w:color w:val="auto"/>
              </w:rPr>
              <w:t>$29</w:t>
            </w:r>
          </w:p>
        </w:tc>
        <w:tc>
          <w:tcPr>
            <w:tcW w:w="172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($4)</w:t>
            </w:r>
          </w:p>
        </w:tc>
        <w:tc>
          <w:tcPr>
            <w:tcW w:w="1580" w:type="dxa"/>
            <w:vAlign w:val="bottom"/>
          </w:tcPr>
          <w:p>
            <w:pPr>
              <w:jc w:val="right"/>
              <w:ind w:right="195"/>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$25</w:t>
            </w:r>
          </w:p>
        </w:tc>
      </w:tr>
      <w:tr>
        <w:trPr>
          <w:trHeight w:val="203"/>
        </w:trPr>
        <w:tc>
          <w:tcPr>
            <w:tcW w:w="3840" w:type="dxa"/>
            <w:vAlign w:val="bottom"/>
          </w:tcPr>
          <w:p>
            <w:pPr>
              <w:ind w:left="180"/>
              <w:spacing w:after="0" w:line="202" w:lineRule="exact"/>
              <w:rPr>
                <w:sz w:val="20"/>
                <w:szCs w:val="20"/>
                <w:color w:val="auto"/>
              </w:rPr>
            </w:pPr>
            <w:r>
              <w:rPr>
                <w:rFonts w:ascii="Arial" w:cs="Arial" w:eastAsia="Arial" w:hAnsi="Arial"/>
                <w:sz w:val="18"/>
                <w:szCs w:val="18"/>
                <w:color w:val="auto"/>
              </w:rPr>
              <w:t>AEC customer contracts</w:t>
            </w:r>
          </w:p>
        </w:tc>
        <w:tc>
          <w:tcPr>
            <w:tcW w:w="2760" w:type="dxa"/>
            <w:vAlign w:val="bottom"/>
          </w:tcPr>
          <w:p>
            <w:pPr>
              <w:jc w:val="right"/>
              <w:ind w:right="315"/>
              <w:spacing w:after="0" w:line="202" w:lineRule="exact"/>
              <w:rPr>
                <w:sz w:val="20"/>
                <w:szCs w:val="20"/>
                <w:color w:val="auto"/>
              </w:rPr>
            </w:pPr>
            <w:r>
              <w:rPr>
                <w:rFonts w:ascii="Arial" w:cs="Arial" w:eastAsia="Arial" w:hAnsi="Arial"/>
                <w:sz w:val="18"/>
                <w:szCs w:val="18"/>
                <w:color w:val="auto"/>
              </w:rPr>
              <w:t>202</w:t>
            </w:r>
          </w:p>
        </w:tc>
        <w:tc>
          <w:tcPr>
            <w:tcW w:w="172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(202)</w:t>
            </w:r>
          </w:p>
        </w:tc>
        <w:tc>
          <w:tcPr>
            <w:tcW w:w="1580" w:type="dxa"/>
            <w:vAlign w:val="bottom"/>
          </w:tcPr>
          <w:p>
            <w:pPr>
              <w:jc w:val="right"/>
              <w:ind w:right="195"/>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r>
      <w:tr>
        <w:trPr>
          <w:trHeight w:val="203"/>
        </w:trPr>
        <w:tc>
          <w:tcPr>
            <w:tcW w:w="3840" w:type="dxa"/>
            <w:vAlign w:val="bottom"/>
            <w:tcBorders>
              <w:bottom w:val="single" w:sz="8" w:color="auto"/>
            </w:tcBorders>
          </w:tcPr>
          <w:p>
            <w:pPr>
              <w:ind w:left="180"/>
              <w:spacing w:after="0" w:line="203" w:lineRule="exact"/>
              <w:rPr>
                <w:sz w:val="20"/>
                <w:szCs w:val="20"/>
                <w:color w:val="auto"/>
              </w:rPr>
            </w:pPr>
            <w:r>
              <w:rPr>
                <w:rFonts w:ascii="Arial" w:cs="Arial" w:eastAsia="Arial" w:hAnsi="Arial"/>
                <w:sz w:val="18"/>
                <w:szCs w:val="18"/>
                <w:color w:val="auto"/>
              </w:rPr>
              <w:t>AEC technology</w:t>
            </w:r>
          </w:p>
        </w:tc>
        <w:tc>
          <w:tcPr>
            <w:tcW w:w="2760" w:type="dxa"/>
            <w:vAlign w:val="bottom"/>
            <w:tcBorders>
              <w:bottom w:val="single" w:sz="8" w:color="auto"/>
            </w:tcBorders>
          </w:tcPr>
          <w:p>
            <w:pPr>
              <w:jc w:val="right"/>
              <w:ind w:right="315"/>
              <w:spacing w:after="0" w:line="203" w:lineRule="exact"/>
              <w:rPr>
                <w:sz w:val="20"/>
                <w:szCs w:val="20"/>
                <w:color w:val="auto"/>
              </w:rPr>
            </w:pPr>
            <w:r>
              <w:rPr>
                <w:rFonts w:ascii="Arial" w:cs="Arial" w:eastAsia="Arial" w:hAnsi="Arial"/>
                <w:sz w:val="18"/>
                <w:szCs w:val="18"/>
                <w:color w:val="auto"/>
              </w:rPr>
              <w:t>154</w:t>
            </w:r>
          </w:p>
        </w:tc>
        <w:tc>
          <w:tcPr>
            <w:tcW w:w="1720" w:type="dxa"/>
            <w:vAlign w:val="bottom"/>
            <w:tcBorders>
              <w:bottom w:val="single" w:sz="8" w:color="auto"/>
            </w:tcBorders>
          </w:tcPr>
          <w:p>
            <w:pPr>
              <w:jc w:val="right"/>
              <w:ind w:right="253"/>
              <w:spacing w:after="0" w:line="203" w:lineRule="exact"/>
              <w:rPr>
                <w:sz w:val="20"/>
                <w:szCs w:val="20"/>
                <w:color w:val="auto"/>
              </w:rPr>
            </w:pPr>
            <w:r>
              <w:rPr>
                <w:rFonts w:ascii="Arial" w:cs="Arial" w:eastAsia="Arial" w:hAnsi="Arial"/>
                <w:sz w:val="18"/>
                <w:szCs w:val="18"/>
                <w:color w:val="auto"/>
              </w:rPr>
              <w:t>(25)</w:t>
            </w:r>
          </w:p>
        </w:tc>
        <w:tc>
          <w:tcPr>
            <w:tcW w:w="1580" w:type="dxa"/>
            <w:vAlign w:val="bottom"/>
            <w:tcBorders>
              <w:bottom w:val="single" w:sz="8" w:color="auto"/>
            </w:tcBorders>
          </w:tcPr>
          <w:p>
            <w:pPr>
              <w:jc w:val="right"/>
              <w:ind w:right="195"/>
              <w:spacing w:after="0" w:line="203" w:lineRule="exact"/>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14"/>
              <w:spacing w:after="0" w:line="203" w:lineRule="exact"/>
              <w:rPr>
                <w:sz w:val="20"/>
                <w:szCs w:val="20"/>
                <w:color w:val="auto"/>
              </w:rPr>
            </w:pPr>
            <w:r>
              <w:rPr>
                <w:rFonts w:ascii="Arial" w:cs="Arial" w:eastAsia="Arial" w:hAnsi="Arial"/>
                <w:sz w:val="18"/>
                <w:szCs w:val="18"/>
                <w:color w:val="auto"/>
              </w:rPr>
              <w:t>129</w:t>
            </w:r>
          </w:p>
        </w:tc>
      </w:tr>
      <w:tr>
        <w:trPr>
          <w:trHeight w:val="196"/>
        </w:trPr>
        <w:tc>
          <w:tcPr>
            <w:tcW w:w="384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Total amortized intangible assets</w:t>
            </w:r>
          </w:p>
        </w:tc>
        <w:tc>
          <w:tcPr>
            <w:tcW w:w="2760" w:type="dxa"/>
            <w:vAlign w:val="bottom"/>
            <w:tcBorders>
              <w:bottom w:val="single" w:sz="8" w:color="auto"/>
            </w:tcBorders>
          </w:tcPr>
          <w:p>
            <w:pPr>
              <w:jc w:val="right"/>
              <w:ind w:right="315"/>
              <w:spacing w:after="0" w:line="196" w:lineRule="exact"/>
              <w:rPr>
                <w:sz w:val="20"/>
                <w:szCs w:val="20"/>
                <w:color w:val="auto"/>
              </w:rPr>
            </w:pPr>
            <w:r>
              <w:rPr>
                <w:rFonts w:ascii="Arial" w:cs="Arial" w:eastAsia="Arial" w:hAnsi="Arial"/>
                <w:sz w:val="18"/>
                <w:szCs w:val="18"/>
                <w:color w:val="auto"/>
              </w:rPr>
              <w:t>$385</w:t>
            </w:r>
          </w:p>
        </w:tc>
        <w:tc>
          <w:tcPr>
            <w:tcW w:w="1720" w:type="dxa"/>
            <w:vAlign w:val="bottom"/>
            <w:tcBorders>
              <w:bottom w:val="single" w:sz="8" w:color="auto"/>
            </w:tcBorders>
          </w:tcPr>
          <w:p>
            <w:pPr>
              <w:jc w:val="right"/>
              <w:ind w:right="253"/>
              <w:spacing w:after="0" w:line="196" w:lineRule="exact"/>
              <w:rPr>
                <w:sz w:val="20"/>
                <w:szCs w:val="20"/>
                <w:color w:val="auto"/>
              </w:rPr>
            </w:pPr>
            <w:r>
              <w:rPr>
                <w:rFonts w:ascii="Arial" w:cs="Arial" w:eastAsia="Arial" w:hAnsi="Arial"/>
                <w:sz w:val="18"/>
                <w:szCs w:val="18"/>
                <w:color w:val="auto"/>
              </w:rPr>
              <w:t>($231)</w:t>
            </w:r>
          </w:p>
        </w:tc>
        <w:tc>
          <w:tcPr>
            <w:tcW w:w="1580" w:type="dxa"/>
            <w:vAlign w:val="bottom"/>
            <w:tcBorders>
              <w:bottom w:val="single" w:sz="8" w:color="auto"/>
            </w:tcBorders>
          </w:tcPr>
          <w:p>
            <w:pPr>
              <w:jc w:val="right"/>
              <w:ind w:right="195"/>
              <w:spacing w:after="0" w:line="196" w:lineRule="exact"/>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$154</w:t>
            </w:r>
          </w:p>
        </w:tc>
      </w:tr>
      <w:tr>
        <w:trPr>
          <w:trHeight w:val="398"/>
        </w:trPr>
        <w:tc>
          <w:tcPr>
            <w:tcW w:w="3840" w:type="dxa"/>
            <w:vAlign w:val="bottom"/>
          </w:tcPr>
          <w:p>
            <w:pPr>
              <w:ind w:left="40"/>
              <w:spacing w:after="0"/>
              <w:rPr>
                <w:sz w:val="20"/>
                <w:szCs w:val="20"/>
                <w:color w:val="auto"/>
              </w:rPr>
            </w:pPr>
            <w:r>
              <w:rPr>
                <w:rFonts w:ascii="Arial" w:cs="Arial" w:eastAsia="Arial" w:hAnsi="Arial"/>
                <w:sz w:val="18"/>
                <w:szCs w:val="18"/>
                <w:b w:val="1"/>
                <w:bCs w:val="1"/>
                <w:color w:val="auto"/>
              </w:rPr>
              <w:t>Unamortized intangible assets:</w:t>
            </w:r>
          </w:p>
        </w:tc>
        <w:tc>
          <w:tcPr>
            <w:tcW w:w="27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03"/>
        </w:trPr>
        <w:tc>
          <w:tcPr>
            <w:tcW w:w="3840" w:type="dxa"/>
            <w:vAlign w:val="bottom"/>
            <w:tcBorders>
              <w:bottom w:val="single" w:sz="8" w:color="auto"/>
            </w:tcBorders>
          </w:tcPr>
          <w:p>
            <w:pPr>
              <w:ind w:left="380"/>
              <w:spacing w:after="0" w:line="203" w:lineRule="exact"/>
              <w:rPr>
                <w:sz w:val="20"/>
                <w:szCs w:val="20"/>
                <w:color w:val="auto"/>
              </w:rPr>
            </w:pPr>
            <w:r>
              <w:rPr>
                <w:rFonts w:ascii="Arial" w:cs="Arial" w:eastAsia="Arial" w:hAnsi="Arial"/>
                <w:sz w:val="18"/>
                <w:szCs w:val="18"/>
                <w:color w:val="auto"/>
              </w:rPr>
              <w:t>Goodwill</w:t>
            </w:r>
          </w:p>
        </w:tc>
        <w:tc>
          <w:tcPr>
            <w:tcW w:w="2760" w:type="dxa"/>
            <w:vAlign w:val="bottom"/>
            <w:tcBorders>
              <w:bottom w:val="single" w:sz="8" w:color="auto"/>
            </w:tcBorders>
          </w:tcPr>
          <w:p>
            <w:pPr>
              <w:jc w:val="right"/>
              <w:ind w:right="315"/>
              <w:spacing w:after="0" w:line="203" w:lineRule="exact"/>
              <w:rPr>
                <w:sz w:val="20"/>
                <w:szCs w:val="20"/>
                <w:color w:val="auto"/>
              </w:rPr>
            </w:pPr>
            <w:r>
              <w:rPr>
                <w:rFonts w:ascii="Arial" w:cs="Arial" w:eastAsia="Arial" w:hAnsi="Arial"/>
                <w:sz w:val="18"/>
                <w:szCs w:val="18"/>
                <w:color w:val="auto"/>
              </w:rPr>
              <w:t>$71,680</w:t>
            </w:r>
          </w:p>
        </w:tc>
        <w:tc>
          <w:tcPr>
            <w:tcW w:w="1720" w:type="dxa"/>
            <w:vAlign w:val="bottom"/>
            <w:tcBorders>
              <w:bottom w:val="single" w:sz="8" w:color="auto"/>
            </w:tcBorders>
          </w:tcPr>
          <w:p>
            <w:pPr>
              <w:jc w:val="right"/>
              <w:ind w:right="313"/>
              <w:spacing w:after="0" w:line="203" w:lineRule="exact"/>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ind w:right="135"/>
              <w:spacing w:after="0" w:line="203" w:lineRule="exact"/>
              <w:rPr>
                <w:sz w:val="20"/>
                <w:szCs w:val="20"/>
                <w:color w:val="auto"/>
              </w:rPr>
            </w:pPr>
            <w:r>
              <w:rPr>
                <w:rFonts w:ascii="Arial" w:cs="Arial" w:eastAsia="Arial" w:hAnsi="Arial"/>
                <w:sz w:val="18"/>
                <w:szCs w:val="18"/>
                <w:color w:val="auto"/>
              </w:rPr>
              <w:t>($5,307)</w:t>
            </w:r>
          </w:p>
        </w:tc>
        <w:tc>
          <w:tcPr>
            <w:tcW w:w="1520" w:type="dxa"/>
            <w:vAlign w:val="bottom"/>
            <w:tcBorders>
              <w:bottom w:val="single" w:sz="8" w:color="auto"/>
            </w:tcBorders>
          </w:tcPr>
          <w:p>
            <w:pPr>
              <w:jc w:val="right"/>
              <w:ind w:right="14"/>
              <w:spacing w:after="0" w:line="203" w:lineRule="exact"/>
              <w:rPr>
                <w:sz w:val="20"/>
                <w:szCs w:val="20"/>
                <w:color w:val="auto"/>
              </w:rPr>
            </w:pPr>
            <w:r>
              <w:rPr>
                <w:rFonts w:ascii="Arial" w:cs="Arial" w:eastAsia="Arial" w:hAnsi="Arial"/>
                <w:sz w:val="18"/>
                <w:szCs w:val="18"/>
                <w:color w:val="auto"/>
              </w:rPr>
              <w:t>$66,373</w:t>
            </w:r>
          </w:p>
        </w:tc>
      </w:tr>
      <w:tr>
        <w:trPr>
          <w:trHeight w:val="628"/>
        </w:trPr>
        <w:tc>
          <w:tcPr>
            <w:tcW w:w="38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129"/>
        </w:trPr>
        <w:tc>
          <w:tcPr>
            <w:tcW w:w="3840" w:type="dxa"/>
            <w:vAlign w:val="bottom"/>
            <w:tcBorders>
              <w:bottom w:val="single" w:sz="8" w:color="auto"/>
            </w:tcBorders>
          </w:tcPr>
          <w:p>
            <w:pPr>
              <w:spacing w:after="0"/>
              <w:rPr>
                <w:sz w:val="11"/>
                <w:szCs w:val="11"/>
                <w:color w:val="auto"/>
              </w:rPr>
            </w:pPr>
          </w:p>
        </w:tc>
        <w:tc>
          <w:tcPr>
            <w:tcW w:w="276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r>
    </w:tbl>
    <w:p>
      <w:pPr>
        <w:sectPr>
          <w:pgSz w:w="11900" w:h="16838" w:orient="portrait"/>
          <w:cols w:equalWidth="0" w:num="1">
            <w:col w:w="11420"/>
          </w:cols>
          <w:pgMar w:left="240" w:top="140" w:right="239" w:bottom="1440" w:gutter="0" w:footer="0" w:header="0"/>
        </w:sectPr>
      </w:pPr>
    </w:p>
    <w:bookmarkStart w:id="88" w:name="page89"/>
    <w:bookmarkEnd w:id="88"/>
    <w:p>
      <w:pPr>
        <w:ind w:right="20" w:firstLine="648"/>
        <w:spacing w:after="0"/>
        <w:rPr>
          <w:sz w:val="20"/>
          <w:szCs w:val="20"/>
          <w:color w:val="auto"/>
        </w:rPr>
      </w:pPr>
      <w:r>
        <w:rPr>
          <w:rFonts w:ascii="Arial" w:cs="Arial" w:eastAsia="Arial" w:hAnsi="Arial"/>
          <w:sz w:val="18"/>
          <w:szCs w:val="18"/>
          <w:color w:val="auto"/>
        </w:rPr>
        <w:t>As of December 31, 2016, the cost and accumulated amortization of amortized intangible assets was $72.1 million and $5.6 million, respectively. As of December 31, 2015, the cost and accumulated amortization of amortized intangible assets was $0.5 million and $0.3 million, respectively.</w:t>
      </w:r>
    </w:p>
    <w:p>
      <w:pPr>
        <w:spacing w:after="0" w:line="161" w:lineRule="exact"/>
        <w:rPr>
          <w:sz w:val="20"/>
          <w:szCs w:val="20"/>
          <w:color w:val="auto"/>
        </w:rPr>
      </w:pPr>
    </w:p>
    <w:p>
      <w:pPr>
        <w:ind w:right="200" w:firstLine="648"/>
        <w:spacing w:after="0" w:line="239" w:lineRule="auto"/>
        <w:rPr>
          <w:sz w:val="20"/>
          <w:szCs w:val="20"/>
          <w:color w:val="auto"/>
        </w:rPr>
      </w:pPr>
      <w:r>
        <w:rPr>
          <w:rFonts w:ascii="Arial" w:cs="Arial" w:eastAsia="Arial" w:hAnsi="Arial"/>
          <w:sz w:val="18"/>
          <w:szCs w:val="18"/>
          <w:color w:val="auto"/>
        </w:rPr>
        <w:t>In 2016, amortization expense related to intangible assets was reported in the Consolidated Statements of Income as follows: $2.6 million in Cost of goods sold and $2.7 million in Selling, general and administrative expenses. In 2015 and 2014, all intangible amortization expense was included in Cost of goods sold. Estimated amortization expense of intangibles for the years ending December 31, 2017 through 2021, is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300" w:type="dxa"/>
            <w:vAlign w:val="bottom"/>
            <w:tcBorders>
              <w:top w:val="single" w:sz="8" w:color="auto"/>
            </w:tcBorders>
          </w:tcPr>
          <w:p>
            <w:pPr>
              <w:spacing w:after="0"/>
              <w:rPr>
                <w:sz w:val="16"/>
                <w:szCs w:val="16"/>
                <w:color w:val="auto"/>
              </w:rPr>
            </w:pPr>
          </w:p>
        </w:tc>
        <w:tc>
          <w:tcPr>
            <w:tcW w:w="3400" w:type="dxa"/>
            <w:vAlign w:val="bottom"/>
            <w:tcBorders>
              <w:top w:val="single" w:sz="8" w:color="auto"/>
            </w:tcBorders>
          </w:tcPr>
          <w:p>
            <w:pPr>
              <w:jc w:val="right"/>
              <w:ind w:right="210"/>
              <w:spacing w:after="0" w:line="194" w:lineRule="exact"/>
              <w:rPr>
                <w:sz w:val="20"/>
                <w:szCs w:val="20"/>
                <w:color w:val="auto"/>
              </w:rPr>
            </w:pPr>
            <w:r>
              <w:rPr>
                <w:rFonts w:ascii="Arial" w:cs="Arial" w:eastAsia="Arial" w:hAnsi="Arial"/>
                <w:sz w:val="18"/>
                <w:szCs w:val="18"/>
                <w:b w:val="1"/>
                <w:bCs w:val="1"/>
                <w:color w:val="auto"/>
              </w:rPr>
              <w:t>Annual amortization</w:t>
            </w:r>
          </w:p>
        </w:tc>
      </w:tr>
      <w:tr>
        <w:trPr>
          <w:trHeight w:val="225"/>
        </w:trPr>
        <w:tc>
          <w:tcPr>
            <w:tcW w:w="230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rPr>
              <w:t>Year</w:t>
            </w:r>
          </w:p>
        </w:tc>
        <w:tc>
          <w:tcPr>
            <w:tcW w:w="34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(in thousands)</w:t>
            </w:r>
          </w:p>
        </w:tc>
      </w:tr>
      <w:tr>
        <w:trPr>
          <w:trHeight w:val="195"/>
        </w:trPr>
        <w:tc>
          <w:tcPr>
            <w:tcW w:w="2300" w:type="dxa"/>
            <w:vAlign w:val="bottom"/>
          </w:tcPr>
          <w:p>
            <w:pPr>
              <w:ind w:left="520"/>
              <w:spacing w:after="0" w:line="195" w:lineRule="exact"/>
              <w:rPr>
                <w:sz w:val="20"/>
                <w:szCs w:val="20"/>
                <w:color w:val="auto"/>
              </w:rPr>
            </w:pPr>
            <w:r>
              <w:rPr>
                <w:rFonts w:ascii="Arial" w:cs="Arial" w:eastAsia="Arial" w:hAnsi="Arial"/>
                <w:sz w:val="18"/>
                <w:szCs w:val="18"/>
                <w:color w:val="auto"/>
              </w:rPr>
              <w:t>2017</w:t>
            </w:r>
          </w:p>
        </w:tc>
        <w:tc>
          <w:tcPr>
            <w:tcW w:w="3400" w:type="dxa"/>
            <w:vAlign w:val="bottom"/>
          </w:tcPr>
          <w:p>
            <w:pPr>
              <w:jc w:val="right"/>
              <w:spacing w:after="0" w:line="195" w:lineRule="exact"/>
              <w:rPr>
                <w:sz w:val="20"/>
                <w:szCs w:val="20"/>
                <w:color w:val="auto"/>
              </w:rPr>
            </w:pPr>
            <w:r>
              <w:rPr>
                <w:rFonts w:ascii="Arial" w:cs="Arial" w:eastAsia="Arial" w:hAnsi="Arial"/>
                <w:sz w:val="18"/>
                <w:szCs w:val="18"/>
                <w:color w:val="auto"/>
              </w:rPr>
              <w:t>$7,076</w:t>
            </w:r>
          </w:p>
        </w:tc>
      </w:tr>
      <w:tr>
        <w:trPr>
          <w:trHeight w:val="203"/>
        </w:trPr>
        <w:tc>
          <w:tcPr>
            <w:tcW w:w="2300" w:type="dxa"/>
            <w:vAlign w:val="bottom"/>
          </w:tcPr>
          <w:p>
            <w:pPr>
              <w:ind w:left="520"/>
              <w:spacing w:after="0" w:line="202" w:lineRule="exact"/>
              <w:rPr>
                <w:sz w:val="20"/>
                <w:szCs w:val="20"/>
                <w:color w:val="auto"/>
              </w:rPr>
            </w:pPr>
            <w:r>
              <w:rPr>
                <w:rFonts w:ascii="Arial" w:cs="Arial" w:eastAsia="Arial" w:hAnsi="Arial"/>
                <w:sz w:val="18"/>
                <w:szCs w:val="18"/>
                <w:color w:val="auto"/>
              </w:rPr>
              <w:t>2018</w:t>
            </w:r>
          </w:p>
        </w:tc>
        <w:tc>
          <w:tcPr>
            <w:tcW w:w="3400" w:type="dxa"/>
            <w:vAlign w:val="bottom"/>
          </w:tcPr>
          <w:p>
            <w:pPr>
              <w:jc w:val="right"/>
              <w:spacing w:after="0" w:line="202" w:lineRule="exact"/>
              <w:rPr>
                <w:sz w:val="20"/>
                <w:szCs w:val="20"/>
                <w:color w:val="auto"/>
              </w:rPr>
            </w:pPr>
            <w:r>
              <w:rPr>
                <w:rFonts w:ascii="Arial" w:cs="Arial" w:eastAsia="Arial" w:hAnsi="Arial"/>
                <w:sz w:val="18"/>
                <w:szCs w:val="18"/>
                <w:color w:val="auto"/>
              </w:rPr>
              <w:t>7,076</w:t>
            </w:r>
          </w:p>
        </w:tc>
      </w:tr>
      <w:tr>
        <w:trPr>
          <w:trHeight w:val="203"/>
        </w:trPr>
        <w:tc>
          <w:tcPr>
            <w:tcW w:w="2300" w:type="dxa"/>
            <w:vAlign w:val="bottom"/>
          </w:tcPr>
          <w:p>
            <w:pPr>
              <w:ind w:left="520"/>
              <w:spacing w:after="0" w:line="202" w:lineRule="exact"/>
              <w:rPr>
                <w:sz w:val="20"/>
                <w:szCs w:val="20"/>
                <w:color w:val="auto"/>
              </w:rPr>
            </w:pPr>
            <w:r>
              <w:rPr>
                <w:rFonts w:ascii="Arial" w:cs="Arial" w:eastAsia="Arial" w:hAnsi="Arial"/>
                <w:sz w:val="18"/>
                <w:szCs w:val="18"/>
                <w:color w:val="auto"/>
              </w:rPr>
              <w:t>2019</w:t>
            </w:r>
          </w:p>
        </w:tc>
        <w:tc>
          <w:tcPr>
            <w:tcW w:w="3400" w:type="dxa"/>
            <w:vAlign w:val="bottom"/>
          </w:tcPr>
          <w:p>
            <w:pPr>
              <w:jc w:val="right"/>
              <w:spacing w:after="0" w:line="202" w:lineRule="exact"/>
              <w:rPr>
                <w:sz w:val="20"/>
                <w:szCs w:val="20"/>
                <w:color w:val="auto"/>
              </w:rPr>
            </w:pPr>
            <w:r>
              <w:rPr>
                <w:rFonts w:ascii="Arial" w:cs="Arial" w:eastAsia="Arial" w:hAnsi="Arial"/>
                <w:sz w:val="18"/>
                <w:szCs w:val="18"/>
                <w:color w:val="auto"/>
              </w:rPr>
              <w:t>7,076</w:t>
            </w:r>
          </w:p>
        </w:tc>
      </w:tr>
      <w:tr>
        <w:trPr>
          <w:trHeight w:val="203"/>
        </w:trPr>
        <w:tc>
          <w:tcPr>
            <w:tcW w:w="2300" w:type="dxa"/>
            <w:vAlign w:val="bottom"/>
          </w:tcPr>
          <w:p>
            <w:pPr>
              <w:ind w:left="520"/>
              <w:spacing w:after="0" w:line="202" w:lineRule="exact"/>
              <w:rPr>
                <w:sz w:val="20"/>
                <w:szCs w:val="20"/>
                <w:color w:val="auto"/>
              </w:rPr>
            </w:pPr>
            <w:r>
              <w:rPr>
                <w:rFonts w:ascii="Arial" w:cs="Arial" w:eastAsia="Arial" w:hAnsi="Arial"/>
                <w:sz w:val="18"/>
                <w:szCs w:val="18"/>
                <w:color w:val="auto"/>
              </w:rPr>
              <w:t>2020</w:t>
            </w:r>
          </w:p>
        </w:tc>
        <w:tc>
          <w:tcPr>
            <w:tcW w:w="3400" w:type="dxa"/>
            <w:vAlign w:val="bottom"/>
          </w:tcPr>
          <w:p>
            <w:pPr>
              <w:jc w:val="right"/>
              <w:spacing w:after="0" w:line="202" w:lineRule="exact"/>
              <w:rPr>
                <w:sz w:val="20"/>
                <w:szCs w:val="20"/>
                <w:color w:val="auto"/>
              </w:rPr>
            </w:pPr>
            <w:r>
              <w:rPr>
                <w:rFonts w:ascii="Arial" w:cs="Arial" w:eastAsia="Arial" w:hAnsi="Arial"/>
                <w:sz w:val="18"/>
                <w:szCs w:val="18"/>
                <w:color w:val="auto"/>
              </w:rPr>
              <w:t>7,076</w:t>
            </w:r>
          </w:p>
        </w:tc>
      </w:tr>
      <w:tr>
        <w:trPr>
          <w:trHeight w:val="203"/>
        </w:trPr>
        <w:tc>
          <w:tcPr>
            <w:tcW w:w="2300" w:type="dxa"/>
            <w:vAlign w:val="bottom"/>
            <w:tcBorders>
              <w:bottom w:val="single" w:sz="8" w:color="auto"/>
            </w:tcBorders>
          </w:tcPr>
          <w:p>
            <w:pPr>
              <w:ind w:left="520"/>
              <w:spacing w:after="0" w:line="203" w:lineRule="exact"/>
              <w:rPr>
                <w:sz w:val="20"/>
                <w:szCs w:val="20"/>
                <w:color w:val="auto"/>
              </w:rPr>
            </w:pPr>
            <w:r>
              <w:rPr>
                <w:rFonts w:ascii="Arial" w:cs="Arial" w:eastAsia="Arial" w:hAnsi="Arial"/>
                <w:sz w:val="18"/>
                <w:szCs w:val="18"/>
                <w:color w:val="auto"/>
              </w:rPr>
              <w:t>2021</w:t>
            </w:r>
          </w:p>
        </w:tc>
        <w:tc>
          <w:tcPr>
            <w:tcW w:w="34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6,796</w:t>
            </w: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Accrued Liabilities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liabilities consist of:</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(in thousands)</w:t>
            </w:r>
          </w:p>
        </w:tc>
        <w:tc>
          <w:tcPr>
            <w:tcW w:w="376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2016</w:t>
            </w:r>
          </w:p>
        </w:tc>
        <w:tc>
          <w:tcPr>
            <w:tcW w:w="12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r>
      <w:tr>
        <w:trPr>
          <w:trHeight w:val="173"/>
        </w:trPr>
        <w:tc>
          <w:tcPr>
            <w:tcW w:w="6440" w:type="dxa"/>
            <w:vAlign w:val="bottom"/>
          </w:tcPr>
          <w:p>
            <w:pPr>
              <w:ind w:left="40"/>
              <w:spacing w:after="0" w:line="173" w:lineRule="exact"/>
              <w:rPr>
                <w:sz w:val="20"/>
                <w:szCs w:val="20"/>
                <w:color w:val="auto"/>
              </w:rPr>
            </w:pPr>
            <w:r>
              <w:rPr>
                <w:rFonts w:ascii="Arial" w:cs="Arial" w:eastAsia="Arial" w:hAnsi="Arial"/>
                <w:sz w:val="18"/>
                <w:szCs w:val="18"/>
                <w:color w:val="auto"/>
              </w:rPr>
              <w:t>Salaries and wages</w:t>
            </w:r>
          </w:p>
        </w:tc>
        <w:tc>
          <w:tcPr>
            <w:tcW w:w="3760" w:type="dxa"/>
            <w:vAlign w:val="bottom"/>
          </w:tcPr>
          <w:p>
            <w:pPr>
              <w:jc w:val="right"/>
              <w:ind w:right="190"/>
              <w:spacing w:after="0" w:line="173" w:lineRule="exact"/>
              <w:rPr>
                <w:sz w:val="20"/>
                <w:szCs w:val="20"/>
                <w:color w:val="auto"/>
              </w:rPr>
            </w:pPr>
            <w:r>
              <w:rPr>
                <w:rFonts w:ascii="Arial" w:cs="Arial" w:eastAsia="Arial" w:hAnsi="Arial"/>
                <w:sz w:val="18"/>
                <w:szCs w:val="18"/>
                <w:b w:val="1"/>
                <w:bCs w:val="1"/>
                <w:color w:val="auto"/>
              </w:rPr>
              <w:t>$18,520</w:t>
            </w:r>
          </w:p>
        </w:tc>
        <w:tc>
          <w:tcPr>
            <w:tcW w:w="1220" w:type="dxa"/>
            <w:vAlign w:val="bottom"/>
          </w:tcPr>
          <w:p>
            <w:pPr>
              <w:jc w:val="right"/>
              <w:spacing w:after="0" w:line="173" w:lineRule="exact"/>
              <w:rPr>
                <w:sz w:val="20"/>
                <w:szCs w:val="20"/>
                <w:color w:val="auto"/>
              </w:rPr>
            </w:pPr>
            <w:r>
              <w:rPr>
                <w:rFonts w:ascii="Arial" w:cs="Arial" w:eastAsia="Arial" w:hAnsi="Arial"/>
                <w:sz w:val="18"/>
                <w:szCs w:val="18"/>
                <w:color w:val="auto"/>
              </w:rPr>
              <w:t>$17,621</w:t>
            </w:r>
          </w:p>
        </w:tc>
      </w:tr>
      <w:tr>
        <w:trPr>
          <w:trHeight w:val="203"/>
        </w:trPr>
        <w:tc>
          <w:tcPr>
            <w:tcW w:w="6440" w:type="dxa"/>
            <w:vAlign w:val="bottom"/>
          </w:tcPr>
          <w:p>
            <w:pPr>
              <w:ind w:left="40"/>
              <w:spacing w:after="0" w:line="202" w:lineRule="exact"/>
              <w:rPr>
                <w:sz w:val="20"/>
                <w:szCs w:val="20"/>
                <w:color w:val="auto"/>
              </w:rPr>
            </w:pPr>
            <w:r>
              <w:rPr>
                <w:rFonts w:ascii="Arial" w:cs="Arial" w:eastAsia="Arial" w:hAnsi="Arial"/>
                <w:sz w:val="18"/>
                <w:szCs w:val="18"/>
                <w:color w:val="auto"/>
              </w:rPr>
              <w:t>Accrual for compensated absences</w:t>
            </w:r>
          </w:p>
        </w:tc>
        <w:tc>
          <w:tcPr>
            <w:tcW w:w="376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10,181</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9,564</w:t>
            </w:r>
          </w:p>
        </w:tc>
      </w:tr>
      <w:tr>
        <w:trPr>
          <w:trHeight w:val="203"/>
        </w:trPr>
        <w:tc>
          <w:tcPr>
            <w:tcW w:w="6440" w:type="dxa"/>
            <w:vAlign w:val="bottom"/>
          </w:tcPr>
          <w:p>
            <w:pPr>
              <w:ind w:left="40"/>
              <w:spacing w:after="0" w:line="202" w:lineRule="exact"/>
              <w:rPr>
                <w:sz w:val="20"/>
                <w:szCs w:val="20"/>
                <w:color w:val="auto"/>
              </w:rPr>
            </w:pPr>
            <w:r>
              <w:rPr>
                <w:rFonts w:ascii="Arial" w:cs="Arial" w:eastAsia="Arial" w:hAnsi="Arial"/>
                <w:sz w:val="18"/>
                <w:szCs w:val="18"/>
                <w:color w:val="auto"/>
              </w:rPr>
              <w:t>Employee benefits</w:t>
            </w:r>
          </w:p>
        </w:tc>
        <w:tc>
          <w:tcPr>
            <w:tcW w:w="376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13,277</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10,880</w:t>
            </w:r>
          </w:p>
        </w:tc>
      </w:tr>
      <w:tr>
        <w:trPr>
          <w:trHeight w:val="203"/>
        </w:trPr>
        <w:tc>
          <w:tcPr>
            <w:tcW w:w="6440" w:type="dxa"/>
            <w:vAlign w:val="bottom"/>
          </w:tcPr>
          <w:p>
            <w:pPr>
              <w:ind w:left="40"/>
              <w:spacing w:after="0" w:line="202" w:lineRule="exact"/>
              <w:rPr>
                <w:sz w:val="20"/>
                <w:szCs w:val="20"/>
                <w:color w:val="auto"/>
              </w:rPr>
            </w:pPr>
            <w:r>
              <w:rPr>
                <w:rFonts w:ascii="Arial" w:cs="Arial" w:eastAsia="Arial" w:hAnsi="Arial"/>
                <w:sz w:val="18"/>
                <w:szCs w:val="18"/>
                <w:color w:val="auto"/>
              </w:rPr>
              <w:t>Pension liability - current portion</w:t>
            </w:r>
          </w:p>
        </w:tc>
        <w:tc>
          <w:tcPr>
            <w:tcW w:w="376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2,057</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2,110</w:t>
            </w:r>
          </w:p>
        </w:tc>
      </w:tr>
      <w:tr>
        <w:trPr>
          <w:trHeight w:val="203"/>
        </w:trPr>
        <w:tc>
          <w:tcPr>
            <w:tcW w:w="6440" w:type="dxa"/>
            <w:vAlign w:val="bottom"/>
          </w:tcPr>
          <w:p>
            <w:pPr>
              <w:ind w:left="40"/>
              <w:spacing w:after="0" w:line="202" w:lineRule="exact"/>
              <w:rPr>
                <w:sz w:val="20"/>
                <w:szCs w:val="20"/>
                <w:color w:val="auto"/>
              </w:rPr>
            </w:pPr>
            <w:r>
              <w:rPr>
                <w:rFonts w:ascii="Arial" w:cs="Arial" w:eastAsia="Arial" w:hAnsi="Arial"/>
                <w:sz w:val="18"/>
                <w:szCs w:val="18"/>
                <w:color w:val="auto"/>
              </w:rPr>
              <w:t>Postretirement medical benefits - current portion</w:t>
            </w:r>
          </w:p>
        </w:tc>
        <w:tc>
          <w:tcPr>
            <w:tcW w:w="376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4,195</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4,660</w:t>
            </w:r>
          </w:p>
        </w:tc>
      </w:tr>
      <w:tr>
        <w:trPr>
          <w:trHeight w:val="203"/>
        </w:trPr>
        <w:tc>
          <w:tcPr>
            <w:tcW w:w="6440" w:type="dxa"/>
            <w:vAlign w:val="bottom"/>
          </w:tcPr>
          <w:p>
            <w:pPr>
              <w:ind w:left="40"/>
              <w:spacing w:after="0" w:line="202" w:lineRule="exact"/>
              <w:rPr>
                <w:sz w:val="20"/>
                <w:szCs w:val="20"/>
                <w:color w:val="auto"/>
              </w:rPr>
            </w:pPr>
            <w:r>
              <w:rPr>
                <w:rFonts w:ascii="Arial" w:cs="Arial" w:eastAsia="Arial" w:hAnsi="Arial"/>
                <w:sz w:val="18"/>
                <w:szCs w:val="18"/>
                <w:color w:val="auto"/>
              </w:rPr>
              <w:t>Returns and allowances</w:t>
            </w:r>
          </w:p>
        </w:tc>
        <w:tc>
          <w:tcPr>
            <w:tcW w:w="376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13,714</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14,024</w:t>
            </w:r>
          </w:p>
        </w:tc>
      </w:tr>
      <w:tr>
        <w:trPr>
          <w:trHeight w:val="203"/>
        </w:trPr>
        <w:tc>
          <w:tcPr>
            <w:tcW w:w="6440" w:type="dxa"/>
            <w:vAlign w:val="bottom"/>
          </w:tcPr>
          <w:p>
            <w:pPr>
              <w:ind w:left="40"/>
              <w:spacing w:after="0" w:line="202" w:lineRule="exact"/>
              <w:rPr>
                <w:sz w:val="20"/>
                <w:szCs w:val="20"/>
                <w:color w:val="auto"/>
              </w:rPr>
            </w:pPr>
            <w:r>
              <w:rPr>
                <w:rFonts w:ascii="Arial" w:cs="Arial" w:eastAsia="Arial" w:hAnsi="Arial"/>
                <w:sz w:val="18"/>
                <w:szCs w:val="18"/>
                <w:color w:val="auto"/>
              </w:rPr>
              <w:t>Interest</w:t>
            </w:r>
          </w:p>
        </w:tc>
        <w:tc>
          <w:tcPr>
            <w:tcW w:w="376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1,218</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942</w:t>
            </w:r>
          </w:p>
        </w:tc>
      </w:tr>
      <w:tr>
        <w:trPr>
          <w:trHeight w:val="203"/>
        </w:trPr>
        <w:tc>
          <w:tcPr>
            <w:tcW w:w="6440" w:type="dxa"/>
            <w:vAlign w:val="bottom"/>
          </w:tcPr>
          <w:p>
            <w:pPr>
              <w:ind w:left="40"/>
              <w:spacing w:after="0" w:line="202" w:lineRule="exact"/>
              <w:rPr>
                <w:sz w:val="20"/>
                <w:szCs w:val="20"/>
                <w:color w:val="auto"/>
              </w:rPr>
            </w:pPr>
            <w:r>
              <w:rPr>
                <w:rFonts w:ascii="Arial" w:cs="Arial" w:eastAsia="Arial" w:hAnsi="Arial"/>
                <w:sz w:val="18"/>
                <w:szCs w:val="18"/>
                <w:color w:val="auto"/>
              </w:rPr>
              <w:t>Restructuring costs</w:t>
            </w:r>
          </w:p>
        </w:tc>
        <w:tc>
          <w:tcPr>
            <w:tcW w:w="376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4,668</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6,856</w:t>
            </w:r>
          </w:p>
        </w:tc>
      </w:tr>
      <w:tr>
        <w:trPr>
          <w:trHeight w:val="203"/>
        </w:trPr>
        <w:tc>
          <w:tcPr>
            <w:tcW w:w="6440" w:type="dxa"/>
            <w:vAlign w:val="bottom"/>
          </w:tcPr>
          <w:p>
            <w:pPr>
              <w:ind w:left="40"/>
              <w:spacing w:after="0" w:line="202" w:lineRule="exact"/>
              <w:rPr>
                <w:sz w:val="20"/>
                <w:szCs w:val="20"/>
                <w:color w:val="auto"/>
              </w:rPr>
            </w:pPr>
            <w:r>
              <w:rPr>
                <w:rFonts w:ascii="Arial" w:cs="Arial" w:eastAsia="Arial" w:hAnsi="Arial"/>
                <w:sz w:val="18"/>
                <w:szCs w:val="18"/>
                <w:color w:val="auto"/>
              </w:rPr>
              <w:t>Dividends</w:t>
            </w:r>
          </w:p>
        </w:tc>
        <w:tc>
          <w:tcPr>
            <w:tcW w:w="376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5,458</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5,443</w:t>
            </w:r>
          </w:p>
        </w:tc>
      </w:tr>
      <w:tr>
        <w:trPr>
          <w:trHeight w:val="203"/>
        </w:trPr>
        <w:tc>
          <w:tcPr>
            <w:tcW w:w="6440" w:type="dxa"/>
            <w:vAlign w:val="bottom"/>
          </w:tcPr>
          <w:p>
            <w:pPr>
              <w:ind w:left="40"/>
              <w:spacing w:after="0" w:line="202" w:lineRule="exact"/>
              <w:rPr>
                <w:sz w:val="20"/>
                <w:szCs w:val="20"/>
                <w:color w:val="auto"/>
              </w:rPr>
            </w:pPr>
            <w:r>
              <w:rPr>
                <w:rFonts w:ascii="Arial" w:cs="Arial" w:eastAsia="Arial" w:hAnsi="Arial"/>
                <w:sz w:val="18"/>
                <w:szCs w:val="18"/>
                <w:color w:val="auto"/>
              </w:rPr>
              <w:t>Workers' compensation</w:t>
            </w:r>
          </w:p>
        </w:tc>
        <w:tc>
          <w:tcPr>
            <w:tcW w:w="376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2,053</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2,086</w:t>
            </w:r>
          </w:p>
        </w:tc>
      </w:tr>
      <w:tr>
        <w:trPr>
          <w:trHeight w:val="203"/>
        </w:trPr>
        <w:tc>
          <w:tcPr>
            <w:tcW w:w="6440" w:type="dxa"/>
            <w:vAlign w:val="bottom"/>
          </w:tcPr>
          <w:p>
            <w:pPr>
              <w:ind w:left="40"/>
              <w:spacing w:after="0" w:line="202" w:lineRule="exact"/>
              <w:rPr>
                <w:sz w:val="20"/>
                <w:szCs w:val="20"/>
                <w:color w:val="auto"/>
              </w:rPr>
            </w:pPr>
            <w:r>
              <w:rPr>
                <w:rFonts w:ascii="Arial" w:cs="Arial" w:eastAsia="Arial" w:hAnsi="Arial"/>
                <w:sz w:val="18"/>
                <w:szCs w:val="18"/>
                <w:color w:val="auto"/>
              </w:rPr>
              <w:t>Billings in excess of revenue recognized</w:t>
            </w:r>
          </w:p>
        </w:tc>
        <w:tc>
          <w:tcPr>
            <w:tcW w:w="376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2,390</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2,903</w:t>
            </w:r>
          </w:p>
        </w:tc>
      </w:tr>
      <w:tr>
        <w:trPr>
          <w:trHeight w:val="203"/>
        </w:trPr>
        <w:tc>
          <w:tcPr>
            <w:tcW w:w="6440" w:type="dxa"/>
            <w:vAlign w:val="bottom"/>
          </w:tcPr>
          <w:p>
            <w:pPr>
              <w:ind w:left="40"/>
              <w:spacing w:after="0" w:line="202" w:lineRule="exact"/>
              <w:rPr>
                <w:sz w:val="20"/>
                <w:szCs w:val="20"/>
                <w:color w:val="auto"/>
              </w:rPr>
            </w:pPr>
            <w:r>
              <w:rPr>
                <w:rFonts w:ascii="Arial" w:cs="Arial" w:eastAsia="Arial" w:hAnsi="Arial"/>
                <w:sz w:val="18"/>
                <w:szCs w:val="18"/>
                <w:color w:val="auto"/>
              </w:rPr>
              <w:t>Professional fees</w:t>
            </w:r>
          </w:p>
        </w:tc>
        <w:tc>
          <w:tcPr>
            <w:tcW w:w="376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3,068</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2,093</w:t>
            </w:r>
          </w:p>
        </w:tc>
      </w:tr>
      <w:tr>
        <w:trPr>
          <w:trHeight w:val="203"/>
        </w:trPr>
        <w:tc>
          <w:tcPr>
            <w:tcW w:w="6440" w:type="dxa"/>
            <w:vAlign w:val="bottom"/>
          </w:tcPr>
          <w:p>
            <w:pPr>
              <w:ind w:left="40"/>
              <w:spacing w:after="0" w:line="202" w:lineRule="exact"/>
              <w:rPr>
                <w:sz w:val="20"/>
                <w:szCs w:val="20"/>
                <w:color w:val="auto"/>
              </w:rPr>
            </w:pPr>
            <w:r>
              <w:rPr>
                <w:rFonts w:ascii="Arial" w:cs="Arial" w:eastAsia="Arial" w:hAnsi="Arial"/>
                <w:sz w:val="18"/>
                <w:szCs w:val="18"/>
                <w:color w:val="auto"/>
              </w:rPr>
              <w:t>Utilities</w:t>
            </w:r>
          </w:p>
        </w:tc>
        <w:tc>
          <w:tcPr>
            <w:tcW w:w="376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991</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779</w:t>
            </w:r>
          </w:p>
        </w:tc>
      </w:tr>
      <w:tr>
        <w:trPr>
          <w:trHeight w:val="225"/>
        </w:trPr>
        <w:tc>
          <w:tcPr>
            <w:tcW w:w="64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Other</w:t>
            </w:r>
          </w:p>
        </w:tc>
        <w:tc>
          <w:tcPr>
            <w:tcW w:w="3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13,405</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11,824</w:t>
            </w:r>
          </w:p>
        </w:tc>
      </w:tr>
      <w:tr>
        <w:trPr>
          <w:trHeight w:val="196"/>
        </w:trPr>
        <w:tc>
          <w:tcPr>
            <w:tcW w:w="644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Total</w:t>
            </w:r>
          </w:p>
        </w:tc>
        <w:tc>
          <w:tcPr>
            <w:tcW w:w="376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b w:val="1"/>
                <w:bCs w:val="1"/>
                <w:color w:val="auto"/>
              </w:rPr>
              <w:t>$95,195</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$91,785</w:t>
            </w:r>
          </w:p>
        </w:tc>
      </w:tr>
      <w:tr>
        <w:trPr>
          <w:trHeight w:val="628"/>
        </w:trPr>
        <w:tc>
          <w:tcPr>
            <w:tcW w:w="64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129"/>
        </w:trPr>
        <w:tc>
          <w:tcPr>
            <w:tcW w:w="6440" w:type="dxa"/>
            <w:vAlign w:val="bottom"/>
            <w:tcBorders>
              <w:bottom w:val="single" w:sz="8" w:color="auto"/>
            </w:tcBorders>
          </w:tcPr>
          <w:p>
            <w:pPr>
              <w:spacing w:after="0"/>
              <w:rPr>
                <w:sz w:val="11"/>
                <w:szCs w:val="11"/>
                <w:color w:val="auto"/>
              </w:rPr>
            </w:pPr>
          </w:p>
        </w:tc>
        <w:tc>
          <w:tcPr>
            <w:tcW w:w="37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r>
    </w:tbl>
    <w:p>
      <w:pPr>
        <w:sectPr>
          <w:pgSz w:w="11900" w:h="16838" w:orient="portrait"/>
          <w:cols w:equalWidth="0" w:num="1">
            <w:col w:w="11420"/>
          </w:cols>
          <w:pgMar w:left="240" w:top="140" w:right="239" w:bottom="1440" w:gutter="0" w:footer="0" w:header="0"/>
        </w:sectPr>
      </w:pPr>
    </w:p>
    <w:bookmarkStart w:id="89" w:name="page90"/>
    <w:bookmarkEnd w:id="8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60" w:type="dxa"/>
            <w:vAlign w:val="bottom"/>
          </w:tcPr>
          <w:p>
            <w:pPr>
              <w:spacing w:after="0"/>
              <w:rPr>
                <w:sz w:val="20"/>
                <w:szCs w:val="20"/>
                <w:color w:val="auto"/>
              </w:rPr>
            </w:pPr>
            <w:r>
              <w:rPr>
                <w:rFonts w:ascii="Arial" w:cs="Arial" w:eastAsia="Arial" w:hAnsi="Arial"/>
                <w:sz w:val="18"/>
                <w:szCs w:val="18"/>
                <w:b w:val="1"/>
                <w:bCs w:val="1"/>
                <w:color w:val="auto"/>
              </w:rPr>
              <w:t>14. Financial Instruments</w:t>
            </w:r>
          </w:p>
        </w:tc>
        <w:tc>
          <w:tcPr>
            <w:tcW w:w="23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7360" w:type="dxa"/>
            <w:vAlign w:val="bottom"/>
          </w:tcPr>
          <w:p>
            <w:pPr>
              <w:ind w:left="660"/>
              <w:spacing w:after="0"/>
              <w:rPr>
                <w:sz w:val="20"/>
                <w:szCs w:val="20"/>
                <w:color w:val="auto"/>
              </w:rPr>
            </w:pPr>
            <w:r>
              <w:rPr>
                <w:rFonts w:ascii="Arial" w:cs="Arial" w:eastAsia="Arial" w:hAnsi="Arial"/>
                <w:sz w:val="18"/>
                <w:szCs w:val="18"/>
                <w:color w:val="auto"/>
              </w:rPr>
              <w:t>Long-term debt, principally to banks and noteholders, consists of:</w:t>
            </w:r>
          </w:p>
        </w:tc>
        <w:tc>
          <w:tcPr>
            <w:tcW w:w="2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interest rates)</w:t>
            </w:r>
          </w:p>
        </w:tc>
        <w:tc>
          <w:tcPr>
            <w:tcW w:w="230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b w:val="1"/>
                <w:bCs w:val="1"/>
                <w:color w:val="auto"/>
              </w:rPr>
              <w:t>2016</w:t>
            </w:r>
          </w:p>
        </w:tc>
        <w:tc>
          <w:tcPr>
            <w:tcW w:w="17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412"/>
        </w:trPr>
        <w:tc>
          <w:tcPr>
            <w:tcW w:w="7360" w:type="dxa"/>
            <w:vAlign w:val="bottom"/>
          </w:tcPr>
          <w:p>
            <w:pPr>
              <w:ind w:left="40"/>
              <w:spacing w:after="0"/>
              <w:rPr>
                <w:sz w:val="20"/>
                <w:szCs w:val="20"/>
                <w:color w:val="auto"/>
              </w:rPr>
            </w:pPr>
            <w:r>
              <w:rPr>
                <w:rFonts w:ascii="Arial" w:cs="Arial" w:eastAsia="Arial" w:hAnsi="Arial"/>
                <w:sz w:val="18"/>
                <w:szCs w:val="18"/>
                <w:color w:val="auto"/>
              </w:rPr>
              <w:t>Private placement with a fixed interest rate of 6.84%, due 2017</w:t>
            </w:r>
          </w:p>
        </w:tc>
        <w:tc>
          <w:tcPr>
            <w:tcW w:w="2300" w:type="dxa"/>
            <w:vAlign w:val="bottom"/>
          </w:tcPr>
          <w:p>
            <w:pPr>
              <w:jc w:val="right"/>
              <w:ind w:right="750"/>
              <w:spacing w:after="0"/>
              <w:rPr>
                <w:sz w:val="20"/>
                <w:szCs w:val="20"/>
                <w:color w:val="auto"/>
              </w:rPr>
            </w:pPr>
            <w:r>
              <w:rPr>
                <w:rFonts w:ascii="Arial" w:cs="Arial" w:eastAsia="Arial" w:hAnsi="Arial"/>
                <w:sz w:val="18"/>
                <w:szCs w:val="18"/>
                <w:b w:val="1"/>
                <w:bCs w:val="1"/>
                <w:color w:val="auto"/>
              </w:rPr>
              <w:t>$50,000</w:t>
            </w:r>
          </w:p>
        </w:tc>
        <w:tc>
          <w:tcPr>
            <w:tcW w:w="1760" w:type="dxa"/>
            <w:vAlign w:val="bottom"/>
          </w:tcPr>
          <w:p>
            <w:pPr>
              <w:jc w:val="right"/>
              <w:ind w:right="10"/>
              <w:spacing w:after="0"/>
              <w:rPr>
                <w:sz w:val="20"/>
                <w:szCs w:val="20"/>
                <w:color w:val="auto"/>
              </w:rPr>
            </w:pPr>
            <w:r>
              <w:rPr>
                <w:rFonts w:ascii="Arial" w:cs="Arial" w:eastAsia="Arial" w:hAnsi="Arial"/>
                <w:sz w:val="18"/>
                <w:szCs w:val="18"/>
                <w:b w:val="1"/>
                <w:bCs w:val="1"/>
                <w:color w:val="auto"/>
              </w:rPr>
              <w:t>$50,000</w:t>
            </w:r>
          </w:p>
        </w:tc>
        <w:tc>
          <w:tcPr>
            <w:tcW w:w="0" w:type="dxa"/>
            <w:vAlign w:val="bottom"/>
          </w:tcPr>
          <w:p>
            <w:pPr>
              <w:spacing w:after="0"/>
              <w:rPr>
                <w:sz w:val="1"/>
                <w:szCs w:val="1"/>
                <w:color w:val="auto"/>
              </w:rPr>
            </w:pPr>
          </w:p>
        </w:tc>
      </w:tr>
      <w:tr>
        <w:trPr>
          <w:trHeight w:val="391"/>
        </w:trPr>
        <w:tc>
          <w:tcPr>
            <w:tcW w:w="7360" w:type="dxa"/>
            <w:vAlign w:val="bottom"/>
          </w:tcPr>
          <w:p>
            <w:pPr>
              <w:ind w:left="40"/>
              <w:spacing w:after="0"/>
              <w:rPr>
                <w:sz w:val="20"/>
                <w:szCs w:val="20"/>
                <w:color w:val="auto"/>
              </w:rPr>
            </w:pPr>
            <w:r>
              <w:rPr>
                <w:rFonts w:ascii="Arial" w:cs="Arial" w:eastAsia="Arial" w:hAnsi="Arial"/>
                <w:sz w:val="18"/>
                <w:szCs w:val="18"/>
                <w:color w:val="auto"/>
              </w:rPr>
              <w:t>Revolving credit agreements with borrowings outstanding at an end of period interest</w:t>
            </w:r>
          </w:p>
        </w:tc>
        <w:tc>
          <w:tcPr>
            <w:tcW w:w="2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40"/>
              <w:spacing w:after="0" w:line="202" w:lineRule="exact"/>
              <w:rPr>
                <w:sz w:val="20"/>
                <w:szCs w:val="20"/>
                <w:color w:val="auto"/>
              </w:rPr>
            </w:pPr>
            <w:r>
              <w:rPr>
                <w:rFonts w:ascii="Arial" w:cs="Arial" w:eastAsia="Arial" w:hAnsi="Arial"/>
                <w:sz w:val="18"/>
                <w:szCs w:val="18"/>
                <w:color w:val="auto"/>
              </w:rPr>
              <w:t>rate of 2.58% in 2016 and 2.27% in 2015 (including the effect of interest rate hedging</w:t>
            </w:r>
          </w:p>
        </w:tc>
        <w:tc>
          <w:tcPr>
            <w:tcW w:w="2300" w:type="dxa"/>
            <w:vAlign w:val="bottom"/>
            <w:vMerge w:val="restart"/>
          </w:tcPr>
          <w:p>
            <w:pPr>
              <w:jc w:val="right"/>
              <w:ind w:right="750"/>
              <w:spacing w:after="0"/>
              <w:rPr>
                <w:sz w:val="20"/>
                <w:szCs w:val="20"/>
                <w:color w:val="auto"/>
              </w:rPr>
            </w:pPr>
            <w:r>
              <w:rPr>
                <w:rFonts w:ascii="Arial" w:cs="Arial" w:eastAsia="Arial" w:hAnsi="Arial"/>
                <w:sz w:val="18"/>
                <w:szCs w:val="18"/>
                <w:b w:val="1"/>
                <w:bCs w:val="1"/>
                <w:color w:val="auto"/>
              </w:rPr>
              <w:t>418,000</w:t>
            </w:r>
          </w:p>
        </w:tc>
        <w:tc>
          <w:tcPr>
            <w:tcW w:w="17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215,000</w:t>
            </w:r>
          </w:p>
        </w:tc>
        <w:tc>
          <w:tcPr>
            <w:tcW w:w="0" w:type="dxa"/>
            <w:vAlign w:val="bottom"/>
          </w:tcPr>
          <w:p>
            <w:pPr>
              <w:spacing w:after="0"/>
              <w:rPr>
                <w:sz w:val="1"/>
                <w:szCs w:val="1"/>
                <w:color w:val="auto"/>
              </w:rPr>
            </w:pPr>
          </w:p>
        </w:tc>
      </w:tr>
      <w:tr>
        <w:trPr>
          <w:trHeight w:val="217"/>
        </w:trPr>
        <w:tc>
          <w:tcPr>
            <w:tcW w:w="7360" w:type="dxa"/>
            <w:vAlign w:val="bottom"/>
          </w:tcPr>
          <w:p>
            <w:pPr>
              <w:ind w:left="40"/>
              <w:spacing w:after="0"/>
              <w:rPr>
                <w:sz w:val="20"/>
                <w:szCs w:val="20"/>
                <w:color w:val="auto"/>
              </w:rPr>
            </w:pPr>
            <w:r>
              <w:rPr>
                <w:rFonts w:ascii="Arial" w:cs="Arial" w:eastAsia="Arial" w:hAnsi="Arial"/>
                <w:sz w:val="18"/>
                <w:szCs w:val="18"/>
                <w:color w:val="auto"/>
              </w:rPr>
              <w:t>transactions, as described below), due in 2021</w:t>
            </w:r>
          </w:p>
        </w:tc>
        <w:tc>
          <w:tcPr>
            <w:tcW w:w="2300" w:type="dxa"/>
            <w:vAlign w:val="bottom"/>
            <w:vMerge w:val="continue"/>
          </w:tcPr>
          <w:p>
            <w:pPr>
              <w:spacing w:after="0"/>
              <w:rPr>
                <w:sz w:val="18"/>
                <w:szCs w:val="18"/>
                <w:color w:val="auto"/>
              </w:rPr>
            </w:pPr>
          </w:p>
        </w:tc>
        <w:tc>
          <w:tcPr>
            <w:tcW w:w="1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73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Obligation under capital lease, matures 2022</w:t>
            </w:r>
          </w:p>
        </w:tc>
        <w:tc>
          <w:tcPr>
            <w:tcW w:w="230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16,584</w:t>
            </w:r>
          </w:p>
        </w:tc>
        <w:tc>
          <w:tcPr>
            <w:tcW w:w="1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96</w:t>
            </w:r>
          </w:p>
        </w:tc>
        <w:tc>
          <w:tcPr>
            <w:tcW w:w="0" w:type="dxa"/>
            <w:vAlign w:val="bottom"/>
          </w:tcPr>
          <w:p>
            <w:pPr>
              <w:spacing w:after="0"/>
              <w:rPr>
                <w:sz w:val="1"/>
                <w:szCs w:val="1"/>
                <w:color w:val="auto"/>
              </w:rPr>
            </w:pPr>
          </w:p>
        </w:tc>
      </w:tr>
      <w:tr>
        <w:trPr>
          <w:trHeight w:val="412"/>
        </w:trPr>
        <w:tc>
          <w:tcPr>
            <w:tcW w:w="736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2300" w:type="dxa"/>
            <w:vAlign w:val="bottom"/>
          </w:tcPr>
          <w:p>
            <w:pPr>
              <w:jc w:val="right"/>
              <w:ind w:right="750"/>
              <w:spacing w:after="0"/>
              <w:rPr>
                <w:sz w:val="20"/>
                <w:szCs w:val="20"/>
                <w:color w:val="auto"/>
              </w:rPr>
            </w:pPr>
            <w:r>
              <w:rPr>
                <w:rFonts w:ascii="Arial" w:cs="Arial" w:eastAsia="Arial" w:hAnsi="Arial"/>
                <w:sz w:val="18"/>
                <w:szCs w:val="18"/>
                <w:b w:val="1"/>
                <w:bCs w:val="1"/>
                <w:color w:val="auto"/>
              </w:rPr>
              <w:t>484,584</w:t>
            </w:r>
          </w:p>
        </w:tc>
        <w:tc>
          <w:tcPr>
            <w:tcW w:w="1760" w:type="dxa"/>
            <w:vAlign w:val="bottom"/>
          </w:tcPr>
          <w:p>
            <w:pPr>
              <w:jc w:val="right"/>
              <w:ind w:right="10"/>
              <w:spacing w:after="0"/>
              <w:rPr>
                <w:sz w:val="20"/>
                <w:szCs w:val="20"/>
                <w:color w:val="auto"/>
              </w:rPr>
            </w:pPr>
            <w:r>
              <w:rPr>
                <w:rFonts w:ascii="Arial" w:cs="Arial" w:eastAsia="Arial" w:hAnsi="Arial"/>
                <w:sz w:val="18"/>
                <w:szCs w:val="18"/>
                <w:b w:val="1"/>
                <w:bCs w:val="1"/>
                <w:color w:val="auto"/>
              </w:rPr>
              <w:t>265,096</w:t>
            </w:r>
          </w:p>
        </w:tc>
        <w:tc>
          <w:tcPr>
            <w:tcW w:w="0" w:type="dxa"/>
            <w:vAlign w:val="bottom"/>
          </w:tcPr>
          <w:p>
            <w:pPr>
              <w:spacing w:after="0"/>
              <w:rPr>
                <w:sz w:val="1"/>
                <w:szCs w:val="1"/>
                <w:color w:val="auto"/>
              </w:rPr>
            </w:pPr>
          </w:p>
        </w:tc>
      </w:tr>
      <w:tr>
        <w:trPr>
          <w:trHeight w:val="392"/>
        </w:trPr>
        <w:tc>
          <w:tcPr>
            <w:tcW w:w="73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Less: current portion</w:t>
            </w:r>
          </w:p>
        </w:tc>
        <w:tc>
          <w:tcPr>
            <w:tcW w:w="23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(51,666)</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w:t>
            </w:r>
          </w:p>
        </w:tc>
        <w:tc>
          <w:tcPr>
            <w:tcW w:w="0" w:type="dxa"/>
            <w:vAlign w:val="bottom"/>
          </w:tcPr>
          <w:p>
            <w:pPr>
              <w:spacing w:after="0"/>
              <w:rPr>
                <w:sz w:val="1"/>
                <w:szCs w:val="1"/>
                <w:color w:val="auto"/>
              </w:rPr>
            </w:pPr>
          </w:p>
        </w:tc>
      </w:tr>
      <w:tr>
        <w:trPr>
          <w:trHeight w:val="399"/>
        </w:trPr>
        <w:tc>
          <w:tcPr>
            <w:tcW w:w="73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Long-term debt, net of current portion</w:t>
            </w:r>
          </w:p>
        </w:tc>
        <w:tc>
          <w:tcPr>
            <w:tcW w:w="230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$432,918</w:t>
            </w:r>
          </w:p>
        </w:tc>
        <w:tc>
          <w:tcPr>
            <w:tcW w:w="1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$265,080</w:t>
            </w:r>
          </w:p>
        </w:tc>
        <w:tc>
          <w:tcPr>
            <w:tcW w:w="0" w:type="dxa"/>
            <w:vAlign w:val="bottom"/>
          </w:tcPr>
          <w:p>
            <w:pPr>
              <w:spacing w:after="0"/>
              <w:rPr>
                <w:sz w:val="1"/>
                <w:szCs w:val="1"/>
                <w:color w:val="auto"/>
              </w:rPr>
            </w:pPr>
          </w:p>
        </w:tc>
      </w:tr>
    </w:tbl>
    <w:p>
      <w:pPr>
        <w:spacing w:after="0" w:line="377" w:lineRule="exact"/>
        <w:rPr>
          <w:sz w:val="20"/>
          <w:szCs w:val="20"/>
          <w:color w:val="auto"/>
        </w:rPr>
      </w:pPr>
    </w:p>
    <w:p>
      <w:pPr>
        <w:ind w:right="480" w:firstLine="648"/>
        <w:spacing w:after="0" w:line="246" w:lineRule="auto"/>
        <w:rPr>
          <w:sz w:val="20"/>
          <w:szCs w:val="20"/>
          <w:color w:val="auto"/>
        </w:rPr>
      </w:pPr>
      <w:r>
        <w:rPr>
          <w:rFonts w:ascii="Arial" w:cs="Arial" w:eastAsia="Arial" w:hAnsi="Arial"/>
          <w:sz w:val="18"/>
          <w:szCs w:val="18"/>
          <w:color w:val="auto"/>
        </w:rPr>
        <w:t>Principal payments due on long-term debt are: 2018, $1.8 million, 2019, $1.9 million, 2020, $2.0 million, 2021, $420.1 million, and 2022, $7.1 million. Cash payments of interest amounted to $13.7 million in 2016, $12.6 million in 2015, and $13.0 million in 2014.</w:t>
      </w:r>
    </w:p>
    <w:p>
      <w:pPr>
        <w:spacing w:after="0" w:line="156" w:lineRule="exact"/>
        <w:rPr>
          <w:sz w:val="20"/>
          <w:szCs w:val="20"/>
          <w:color w:val="auto"/>
        </w:rPr>
      </w:pPr>
    </w:p>
    <w:p>
      <w:pPr>
        <w:ind w:right="180" w:firstLine="648"/>
        <w:spacing w:after="0" w:line="236" w:lineRule="auto"/>
        <w:rPr>
          <w:sz w:val="20"/>
          <w:szCs w:val="20"/>
          <w:color w:val="auto"/>
        </w:rPr>
      </w:pPr>
      <w:r>
        <w:rPr>
          <w:rFonts w:ascii="Arial" w:cs="Arial" w:eastAsia="Arial" w:hAnsi="Arial"/>
          <w:sz w:val="18"/>
          <w:szCs w:val="18"/>
          <w:color w:val="auto"/>
        </w:rPr>
        <w:t>A note agreement and guaranty (“Prudential Agreement”) was originally entered into in October 2005 with the Prudential Insurance Company of America, and certain other purchasers, with interest at 6.84%. The remaining principal under the Prudential Agreement is $50.0 million, and is due on the maturity date of October 25, 2017. At the noteholders’ election, certain prepayments may also be required in connection with certain asset dispositions or financings. The notes may not otherwise be prepaid without a premium, under certain market conditions. The Prudential Agreement contains customary terms, as well as affirmative covenants, negative covenants, and events of default, comparable to those in our current principal credit facility agreement (as described below). The Prudential Agreement has been amended a number of times, most recently in April 2016, in order to maintain terms comparable to our current principal credit facility. For disclosure purposes, we are required to measure the fair value of outstanding debt on a recurring basis. As of December 31, 2016, the fair value of this debt was approximately $52.8 million, and was measured using active market interest rates, which would be considered Level 2 for fair value measurement purposes.</w:t>
      </w:r>
    </w:p>
    <w:p>
      <w:pPr>
        <w:spacing w:after="0" w:line="180" w:lineRule="exact"/>
        <w:rPr>
          <w:sz w:val="20"/>
          <w:szCs w:val="20"/>
          <w:color w:val="auto"/>
        </w:rPr>
      </w:pPr>
    </w:p>
    <w:p>
      <w:pPr>
        <w:ind w:right="40" w:firstLine="648"/>
        <w:spacing w:after="0" w:line="234" w:lineRule="auto"/>
        <w:rPr>
          <w:sz w:val="20"/>
          <w:szCs w:val="20"/>
          <w:color w:val="auto"/>
        </w:rPr>
      </w:pPr>
      <w:r>
        <w:rPr>
          <w:rFonts w:ascii="Arial" w:cs="Arial" w:eastAsia="Arial" w:hAnsi="Arial"/>
          <w:sz w:val="18"/>
          <w:szCs w:val="18"/>
          <w:color w:val="auto"/>
        </w:rPr>
        <w:t>On April 8, 2016, we entered into a $550 million unsecured Five -Year Revolving Credit Facility Agreement (the “Credit Agreement”) which amended and restated the prior $400 million Agreement, entered into on June 18, 2015 (the “Prior Agreement”). Under the Credit Agreement, $418 million of borrowings were outstanding as of December 31, 2016. The applicable interest rate for borrowings was LIBOR plus a spread, based on our leverage ratio at the time of borrowing. At the time of the last borrowing on December 16, 2016, the spread was</w:t>
      </w:r>
    </w:p>
    <w:p>
      <w:pPr>
        <w:spacing w:after="0" w:line="3"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1.500%. The spread was based on a pricing grid, which ranged from 1.250% to 1.750%, based on our leverage ratio. Based on our maximum leverage ratio and our Consolidated EBITDA, and without modification to any other credit agreements, as of December 31, 2016, we would have been able to borrow an additional $132 million under the Agreement.</w:t>
      </w:r>
    </w:p>
    <w:p>
      <w:pPr>
        <w:spacing w:after="0" w:line="162" w:lineRule="exact"/>
        <w:rPr>
          <w:sz w:val="20"/>
          <w:szCs w:val="20"/>
          <w:color w:val="auto"/>
        </w:rPr>
      </w:pPr>
    </w:p>
    <w:p>
      <w:pPr>
        <w:ind w:right="800" w:firstLine="648"/>
        <w:spacing w:after="0" w:line="246" w:lineRule="auto"/>
        <w:rPr>
          <w:sz w:val="20"/>
          <w:szCs w:val="20"/>
          <w:color w:val="auto"/>
        </w:rPr>
      </w:pPr>
      <w:r>
        <w:rPr>
          <w:rFonts w:ascii="Arial" w:cs="Arial" w:eastAsia="Arial" w:hAnsi="Arial"/>
          <w:sz w:val="18"/>
          <w:szCs w:val="18"/>
          <w:color w:val="auto"/>
        </w:rPr>
        <w:t>The Credit Agreement contains customary terms, as well as affirmative covenants, negative covenants and events of defaults comparable to those in the Prior Agreement. The Borrowings are guaranteed by certain of the Company’s subsidiaries.</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0" w:name="page91"/>
    <w:bookmarkEnd w:id="90"/>
    <w:p>
      <w:pPr>
        <w:ind w:right="340" w:firstLine="648"/>
        <w:spacing w:after="0" w:line="245" w:lineRule="auto"/>
        <w:rPr>
          <w:sz w:val="20"/>
          <w:szCs w:val="20"/>
          <w:color w:val="auto"/>
        </w:rPr>
      </w:pPr>
      <w:r>
        <w:rPr>
          <w:rFonts w:ascii="Arial" w:cs="Arial" w:eastAsia="Arial" w:hAnsi="Arial"/>
          <w:sz w:val="18"/>
          <w:szCs w:val="18"/>
          <w:color w:val="auto"/>
        </w:rPr>
        <w:t>Our ability to borrow additional amounts under the Credit Agreement is conditional upon the absence of any defaults, as well as the absence of any material adverse change (as defined in the Credit Agreement).</w:t>
      </w:r>
    </w:p>
    <w:p>
      <w:pPr>
        <w:spacing w:after="0" w:line="157" w:lineRule="exact"/>
        <w:rPr>
          <w:sz w:val="20"/>
          <w:szCs w:val="20"/>
          <w:color w:val="auto"/>
        </w:rPr>
      </w:pPr>
    </w:p>
    <w:p>
      <w:pPr>
        <w:ind w:right="80" w:firstLine="648"/>
        <w:spacing w:after="0" w:line="246" w:lineRule="auto"/>
        <w:rPr>
          <w:sz w:val="20"/>
          <w:szCs w:val="20"/>
          <w:color w:val="auto"/>
        </w:rPr>
      </w:pPr>
      <w:r>
        <w:rPr>
          <w:rFonts w:ascii="Arial" w:cs="Arial" w:eastAsia="Arial" w:hAnsi="Arial"/>
          <w:sz w:val="18"/>
          <w:szCs w:val="18"/>
          <w:color w:val="auto"/>
        </w:rPr>
        <w:t>In connection with the 2016 acquisition transaction, the Company has a long-term capital lease obligation for real property in Salt Lake City, Utah. The lease has an implied interest rate of 5.0% and matures in 2022.</w:t>
      </w:r>
    </w:p>
    <w:p>
      <w:pPr>
        <w:spacing w:after="0" w:line="170" w:lineRule="exact"/>
        <w:rPr>
          <w:sz w:val="20"/>
          <w:szCs w:val="20"/>
          <w:color w:val="auto"/>
        </w:rPr>
      </w:pPr>
    </w:p>
    <w:p>
      <w:pPr>
        <w:ind w:right="40" w:firstLine="648"/>
        <w:spacing w:after="0" w:line="246" w:lineRule="auto"/>
        <w:rPr>
          <w:sz w:val="20"/>
          <w:szCs w:val="20"/>
          <w:color w:val="auto"/>
        </w:rPr>
      </w:pPr>
      <w:r>
        <w:rPr>
          <w:rFonts w:ascii="Arial" w:cs="Arial" w:eastAsia="Arial" w:hAnsi="Arial"/>
          <w:sz w:val="18"/>
          <w:szCs w:val="18"/>
          <w:color w:val="auto"/>
        </w:rPr>
        <w:t>The following schedule presents future minimum annual lease payments under the capital lease obligation and the present value of the minimum lease payments, as of December 31, 2016.</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Years ending December 31,</w:t>
            </w:r>
          </w:p>
        </w:tc>
        <w:tc>
          <w:tcPr>
            <w:tcW w:w="4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(in thousands)</w:t>
            </w:r>
          </w:p>
        </w:tc>
      </w:tr>
      <w:tr>
        <w:trPr>
          <w:trHeight w:val="195"/>
        </w:trPr>
        <w:tc>
          <w:tcPr>
            <w:tcW w:w="6840" w:type="dxa"/>
            <w:vAlign w:val="bottom"/>
          </w:tcPr>
          <w:p>
            <w:pPr>
              <w:ind w:left="40"/>
              <w:spacing w:after="0" w:line="195" w:lineRule="exact"/>
              <w:rPr>
                <w:sz w:val="20"/>
                <w:szCs w:val="20"/>
                <w:color w:val="auto"/>
              </w:rPr>
            </w:pPr>
            <w:r>
              <w:rPr>
                <w:rFonts w:ascii="Arial" w:cs="Arial" w:eastAsia="Arial" w:hAnsi="Arial"/>
                <w:sz w:val="18"/>
                <w:szCs w:val="18"/>
                <w:color w:val="auto"/>
              </w:rPr>
              <w:t>2017</w:t>
            </w:r>
          </w:p>
        </w:tc>
        <w:tc>
          <w:tcPr>
            <w:tcW w:w="4580" w:type="dxa"/>
            <w:vAlign w:val="bottom"/>
          </w:tcPr>
          <w:p>
            <w:pPr>
              <w:jc w:val="right"/>
              <w:spacing w:after="0" w:line="195" w:lineRule="exact"/>
              <w:rPr>
                <w:sz w:val="20"/>
                <w:szCs w:val="20"/>
                <w:color w:val="auto"/>
              </w:rPr>
            </w:pPr>
            <w:r>
              <w:rPr>
                <w:rFonts w:ascii="Arial" w:cs="Arial" w:eastAsia="Arial" w:hAnsi="Arial"/>
                <w:sz w:val="18"/>
                <w:szCs w:val="18"/>
                <w:color w:val="auto"/>
              </w:rPr>
              <w:t>$ 2,696</w:t>
            </w:r>
          </w:p>
        </w:tc>
      </w:tr>
      <w:tr>
        <w:trPr>
          <w:trHeight w:val="203"/>
        </w:trPr>
        <w:tc>
          <w:tcPr>
            <w:tcW w:w="6840" w:type="dxa"/>
            <w:vAlign w:val="bottom"/>
          </w:tcPr>
          <w:p>
            <w:pPr>
              <w:ind w:left="40"/>
              <w:spacing w:after="0" w:line="202" w:lineRule="exact"/>
              <w:rPr>
                <w:sz w:val="20"/>
                <w:szCs w:val="20"/>
                <w:color w:val="auto"/>
              </w:rPr>
            </w:pPr>
            <w:r>
              <w:rPr>
                <w:rFonts w:ascii="Arial" w:cs="Arial" w:eastAsia="Arial" w:hAnsi="Arial"/>
                <w:sz w:val="18"/>
                <w:szCs w:val="18"/>
                <w:color w:val="auto"/>
              </w:rPr>
              <w:t>2018</w:t>
            </w:r>
          </w:p>
        </w:tc>
        <w:tc>
          <w:tcPr>
            <w:tcW w:w="4580" w:type="dxa"/>
            <w:vAlign w:val="bottom"/>
          </w:tcPr>
          <w:p>
            <w:pPr>
              <w:jc w:val="right"/>
              <w:spacing w:after="0" w:line="202" w:lineRule="exact"/>
              <w:rPr>
                <w:sz w:val="20"/>
                <w:szCs w:val="20"/>
                <w:color w:val="auto"/>
              </w:rPr>
            </w:pPr>
            <w:r>
              <w:rPr>
                <w:rFonts w:ascii="Arial" w:cs="Arial" w:eastAsia="Arial" w:hAnsi="Arial"/>
                <w:sz w:val="18"/>
                <w:szCs w:val="18"/>
                <w:color w:val="auto"/>
              </w:rPr>
              <w:t>2,743</w:t>
            </w:r>
          </w:p>
        </w:tc>
      </w:tr>
      <w:tr>
        <w:trPr>
          <w:trHeight w:val="203"/>
        </w:trPr>
        <w:tc>
          <w:tcPr>
            <w:tcW w:w="6840" w:type="dxa"/>
            <w:vAlign w:val="bottom"/>
          </w:tcPr>
          <w:p>
            <w:pPr>
              <w:ind w:left="40"/>
              <w:spacing w:after="0" w:line="202" w:lineRule="exact"/>
              <w:rPr>
                <w:sz w:val="20"/>
                <w:szCs w:val="20"/>
                <w:color w:val="auto"/>
              </w:rPr>
            </w:pPr>
            <w:r>
              <w:rPr>
                <w:rFonts w:ascii="Arial" w:cs="Arial" w:eastAsia="Arial" w:hAnsi="Arial"/>
                <w:sz w:val="18"/>
                <w:szCs w:val="18"/>
                <w:color w:val="auto"/>
              </w:rPr>
              <w:t>2019</w:t>
            </w:r>
          </w:p>
        </w:tc>
        <w:tc>
          <w:tcPr>
            <w:tcW w:w="4580" w:type="dxa"/>
            <w:vAlign w:val="bottom"/>
          </w:tcPr>
          <w:p>
            <w:pPr>
              <w:jc w:val="right"/>
              <w:spacing w:after="0" w:line="202" w:lineRule="exact"/>
              <w:rPr>
                <w:sz w:val="20"/>
                <w:szCs w:val="20"/>
                <w:color w:val="auto"/>
              </w:rPr>
            </w:pPr>
            <w:r>
              <w:rPr>
                <w:rFonts w:ascii="Arial" w:cs="Arial" w:eastAsia="Arial" w:hAnsi="Arial"/>
                <w:sz w:val="18"/>
                <w:szCs w:val="18"/>
                <w:color w:val="auto"/>
              </w:rPr>
              <w:t>2,743</w:t>
            </w:r>
          </w:p>
        </w:tc>
      </w:tr>
      <w:tr>
        <w:trPr>
          <w:trHeight w:val="203"/>
        </w:trPr>
        <w:tc>
          <w:tcPr>
            <w:tcW w:w="6840" w:type="dxa"/>
            <w:vAlign w:val="bottom"/>
          </w:tcPr>
          <w:p>
            <w:pPr>
              <w:ind w:left="40"/>
              <w:spacing w:after="0" w:line="202" w:lineRule="exact"/>
              <w:rPr>
                <w:sz w:val="20"/>
                <w:szCs w:val="20"/>
                <w:color w:val="auto"/>
              </w:rPr>
            </w:pPr>
            <w:r>
              <w:rPr>
                <w:rFonts w:ascii="Arial" w:cs="Arial" w:eastAsia="Arial" w:hAnsi="Arial"/>
                <w:sz w:val="18"/>
                <w:szCs w:val="18"/>
                <w:color w:val="auto"/>
              </w:rPr>
              <w:t>2020</w:t>
            </w:r>
          </w:p>
        </w:tc>
        <w:tc>
          <w:tcPr>
            <w:tcW w:w="4580" w:type="dxa"/>
            <w:vAlign w:val="bottom"/>
          </w:tcPr>
          <w:p>
            <w:pPr>
              <w:jc w:val="right"/>
              <w:spacing w:after="0" w:line="202" w:lineRule="exact"/>
              <w:rPr>
                <w:sz w:val="20"/>
                <w:szCs w:val="20"/>
                <w:color w:val="auto"/>
              </w:rPr>
            </w:pPr>
            <w:r>
              <w:rPr>
                <w:rFonts w:ascii="Arial" w:cs="Arial" w:eastAsia="Arial" w:hAnsi="Arial"/>
                <w:sz w:val="18"/>
                <w:szCs w:val="18"/>
                <w:color w:val="auto"/>
              </w:rPr>
              <w:t>2,790</w:t>
            </w:r>
          </w:p>
        </w:tc>
      </w:tr>
      <w:tr>
        <w:trPr>
          <w:trHeight w:val="203"/>
        </w:trPr>
        <w:tc>
          <w:tcPr>
            <w:tcW w:w="6840" w:type="dxa"/>
            <w:vAlign w:val="bottom"/>
          </w:tcPr>
          <w:p>
            <w:pPr>
              <w:ind w:left="40"/>
              <w:spacing w:after="0" w:line="202" w:lineRule="exact"/>
              <w:rPr>
                <w:sz w:val="20"/>
                <w:szCs w:val="20"/>
                <w:color w:val="auto"/>
              </w:rPr>
            </w:pPr>
            <w:r>
              <w:rPr>
                <w:rFonts w:ascii="Arial" w:cs="Arial" w:eastAsia="Arial" w:hAnsi="Arial"/>
                <w:sz w:val="18"/>
                <w:szCs w:val="18"/>
                <w:color w:val="auto"/>
              </w:rPr>
              <w:t>2021</w:t>
            </w:r>
          </w:p>
        </w:tc>
        <w:tc>
          <w:tcPr>
            <w:tcW w:w="4580" w:type="dxa"/>
            <w:vAlign w:val="bottom"/>
          </w:tcPr>
          <w:p>
            <w:pPr>
              <w:jc w:val="right"/>
              <w:spacing w:after="0" w:line="202" w:lineRule="exact"/>
              <w:rPr>
                <w:sz w:val="20"/>
                <w:szCs w:val="20"/>
                <w:color w:val="auto"/>
              </w:rPr>
            </w:pPr>
            <w:r>
              <w:rPr>
                <w:rFonts w:ascii="Arial" w:cs="Arial" w:eastAsia="Arial" w:hAnsi="Arial"/>
                <w:sz w:val="18"/>
                <w:szCs w:val="18"/>
                <w:color w:val="auto"/>
              </w:rPr>
              <w:t>2,790</w:t>
            </w:r>
          </w:p>
        </w:tc>
      </w:tr>
      <w:tr>
        <w:trPr>
          <w:trHeight w:val="203"/>
        </w:trPr>
        <w:tc>
          <w:tcPr>
            <w:tcW w:w="6840" w:type="dxa"/>
            <w:vAlign w:val="bottom"/>
            <w:tcBorders>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Thereafter</w:t>
            </w:r>
          </w:p>
        </w:tc>
        <w:tc>
          <w:tcPr>
            <w:tcW w:w="45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7,644</w:t>
            </w:r>
          </w:p>
        </w:tc>
      </w:tr>
      <w:tr>
        <w:trPr>
          <w:trHeight w:val="195"/>
        </w:trPr>
        <w:tc>
          <w:tcPr>
            <w:tcW w:w="6840" w:type="dxa"/>
            <w:vAlign w:val="bottom"/>
          </w:tcPr>
          <w:p>
            <w:pPr>
              <w:ind w:left="40"/>
              <w:spacing w:after="0" w:line="195" w:lineRule="exact"/>
              <w:rPr>
                <w:sz w:val="20"/>
                <w:szCs w:val="20"/>
                <w:color w:val="auto"/>
              </w:rPr>
            </w:pPr>
            <w:r>
              <w:rPr>
                <w:rFonts w:ascii="Arial" w:cs="Arial" w:eastAsia="Arial" w:hAnsi="Arial"/>
                <w:sz w:val="18"/>
                <w:szCs w:val="18"/>
                <w:color w:val="auto"/>
              </w:rPr>
              <w:t>Total minimum lease payments</w:t>
            </w:r>
          </w:p>
        </w:tc>
        <w:tc>
          <w:tcPr>
            <w:tcW w:w="4580" w:type="dxa"/>
            <w:vAlign w:val="bottom"/>
          </w:tcPr>
          <w:p>
            <w:pPr>
              <w:jc w:val="right"/>
              <w:spacing w:after="0" w:line="195" w:lineRule="exact"/>
              <w:rPr>
                <w:sz w:val="20"/>
                <w:szCs w:val="20"/>
                <w:color w:val="auto"/>
              </w:rPr>
            </w:pPr>
            <w:r>
              <w:rPr>
                <w:rFonts w:ascii="Arial" w:cs="Arial" w:eastAsia="Arial" w:hAnsi="Arial"/>
                <w:sz w:val="18"/>
                <w:szCs w:val="18"/>
                <w:color w:val="auto"/>
              </w:rPr>
              <w:t>21,406</w:t>
            </w:r>
          </w:p>
        </w:tc>
      </w:tr>
      <w:tr>
        <w:trPr>
          <w:trHeight w:val="203"/>
        </w:trPr>
        <w:tc>
          <w:tcPr>
            <w:tcW w:w="6840" w:type="dxa"/>
            <w:vAlign w:val="bottom"/>
            <w:tcBorders>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Less: Amount representing interest</w:t>
            </w:r>
          </w:p>
        </w:tc>
        <w:tc>
          <w:tcPr>
            <w:tcW w:w="45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(4,822)</w:t>
            </w:r>
          </w:p>
        </w:tc>
      </w:tr>
      <w:tr>
        <w:trPr>
          <w:trHeight w:val="196"/>
        </w:trPr>
        <w:tc>
          <w:tcPr>
            <w:tcW w:w="684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Present value of minimum lease payments</w:t>
            </w:r>
          </w:p>
        </w:tc>
        <w:tc>
          <w:tcPr>
            <w:tcW w:w="4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$ 16,584</w:t>
            </w:r>
          </w:p>
        </w:tc>
      </w:tr>
    </w:tbl>
    <w:p>
      <w:pPr>
        <w:spacing w:after="0" w:line="377" w:lineRule="exact"/>
        <w:rPr>
          <w:sz w:val="20"/>
          <w:szCs w:val="20"/>
          <w:color w:val="auto"/>
        </w:rPr>
      </w:pPr>
    </w:p>
    <w:p>
      <w:pPr>
        <w:ind w:right="140" w:firstLine="648"/>
        <w:spacing w:after="0"/>
        <w:rPr>
          <w:sz w:val="20"/>
          <w:szCs w:val="20"/>
          <w:color w:val="auto"/>
        </w:rPr>
      </w:pPr>
      <w:r>
        <w:rPr>
          <w:rFonts w:ascii="Arial" w:cs="Arial" w:eastAsia="Arial" w:hAnsi="Arial"/>
          <w:sz w:val="18"/>
          <w:szCs w:val="18"/>
          <w:color w:val="auto"/>
        </w:rPr>
        <w:t>On May 6, 2016, we terminated our interest rate swap agreements that had effectively fixed the interest rate on up to $120 million of revolving credit borrowings, in order to enter into a new interest rate swap with a greater notional amount, and the same maturity as the Credit Agreement. We paid $5.2 million to terminate the swap agreements and that cost will be amortized into interest expense through June 2020.</w:t>
      </w:r>
    </w:p>
    <w:p>
      <w:pPr>
        <w:spacing w:after="0" w:line="176" w:lineRule="exact"/>
        <w:rPr>
          <w:sz w:val="20"/>
          <w:szCs w:val="20"/>
          <w:color w:val="auto"/>
        </w:rPr>
      </w:pPr>
    </w:p>
    <w:p>
      <w:pPr>
        <w:ind w:right="200" w:firstLine="648"/>
        <w:spacing w:after="0" w:line="238" w:lineRule="auto"/>
        <w:rPr>
          <w:sz w:val="20"/>
          <w:szCs w:val="20"/>
          <w:color w:val="auto"/>
        </w:rPr>
      </w:pPr>
      <w:r>
        <w:rPr>
          <w:rFonts w:ascii="Arial" w:cs="Arial" w:eastAsia="Arial" w:hAnsi="Arial"/>
          <w:sz w:val="18"/>
          <w:szCs w:val="18"/>
          <w:color w:val="auto"/>
        </w:rPr>
        <w:t>On May 9, 2016, we entered into interest rate hedges for the period May 16, 2016 through March 16, 2021. These transactions have the effect of fixing the LIBOR portion of the effective interest rate (before addition of the spread) on $300 million of indebtedness drawn under the Credit Agreement at the rate of 1.245% during the period. Under the terms of these transactions, we pay the fixed rate of 1.245% and the counterparties pay a floating rate based on the one-month LIBOR rate at each monthly calculation date, which on December 16, 2016 was 0.710%, plus the applicable spread, during the swap period. On December 16, 2016, the all-in-rate on the $300 million of debt was 2.745%.</w:t>
      </w:r>
    </w:p>
    <w:p>
      <w:pPr>
        <w:spacing w:after="0" w:line="162" w:lineRule="exact"/>
        <w:rPr>
          <w:sz w:val="20"/>
          <w:szCs w:val="20"/>
          <w:color w:val="auto"/>
        </w:rPr>
      </w:pPr>
    </w:p>
    <w:p>
      <w:pPr>
        <w:ind w:right="920" w:firstLine="648"/>
        <w:spacing w:after="0" w:line="246" w:lineRule="auto"/>
        <w:rPr>
          <w:sz w:val="20"/>
          <w:szCs w:val="20"/>
          <w:color w:val="auto"/>
        </w:rPr>
      </w:pPr>
      <w:r>
        <w:rPr>
          <w:rFonts w:ascii="Arial" w:cs="Arial" w:eastAsia="Arial" w:hAnsi="Arial"/>
          <w:sz w:val="18"/>
          <w:szCs w:val="18"/>
          <w:color w:val="auto"/>
        </w:rPr>
        <w:t>These interest rate swaps are accounted for as a hedge of future cash flows, as further described in Note 15 of the Notes to Consolidated Financial Statements. No cash collateral was received or pledged in relation to the swap agreements.</w:t>
      </w:r>
    </w:p>
    <w:p>
      <w:pPr>
        <w:spacing w:after="0" w:line="156" w:lineRule="exact"/>
        <w:rPr>
          <w:sz w:val="20"/>
          <w:szCs w:val="20"/>
          <w:color w:val="auto"/>
        </w:rPr>
      </w:pPr>
    </w:p>
    <w:p>
      <w:pPr>
        <w:ind w:right="620" w:firstLine="648"/>
        <w:spacing w:after="0" w:line="246" w:lineRule="auto"/>
        <w:rPr>
          <w:sz w:val="20"/>
          <w:szCs w:val="20"/>
          <w:color w:val="auto"/>
        </w:rPr>
      </w:pPr>
      <w:r>
        <w:rPr>
          <w:rFonts w:ascii="Arial" w:cs="Arial" w:eastAsia="Arial" w:hAnsi="Arial"/>
          <w:sz w:val="18"/>
          <w:szCs w:val="18"/>
          <w:color w:val="auto"/>
        </w:rPr>
        <w:t>Under the Credit Agreement and Prudential Agreement, we are currently required to maintain a leverage ratio (as defined in the agreements) of not greater than 3.50 to 1.00 and minimum interest coverage (as defined) of 3.00 to 1.00.</w:t>
      </w:r>
    </w:p>
    <w:p>
      <w:pPr>
        <w:spacing w:after="0" w:line="170"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As of December 31, 2016, our leverage ratio was 2.30 to 1.00 and our interest coverage ratio was 11.52 to 1.00. We may purchase our Common Stock or pay dividends to the extent our leverage ratio remains at or below 3.50 to 1.00, and may make acquisitions with cash provided our leverage ratio would not exceed 3.50 to 1.00 after giving pro forma effect to the acquisition.</w:t>
      </w:r>
    </w:p>
    <w:p>
      <w:pPr>
        <w:spacing w:after="0" w:line="162" w:lineRule="exact"/>
        <w:rPr>
          <w:sz w:val="20"/>
          <w:szCs w:val="20"/>
          <w:color w:val="auto"/>
        </w:rPr>
      </w:pPr>
    </w:p>
    <w:p>
      <w:pPr>
        <w:ind w:right="80" w:firstLine="648"/>
        <w:spacing w:after="0" w:line="246" w:lineRule="auto"/>
        <w:rPr>
          <w:sz w:val="20"/>
          <w:szCs w:val="20"/>
          <w:color w:val="auto"/>
        </w:rPr>
      </w:pPr>
      <w:r>
        <w:rPr>
          <w:rFonts w:ascii="Arial" w:cs="Arial" w:eastAsia="Arial" w:hAnsi="Arial"/>
          <w:sz w:val="18"/>
          <w:szCs w:val="18"/>
          <w:color w:val="auto"/>
        </w:rPr>
        <w:t>Indebtedness under each of the Prudential Agreement and the Credit Agreement is ranked equally in right of payment to all unsecured senior debt.</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were in compliance with all debt covenants as of December 31, 2016.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15. Fair-Value Measurements</w:t>
      </w:r>
    </w:p>
    <w:p>
      <w:pPr>
        <w:spacing w:after="0" w:line="192" w:lineRule="exact"/>
        <w:rPr>
          <w:sz w:val="20"/>
          <w:szCs w:val="20"/>
          <w:color w:val="auto"/>
        </w:rPr>
      </w:pPr>
    </w:p>
    <w:p>
      <w:pPr>
        <w:ind w:right="100" w:firstLine="648"/>
        <w:spacing w:after="0" w:line="236"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Accounting principles establish a hierarchy for inputs used in measuring fair value that maximizes the use of observable inputs and minimizes the use of unobservable inputs by requiring that the most observable inputs be used when available. Level 3 inputs are unobservable data points for the asset or liability, and include situations in which there is little, if any, market activity for the asset or liability. In 2015, we reported land and building related to the former manufacturing facility in Germany as Asset held for sale in the accompanying Consolidated Balance Sheets. That property was sold in 2016. The value as of December 31, 2015 was determined based on preliminary offers from active market participants.</w:t>
      </w:r>
    </w:p>
    <w:p>
      <w:pPr>
        <w:spacing w:after="0" w:line="181" w:lineRule="exact"/>
        <w:rPr>
          <w:sz w:val="20"/>
          <w:szCs w:val="20"/>
          <w:color w:val="auto"/>
        </w:rPr>
      </w:pPr>
    </w:p>
    <w:p>
      <w:pPr>
        <w:ind w:right="120" w:firstLine="648"/>
        <w:spacing w:after="0" w:line="246" w:lineRule="auto"/>
        <w:rPr>
          <w:sz w:val="20"/>
          <w:szCs w:val="20"/>
          <w:color w:val="auto"/>
        </w:rPr>
      </w:pPr>
      <w:r>
        <w:rPr>
          <w:rFonts w:ascii="Arial" w:cs="Arial" w:eastAsia="Arial" w:hAnsi="Arial"/>
          <w:sz w:val="18"/>
          <w:szCs w:val="18"/>
          <w:color w:val="auto"/>
        </w:rPr>
        <w:t>The following table presents the fair-value hierarchy for our Level 1 and Level 2 financial and non-financial assets and liabilities, which are measured at fair value on a recurring basis, and Level 3 non-financial assets measured at fair value: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40" w:type="dxa"/>
            <w:vAlign w:val="bottom"/>
            <w:tcBorders>
              <w:top w:val="single" w:sz="8" w:color="auto"/>
            </w:tcBorders>
          </w:tcPr>
          <w:p>
            <w:pPr>
              <w:spacing w:after="0"/>
              <w:rPr>
                <w:sz w:val="16"/>
                <w:szCs w:val="16"/>
                <w:color w:val="auto"/>
              </w:rPr>
            </w:pPr>
          </w:p>
        </w:tc>
        <w:tc>
          <w:tcPr>
            <w:tcW w:w="2460" w:type="dxa"/>
            <w:vAlign w:val="bottom"/>
            <w:tcBorders>
              <w:top w:val="single" w:sz="8" w:color="auto"/>
            </w:tcBorders>
            <w:gridSpan w:val="2"/>
          </w:tcPr>
          <w:p>
            <w:pPr>
              <w:jc w:val="right"/>
              <w:ind w:right="330"/>
              <w:spacing w:after="0" w:line="194" w:lineRule="exact"/>
              <w:rPr>
                <w:sz w:val="20"/>
                <w:szCs w:val="20"/>
                <w:color w:val="auto"/>
              </w:rPr>
            </w:pPr>
            <w:r>
              <w:rPr>
                <w:rFonts w:ascii="Arial" w:cs="Arial" w:eastAsia="Arial" w:hAnsi="Arial"/>
                <w:sz w:val="18"/>
                <w:szCs w:val="18"/>
                <w:b w:val="1"/>
                <w:bCs w:val="1"/>
                <w:color w:val="auto"/>
              </w:rPr>
              <w:t>December 31, 2016</w:t>
            </w:r>
          </w:p>
        </w:tc>
        <w:tc>
          <w:tcPr>
            <w:tcW w:w="1420" w:type="dxa"/>
            <w:vAlign w:val="bottom"/>
            <w:tcBorders>
              <w:top w:val="single" w:sz="8" w:color="auto"/>
            </w:tcBorders>
          </w:tcPr>
          <w:p>
            <w:pPr>
              <w:spacing w:after="0"/>
              <w:rPr>
                <w:sz w:val="16"/>
                <w:szCs w:val="16"/>
                <w:color w:val="auto"/>
              </w:rPr>
            </w:pPr>
          </w:p>
        </w:tc>
        <w:tc>
          <w:tcPr>
            <w:tcW w:w="2380" w:type="dxa"/>
            <w:vAlign w:val="bottom"/>
            <w:tcBorders>
              <w:top w:val="single" w:sz="8" w:color="auto"/>
            </w:tcBorders>
            <w:gridSpan w:val="2"/>
          </w:tcPr>
          <w:p>
            <w:pPr>
              <w:jc w:val="right"/>
              <w:ind w:right="290"/>
              <w:spacing w:after="0" w:line="194" w:lineRule="exact"/>
              <w:rPr>
                <w:sz w:val="20"/>
                <w:szCs w:val="20"/>
                <w:color w:val="auto"/>
              </w:rPr>
            </w:pPr>
            <w:r>
              <w:rPr>
                <w:rFonts w:ascii="Arial" w:cs="Arial" w:eastAsia="Arial" w:hAnsi="Arial"/>
                <w:sz w:val="18"/>
                <w:szCs w:val="18"/>
                <w:b w:val="1"/>
                <w:bCs w:val="1"/>
                <w:color w:val="auto"/>
              </w:rPr>
              <w:t>December 31, 2015</w:t>
            </w:r>
          </w:p>
        </w:tc>
        <w:tc>
          <w:tcPr>
            <w:tcW w:w="13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40" w:type="dxa"/>
            <w:vAlign w:val="bottom"/>
          </w:tcPr>
          <w:p>
            <w:pPr>
              <w:spacing w:after="0"/>
              <w:rPr>
                <w:sz w:val="17"/>
                <w:szCs w:val="17"/>
                <w:color w:val="auto"/>
              </w:rPr>
            </w:pPr>
          </w:p>
        </w:tc>
        <w:tc>
          <w:tcPr>
            <w:tcW w:w="12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Quoted</w:t>
            </w:r>
          </w:p>
        </w:tc>
        <w:tc>
          <w:tcPr>
            <w:tcW w:w="12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Significant</w:t>
            </w:r>
          </w:p>
        </w:tc>
        <w:tc>
          <w:tcPr>
            <w:tcW w:w="1420" w:type="dxa"/>
            <w:vAlign w:val="bottom"/>
          </w:tcPr>
          <w:p>
            <w:pPr>
              <w:spacing w:after="0"/>
              <w:rPr>
                <w:sz w:val="17"/>
                <w:szCs w:val="17"/>
                <w:color w:val="auto"/>
              </w:rPr>
            </w:pPr>
          </w:p>
        </w:tc>
        <w:tc>
          <w:tcPr>
            <w:tcW w:w="10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Quoted</w:t>
            </w:r>
          </w:p>
        </w:tc>
        <w:tc>
          <w:tcPr>
            <w:tcW w:w="13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Significant</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tcPr>
          <w:p>
            <w:pPr>
              <w:spacing w:after="0"/>
              <w:rPr>
                <w:sz w:val="17"/>
                <w:szCs w:val="17"/>
                <w:color w:val="auto"/>
              </w:rPr>
            </w:pPr>
          </w:p>
        </w:tc>
        <w:tc>
          <w:tcPr>
            <w:tcW w:w="12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prices in</w:t>
            </w:r>
          </w:p>
        </w:tc>
        <w:tc>
          <w:tcPr>
            <w:tcW w:w="12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other</w:t>
            </w:r>
          </w:p>
        </w:tc>
        <w:tc>
          <w:tcPr>
            <w:tcW w:w="1420" w:type="dxa"/>
            <w:vAlign w:val="bottom"/>
          </w:tcPr>
          <w:p>
            <w:pPr>
              <w:spacing w:after="0"/>
              <w:rPr>
                <w:sz w:val="17"/>
                <w:szCs w:val="17"/>
                <w:color w:val="auto"/>
              </w:rPr>
            </w:pPr>
          </w:p>
        </w:tc>
        <w:tc>
          <w:tcPr>
            <w:tcW w:w="10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prices in</w:t>
            </w:r>
          </w:p>
        </w:tc>
        <w:tc>
          <w:tcPr>
            <w:tcW w:w="13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other</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tcPr>
          <w:p>
            <w:pPr>
              <w:spacing w:after="0"/>
              <w:rPr>
                <w:sz w:val="17"/>
                <w:szCs w:val="17"/>
                <w:color w:val="auto"/>
              </w:rPr>
            </w:pPr>
          </w:p>
        </w:tc>
        <w:tc>
          <w:tcPr>
            <w:tcW w:w="12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active</w:t>
            </w:r>
          </w:p>
        </w:tc>
        <w:tc>
          <w:tcPr>
            <w:tcW w:w="12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observable</w:t>
            </w:r>
          </w:p>
        </w:tc>
        <w:tc>
          <w:tcPr>
            <w:tcW w:w="14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Unobservable</w:t>
            </w:r>
          </w:p>
        </w:tc>
        <w:tc>
          <w:tcPr>
            <w:tcW w:w="10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active</w:t>
            </w:r>
          </w:p>
        </w:tc>
        <w:tc>
          <w:tcPr>
            <w:tcW w:w="13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observable</w:t>
            </w:r>
          </w:p>
        </w:tc>
        <w:tc>
          <w:tcPr>
            <w:tcW w:w="1320" w:type="dxa"/>
            <w:vAlign w:val="bottom"/>
          </w:tcPr>
          <w:p>
            <w:pPr>
              <w:jc w:val="center"/>
              <w:ind w:left="10"/>
              <w:spacing w:after="0" w:line="202" w:lineRule="exact"/>
              <w:rPr>
                <w:sz w:val="20"/>
                <w:szCs w:val="20"/>
                <w:color w:val="auto"/>
              </w:rPr>
            </w:pPr>
            <w:r>
              <w:rPr>
                <w:rFonts w:ascii="Arial" w:cs="Arial" w:eastAsia="Arial" w:hAnsi="Arial"/>
                <w:sz w:val="18"/>
                <w:szCs w:val="18"/>
                <w:b w:val="1"/>
                <w:bCs w:val="1"/>
                <w:color w:val="auto"/>
                <w:w w:val="99"/>
              </w:rPr>
              <w:t>Unobservable</w:t>
            </w:r>
          </w:p>
        </w:tc>
        <w:tc>
          <w:tcPr>
            <w:tcW w:w="0" w:type="dxa"/>
            <w:vAlign w:val="bottom"/>
          </w:tcPr>
          <w:p>
            <w:pPr>
              <w:spacing w:after="0"/>
              <w:rPr>
                <w:sz w:val="1"/>
                <w:szCs w:val="1"/>
                <w:color w:val="auto"/>
              </w:rPr>
            </w:pPr>
          </w:p>
        </w:tc>
      </w:tr>
      <w:tr>
        <w:trPr>
          <w:trHeight w:val="203"/>
        </w:trPr>
        <w:tc>
          <w:tcPr>
            <w:tcW w:w="3840" w:type="dxa"/>
            <w:vAlign w:val="bottom"/>
          </w:tcPr>
          <w:p>
            <w:pPr>
              <w:spacing w:after="0"/>
              <w:rPr>
                <w:sz w:val="17"/>
                <w:szCs w:val="17"/>
                <w:color w:val="auto"/>
              </w:rPr>
            </w:pPr>
          </w:p>
        </w:tc>
        <w:tc>
          <w:tcPr>
            <w:tcW w:w="12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markets</w:t>
            </w:r>
          </w:p>
        </w:tc>
        <w:tc>
          <w:tcPr>
            <w:tcW w:w="12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inputs</w:t>
            </w:r>
          </w:p>
        </w:tc>
        <w:tc>
          <w:tcPr>
            <w:tcW w:w="14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inputs</w:t>
            </w:r>
          </w:p>
        </w:tc>
        <w:tc>
          <w:tcPr>
            <w:tcW w:w="10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markets</w:t>
            </w:r>
          </w:p>
        </w:tc>
        <w:tc>
          <w:tcPr>
            <w:tcW w:w="13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inputs</w:t>
            </w:r>
          </w:p>
        </w:tc>
        <w:tc>
          <w:tcPr>
            <w:tcW w:w="1320" w:type="dxa"/>
            <w:vAlign w:val="bottom"/>
          </w:tcPr>
          <w:p>
            <w:pPr>
              <w:jc w:val="center"/>
              <w:ind w:left="10"/>
              <w:spacing w:after="0" w:line="202" w:lineRule="exact"/>
              <w:rPr>
                <w:sz w:val="20"/>
                <w:szCs w:val="20"/>
                <w:color w:val="auto"/>
              </w:rPr>
            </w:pPr>
            <w:r>
              <w:rPr>
                <w:rFonts w:ascii="Arial" w:cs="Arial" w:eastAsia="Arial" w:hAnsi="Arial"/>
                <w:sz w:val="18"/>
                <w:szCs w:val="18"/>
                <w:b w:val="1"/>
                <w:bCs w:val="1"/>
                <w:color w:val="auto"/>
                <w:w w:val="99"/>
              </w:rPr>
              <w:t>inputs</w:t>
            </w:r>
          </w:p>
        </w:tc>
        <w:tc>
          <w:tcPr>
            <w:tcW w:w="0" w:type="dxa"/>
            <w:vAlign w:val="bottom"/>
          </w:tcPr>
          <w:p>
            <w:pPr>
              <w:spacing w:after="0"/>
              <w:rPr>
                <w:sz w:val="1"/>
                <w:szCs w:val="1"/>
                <w:color w:val="auto"/>
              </w:rPr>
            </w:pPr>
          </w:p>
        </w:tc>
      </w:tr>
      <w:tr>
        <w:trPr>
          <w:trHeight w:val="225"/>
        </w:trPr>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(Level 1)</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(Level 2)</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(Level 3)</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(Level 1)</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(Level 2)</w:t>
            </w:r>
          </w:p>
        </w:tc>
        <w:tc>
          <w:tcPr>
            <w:tcW w:w="132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177"/>
        </w:trPr>
        <w:tc>
          <w:tcPr>
            <w:tcW w:w="3840" w:type="dxa"/>
            <w:vAlign w:val="bottom"/>
          </w:tcPr>
          <w:p>
            <w:pPr>
              <w:ind w:left="40"/>
              <w:spacing w:after="0" w:line="177" w:lineRule="exact"/>
              <w:rPr>
                <w:sz w:val="20"/>
                <w:szCs w:val="20"/>
                <w:color w:val="auto"/>
              </w:rPr>
            </w:pPr>
            <w:r>
              <w:rPr>
                <w:rFonts w:ascii="Arial" w:cs="Arial" w:eastAsia="Arial" w:hAnsi="Arial"/>
                <w:sz w:val="18"/>
                <w:szCs w:val="18"/>
                <w:b w:val="1"/>
                <w:bCs w:val="1"/>
                <w:color w:val="auto"/>
              </w:rPr>
              <w:t>Fair Value</w:t>
            </w:r>
          </w:p>
        </w:tc>
        <w:tc>
          <w:tcPr>
            <w:tcW w:w="1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840" w:type="dxa"/>
            <w:vAlign w:val="bottom"/>
          </w:tcPr>
          <w:p>
            <w:pPr>
              <w:ind w:left="40"/>
              <w:spacing w:after="0"/>
              <w:rPr>
                <w:sz w:val="20"/>
                <w:szCs w:val="20"/>
                <w:color w:val="auto"/>
              </w:rPr>
            </w:pPr>
            <w:r>
              <w:rPr>
                <w:rFonts w:ascii="Arial" w:cs="Arial" w:eastAsia="Arial" w:hAnsi="Arial"/>
                <w:sz w:val="18"/>
                <w:szCs w:val="18"/>
                <w:i w:val="1"/>
                <w:iCs w:val="1"/>
                <w:color w:val="auto"/>
              </w:rPr>
              <w:t>Assets:</w:t>
            </w:r>
          </w:p>
        </w:tc>
        <w:tc>
          <w:tcPr>
            <w:tcW w:w="1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840" w:type="dxa"/>
            <w:vAlign w:val="bottom"/>
          </w:tcPr>
          <w:p>
            <w:pPr>
              <w:ind w:left="180"/>
              <w:spacing w:after="0" w:line="202" w:lineRule="exact"/>
              <w:rPr>
                <w:sz w:val="20"/>
                <w:szCs w:val="20"/>
                <w:color w:val="auto"/>
              </w:rPr>
            </w:pPr>
            <w:r>
              <w:rPr>
                <w:rFonts w:ascii="Arial" w:cs="Arial" w:eastAsia="Arial" w:hAnsi="Arial"/>
                <w:sz w:val="18"/>
                <w:szCs w:val="18"/>
                <w:color w:val="auto"/>
              </w:rPr>
              <w:t>Cash equivalents</w:t>
            </w:r>
          </w:p>
        </w:tc>
        <w:tc>
          <w:tcPr>
            <w:tcW w:w="120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$8,468</w:t>
            </w:r>
          </w:p>
        </w:tc>
        <w:tc>
          <w:tcPr>
            <w:tcW w:w="12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4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$5,189</w:t>
            </w:r>
          </w:p>
        </w:tc>
        <w:tc>
          <w:tcPr>
            <w:tcW w:w="132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5"/>
        </w:trPr>
        <w:tc>
          <w:tcPr>
            <w:tcW w:w="3840" w:type="dxa"/>
            <w:vAlign w:val="bottom"/>
          </w:tcPr>
          <w:p>
            <w:pPr>
              <w:ind w:left="180"/>
              <w:spacing w:after="0" w:line="185" w:lineRule="exact"/>
              <w:rPr>
                <w:sz w:val="20"/>
                <w:szCs w:val="20"/>
                <w:color w:val="auto"/>
              </w:rPr>
            </w:pPr>
            <w:r>
              <w:rPr>
                <w:rFonts w:ascii="Arial" w:cs="Arial" w:eastAsia="Arial" w:hAnsi="Arial"/>
                <w:sz w:val="18"/>
                <w:szCs w:val="18"/>
                <w:color w:val="auto"/>
              </w:rPr>
              <w:t>Assets held for sale</w:t>
            </w:r>
          </w:p>
        </w:tc>
        <w:tc>
          <w:tcPr>
            <w:tcW w:w="1200" w:type="dxa"/>
            <w:vAlign w:val="bottom"/>
          </w:tcPr>
          <w:p>
            <w:pPr>
              <w:jc w:val="right"/>
              <w:ind w:right="210"/>
              <w:spacing w:after="0" w:line="185"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line="185" w:lineRule="exact"/>
              <w:rPr>
                <w:sz w:val="20"/>
                <w:szCs w:val="20"/>
                <w:color w:val="auto"/>
              </w:rPr>
            </w:pPr>
            <w:r>
              <w:rPr>
                <w:rFonts w:ascii="Arial" w:cs="Arial" w:eastAsia="Arial" w:hAnsi="Arial"/>
                <w:sz w:val="18"/>
                <w:szCs w:val="18"/>
                <w:color w:val="auto"/>
              </w:rPr>
              <w:t>-</w:t>
            </w:r>
          </w:p>
        </w:tc>
        <w:tc>
          <w:tcPr>
            <w:tcW w:w="1420" w:type="dxa"/>
            <w:vAlign w:val="bottom"/>
          </w:tcPr>
          <w:p>
            <w:pPr>
              <w:jc w:val="right"/>
              <w:ind w:right="170"/>
              <w:spacing w:after="0" w:line="185"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10"/>
              <w:spacing w:after="0" w:line="185"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250"/>
              <w:spacing w:after="0" w:line="185"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50"/>
              <w:spacing w:after="0" w:line="185" w:lineRule="exact"/>
              <w:rPr>
                <w:sz w:val="20"/>
                <w:szCs w:val="20"/>
                <w:color w:val="auto"/>
              </w:rPr>
            </w:pPr>
            <w:r>
              <w:rPr>
                <w:rFonts w:ascii="Arial" w:cs="Arial" w:eastAsia="Arial" w:hAnsi="Arial"/>
                <w:sz w:val="18"/>
                <w:szCs w:val="18"/>
                <w:color w:val="auto"/>
              </w:rPr>
              <w:t>4,988</w:t>
            </w:r>
          </w:p>
        </w:tc>
        <w:tc>
          <w:tcPr>
            <w:tcW w:w="0" w:type="dxa"/>
            <w:vAlign w:val="bottom"/>
          </w:tcPr>
          <w:p>
            <w:pPr>
              <w:spacing w:after="0"/>
              <w:rPr>
                <w:sz w:val="1"/>
                <w:szCs w:val="1"/>
                <w:color w:val="auto"/>
              </w:rPr>
            </w:pPr>
          </w:p>
        </w:tc>
      </w:tr>
      <w:tr>
        <w:trPr>
          <w:trHeight w:val="221"/>
        </w:trPr>
        <w:tc>
          <w:tcPr>
            <w:tcW w:w="3840" w:type="dxa"/>
            <w:vAlign w:val="bottom"/>
          </w:tcPr>
          <w:p>
            <w:pPr>
              <w:ind w:left="180"/>
              <w:spacing w:after="0"/>
              <w:rPr>
                <w:sz w:val="20"/>
                <w:szCs w:val="20"/>
                <w:color w:val="auto"/>
              </w:rPr>
            </w:pPr>
            <w:r>
              <w:rPr>
                <w:rFonts w:ascii="Arial" w:cs="Arial" w:eastAsia="Arial" w:hAnsi="Arial"/>
                <w:sz w:val="18"/>
                <w:szCs w:val="18"/>
                <w:i w:val="1"/>
                <w:iCs w:val="1"/>
                <w:color w:val="auto"/>
              </w:rPr>
              <w:t>Other Assets:</w:t>
            </w:r>
          </w:p>
        </w:tc>
        <w:tc>
          <w:tcPr>
            <w:tcW w:w="1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840" w:type="dxa"/>
            <w:vAlign w:val="bottom"/>
          </w:tcPr>
          <w:p>
            <w:pPr>
              <w:ind w:left="340"/>
              <w:spacing w:after="0" w:line="202" w:lineRule="exact"/>
              <w:rPr>
                <w:sz w:val="20"/>
                <w:szCs w:val="20"/>
                <w:color w:val="auto"/>
              </w:rPr>
            </w:pPr>
            <w:r>
              <w:rPr>
                <w:rFonts w:ascii="Arial" w:cs="Arial" w:eastAsia="Arial" w:hAnsi="Arial"/>
                <w:sz w:val="18"/>
                <w:szCs w:val="18"/>
                <w:color w:val="auto"/>
              </w:rPr>
              <w:t>Common stock of foreign public company</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762</w:t>
            </w:r>
            <w:r>
              <w:rPr>
                <w:rFonts w:ascii="Arial" w:cs="Arial" w:eastAsia="Arial" w:hAnsi="Arial"/>
                <w:sz w:val="15"/>
                <w:szCs w:val="15"/>
                <w:color w:val="auto"/>
              </w:rPr>
              <w:t>(a)</w:t>
            </w:r>
          </w:p>
        </w:tc>
        <w:tc>
          <w:tcPr>
            <w:tcW w:w="12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4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819</w:t>
            </w:r>
          </w:p>
        </w:tc>
        <w:tc>
          <w:tcPr>
            <w:tcW w:w="132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5"/>
        </w:trPr>
        <w:tc>
          <w:tcPr>
            <w:tcW w:w="3840" w:type="dxa"/>
            <w:vAlign w:val="bottom"/>
          </w:tcPr>
          <w:p>
            <w:pPr>
              <w:ind w:left="340"/>
              <w:spacing w:after="0" w:line="185" w:lineRule="exact"/>
              <w:rPr>
                <w:sz w:val="20"/>
                <w:szCs w:val="20"/>
                <w:color w:val="auto"/>
              </w:rPr>
            </w:pPr>
            <w:r>
              <w:rPr>
                <w:rFonts w:ascii="Arial" w:cs="Arial" w:eastAsia="Arial" w:hAnsi="Arial"/>
                <w:sz w:val="18"/>
                <w:szCs w:val="18"/>
                <w:color w:val="auto"/>
              </w:rPr>
              <w:t>Interest rate swaps</w:t>
            </w:r>
          </w:p>
        </w:tc>
        <w:tc>
          <w:tcPr>
            <w:tcW w:w="1200" w:type="dxa"/>
            <w:vAlign w:val="bottom"/>
          </w:tcPr>
          <w:p>
            <w:pPr>
              <w:jc w:val="right"/>
              <w:ind w:right="210"/>
              <w:spacing w:after="0" w:line="185"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line="185" w:lineRule="exact"/>
              <w:rPr>
                <w:sz w:val="20"/>
                <w:szCs w:val="20"/>
                <w:color w:val="auto"/>
              </w:rPr>
            </w:pPr>
            <w:r>
              <w:rPr>
                <w:rFonts w:ascii="Arial" w:cs="Arial" w:eastAsia="Arial" w:hAnsi="Arial"/>
                <w:sz w:val="18"/>
                <w:szCs w:val="18"/>
                <w:color w:val="auto"/>
              </w:rPr>
              <w:t>5,784</w:t>
            </w:r>
            <w:r>
              <w:rPr>
                <w:rFonts w:ascii="Arial" w:cs="Arial" w:eastAsia="Arial" w:hAnsi="Arial"/>
                <w:sz w:val="15"/>
                <w:szCs w:val="15"/>
                <w:color w:val="auto"/>
              </w:rPr>
              <w:t>(b)</w:t>
            </w:r>
          </w:p>
        </w:tc>
        <w:tc>
          <w:tcPr>
            <w:tcW w:w="1420" w:type="dxa"/>
            <w:vAlign w:val="bottom"/>
          </w:tcPr>
          <w:p>
            <w:pPr>
              <w:jc w:val="right"/>
              <w:ind w:right="170"/>
              <w:spacing w:after="0" w:line="185"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10"/>
              <w:spacing w:after="0" w:line="185"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250"/>
              <w:spacing w:after="0" w:line="185"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50"/>
              <w:spacing w:after="0" w:line="18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3840" w:type="dxa"/>
            <w:vAlign w:val="bottom"/>
          </w:tcPr>
          <w:p>
            <w:pPr>
              <w:ind w:left="40"/>
              <w:spacing w:after="0"/>
              <w:rPr>
                <w:sz w:val="20"/>
                <w:szCs w:val="20"/>
                <w:color w:val="auto"/>
              </w:rPr>
            </w:pPr>
            <w:r>
              <w:rPr>
                <w:rFonts w:ascii="Arial" w:cs="Arial" w:eastAsia="Arial" w:hAnsi="Arial"/>
                <w:sz w:val="18"/>
                <w:szCs w:val="18"/>
                <w:i w:val="1"/>
                <w:iCs w:val="1"/>
                <w:color w:val="auto"/>
              </w:rPr>
              <w:t>Liabilities:</w:t>
            </w:r>
          </w:p>
        </w:tc>
        <w:tc>
          <w:tcPr>
            <w:tcW w:w="1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840" w:type="dxa"/>
            <w:vAlign w:val="bottom"/>
          </w:tcPr>
          <w:p>
            <w:pPr>
              <w:ind w:left="180"/>
              <w:spacing w:after="0"/>
              <w:rPr>
                <w:sz w:val="20"/>
                <w:szCs w:val="20"/>
                <w:color w:val="auto"/>
              </w:rPr>
            </w:pPr>
            <w:r>
              <w:rPr>
                <w:rFonts w:ascii="Arial" w:cs="Arial" w:eastAsia="Arial" w:hAnsi="Arial"/>
                <w:sz w:val="18"/>
                <w:szCs w:val="18"/>
                <w:color w:val="auto"/>
              </w:rPr>
              <w:t>Other noncurrent liabilities:</w:t>
            </w:r>
          </w:p>
        </w:tc>
        <w:tc>
          <w:tcPr>
            <w:tcW w:w="1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20" w:type="dxa"/>
            <w:vAlign w:val="bottom"/>
            <w:vMerge w:val="restart"/>
          </w:tcPr>
          <w:p>
            <w:pPr>
              <w:jc w:val="right"/>
              <w:ind w:right="10"/>
              <w:spacing w:after="0"/>
              <w:rPr>
                <w:sz w:val="20"/>
                <w:szCs w:val="20"/>
                <w:color w:val="auto"/>
              </w:rPr>
            </w:pPr>
            <w:r>
              <w:rPr>
                <w:rFonts w:ascii="Arial" w:cs="Arial" w:eastAsia="Arial" w:hAnsi="Arial"/>
                <w:sz w:val="18"/>
                <w:szCs w:val="18"/>
                <w:color w:val="auto"/>
              </w:rPr>
              <w:t>(2,400)</w:t>
            </w:r>
            <w:r>
              <w:rPr>
                <w:rFonts w:ascii="Arial" w:cs="Arial" w:eastAsia="Arial" w:hAnsi="Arial"/>
                <w:sz w:val="30"/>
                <w:szCs w:val="30"/>
                <w:color w:val="auto"/>
                <w:vertAlign w:val="superscript"/>
              </w:rPr>
              <w:t>(c)</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9"/>
        </w:trPr>
        <w:tc>
          <w:tcPr>
            <w:tcW w:w="3840" w:type="dxa"/>
            <w:vAlign w:val="bottom"/>
          </w:tcPr>
          <w:p>
            <w:pPr>
              <w:ind w:left="340"/>
              <w:spacing w:after="0"/>
              <w:rPr>
                <w:sz w:val="20"/>
                <w:szCs w:val="20"/>
                <w:color w:val="auto"/>
              </w:rPr>
            </w:pPr>
            <w:r>
              <w:rPr>
                <w:rFonts w:ascii="Arial" w:cs="Arial" w:eastAsia="Arial" w:hAnsi="Arial"/>
                <w:sz w:val="18"/>
                <w:szCs w:val="18"/>
                <w:color w:val="auto"/>
              </w:rPr>
              <w:t>Interest rate swaps</w:t>
            </w: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320" w:type="dxa"/>
            <w:vAlign w:val="bottom"/>
            <w:vMerge w:val="continue"/>
          </w:tcPr>
          <w:p>
            <w:pPr>
              <w:spacing w:after="0"/>
              <w:rPr>
                <w:sz w:val="24"/>
                <w:szCs w:val="24"/>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3"/>
        </w:trPr>
        <w:tc>
          <w:tcPr>
            <w:tcW w:w="384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Original cost basis $0.5 million.</w:t>
      </w:r>
    </w:p>
    <w:p>
      <w:pPr>
        <w:ind w:left="980" w:hanging="324"/>
        <w:spacing w:after="0" w:line="234"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Net of $21.4 million receivable floating leg and $15.6 million liability fixed leg</w:t>
      </w: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Net of $7.4 million receivable floating leg and $9.8 million liability fixed leg</w:t>
      </w:r>
    </w:p>
    <w:p>
      <w:pPr>
        <w:spacing w:after="0" w:line="185" w:lineRule="exact"/>
        <w:rPr>
          <w:sz w:val="20"/>
          <w:szCs w:val="20"/>
          <w:color w:val="auto"/>
        </w:rPr>
      </w:pPr>
    </w:p>
    <w:p>
      <w:pPr>
        <w:ind w:right="180" w:firstLine="648"/>
        <w:spacing w:after="0" w:line="246" w:lineRule="auto"/>
        <w:rPr>
          <w:sz w:val="20"/>
          <w:szCs w:val="20"/>
          <w:color w:val="auto"/>
        </w:rPr>
      </w:pPr>
      <w:r>
        <w:rPr>
          <w:rFonts w:ascii="Arial" w:cs="Arial" w:eastAsia="Arial" w:hAnsi="Arial"/>
          <w:sz w:val="18"/>
          <w:szCs w:val="18"/>
          <w:color w:val="auto"/>
        </w:rPr>
        <w:t>Cash equivalents include short-term securities that are considered to be highly liquid and easily tradable. These securities are valued using inputs observable in active markets for identical securities.</w:t>
      </w:r>
    </w:p>
    <w:p>
      <w:pPr>
        <w:spacing w:after="0" w:line="156" w:lineRule="exact"/>
        <w:rPr>
          <w:sz w:val="20"/>
          <w:szCs w:val="20"/>
          <w:color w:val="auto"/>
        </w:rPr>
      </w:pPr>
    </w:p>
    <w:p>
      <w:pPr>
        <w:ind w:right="140" w:firstLine="648"/>
        <w:spacing w:after="0" w:line="237" w:lineRule="auto"/>
        <w:rPr>
          <w:sz w:val="20"/>
          <w:szCs w:val="20"/>
          <w:color w:val="auto"/>
        </w:rPr>
      </w:pPr>
      <w:r>
        <w:rPr>
          <w:rFonts w:ascii="Arial" w:cs="Arial" w:eastAsia="Arial" w:hAnsi="Arial"/>
          <w:sz w:val="18"/>
          <w:szCs w:val="18"/>
          <w:color w:val="auto"/>
        </w:rPr>
        <w:t>The common stock of the unaffiliated foreign public company is traded in an active market exchange. The shares are measured at fair value using closing stock prices and are recorded in the Consolidated Balance Sheets as Other assets. The securities are classified as available for sale, and as a result any unrealized gain or loss is recorded in the Shareholders’ Equity section of the Consolidated Balance Sheets rather than in the Consolidated Statements of Income. When the security is sold or impaired, gains and losses are reported in the Consolidated Statements of Income. Investments are considered to be impaired when a decline in fair value is judged to be other than temporary.</w:t>
      </w:r>
    </w:p>
    <w:p>
      <w:pPr>
        <w:spacing w:after="0" w:line="165"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We operate our business in many regions of the world, and currency rate movements can have a significant effect on operating results. Foreign currency instruments are entered into periodically, and consist of foreign currency option contracts and forward contracts that are valued using quoted prices in active markets</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2" w:name="page93"/>
    <w:bookmarkEnd w:id="92"/>
    <w:p>
      <w:pPr>
        <w:jc w:val="both"/>
        <w:ind w:right="320"/>
        <w:spacing w:after="0"/>
        <w:rPr>
          <w:sz w:val="20"/>
          <w:szCs w:val="20"/>
          <w:color w:val="auto"/>
        </w:rPr>
      </w:pPr>
      <w:r>
        <w:rPr>
          <w:rFonts w:ascii="Arial" w:cs="Arial" w:eastAsia="Arial" w:hAnsi="Arial"/>
          <w:sz w:val="18"/>
          <w:szCs w:val="18"/>
          <w:color w:val="auto"/>
        </w:rPr>
        <w:t>obtained from independent pricing sources. These instruments are measured using market foreign exchange prices and are recorded in the Consolidated Balance Sheets as Other current assets and Accounts payable, as applicable. Changes in fair value of these instruments are recorded as gains or losses within Other (income)/expenses, net.</w:t>
      </w:r>
    </w:p>
    <w:p>
      <w:pPr>
        <w:spacing w:after="0" w:line="161"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When exercised, the foreign currency instruments are net settled with the same financial institution that bought or sold them. For all positions, whether options or forward contracts, there is risk from the possible inability of the financial institution to meet the terms of the contracts and the risk of unfavorable changes in interest and currency rates, which may reduce the value of the instruments. We seek to control risk by evaluating the creditworthiness of counterparties and by monitoring the currency exchange and interest rate markets while reviewing the hedging risks and contracts to ensure compliance with our internal guidelines and policies.</w:t>
      </w:r>
    </w:p>
    <w:p>
      <w:pPr>
        <w:spacing w:after="0" w:line="176" w:lineRule="exact"/>
        <w:rPr>
          <w:sz w:val="20"/>
          <w:szCs w:val="20"/>
          <w:color w:val="auto"/>
        </w:rPr>
      </w:pPr>
    </w:p>
    <w:p>
      <w:pPr>
        <w:ind w:right="40" w:firstLine="648"/>
        <w:spacing w:after="0" w:line="239" w:lineRule="auto"/>
        <w:rPr>
          <w:sz w:val="20"/>
          <w:szCs w:val="20"/>
          <w:color w:val="auto"/>
        </w:rPr>
      </w:pPr>
      <w:r>
        <w:rPr>
          <w:rFonts w:ascii="Arial" w:cs="Arial" w:eastAsia="Arial" w:hAnsi="Arial"/>
          <w:sz w:val="18"/>
          <w:szCs w:val="18"/>
          <w:color w:val="auto"/>
        </w:rPr>
        <w:t>Changes in exchange rates can result in revaluation gains and losses that are recorded in Selling, General and Administrative expenses or Other (income)/expenses, net. Revaluation gains and losses occur when our business units have cash, intercompany (recorded in Other (income)/expenses, net) or third-party trade (recorded in Selling, General and Administrative expenses) receivable or payable balances in a currency other than their local reporting (or functional) currency.</w:t>
      </w:r>
    </w:p>
    <w:p>
      <w:pPr>
        <w:spacing w:after="0" w:line="161" w:lineRule="exact"/>
        <w:rPr>
          <w:sz w:val="20"/>
          <w:szCs w:val="20"/>
          <w:color w:val="auto"/>
        </w:rPr>
      </w:pPr>
    </w:p>
    <w:p>
      <w:pPr>
        <w:ind w:right="200" w:firstLine="648"/>
        <w:spacing w:after="0" w:line="239" w:lineRule="auto"/>
        <w:rPr>
          <w:sz w:val="20"/>
          <w:szCs w:val="20"/>
          <w:color w:val="auto"/>
        </w:rPr>
      </w:pPr>
      <w:r>
        <w:rPr>
          <w:rFonts w:ascii="Arial" w:cs="Arial" w:eastAsia="Arial" w:hAnsi="Arial"/>
          <w:sz w:val="18"/>
          <w:szCs w:val="18"/>
          <w:color w:val="auto"/>
        </w:rPr>
        <w:t>Operating results can also be affected by the translation of sales and costs, for each non-U.S. subsidiary, from the local functional currency to the U.S. dollar. The translation effect on the Consolidated Statements of Income is dependent on our net income or expense position in each non-U.S. currency in which we do business. A net income position exists when sales realized in a particular currency exceed expenses paid in that currency; a net expense position exists if the opposite is true.</w:t>
      </w:r>
    </w:p>
    <w:p>
      <w:pPr>
        <w:spacing w:after="0" w:line="161" w:lineRule="exact"/>
        <w:rPr>
          <w:sz w:val="20"/>
          <w:szCs w:val="20"/>
          <w:color w:val="auto"/>
        </w:rPr>
      </w:pPr>
    </w:p>
    <w:p>
      <w:pPr>
        <w:ind w:right="60" w:firstLine="648"/>
        <w:spacing w:after="0" w:line="236" w:lineRule="auto"/>
        <w:rPr>
          <w:sz w:val="20"/>
          <w:szCs w:val="20"/>
          <w:color w:val="auto"/>
        </w:rPr>
      </w:pPr>
      <w:r>
        <w:rPr>
          <w:rFonts w:ascii="Arial" w:cs="Arial" w:eastAsia="Arial" w:hAnsi="Arial"/>
          <w:sz w:val="18"/>
          <w:szCs w:val="18"/>
          <w:color w:val="auto"/>
        </w:rPr>
        <w:t>The interest rate swaps are accounted for as hedges of future cash flows. The fair value of our interest rate swaps are derived from a discounted cash flow analysis based on the terms of the contract and the interest rate curve, and is included in Other assets and/or Other noncurrent liabilities in the Consolidated Balance Sheets. Unrealized gains and losses on the swaps flow through the caption Derivative valuation adjustment in the Shareholders’ equity section of the Consolidated Balance Sheets, to the extent that the hedges are highly effective. As of December 31, 2016, these interest rate swaps were determined to be highly effective hedges of interest rate cash flow risk. Any gains and losses related to the ineffective portion of the hedges will be recognized in the current period in earnings. Amounts accumulated in Other comprehensive income are reclassified as Interest expense, net when the related interest payments (that is, the hedged forecasted transactions), and amortization related to the swap buyouts, affect earnings. Interest expense related to payments under the current swaps totaled $1.7 million in 2016, $2.0 million in 2015 and $1.9 million in 2014. Additionally, Interest expense related to the 2016 swap buyouts totaled $0.6 million in 2016 and is expected to be approximately $0.5 million in 2017.</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Gains/(losses) related to changes in fair value of derivative instruments that were recognized in Other (income)/expenses, net in the</w:t>
      </w:r>
    </w:p>
    <w:p>
      <w:pPr>
        <w:spacing w:after="0"/>
        <w:rPr>
          <w:sz w:val="20"/>
          <w:szCs w:val="20"/>
          <w:color w:val="auto"/>
        </w:rPr>
      </w:pPr>
      <w:r>
        <w:rPr>
          <w:rFonts w:ascii="Arial" w:cs="Arial" w:eastAsia="Arial" w:hAnsi="Arial"/>
          <w:sz w:val="18"/>
          <w:szCs w:val="18"/>
          <w:color w:val="auto"/>
        </w:rPr>
        <w:t>Consolidated Statements of Income were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080" w:type="dxa"/>
            <w:vAlign w:val="bottom"/>
            <w:tcBorders>
              <w:top w:val="single" w:sz="8" w:color="auto"/>
            </w:tcBorders>
          </w:tcPr>
          <w:p>
            <w:pPr>
              <w:spacing w:after="0"/>
              <w:rPr>
                <w:sz w:val="16"/>
                <w:szCs w:val="16"/>
                <w:color w:val="auto"/>
              </w:rPr>
            </w:pPr>
          </w:p>
        </w:tc>
        <w:tc>
          <w:tcPr>
            <w:tcW w:w="5340" w:type="dxa"/>
            <w:vAlign w:val="bottom"/>
            <w:tcBorders>
              <w:top w:val="single" w:sz="8" w:color="auto"/>
            </w:tcBorders>
            <w:gridSpan w:val="3"/>
          </w:tcPr>
          <w:p>
            <w:pPr>
              <w:jc w:val="center"/>
              <w:ind w:left="1510"/>
              <w:spacing w:after="0" w:line="194" w:lineRule="exact"/>
              <w:rPr>
                <w:sz w:val="20"/>
                <w:szCs w:val="20"/>
                <w:color w:val="auto"/>
              </w:rPr>
            </w:pPr>
            <w:r>
              <w:rPr>
                <w:rFonts w:ascii="Arial" w:cs="Arial" w:eastAsia="Arial" w:hAnsi="Arial"/>
                <w:sz w:val="18"/>
                <w:szCs w:val="18"/>
                <w:color w:val="auto"/>
                <w:w w:val="99"/>
              </w:rPr>
              <w:t>Years ended December 31,</w:t>
            </w:r>
          </w:p>
        </w:tc>
      </w:tr>
      <w:tr>
        <w:trPr>
          <w:trHeight w:val="225"/>
        </w:trPr>
        <w:tc>
          <w:tcPr>
            <w:tcW w:w="60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(in thousands)</w:t>
            </w:r>
          </w:p>
        </w:tc>
        <w:tc>
          <w:tcPr>
            <w:tcW w:w="2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13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120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2014</w:t>
            </w:r>
          </w:p>
        </w:tc>
      </w:tr>
      <w:tr>
        <w:trPr>
          <w:trHeight w:val="398"/>
        </w:trPr>
        <w:tc>
          <w:tcPr>
            <w:tcW w:w="6080" w:type="dxa"/>
            <w:vAlign w:val="bottom"/>
          </w:tcPr>
          <w:p>
            <w:pPr>
              <w:ind w:left="40"/>
              <w:spacing w:after="0"/>
              <w:rPr>
                <w:sz w:val="20"/>
                <w:szCs w:val="20"/>
                <w:color w:val="auto"/>
              </w:rPr>
            </w:pPr>
            <w:r>
              <w:rPr>
                <w:rFonts w:ascii="Arial" w:cs="Arial" w:eastAsia="Arial" w:hAnsi="Arial"/>
                <w:sz w:val="18"/>
                <w:szCs w:val="18"/>
                <w:color w:val="auto"/>
              </w:rPr>
              <w:t>Derivatives not designated as hedging instruments</w:t>
            </w:r>
          </w:p>
        </w:tc>
        <w:tc>
          <w:tcPr>
            <w:tcW w:w="2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6080" w:type="dxa"/>
            <w:vAlign w:val="bottom"/>
            <w:tcBorders>
              <w:bottom w:val="single" w:sz="8" w:color="auto"/>
            </w:tcBorders>
          </w:tcPr>
          <w:p>
            <w:pPr>
              <w:ind w:left="280"/>
              <w:spacing w:after="0" w:line="203" w:lineRule="exact"/>
              <w:rPr>
                <w:sz w:val="20"/>
                <w:szCs w:val="20"/>
                <w:color w:val="auto"/>
              </w:rPr>
            </w:pPr>
            <w:r>
              <w:rPr>
                <w:rFonts w:ascii="Arial" w:cs="Arial" w:eastAsia="Arial" w:hAnsi="Arial"/>
                <w:sz w:val="18"/>
                <w:szCs w:val="18"/>
                <w:color w:val="auto"/>
              </w:rPr>
              <w:t>Foreign currency options</w:t>
            </w:r>
          </w:p>
        </w:tc>
        <w:tc>
          <w:tcPr>
            <w:tcW w:w="2840" w:type="dxa"/>
            <w:vAlign w:val="bottom"/>
            <w:tcBorders>
              <w:bottom w:val="single" w:sz="8" w:color="auto"/>
            </w:tcBorders>
          </w:tcPr>
          <w:p>
            <w:pPr>
              <w:jc w:val="right"/>
              <w:ind w:right="310"/>
              <w:spacing w:after="0" w:line="203" w:lineRule="exact"/>
              <w:rPr>
                <w:sz w:val="20"/>
                <w:szCs w:val="20"/>
                <w:color w:val="auto"/>
              </w:rPr>
            </w:pPr>
            <w:r>
              <w:rPr>
                <w:rFonts w:ascii="Arial" w:cs="Arial" w:eastAsia="Arial" w:hAnsi="Arial"/>
                <w:sz w:val="18"/>
                <w:szCs w:val="18"/>
                <w:color w:val="auto"/>
              </w:rPr>
              <w:t>$202</w:t>
            </w:r>
          </w:p>
        </w:tc>
        <w:tc>
          <w:tcPr>
            <w:tcW w:w="130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($121)</w:t>
            </w:r>
          </w:p>
        </w:tc>
        <w:tc>
          <w:tcPr>
            <w:tcW w:w="1200" w:type="dxa"/>
            <w:vAlign w:val="bottom"/>
            <w:tcBorders>
              <w:bottom w:val="single" w:sz="8" w:color="auto"/>
            </w:tcBorders>
          </w:tcPr>
          <w:p>
            <w:pPr>
              <w:ind w:left="400"/>
              <w:spacing w:after="0" w:line="203" w:lineRule="exact"/>
              <w:rPr>
                <w:sz w:val="20"/>
                <w:szCs w:val="20"/>
                <w:color w:val="auto"/>
              </w:rPr>
            </w:pPr>
            <w:r>
              <w:rPr>
                <w:rFonts w:ascii="Arial" w:cs="Arial" w:eastAsia="Arial" w:hAnsi="Arial"/>
                <w:sz w:val="18"/>
                <w:szCs w:val="18"/>
                <w:color w:val="auto"/>
              </w:rPr>
              <w:t>($81)</w:t>
            </w: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38"/>
        </w:trPr>
        <w:tc>
          <w:tcPr>
            <w:tcW w:w="7260" w:type="dxa"/>
            <w:vAlign w:val="bottom"/>
          </w:tcPr>
          <w:p>
            <w:pPr>
              <w:spacing w:after="0"/>
              <w:rPr>
                <w:sz w:val="20"/>
                <w:szCs w:val="20"/>
                <w:color w:val="auto"/>
              </w:rPr>
            </w:pPr>
            <w:r>
              <w:rPr>
                <w:rFonts w:ascii="Arial" w:cs="Arial" w:eastAsia="Arial" w:hAnsi="Arial"/>
                <w:sz w:val="18"/>
                <w:szCs w:val="18"/>
                <w:b w:val="1"/>
                <w:bCs w:val="1"/>
                <w:color w:val="auto"/>
              </w:rPr>
              <w:t>16. Other Noncurrent Liabilities</w:t>
            </w:r>
          </w:p>
        </w:tc>
        <w:tc>
          <w:tcPr>
            <w:tcW w:w="250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378"/>
        </w:trPr>
        <w:tc>
          <w:tcPr>
            <w:tcW w:w="7260" w:type="dxa"/>
            <w:vAlign w:val="bottom"/>
          </w:tcPr>
          <w:p>
            <w:pPr>
              <w:ind w:left="660"/>
              <w:spacing w:after="0"/>
              <w:rPr>
                <w:sz w:val="20"/>
                <w:szCs w:val="20"/>
                <w:color w:val="auto"/>
              </w:rPr>
            </w:pPr>
            <w:r>
              <w:rPr>
                <w:rFonts w:ascii="Arial" w:cs="Arial" w:eastAsia="Arial" w:hAnsi="Arial"/>
                <w:sz w:val="18"/>
                <w:szCs w:val="18"/>
                <w:color w:val="auto"/>
              </w:rPr>
              <w:t>As of December 31 of each year, Other noncurrent liabilities consists of:</w:t>
            </w:r>
          </w:p>
        </w:tc>
        <w:tc>
          <w:tcPr>
            <w:tcW w:w="25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378"/>
        </w:trPr>
        <w:tc>
          <w:tcPr>
            <w:tcW w:w="72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(in thousands)</w:t>
            </w:r>
          </w:p>
        </w:tc>
        <w:tc>
          <w:tcPr>
            <w:tcW w:w="2500" w:type="dxa"/>
            <w:vAlign w:val="bottom"/>
            <w:tcBorders>
              <w:bottom w:val="single" w:sz="8" w:color="auto"/>
            </w:tcBorders>
          </w:tcPr>
          <w:p>
            <w:pPr>
              <w:jc w:val="right"/>
              <w:ind w:right="1130"/>
              <w:spacing w:after="0"/>
              <w:rPr>
                <w:sz w:val="20"/>
                <w:szCs w:val="20"/>
                <w:color w:val="auto"/>
              </w:rPr>
            </w:pPr>
            <w:r>
              <w:rPr>
                <w:rFonts w:ascii="Arial" w:cs="Arial" w:eastAsia="Arial" w:hAnsi="Arial"/>
                <w:sz w:val="18"/>
                <w:szCs w:val="18"/>
                <w:b w:val="1"/>
                <w:bCs w:val="1"/>
                <w:color w:val="auto"/>
              </w:rPr>
              <w:t>2016</w:t>
            </w:r>
          </w:p>
        </w:tc>
        <w:tc>
          <w:tcPr>
            <w:tcW w:w="16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2015</w:t>
            </w:r>
          </w:p>
        </w:tc>
      </w:tr>
      <w:tr>
        <w:trPr>
          <w:trHeight w:val="376"/>
        </w:trPr>
        <w:tc>
          <w:tcPr>
            <w:tcW w:w="7260" w:type="dxa"/>
            <w:vAlign w:val="bottom"/>
          </w:tcPr>
          <w:p>
            <w:pPr>
              <w:ind w:left="40"/>
              <w:spacing w:after="0"/>
              <w:rPr>
                <w:sz w:val="20"/>
                <w:szCs w:val="20"/>
                <w:color w:val="auto"/>
              </w:rPr>
            </w:pPr>
            <w:r>
              <w:rPr>
                <w:rFonts w:ascii="Arial" w:cs="Arial" w:eastAsia="Arial" w:hAnsi="Arial"/>
                <w:sz w:val="18"/>
                <w:szCs w:val="18"/>
                <w:color w:val="auto"/>
              </w:rPr>
              <w:t>Pension liabilities</w:t>
            </w:r>
          </w:p>
        </w:tc>
        <w:tc>
          <w:tcPr>
            <w:tcW w:w="2500" w:type="dxa"/>
            <w:vAlign w:val="bottom"/>
          </w:tcPr>
          <w:p>
            <w:pPr>
              <w:jc w:val="right"/>
              <w:ind w:right="770"/>
              <w:spacing w:after="0"/>
              <w:rPr>
                <w:sz w:val="20"/>
                <w:szCs w:val="20"/>
                <w:color w:val="auto"/>
              </w:rPr>
            </w:pPr>
            <w:r>
              <w:rPr>
                <w:rFonts w:ascii="Arial" w:cs="Arial" w:eastAsia="Arial" w:hAnsi="Arial"/>
                <w:sz w:val="18"/>
                <w:szCs w:val="18"/>
                <w:b w:val="1"/>
                <w:bCs w:val="1"/>
                <w:color w:val="auto"/>
              </w:rPr>
              <w:t>$35,921</w:t>
            </w:r>
          </w:p>
        </w:tc>
        <w:tc>
          <w:tcPr>
            <w:tcW w:w="1660" w:type="dxa"/>
            <w:vAlign w:val="bottom"/>
          </w:tcPr>
          <w:p>
            <w:pPr>
              <w:jc w:val="right"/>
              <w:spacing w:after="0"/>
              <w:rPr>
                <w:sz w:val="20"/>
                <w:szCs w:val="20"/>
                <w:color w:val="auto"/>
              </w:rPr>
            </w:pPr>
            <w:r>
              <w:rPr>
                <w:rFonts w:ascii="Arial" w:cs="Arial" w:eastAsia="Arial" w:hAnsi="Arial"/>
                <w:sz w:val="18"/>
                <w:szCs w:val="18"/>
                <w:color w:val="auto"/>
              </w:rPr>
              <w:t>$36,782</w:t>
            </w:r>
          </w:p>
        </w:tc>
      </w:tr>
      <w:tr>
        <w:trPr>
          <w:trHeight w:val="203"/>
        </w:trPr>
        <w:tc>
          <w:tcPr>
            <w:tcW w:w="7260" w:type="dxa"/>
            <w:vAlign w:val="bottom"/>
          </w:tcPr>
          <w:p>
            <w:pPr>
              <w:ind w:left="40"/>
              <w:spacing w:after="0" w:line="202" w:lineRule="exact"/>
              <w:rPr>
                <w:sz w:val="20"/>
                <w:szCs w:val="20"/>
                <w:color w:val="auto"/>
              </w:rPr>
            </w:pPr>
            <w:r>
              <w:rPr>
                <w:rFonts w:ascii="Arial" w:cs="Arial" w:eastAsia="Arial" w:hAnsi="Arial"/>
                <w:sz w:val="18"/>
                <w:szCs w:val="18"/>
                <w:color w:val="auto"/>
              </w:rPr>
              <w:t>Postretirement benefits other than pensions</w:t>
            </w:r>
          </w:p>
        </w:tc>
        <w:tc>
          <w:tcPr>
            <w:tcW w:w="2500" w:type="dxa"/>
            <w:vAlign w:val="bottom"/>
          </w:tcPr>
          <w:p>
            <w:pPr>
              <w:jc w:val="right"/>
              <w:ind w:right="770"/>
              <w:spacing w:after="0" w:line="202" w:lineRule="exact"/>
              <w:rPr>
                <w:sz w:val="20"/>
                <w:szCs w:val="20"/>
                <w:color w:val="auto"/>
              </w:rPr>
            </w:pPr>
            <w:r>
              <w:rPr>
                <w:rFonts w:ascii="Arial" w:cs="Arial" w:eastAsia="Arial" w:hAnsi="Arial"/>
                <w:sz w:val="18"/>
                <w:szCs w:val="18"/>
                <w:b w:val="1"/>
                <w:bCs w:val="1"/>
                <w:color w:val="auto"/>
              </w:rPr>
              <w:t>53,293</w:t>
            </w: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55,310</w:t>
            </w:r>
          </w:p>
        </w:tc>
      </w:tr>
      <w:tr>
        <w:trPr>
          <w:trHeight w:val="203"/>
        </w:trPr>
        <w:tc>
          <w:tcPr>
            <w:tcW w:w="7260" w:type="dxa"/>
            <w:vAlign w:val="bottom"/>
          </w:tcPr>
          <w:p>
            <w:pPr>
              <w:ind w:left="40"/>
              <w:spacing w:after="0" w:line="202" w:lineRule="exact"/>
              <w:rPr>
                <w:sz w:val="20"/>
                <w:szCs w:val="20"/>
                <w:color w:val="auto"/>
              </w:rPr>
            </w:pPr>
            <w:r>
              <w:rPr>
                <w:rFonts w:ascii="Arial" w:cs="Arial" w:eastAsia="Arial" w:hAnsi="Arial"/>
                <w:sz w:val="18"/>
                <w:szCs w:val="18"/>
                <w:color w:val="auto"/>
              </w:rPr>
              <w:t>Obligations under license agreement</w:t>
            </w:r>
          </w:p>
        </w:tc>
        <w:tc>
          <w:tcPr>
            <w:tcW w:w="2500" w:type="dxa"/>
            <w:vAlign w:val="bottom"/>
          </w:tcPr>
          <w:p>
            <w:pPr>
              <w:jc w:val="right"/>
              <w:ind w:right="770"/>
              <w:spacing w:after="0" w:line="202" w:lineRule="exact"/>
              <w:rPr>
                <w:sz w:val="20"/>
                <w:szCs w:val="20"/>
                <w:color w:val="auto"/>
              </w:rPr>
            </w:pPr>
            <w:r>
              <w:rPr>
                <w:rFonts w:ascii="Arial" w:cs="Arial" w:eastAsia="Arial" w:hAnsi="Arial"/>
                <w:sz w:val="18"/>
                <w:szCs w:val="18"/>
                <w:b w:val="1"/>
                <w:bCs w:val="1"/>
                <w:color w:val="auto"/>
              </w:rPr>
              <w:t>10,254</w:t>
            </w: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7260" w:type="dxa"/>
            <w:vAlign w:val="bottom"/>
          </w:tcPr>
          <w:p>
            <w:pPr>
              <w:ind w:left="40"/>
              <w:spacing w:after="0" w:line="202" w:lineRule="exact"/>
              <w:rPr>
                <w:sz w:val="20"/>
                <w:szCs w:val="20"/>
                <w:color w:val="auto"/>
              </w:rPr>
            </w:pPr>
            <w:r>
              <w:rPr>
                <w:rFonts w:ascii="Arial" w:cs="Arial" w:eastAsia="Arial" w:hAnsi="Arial"/>
                <w:sz w:val="18"/>
                <w:szCs w:val="18"/>
                <w:color w:val="auto"/>
              </w:rPr>
              <w:t>Interest rate swap agreement</w:t>
            </w:r>
          </w:p>
        </w:tc>
        <w:tc>
          <w:tcPr>
            <w:tcW w:w="2500" w:type="dxa"/>
            <w:vAlign w:val="bottom"/>
          </w:tcPr>
          <w:p>
            <w:pPr>
              <w:jc w:val="right"/>
              <w:ind w:right="770"/>
              <w:spacing w:after="0" w:line="202" w:lineRule="exact"/>
              <w:rPr>
                <w:sz w:val="20"/>
                <w:szCs w:val="20"/>
                <w:color w:val="auto"/>
              </w:rPr>
            </w:pPr>
            <w:r>
              <w:rPr>
                <w:rFonts w:ascii="Arial" w:cs="Arial" w:eastAsia="Arial" w:hAnsi="Arial"/>
                <w:sz w:val="18"/>
                <w:szCs w:val="18"/>
                <w:b w:val="1"/>
                <w:bCs w:val="1"/>
                <w:color w:val="auto"/>
              </w:rPr>
              <w:t>-</w:t>
            </w: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2,400</w:t>
            </w:r>
          </w:p>
        </w:tc>
      </w:tr>
      <w:tr>
        <w:trPr>
          <w:trHeight w:val="203"/>
        </w:trPr>
        <w:tc>
          <w:tcPr>
            <w:tcW w:w="7260" w:type="dxa"/>
            <w:vAlign w:val="bottom"/>
          </w:tcPr>
          <w:p>
            <w:pPr>
              <w:ind w:left="40"/>
              <w:spacing w:after="0" w:line="202" w:lineRule="exact"/>
              <w:rPr>
                <w:sz w:val="20"/>
                <w:szCs w:val="20"/>
                <w:color w:val="auto"/>
              </w:rPr>
            </w:pPr>
            <w:r>
              <w:rPr>
                <w:rFonts w:ascii="Arial" w:cs="Arial" w:eastAsia="Arial" w:hAnsi="Arial"/>
                <w:sz w:val="18"/>
                <w:szCs w:val="18"/>
                <w:color w:val="auto"/>
              </w:rPr>
              <w:t>Incentive and deferred compensation</w:t>
            </w:r>
          </w:p>
        </w:tc>
        <w:tc>
          <w:tcPr>
            <w:tcW w:w="2500" w:type="dxa"/>
            <w:vAlign w:val="bottom"/>
          </w:tcPr>
          <w:p>
            <w:pPr>
              <w:jc w:val="right"/>
              <w:ind w:right="770"/>
              <w:spacing w:after="0" w:line="202" w:lineRule="exact"/>
              <w:rPr>
                <w:sz w:val="20"/>
                <w:szCs w:val="20"/>
                <w:color w:val="auto"/>
              </w:rPr>
            </w:pPr>
            <w:r>
              <w:rPr>
                <w:rFonts w:ascii="Arial" w:cs="Arial" w:eastAsia="Arial" w:hAnsi="Arial"/>
                <w:sz w:val="18"/>
                <w:szCs w:val="18"/>
                <w:b w:val="1"/>
                <w:bCs w:val="1"/>
                <w:color w:val="auto"/>
              </w:rPr>
              <w:t>3,468</w:t>
            </w: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3,421</w:t>
            </w:r>
          </w:p>
        </w:tc>
      </w:tr>
      <w:tr>
        <w:trPr>
          <w:trHeight w:val="203"/>
        </w:trPr>
        <w:tc>
          <w:tcPr>
            <w:tcW w:w="7260" w:type="dxa"/>
            <w:vAlign w:val="bottom"/>
          </w:tcPr>
          <w:p>
            <w:pPr>
              <w:ind w:left="40"/>
              <w:spacing w:after="0" w:line="202" w:lineRule="exact"/>
              <w:rPr>
                <w:sz w:val="20"/>
                <w:szCs w:val="20"/>
                <w:color w:val="auto"/>
              </w:rPr>
            </w:pPr>
            <w:r>
              <w:rPr>
                <w:rFonts w:ascii="Arial" w:cs="Arial" w:eastAsia="Arial" w:hAnsi="Arial"/>
                <w:sz w:val="18"/>
                <w:szCs w:val="18"/>
                <w:color w:val="auto"/>
              </w:rPr>
              <w:t>Restructuring</w:t>
            </w:r>
          </w:p>
        </w:tc>
        <w:tc>
          <w:tcPr>
            <w:tcW w:w="2500" w:type="dxa"/>
            <w:vAlign w:val="bottom"/>
          </w:tcPr>
          <w:p>
            <w:pPr>
              <w:jc w:val="right"/>
              <w:ind w:right="770"/>
              <w:spacing w:after="0" w:line="202" w:lineRule="exact"/>
              <w:rPr>
                <w:sz w:val="20"/>
                <w:szCs w:val="20"/>
                <w:color w:val="auto"/>
              </w:rPr>
            </w:pPr>
            <w:r>
              <w:rPr>
                <w:rFonts w:ascii="Arial" w:cs="Arial" w:eastAsia="Arial" w:hAnsi="Arial"/>
                <w:sz w:val="18"/>
                <w:szCs w:val="18"/>
                <w:b w:val="1"/>
                <w:bCs w:val="1"/>
                <w:color w:val="auto"/>
              </w:rPr>
              <w:t>908</w:t>
            </w: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3,320</w:t>
            </w:r>
          </w:p>
        </w:tc>
      </w:tr>
      <w:tr>
        <w:trPr>
          <w:trHeight w:val="225"/>
        </w:trPr>
        <w:tc>
          <w:tcPr>
            <w:tcW w:w="7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Other</w:t>
            </w:r>
          </w:p>
        </w:tc>
        <w:tc>
          <w:tcPr>
            <w:tcW w:w="250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2,983</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r>
      <w:tr>
        <w:trPr>
          <w:trHeight w:val="196"/>
        </w:trPr>
        <w:tc>
          <w:tcPr>
            <w:tcW w:w="726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Total</w:t>
            </w:r>
          </w:p>
        </w:tc>
        <w:tc>
          <w:tcPr>
            <w:tcW w:w="2500" w:type="dxa"/>
            <w:vAlign w:val="bottom"/>
            <w:tcBorders>
              <w:bottom w:val="single" w:sz="8" w:color="auto"/>
            </w:tcBorders>
          </w:tcPr>
          <w:p>
            <w:pPr>
              <w:jc w:val="right"/>
              <w:ind w:right="770"/>
              <w:spacing w:after="0" w:line="196" w:lineRule="exact"/>
              <w:rPr>
                <w:sz w:val="20"/>
                <w:szCs w:val="20"/>
                <w:color w:val="auto"/>
              </w:rPr>
            </w:pPr>
            <w:r>
              <w:rPr>
                <w:rFonts w:ascii="Arial" w:cs="Arial" w:eastAsia="Arial" w:hAnsi="Arial"/>
                <w:sz w:val="18"/>
                <w:szCs w:val="18"/>
                <w:b w:val="1"/>
                <w:bCs w:val="1"/>
                <w:color w:val="auto"/>
              </w:rPr>
              <w:t>$106,827</w:t>
            </w:r>
          </w:p>
        </w:tc>
        <w:tc>
          <w:tcPr>
            <w:tcW w:w="1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$101,544</w:t>
            </w: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193" w:lineRule="exact"/>
        <w:rPr>
          <w:sz w:val="20"/>
          <w:szCs w:val="20"/>
          <w:color w:val="auto"/>
        </w:rPr>
      </w:pPr>
    </w:p>
    <w:p>
      <w:pPr>
        <w:ind w:right="380" w:firstLine="648"/>
        <w:spacing w:after="0" w:line="246" w:lineRule="auto"/>
        <w:rPr>
          <w:sz w:val="20"/>
          <w:szCs w:val="20"/>
          <w:color w:val="auto"/>
        </w:rPr>
      </w:pPr>
      <w:r>
        <w:rPr>
          <w:rFonts w:ascii="Arial" w:cs="Arial" w:eastAsia="Arial" w:hAnsi="Arial"/>
          <w:sz w:val="18"/>
          <w:szCs w:val="18"/>
          <w:color w:val="auto"/>
        </w:rPr>
        <w:t>Principal leases are for machinery and equipment, vehicles, and real property. Certain leases contain renewal and purchase option provisions at fair values. Total rental expense amounted to $5.2 million in 2016, $3.5 million in 2015, and $4.2 million in 2014.</w:t>
      </w:r>
    </w:p>
    <w:p>
      <w:pPr>
        <w:spacing w:after="0" w:line="170"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Future rental payments required under operating leases that have initial or remaining non-cancelable lease terms in excess of one year, as of December 31, 2016, are: 2017, $5.6 million; 2018, $3.7 million; 2019, $1.4 million; 2020, $0.8 million, and 2021 and thereafter, $0.3 million.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Asbestos Litigation</w:t>
      </w:r>
    </w:p>
    <w:p>
      <w:pPr>
        <w:spacing w:after="0" w:line="193" w:lineRule="exact"/>
        <w:rPr>
          <w:sz w:val="20"/>
          <w:szCs w:val="20"/>
          <w:color w:val="auto"/>
        </w:rPr>
      </w:pPr>
    </w:p>
    <w:p>
      <w:pPr>
        <w:ind w:right="160" w:firstLine="648"/>
        <w:spacing w:after="0" w:line="239" w:lineRule="auto"/>
        <w:rPr>
          <w:sz w:val="20"/>
          <w:szCs w:val="20"/>
          <w:color w:val="auto"/>
        </w:rPr>
      </w:pPr>
      <w:r>
        <w:rPr>
          <w:rFonts w:ascii="Arial" w:cs="Arial" w:eastAsia="Arial" w:hAnsi="Arial"/>
          <w:sz w:val="18"/>
          <w:szCs w:val="18"/>
          <w:color w:val="auto"/>
        </w:rPr>
        <w:t>Albany International Corp. is a defendant in suits brought in various courts in the United States by plaintiffs who allege that they have suffered personal injury as a result of exposure to asbestos-containing products that we previously manufactured. We produced asbestos-containing paper machine clothing synthetic dryer fabrics marketed during the period from 1967 to 1976 and used in certain paper mills. Such fabrics generally had a useful life of three to twelve months.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were defending 3,745 claims as of December 31, 2016.</w:t>
      </w:r>
    </w:p>
    <w:p>
      <w:pPr>
        <w:spacing w:after="0" w:line="171" w:lineRule="exact"/>
        <w:rPr>
          <w:sz w:val="20"/>
          <w:szCs w:val="20"/>
          <w:color w:val="auto"/>
        </w:rPr>
      </w:pPr>
    </w:p>
    <w:p>
      <w:pPr>
        <w:ind w:right="660" w:firstLine="648"/>
        <w:spacing w:after="0" w:line="246" w:lineRule="auto"/>
        <w:rPr>
          <w:sz w:val="20"/>
          <w:szCs w:val="20"/>
          <w:color w:val="auto"/>
        </w:rPr>
      </w:pPr>
      <w:r>
        <w:rPr>
          <w:rFonts w:ascii="Arial" w:cs="Arial" w:eastAsia="Arial" w:hAnsi="Arial"/>
          <w:sz w:val="18"/>
          <w:szCs w:val="18"/>
          <w:color w:val="auto"/>
        </w:rPr>
        <w:t>The following table sets forth the number of claims filed, the number of claims settled, dismissed or otherwise resolved, and the aggregate settlement amount during the periods presented:</w:t>
      </w:r>
    </w:p>
    <w:p>
      <w:pPr>
        <w:spacing w:after="0" w:line="137"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440" w:type="dxa"/>
            <w:vAlign w:val="bottom"/>
            <w:tcBorders>
              <w:top w:val="single" w:sz="8" w:color="auto"/>
              <w:left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Year ended December 31,</w:t>
            </w:r>
          </w:p>
        </w:tc>
        <w:tc>
          <w:tcPr>
            <w:tcW w:w="1820" w:type="dxa"/>
            <w:vAlign w:val="bottom"/>
            <w:tcBorders>
              <w:top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Opening Number of</w:t>
            </w:r>
          </w:p>
        </w:tc>
        <w:tc>
          <w:tcPr>
            <w:tcW w:w="1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Claims Dismissed,</w:t>
            </w:r>
          </w:p>
        </w:tc>
        <w:tc>
          <w:tcPr>
            <w:tcW w:w="1700" w:type="dxa"/>
            <w:vAlign w:val="bottom"/>
            <w:tcBorders>
              <w:top w:val="single" w:sz="8" w:color="auto"/>
              <w:right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New Claims</w:t>
            </w:r>
          </w:p>
        </w:tc>
        <w:tc>
          <w:tcPr>
            <w:tcW w:w="170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Closing Number of</w:t>
            </w:r>
          </w:p>
        </w:tc>
        <w:tc>
          <w:tcPr>
            <w:tcW w:w="2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Amounts Paid</w:t>
            </w:r>
          </w:p>
        </w:tc>
      </w:tr>
      <w:tr>
        <w:trPr>
          <w:trHeight w:val="203"/>
        </w:trPr>
        <w:tc>
          <w:tcPr>
            <w:tcW w:w="2440" w:type="dxa"/>
            <w:vAlign w:val="bottom"/>
            <w:tcBorders>
              <w:left w:val="single" w:sz="8" w:color="auto"/>
              <w:right w:val="single" w:sz="8" w:color="auto"/>
            </w:tcBorders>
          </w:tcPr>
          <w:p>
            <w:pPr>
              <w:spacing w:after="0"/>
              <w:rPr>
                <w:sz w:val="17"/>
                <w:szCs w:val="17"/>
                <w:color w:val="auto"/>
              </w:rPr>
            </w:pPr>
          </w:p>
        </w:tc>
        <w:tc>
          <w:tcPr>
            <w:tcW w:w="1820" w:type="dxa"/>
            <w:vAlign w:val="bottom"/>
            <w:tcBorders>
              <w:right w:val="single" w:sz="8" w:color="auto"/>
            </w:tcBorders>
          </w:tcPr>
          <w:p>
            <w:pPr>
              <w:jc w:val="right"/>
              <w:ind w:right="530"/>
              <w:spacing w:after="0" w:line="202" w:lineRule="exact"/>
              <w:rPr>
                <w:sz w:val="20"/>
                <w:szCs w:val="20"/>
                <w:color w:val="auto"/>
              </w:rPr>
            </w:pPr>
            <w:r>
              <w:rPr>
                <w:rFonts w:ascii="Arial" w:cs="Arial" w:eastAsia="Arial" w:hAnsi="Arial"/>
                <w:sz w:val="18"/>
                <w:szCs w:val="18"/>
                <w:b w:val="1"/>
                <w:bCs w:val="1"/>
                <w:color w:val="auto"/>
              </w:rPr>
              <w:t>Claims</w:t>
            </w:r>
          </w:p>
        </w:tc>
        <w:tc>
          <w:tcPr>
            <w:tcW w:w="17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Settled, or</w:t>
            </w:r>
          </w:p>
        </w:tc>
        <w:tc>
          <w:tcPr>
            <w:tcW w:w="170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jc w:val="right"/>
              <w:ind w:right="470"/>
              <w:spacing w:after="0" w:line="202" w:lineRule="exact"/>
              <w:rPr>
                <w:sz w:val="20"/>
                <w:szCs w:val="20"/>
                <w:color w:val="auto"/>
              </w:rPr>
            </w:pPr>
            <w:r>
              <w:rPr>
                <w:rFonts w:ascii="Arial" w:cs="Arial" w:eastAsia="Arial" w:hAnsi="Arial"/>
                <w:sz w:val="18"/>
                <w:szCs w:val="18"/>
                <w:b w:val="1"/>
                <w:bCs w:val="1"/>
                <w:color w:val="auto"/>
              </w:rPr>
              <w:t>Claims</w:t>
            </w:r>
          </w:p>
        </w:tc>
        <w:tc>
          <w:tcPr>
            <w:tcW w:w="20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(thousands) to Settle</w:t>
            </w:r>
          </w:p>
        </w:tc>
      </w:tr>
      <w:tr>
        <w:trPr>
          <w:trHeight w:val="203"/>
        </w:trPr>
        <w:tc>
          <w:tcPr>
            <w:tcW w:w="2440" w:type="dxa"/>
            <w:vAlign w:val="bottom"/>
            <w:tcBorders>
              <w:left w:val="single" w:sz="8" w:color="auto"/>
              <w:right w:val="single" w:sz="8" w:color="auto"/>
            </w:tcBorders>
          </w:tcPr>
          <w:p>
            <w:pPr>
              <w:spacing w:after="0"/>
              <w:rPr>
                <w:sz w:val="17"/>
                <w:szCs w:val="17"/>
                <w:color w:val="auto"/>
              </w:rPr>
            </w:pPr>
          </w:p>
        </w:tc>
        <w:tc>
          <w:tcPr>
            <w:tcW w:w="182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Resolved</w:t>
            </w:r>
          </w:p>
        </w:tc>
        <w:tc>
          <w:tcPr>
            <w:tcW w:w="170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or</w:t>
            </w:r>
          </w:p>
        </w:tc>
      </w:tr>
      <w:tr>
        <w:trPr>
          <w:trHeight w:val="225"/>
        </w:trPr>
        <w:tc>
          <w:tcPr>
            <w:tcW w:w="2440" w:type="dxa"/>
            <w:vAlign w:val="bottom"/>
            <w:tcBorders>
              <w:left w:val="single" w:sz="8" w:color="auto"/>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Resolve</w:t>
            </w:r>
          </w:p>
        </w:tc>
      </w:tr>
      <w:tr>
        <w:trPr>
          <w:trHeight w:val="196"/>
        </w:trPr>
        <w:tc>
          <w:tcPr>
            <w:tcW w:w="2440" w:type="dxa"/>
            <w:vAlign w:val="bottom"/>
            <w:tcBorders>
              <w:left w:val="single" w:sz="8" w:color="auto"/>
              <w:bottom w:val="single" w:sz="8" w:color="auto"/>
              <w:right w:val="single" w:sz="8" w:color="auto"/>
            </w:tcBorders>
          </w:tcPr>
          <w:p>
            <w:pPr>
              <w:jc w:val="right"/>
              <w:ind w:right="1890"/>
              <w:spacing w:after="0" w:line="196" w:lineRule="exact"/>
              <w:rPr>
                <w:sz w:val="20"/>
                <w:szCs w:val="20"/>
                <w:color w:val="auto"/>
              </w:rPr>
            </w:pPr>
            <w:r>
              <w:rPr>
                <w:rFonts w:ascii="Arial" w:cs="Arial" w:eastAsia="Arial" w:hAnsi="Arial"/>
                <w:sz w:val="18"/>
                <w:szCs w:val="18"/>
                <w:color w:val="auto"/>
              </w:rPr>
              <w:t>2005</w:t>
            </w:r>
          </w:p>
        </w:tc>
        <w:tc>
          <w:tcPr>
            <w:tcW w:w="18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29,411</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6,257</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1,297</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24,451</w:t>
            </w:r>
          </w:p>
        </w:tc>
        <w:tc>
          <w:tcPr>
            <w:tcW w:w="20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$504</w:t>
            </w:r>
          </w:p>
        </w:tc>
      </w:tr>
      <w:tr>
        <w:trPr>
          <w:trHeight w:val="196"/>
        </w:trPr>
        <w:tc>
          <w:tcPr>
            <w:tcW w:w="2440" w:type="dxa"/>
            <w:vAlign w:val="bottom"/>
            <w:tcBorders>
              <w:left w:val="single" w:sz="8" w:color="auto"/>
              <w:bottom w:val="single" w:sz="8" w:color="auto"/>
              <w:right w:val="single" w:sz="8" w:color="auto"/>
            </w:tcBorders>
          </w:tcPr>
          <w:p>
            <w:pPr>
              <w:jc w:val="right"/>
              <w:ind w:right="1890"/>
              <w:spacing w:after="0" w:line="196" w:lineRule="exact"/>
              <w:rPr>
                <w:sz w:val="20"/>
                <w:szCs w:val="20"/>
                <w:color w:val="auto"/>
              </w:rPr>
            </w:pPr>
            <w:r>
              <w:rPr>
                <w:rFonts w:ascii="Arial" w:cs="Arial" w:eastAsia="Arial" w:hAnsi="Arial"/>
                <w:sz w:val="18"/>
                <w:szCs w:val="18"/>
                <w:color w:val="auto"/>
              </w:rPr>
              <w:t>2006</w:t>
            </w:r>
          </w:p>
        </w:tc>
        <w:tc>
          <w:tcPr>
            <w:tcW w:w="18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24,451</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6,841</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1,806</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19,416</w:t>
            </w:r>
          </w:p>
        </w:tc>
        <w:tc>
          <w:tcPr>
            <w:tcW w:w="20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3,879</w:t>
            </w:r>
          </w:p>
        </w:tc>
      </w:tr>
      <w:tr>
        <w:trPr>
          <w:trHeight w:val="196"/>
        </w:trPr>
        <w:tc>
          <w:tcPr>
            <w:tcW w:w="2440" w:type="dxa"/>
            <w:vAlign w:val="bottom"/>
            <w:tcBorders>
              <w:left w:val="single" w:sz="8" w:color="auto"/>
              <w:bottom w:val="single" w:sz="8" w:color="auto"/>
              <w:right w:val="single" w:sz="8" w:color="auto"/>
            </w:tcBorders>
          </w:tcPr>
          <w:p>
            <w:pPr>
              <w:jc w:val="right"/>
              <w:ind w:right="1890"/>
              <w:spacing w:after="0" w:line="196" w:lineRule="exact"/>
              <w:rPr>
                <w:sz w:val="20"/>
                <w:szCs w:val="20"/>
                <w:color w:val="auto"/>
              </w:rPr>
            </w:pPr>
            <w:r>
              <w:rPr>
                <w:rFonts w:ascii="Arial" w:cs="Arial" w:eastAsia="Arial" w:hAnsi="Arial"/>
                <w:sz w:val="18"/>
                <w:szCs w:val="18"/>
                <w:color w:val="auto"/>
              </w:rPr>
              <w:t>2007</w:t>
            </w:r>
          </w:p>
        </w:tc>
        <w:tc>
          <w:tcPr>
            <w:tcW w:w="18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19,416</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808</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190</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18,798</w:t>
            </w:r>
          </w:p>
        </w:tc>
        <w:tc>
          <w:tcPr>
            <w:tcW w:w="20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2440" w:type="dxa"/>
            <w:vAlign w:val="bottom"/>
            <w:tcBorders>
              <w:left w:val="single" w:sz="8" w:color="auto"/>
              <w:bottom w:val="single" w:sz="8" w:color="auto"/>
              <w:right w:val="single" w:sz="8" w:color="auto"/>
            </w:tcBorders>
          </w:tcPr>
          <w:p>
            <w:pPr>
              <w:jc w:val="right"/>
              <w:ind w:right="1890"/>
              <w:spacing w:after="0" w:line="196" w:lineRule="exact"/>
              <w:rPr>
                <w:sz w:val="20"/>
                <w:szCs w:val="20"/>
                <w:color w:val="auto"/>
              </w:rPr>
            </w:pPr>
            <w:r>
              <w:rPr>
                <w:rFonts w:ascii="Arial" w:cs="Arial" w:eastAsia="Arial" w:hAnsi="Arial"/>
                <w:sz w:val="18"/>
                <w:szCs w:val="18"/>
                <w:color w:val="auto"/>
              </w:rPr>
              <w:t>2008</w:t>
            </w:r>
          </w:p>
        </w:tc>
        <w:tc>
          <w:tcPr>
            <w:tcW w:w="18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18,798</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523</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110</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18,385</w:t>
            </w:r>
          </w:p>
        </w:tc>
        <w:tc>
          <w:tcPr>
            <w:tcW w:w="20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2440" w:type="dxa"/>
            <w:vAlign w:val="bottom"/>
            <w:tcBorders>
              <w:left w:val="single" w:sz="8" w:color="auto"/>
              <w:bottom w:val="single" w:sz="8" w:color="auto"/>
              <w:right w:val="single" w:sz="8" w:color="auto"/>
            </w:tcBorders>
          </w:tcPr>
          <w:p>
            <w:pPr>
              <w:jc w:val="right"/>
              <w:ind w:right="1890"/>
              <w:spacing w:after="0" w:line="196" w:lineRule="exact"/>
              <w:rPr>
                <w:sz w:val="20"/>
                <w:szCs w:val="20"/>
                <w:color w:val="auto"/>
              </w:rPr>
            </w:pPr>
            <w:r>
              <w:rPr>
                <w:rFonts w:ascii="Arial" w:cs="Arial" w:eastAsia="Arial" w:hAnsi="Arial"/>
                <w:sz w:val="18"/>
                <w:szCs w:val="18"/>
                <w:color w:val="auto"/>
              </w:rPr>
              <w:t>2009</w:t>
            </w:r>
          </w:p>
        </w:tc>
        <w:tc>
          <w:tcPr>
            <w:tcW w:w="18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18,385</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9,482</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42</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8,945</w:t>
            </w:r>
          </w:p>
        </w:tc>
        <w:tc>
          <w:tcPr>
            <w:tcW w:w="20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88</w:t>
            </w:r>
          </w:p>
        </w:tc>
      </w:tr>
      <w:tr>
        <w:trPr>
          <w:trHeight w:val="196"/>
        </w:trPr>
        <w:tc>
          <w:tcPr>
            <w:tcW w:w="2440" w:type="dxa"/>
            <w:vAlign w:val="bottom"/>
            <w:tcBorders>
              <w:left w:val="single" w:sz="8" w:color="auto"/>
              <w:bottom w:val="single" w:sz="8" w:color="auto"/>
              <w:right w:val="single" w:sz="8" w:color="auto"/>
            </w:tcBorders>
          </w:tcPr>
          <w:p>
            <w:pPr>
              <w:jc w:val="right"/>
              <w:ind w:right="1890"/>
              <w:spacing w:after="0" w:line="196" w:lineRule="exact"/>
              <w:rPr>
                <w:sz w:val="20"/>
                <w:szCs w:val="20"/>
                <w:color w:val="auto"/>
              </w:rPr>
            </w:pPr>
            <w:r>
              <w:rPr>
                <w:rFonts w:ascii="Arial" w:cs="Arial" w:eastAsia="Arial" w:hAnsi="Arial"/>
                <w:sz w:val="18"/>
                <w:szCs w:val="18"/>
                <w:color w:val="auto"/>
              </w:rPr>
              <w:t>2010</w:t>
            </w:r>
          </w:p>
        </w:tc>
        <w:tc>
          <w:tcPr>
            <w:tcW w:w="18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8,945</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3,963</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188</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5,170</w:t>
            </w:r>
          </w:p>
        </w:tc>
        <w:tc>
          <w:tcPr>
            <w:tcW w:w="20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159</w:t>
            </w:r>
          </w:p>
        </w:tc>
      </w:tr>
      <w:tr>
        <w:trPr>
          <w:trHeight w:val="196"/>
        </w:trPr>
        <w:tc>
          <w:tcPr>
            <w:tcW w:w="2440" w:type="dxa"/>
            <w:vAlign w:val="bottom"/>
            <w:tcBorders>
              <w:left w:val="single" w:sz="8" w:color="auto"/>
              <w:bottom w:val="single" w:sz="8" w:color="auto"/>
              <w:right w:val="single" w:sz="8" w:color="auto"/>
            </w:tcBorders>
          </w:tcPr>
          <w:p>
            <w:pPr>
              <w:jc w:val="right"/>
              <w:ind w:right="1890"/>
              <w:spacing w:after="0" w:line="196" w:lineRule="exact"/>
              <w:rPr>
                <w:sz w:val="20"/>
                <w:szCs w:val="20"/>
                <w:color w:val="auto"/>
              </w:rPr>
            </w:pPr>
            <w:r>
              <w:rPr>
                <w:rFonts w:ascii="Arial" w:cs="Arial" w:eastAsia="Arial" w:hAnsi="Arial"/>
                <w:sz w:val="18"/>
                <w:szCs w:val="18"/>
                <w:color w:val="auto"/>
              </w:rPr>
              <w:t>2011</w:t>
            </w:r>
          </w:p>
        </w:tc>
        <w:tc>
          <w:tcPr>
            <w:tcW w:w="18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5,170</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789</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65</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4,446</w:t>
            </w:r>
          </w:p>
        </w:tc>
        <w:tc>
          <w:tcPr>
            <w:tcW w:w="20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1,111</w:t>
            </w:r>
          </w:p>
        </w:tc>
      </w:tr>
      <w:tr>
        <w:trPr>
          <w:trHeight w:val="196"/>
        </w:trPr>
        <w:tc>
          <w:tcPr>
            <w:tcW w:w="2440" w:type="dxa"/>
            <w:vAlign w:val="bottom"/>
            <w:tcBorders>
              <w:left w:val="single" w:sz="8" w:color="auto"/>
              <w:bottom w:val="single" w:sz="8" w:color="auto"/>
              <w:right w:val="single" w:sz="8" w:color="auto"/>
            </w:tcBorders>
          </w:tcPr>
          <w:p>
            <w:pPr>
              <w:jc w:val="right"/>
              <w:ind w:right="1890"/>
              <w:spacing w:after="0" w:line="196" w:lineRule="exact"/>
              <w:rPr>
                <w:sz w:val="20"/>
                <w:szCs w:val="20"/>
                <w:color w:val="auto"/>
              </w:rPr>
            </w:pPr>
            <w:r>
              <w:rPr>
                <w:rFonts w:ascii="Arial" w:cs="Arial" w:eastAsia="Arial" w:hAnsi="Arial"/>
                <w:sz w:val="18"/>
                <w:szCs w:val="18"/>
                <w:color w:val="auto"/>
              </w:rPr>
              <w:t>2012</w:t>
            </w:r>
          </w:p>
        </w:tc>
        <w:tc>
          <w:tcPr>
            <w:tcW w:w="18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4,446</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90</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107</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4,463</w:t>
            </w:r>
          </w:p>
        </w:tc>
        <w:tc>
          <w:tcPr>
            <w:tcW w:w="20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530</w:t>
            </w:r>
          </w:p>
        </w:tc>
      </w:tr>
      <w:tr>
        <w:trPr>
          <w:trHeight w:val="196"/>
        </w:trPr>
        <w:tc>
          <w:tcPr>
            <w:tcW w:w="2440" w:type="dxa"/>
            <w:vAlign w:val="bottom"/>
            <w:tcBorders>
              <w:left w:val="single" w:sz="8" w:color="auto"/>
              <w:bottom w:val="single" w:sz="8" w:color="auto"/>
              <w:right w:val="single" w:sz="8" w:color="auto"/>
            </w:tcBorders>
          </w:tcPr>
          <w:p>
            <w:pPr>
              <w:jc w:val="right"/>
              <w:ind w:right="1890"/>
              <w:spacing w:after="0" w:line="196" w:lineRule="exact"/>
              <w:rPr>
                <w:sz w:val="20"/>
                <w:szCs w:val="20"/>
                <w:color w:val="auto"/>
              </w:rPr>
            </w:pPr>
            <w:r>
              <w:rPr>
                <w:rFonts w:ascii="Arial" w:cs="Arial" w:eastAsia="Arial" w:hAnsi="Arial"/>
                <w:sz w:val="18"/>
                <w:szCs w:val="18"/>
                <w:color w:val="auto"/>
              </w:rPr>
              <w:t>2013</w:t>
            </w:r>
          </w:p>
        </w:tc>
        <w:tc>
          <w:tcPr>
            <w:tcW w:w="18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4,463</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230</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66</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4,299</w:t>
            </w:r>
          </w:p>
        </w:tc>
        <w:tc>
          <w:tcPr>
            <w:tcW w:w="20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78</w:t>
            </w:r>
          </w:p>
        </w:tc>
      </w:tr>
      <w:tr>
        <w:trPr>
          <w:trHeight w:val="196"/>
        </w:trPr>
        <w:tc>
          <w:tcPr>
            <w:tcW w:w="2440" w:type="dxa"/>
            <w:vAlign w:val="bottom"/>
            <w:tcBorders>
              <w:left w:val="single" w:sz="8" w:color="auto"/>
              <w:bottom w:val="single" w:sz="8" w:color="auto"/>
              <w:right w:val="single" w:sz="8" w:color="auto"/>
            </w:tcBorders>
          </w:tcPr>
          <w:p>
            <w:pPr>
              <w:jc w:val="right"/>
              <w:ind w:right="1890"/>
              <w:spacing w:after="0" w:line="196" w:lineRule="exact"/>
              <w:rPr>
                <w:sz w:val="20"/>
                <w:szCs w:val="20"/>
                <w:color w:val="auto"/>
              </w:rPr>
            </w:pPr>
            <w:r>
              <w:rPr>
                <w:rFonts w:ascii="Arial" w:cs="Arial" w:eastAsia="Arial" w:hAnsi="Arial"/>
                <w:sz w:val="18"/>
                <w:szCs w:val="18"/>
                <w:color w:val="auto"/>
              </w:rPr>
              <w:t>2014</w:t>
            </w:r>
          </w:p>
        </w:tc>
        <w:tc>
          <w:tcPr>
            <w:tcW w:w="18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4,299</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625</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147</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3,821</w:t>
            </w:r>
          </w:p>
        </w:tc>
        <w:tc>
          <w:tcPr>
            <w:tcW w:w="20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437</w:t>
            </w:r>
          </w:p>
        </w:tc>
      </w:tr>
      <w:tr>
        <w:trPr>
          <w:trHeight w:val="203"/>
        </w:trPr>
        <w:tc>
          <w:tcPr>
            <w:tcW w:w="2440" w:type="dxa"/>
            <w:vAlign w:val="bottom"/>
            <w:tcBorders>
              <w:left w:val="single" w:sz="8" w:color="auto"/>
              <w:bottom w:val="single" w:sz="8" w:color="auto"/>
              <w:right w:val="single" w:sz="8" w:color="auto"/>
            </w:tcBorders>
          </w:tcPr>
          <w:p>
            <w:pPr>
              <w:jc w:val="right"/>
              <w:ind w:right="1890"/>
              <w:spacing w:after="0" w:line="196" w:lineRule="exact"/>
              <w:rPr>
                <w:sz w:val="20"/>
                <w:szCs w:val="20"/>
                <w:color w:val="auto"/>
              </w:rPr>
            </w:pPr>
            <w:r>
              <w:rPr>
                <w:rFonts w:ascii="Arial" w:cs="Arial" w:eastAsia="Arial" w:hAnsi="Arial"/>
                <w:sz w:val="18"/>
                <w:szCs w:val="18"/>
                <w:color w:val="auto"/>
              </w:rPr>
              <w:t>2015</w:t>
            </w:r>
          </w:p>
        </w:tc>
        <w:tc>
          <w:tcPr>
            <w:tcW w:w="18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3,821</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116</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86</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3,791</w:t>
            </w:r>
          </w:p>
        </w:tc>
        <w:tc>
          <w:tcPr>
            <w:tcW w:w="20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164</w:t>
            </w:r>
          </w:p>
        </w:tc>
      </w:tr>
      <w:tr>
        <w:trPr>
          <w:trHeight w:val="210"/>
        </w:trPr>
        <w:tc>
          <w:tcPr>
            <w:tcW w:w="2440" w:type="dxa"/>
            <w:vAlign w:val="bottom"/>
            <w:tcBorders>
              <w:left w:val="single" w:sz="8" w:color="auto"/>
              <w:bottom w:val="single" w:sz="8" w:color="auto"/>
              <w:right w:val="single" w:sz="8" w:color="auto"/>
            </w:tcBorders>
          </w:tcPr>
          <w:p>
            <w:pPr>
              <w:jc w:val="right"/>
              <w:ind w:right="1890"/>
              <w:spacing w:after="0" w:line="202" w:lineRule="exact"/>
              <w:rPr>
                <w:sz w:val="20"/>
                <w:szCs w:val="20"/>
                <w:color w:val="auto"/>
              </w:rPr>
            </w:pPr>
            <w:r>
              <w:rPr>
                <w:rFonts w:ascii="Arial" w:cs="Arial" w:eastAsia="Arial" w:hAnsi="Arial"/>
                <w:sz w:val="18"/>
                <w:szCs w:val="18"/>
                <w:b w:val="1"/>
                <w:bCs w:val="1"/>
                <w:color w:val="auto"/>
              </w:rPr>
              <w:t>2016</w:t>
            </w:r>
          </w:p>
        </w:tc>
        <w:tc>
          <w:tcPr>
            <w:tcW w:w="1820" w:type="dxa"/>
            <w:vAlign w:val="bottom"/>
            <w:tcBorders>
              <w:bottom w:val="single" w:sz="8" w:color="auto"/>
              <w:right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3,791</w:t>
            </w:r>
          </w:p>
        </w:tc>
        <w:tc>
          <w:tcPr>
            <w:tcW w:w="1720" w:type="dxa"/>
            <w:vAlign w:val="bottom"/>
            <w:tcBorders>
              <w:bottom w:val="single" w:sz="8" w:color="auto"/>
              <w:right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148</w:t>
            </w:r>
          </w:p>
        </w:tc>
        <w:tc>
          <w:tcPr>
            <w:tcW w:w="1700" w:type="dxa"/>
            <w:vAlign w:val="bottom"/>
            <w:tcBorders>
              <w:bottom w:val="single" w:sz="8" w:color="auto"/>
              <w:right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102</w:t>
            </w:r>
          </w:p>
        </w:tc>
        <w:tc>
          <w:tcPr>
            <w:tcW w:w="1700" w:type="dxa"/>
            <w:vAlign w:val="bottom"/>
            <w:tcBorders>
              <w:bottom w:val="single" w:sz="8" w:color="auto"/>
              <w:right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3,745</w:t>
            </w:r>
          </w:p>
        </w:tc>
        <w:tc>
          <w:tcPr>
            <w:tcW w:w="2040" w:type="dxa"/>
            <w:vAlign w:val="bottom"/>
            <w:tcBorders>
              <w:bottom w:val="single" w:sz="8" w:color="auto"/>
              <w:right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$758</w:t>
            </w:r>
          </w:p>
        </w:tc>
      </w:tr>
      <w:tr>
        <w:trPr>
          <w:trHeight w:val="635"/>
        </w:trPr>
        <w:tc>
          <w:tcPr>
            <w:tcW w:w="24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129"/>
        </w:trPr>
        <w:tc>
          <w:tcPr>
            <w:tcW w:w="244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tcPr>
          <w:p>
            <w:pPr>
              <w:spacing w:after="0"/>
              <w:rPr>
                <w:sz w:val="11"/>
                <w:szCs w:val="11"/>
                <w:color w:val="auto"/>
              </w:rPr>
            </w:pPr>
          </w:p>
        </w:tc>
        <w:tc>
          <w:tcPr>
            <w:tcW w:w="2040" w:type="dxa"/>
            <w:vAlign w:val="bottom"/>
            <w:tcBorders>
              <w:bottom w:val="single" w:sz="8" w:color="auto"/>
            </w:tcBorders>
          </w:tcPr>
          <w:p>
            <w:pPr>
              <w:spacing w:after="0"/>
              <w:rPr>
                <w:sz w:val="11"/>
                <w:szCs w:val="11"/>
                <w:color w:val="auto"/>
              </w:rPr>
            </w:pPr>
          </w:p>
        </w:tc>
      </w:tr>
    </w:tbl>
    <w:p>
      <w:pPr>
        <w:sectPr>
          <w:pgSz w:w="11900" w:h="16838" w:orient="portrait"/>
          <w:cols w:equalWidth="0" w:num="1">
            <w:col w:w="11420"/>
          </w:cols>
          <w:pgMar w:left="240" w:top="118" w:right="239" w:bottom="1440" w:gutter="0" w:footer="0" w:header="0"/>
        </w:sectPr>
      </w:pPr>
    </w:p>
    <w:bookmarkStart w:id="94" w:name="page95"/>
    <w:bookmarkEnd w:id="94"/>
    <w:p>
      <w:pPr>
        <w:ind w:right="60" w:firstLine="648"/>
        <w:spacing w:after="0" w:line="245" w:lineRule="auto"/>
        <w:rPr>
          <w:sz w:val="20"/>
          <w:szCs w:val="20"/>
          <w:color w:val="auto"/>
        </w:rPr>
      </w:pPr>
      <w:r>
        <w:rPr>
          <w:rFonts w:ascii="Arial" w:cs="Arial" w:eastAsia="Arial" w:hAnsi="Arial"/>
          <w:sz w:val="18"/>
          <w:szCs w:val="18"/>
          <w:color w:val="auto"/>
        </w:rPr>
        <w:t>We anticipate that additional claims will be filed against the Company and related companies in the future, but are unable to predict the number and timing of such future claims.</w:t>
      </w:r>
    </w:p>
    <w:p>
      <w:pPr>
        <w:spacing w:after="0" w:line="157" w:lineRule="exact"/>
        <w:rPr>
          <w:sz w:val="20"/>
          <w:szCs w:val="20"/>
          <w:color w:val="auto"/>
        </w:rPr>
      </w:pPr>
    </w:p>
    <w:p>
      <w:pPr>
        <w:ind w:right="160" w:firstLine="648"/>
        <w:spacing w:after="0"/>
        <w:rPr>
          <w:sz w:val="20"/>
          <w:szCs w:val="20"/>
          <w:color w:val="auto"/>
        </w:rPr>
      </w:pPr>
      <w:r>
        <w:rPr>
          <w:rFonts w:ascii="Arial" w:cs="Arial" w:eastAsia="Arial" w:hAnsi="Arial"/>
          <w:sz w:val="18"/>
          <w:szCs w:val="18"/>
          <w:color w:val="auto"/>
        </w:rPr>
        <w:t>Exposure and disease information sufficient to meaningfully estimate a range of possible loss of a particular claim is typically not available until late in the discovery process, and often not until a trial date is imminent and a settlement demand has been received. For these reasons, we do not believe a meaningful estimate can be made regarding the range of possible loss with respect to pending or future claims.</w:t>
      </w:r>
    </w:p>
    <w:p>
      <w:pPr>
        <w:spacing w:after="0" w:line="176"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While we believe we have meritorious defenses to these claims, we have settled certain claims for amounts we consider reasonable given the facts and circumstances of each case. Our insurer, Liberty Mutual, has defended each case and funded settlements under a standard reservation of rights. As of December 31, 2016, we had resolved, by means of settlement or dismissal, 37,489 claims. The total cost of resolving all claims was $10.2 million. Of this amount, almost 100% was paid by our insurance carrier. The Company’s insurer has confirmed that although coverage limits under two (of approximately 23) primary insurance policies have been exhausted, there still remains approximately $2.5 million in coverage limits under other applicable primary policies, and $140 million in coverage under excess umbrella coverage policies that should be available with respect to current and future asbestos claims.</w:t>
      </w:r>
    </w:p>
    <w:p>
      <w:pPr>
        <w:spacing w:after="0" w:line="163" w:lineRule="exact"/>
        <w:rPr>
          <w:sz w:val="20"/>
          <w:szCs w:val="20"/>
          <w:color w:val="auto"/>
        </w:rPr>
      </w:pPr>
    </w:p>
    <w:p>
      <w:pPr>
        <w:ind w:right="280" w:firstLine="648"/>
        <w:spacing w:after="0"/>
        <w:rPr>
          <w:sz w:val="20"/>
          <w:szCs w:val="20"/>
          <w:color w:val="auto"/>
        </w:rPr>
      </w:pPr>
      <w:r>
        <w:rPr>
          <w:rFonts w:ascii="Arial" w:cs="Arial" w:eastAsia="Arial" w:hAnsi="Arial"/>
          <w:sz w:val="18"/>
          <w:szCs w:val="18"/>
          <w:color w:val="auto"/>
        </w:rPr>
        <w:t>Brandon Drying Fabrics, Inc. (“Brandon”), a subsidiary of Geschmay Corp., which is a subsidiary of the Company, is also a separate defendant in many of the asbestos cases in which Albany is named as a defendant. Brandon was defending against 7,706 claims as of December 31, 2016.</w:t>
      </w:r>
    </w:p>
    <w:p>
      <w:pPr>
        <w:spacing w:after="0" w:line="162" w:lineRule="exact"/>
        <w:rPr>
          <w:sz w:val="20"/>
          <w:szCs w:val="20"/>
          <w:color w:val="auto"/>
        </w:rPr>
      </w:pPr>
    </w:p>
    <w:p>
      <w:pPr>
        <w:ind w:right="660" w:firstLine="648"/>
        <w:spacing w:after="0" w:line="246" w:lineRule="auto"/>
        <w:rPr>
          <w:sz w:val="20"/>
          <w:szCs w:val="20"/>
          <w:color w:val="auto"/>
        </w:rPr>
      </w:pPr>
      <w:r>
        <w:rPr>
          <w:rFonts w:ascii="Arial" w:cs="Arial" w:eastAsia="Arial" w:hAnsi="Arial"/>
          <w:sz w:val="18"/>
          <w:szCs w:val="18"/>
          <w:color w:val="auto"/>
        </w:rPr>
        <w:t>The following table sets forth the number of claims filed, the number of claims settled, dismissed or otherwise resolved, and the aggregate settlement amount during the periods presented:</w:t>
      </w:r>
    </w:p>
    <w:p>
      <w:pPr>
        <w:spacing w:after="0" w:line="15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440" w:type="dxa"/>
            <w:vAlign w:val="bottom"/>
            <w:tcBorders>
              <w:top w:val="single" w:sz="8" w:color="auto"/>
              <w:left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Year ended December 31,</w:t>
            </w:r>
          </w:p>
        </w:tc>
        <w:tc>
          <w:tcPr>
            <w:tcW w:w="1500" w:type="dxa"/>
            <w:vAlign w:val="bottom"/>
            <w:tcBorders>
              <w:top w:val="single" w:sz="8" w:color="auto"/>
            </w:tcBorders>
          </w:tcPr>
          <w:p>
            <w:pPr>
              <w:jc w:val="center"/>
              <w:ind w:left="390"/>
              <w:spacing w:after="0"/>
              <w:rPr>
                <w:sz w:val="20"/>
                <w:szCs w:val="20"/>
                <w:color w:val="auto"/>
              </w:rPr>
            </w:pPr>
            <w:r>
              <w:rPr>
                <w:rFonts w:ascii="Arial" w:cs="Arial" w:eastAsia="Arial" w:hAnsi="Arial"/>
                <w:sz w:val="18"/>
                <w:szCs w:val="18"/>
                <w:b w:val="1"/>
                <w:bCs w:val="1"/>
                <w:color w:val="auto"/>
              </w:rPr>
              <w:t>Opening</w:t>
            </w:r>
          </w:p>
        </w:tc>
        <w:tc>
          <w:tcPr>
            <w:tcW w:w="560" w:type="dxa"/>
            <w:vAlign w:val="bottom"/>
            <w:tcBorders>
              <w:top w:val="single" w:sz="8" w:color="auto"/>
              <w:right w:val="single" w:sz="8" w:color="auto"/>
            </w:tcBorders>
          </w:tcPr>
          <w:p>
            <w:pPr>
              <w:spacing w:after="0"/>
              <w:rPr>
                <w:sz w:val="17"/>
                <w:szCs w:val="17"/>
                <w:color w:val="auto"/>
              </w:rPr>
            </w:pPr>
          </w:p>
        </w:tc>
        <w:tc>
          <w:tcPr>
            <w:tcW w:w="1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Claims Dismissed,</w:t>
            </w:r>
          </w:p>
        </w:tc>
        <w:tc>
          <w:tcPr>
            <w:tcW w:w="1700" w:type="dxa"/>
            <w:vAlign w:val="bottom"/>
            <w:tcBorders>
              <w:top w:val="single" w:sz="8" w:color="auto"/>
              <w:right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New Claims</w:t>
            </w:r>
          </w:p>
        </w:tc>
        <w:tc>
          <w:tcPr>
            <w:tcW w:w="1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Closing</w:t>
            </w:r>
          </w:p>
        </w:tc>
        <w:tc>
          <w:tcPr>
            <w:tcW w:w="1800" w:type="dxa"/>
            <w:vAlign w:val="bottom"/>
            <w:tcBorders>
              <w:top w:val="single" w:sz="8" w:color="auto"/>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Amounts</w:t>
            </w:r>
          </w:p>
        </w:tc>
      </w:tr>
      <w:tr>
        <w:trPr>
          <w:trHeight w:val="203"/>
        </w:trPr>
        <w:tc>
          <w:tcPr>
            <w:tcW w:w="2440" w:type="dxa"/>
            <w:vAlign w:val="bottom"/>
            <w:tcBorders>
              <w:left w:val="single" w:sz="8" w:color="auto"/>
              <w:right w:val="single" w:sz="8" w:color="auto"/>
            </w:tcBorders>
          </w:tcPr>
          <w:p>
            <w:pPr>
              <w:spacing w:after="0"/>
              <w:rPr>
                <w:sz w:val="17"/>
                <w:szCs w:val="17"/>
                <w:color w:val="auto"/>
              </w:rPr>
            </w:pPr>
          </w:p>
        </w:tc>
        <w:tc>
          <w:tcPr>
            <w:tcW w:w="1500" w:type="dxa"/>
            <w:vAlign w:val="bottom"/>
          </w:tcPr>
          <w:p>
            <w:pPr>
              <w:jc w:val="center"/>
              <w:ind w:left="390"/>
              <w:spacing w:after="0" w:line="202" w:lineRule="exact"/>
              <w:rPr>
                <w:sz w:val="20"/>
                <w:szCs w:val="20"/>
                <w:color w:val="auto"/>
              </w:rPr>
            </w:pPr>
            <w:r>
              <w:rPr>
                <w:rFonts w:ascii="Arial" w:cs="Arial" w:eastAsia="Arial" w:hAnsi="Arial"/>
                <w:sz w:val="18"/>
                <w:szCs w:val="18"/>
                <w:b w:val="1"/>
                <w:bCs w:val="1"/>
                <w:color w:val="auto"/>
                <w:w w:val="99"/>
              </w:rPr>
              <w:t>Number of</w:t>
            </w:r>
          </w:p>
        </w:tc>
        <w:tc>
          <w:tcPr>
            <w:tcW w:w="56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Settled, or</w:t>
            </w:r>
          </w:p>
        </w:tc>
        <w:tc>
          <w:tcPr>
            <w:tcW w:w="170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Number of</w:t>
            </w:r>
          </w:p>
        </w:tc>
        <w:tc>
          <w:tcPr>
            <w:tcW w:w="1800" w:type="dxa"/>
            <w:vAlign w:val="bottom"/>
            <w:tcBorders>
              <w:right w:val="single" w:sz="8" w:color="auto"/>
            </w:tcBorders>
          </w:tcPr>
          <w:p>
            <w:pPr>
              <w:jc w:val="center"/>
              <w:ind w:right="10"/>
              <w:spacing w:after="0" w:line="202" w:lineRule="exact"/>
              <w:rPr>
                <w:sz w:val="20"/>
                <w:szCs w:val="20"/>
                <w:color w:val="auto"/>
              </w:rPr>
            </w:pPr>
            <w:r>
              <w:rPr>
                <w:rFonts w:ascii="Arial" w:cs="Arial" w:eastAsia="Arial" w:hAnsi="Arial"/>
                <w:sz w:val="18"/>
                <w:szCs w:val="18"/>
                <w:b w:val="1"/>
                <w:bCs w:val="1"/>
                <w:color w:val="auto"/>
                <w:w w:val="99"/>
              </w:rPr>
              <w:t>Paid</w:t>
            </w:r>
          </w:p>
        </w:tc>
      </w:tr>
      <w:tr>
        <w:trPr>
          <w:trHeight w:val="203"/>
        </w:trPr>
        <w:tc>
          <w:tcPr>
            <w:tcW w:w="2440" w:type="dxa"/>
            <w:vAlign w:val="bottom"/>
            <w:tcBorders>
              <w:left w:val="single" w:sz="8" w:color="auto"/>
              <w:right w:val="single" w:sz="8" w:color="auto"/>
            </w:tcBorders>
          </w:tcPr>
          <w:p>
            <w:pPr>
              <w:spacing w:after="0"/>
              <w:rPr>
                <w:sz w:val="17"/>
                <w:szCs w:val="17"/>
                <w:color w:val="auto"/>
              </w:rPr>
            </w:pPr>
          </w:p>
        </w:tc>
        <w:tc>
          <w:tcPr>
            <w:tcW w:w="1500" w:type="dxa"/>
            <w:vAlign w:val="bottom"/>
          </w:tcPr>
          <w:p>
            <w:pPr>
              <w:jc w:val="center"/>
              <w:ind w:left="450"/>
              <w:spacing w:after="0" w:line="202" w:lineRule="exact"/>
              <w:rPr>
                <w:sz w:val="20"/>
                <w:szCs w:val="20"/>
                <w:color w:val="auto"/>
              </w:rPr>
            </w:pPr>
            <w:r>
              <w:rPr>
                <w:rFonts w:ascii="Arial" w:cs="Arial" w:eastAsia="Arial" w:hAnsi="Arial"/>
                <w:sz w:val="18"/>
                <w:szCs w:val="18"/>
                <w:b w:val="1"/>
                <w:bCs w:val="1"/>
                <w:color w:val="auto"/>
              </w:rPr>
              <w:t>Claims</w:t>
            </w:r>
          </w:p>
        </w:tc>
        <w:tc>
          <w:tcPr>
            <w:tcW w:w="56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Resolved</w:t>
            </w:r>
          </w:p>
        </w:tc>
        <w:tc>
          <w:tcPr>
            <w:tcW w:w="170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8"/>
              </w:rPr>
              <w:t>Claims</w:t>
            </w:r>
          </w:p>
        </w:tc>
        <w:tc>
          <w:tcPr>
            <w:tcW w:w="18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rPr>
              <w:t>(thousands)</w:t>
            </w:r>
          </w:p>
        </w:tc>
      </w:tr>
      <w:tr>
        <w:trPr>
          <w:trHeight w:val="203"/>
        </w:trPr>
        <w:tc>
          <w:tcPr>
            <w:tcW w:w="2440" w:type="dxa"/>
            <w:vAlign w:val="bottom"/>
            <w:tcBorders>
              <w:left w:val="single" w:sz="8" w:color="auto"/>
              <w:right w:val="single" w:sz="8" w:color="auto"/>
            </w:tcBorders>
          </w:tcPr>
          <w:p>
            <w:pPr>
              <w:spacing w:after="0"/>
              <w:rPr>
                <w:sz w:val="17"/>
                <w:szCs w:val="17"/>
                <w:color w:val="auto"/>
              </w:rPr>
            </w:pPr>
          </w:p>
        </w:tc>
        <w:tc>
          <w:tcPr>
            <w:tcW w:w="150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1800" w:type="dxa"/>
            <w:vAlign w:val="bottom"/>
            <w:tcBorders>
              <w:right w:val="single" w:sz="8" w:color="auto"/>
            </w:tcBorders>
          </w:tcPr>
          <w:p>
            <w:pPr>
              <w:jc w:val="center"/>
              <w:ind w:right="10"/>
              <w:spacing w:after="0" w:line="202" w:lineRule="exact"/>
              <w:rPr>
                <w:sz w:val="20"/>
                <w:szCs w:val="20"/>
                <w:color w:val="auto"/>
              </w:rPr>
            </w:pPr>
            <w:r>
              <w:rPr>
                <w:rFonts w:ascii="Arial" w:cs="Arial" w:eastAsia="Arial" w:hAnsi="Arial"/>
                <w:sz w:val="18"/>
                <w:szCs w:val="18"/>
                <w:b w:val="1"/>
                <w:bCs w:val="1"/>
                <w:color w:val="auto"/>
                <w:w w:val="99"/>
              </w:rPr>
              <w:t>to Settle or</w:t>
            </w:r>
          </w:p>
        </w:tc>
      </w:tr>
      <w:tr>
        <w:trPr>
          <w:trHeight w:val="225"/>
        </w:trPr>
        <w:tc>
          <w:tcPr>
            <w:tcW w:w="2440" w:type="dxa"/>
            <w:vAlign w:val="bottom"/>
            <w:tcBorders>
              <w:left w:val="single" w:sz="8" w:color="auto"/>
              <w:bottom w:val="single" w:sz="8" w:color="auto"/>
              <w:right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Resolve</w:t>
            </w:r>
          </w:p>
        </w:tc>
      </w:tr>
      <w:tr>
        <w:trPr>
          <w:trHeight w:val="196"/>
        </w:trPr>
        <w:tc>
          <w:tcPr>
            <w:tcW w:w="2440" w:type="dxa"/>
            <w:vAlign w:val="bottom"/>
            <w:tcBorders>
              <w:left w:val="single" w:sz="8" w:color="auto"/>
              <w:bottom w:val="single" w:sz="8" w:color="auto"/>
              <w:right w:val="single" w:sz="8" w:color="auto"/>
            </w:tcBorders>
          </w:tcPr>
          <w:p>
            <w:pPr>
              <w:jc w:val="right"/>
              <w:ind w:right="1890"/>
              <w:spacing w:after="0" w:line="196" w:lineRule="exact"/>
              <w:rPr>
                <w:sz w:val="20"/>
                <w:szCs w:val="20"/>
                <w:color w:val="auto"/>
              </w:rPr>
            </w:pPr>
            <w:r>
              <w:rPr>
                <w:rFonts w:ascii="Arial" w:cs="Arial" w:eastAsia="Arial" w:hAnsi="Arial"/>
                <w:sz w:val="18"/>
                <w:szCs w:val="18"/>
                <w:color w:val="auto"/>
              </w:rPr>
              <w:t>2005</w:t>
            </w:r>
          </w:p>
        </w:tc>
        <w:tc>
          <w:tcPr>
            <w:tcW w:w="1500" w:type="dxa"/>
            <w:vAlign w:val="bottom"/>
            <w:tcBorders>
              <w:bottom w:val="single" w:sz="8" w:color="auto"/>
            </w:tcBorders>
          </w:tcPr>
          <w:p>
            <w:pPr>
              <w:spacing w:after="0"/>
              <w:rPr>
                <w:sz w:val="17"/>
                <w:szCs w:val="17"/>
                <w:color w:val="auto"/>
              </w:rPr>
            </w:pPr>
          </w:p>
        </w:tc>
        <w:tc>
          <w:tcPr>
            <w:tcW w:w="5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9,985</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642</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223</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9,566</w:t>
            </w:r>
          </w:p>
        </w:tc>
        <w:tc>
          <w:tcPr>
            <w:tcW w:w="18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r>
      <w:tr>
        <w:trPr>
          <w:trHeight w:val="196"/>
        </w:trPr>
        <w:tc>
          <w:tcPr>
            <w:tcW w:w="2440" w:type="dxa"/>
            <w:vAlign w:val="bottom"/>
            <w:tcBorders>
              <w:left w:val="single" w:sz="8" w:color="auto"/>
              <w:bottom w:val="single" w:sz="8" w:color="auto"/>
              <w:right w:val="single" w:sz="8" w:color="auto"/>
            </w:tcBorders>
          </w:tcPr>
          <w:p>
            <w:pPr>
              <w:jc w:val="right"/>
              <w:ind w:right="1890"/>
              <w:spacing w:after="0" w:line="196" w:lineRule="exact"/>
              <w:rPr>
                <w:sz w:val="20"/>
                <w:szCs w:val="20"/>
                <w:color w:val="auto"/>
              </w:rPr>
            </w:pPr>
            <w:r>
              <w:rPr>
                <w:rFonts w:ascii="Arial" w:cs="Arial" w:eastAsia="Arial" w:hAnsi="Arial"/>
                <w:sz w:val="18"/>
                <w:szCs w:val="18"/>
                <w:color w:val="auto"/>
              </w:rPr>
              <w:t>2006</w:t>
            </w:r>
          </w:p>
        </w:tc>
        <w:tc>
          <w:tcPr>
            <w:tcW w:w="1500" w:type="dxa"/>
            <w:vAlign w:val="bottom"/>
            <w:tcBorders>
              <w:bottom w:val="single" w:sz="8" w:color="auto"/>
            </w:tcBorders>
          </w:tcPr>
          <w:p>
            <w:pPr>
              <w:spacing w:after="0"/>
              <w:rPr>
                <w:sz w:val="17"/>
                <w:szCs w:val="17"/>
                <w:color w:val="auto"/>
              </w:rPr>
            </w:pPr>
          </w:p>
        </w:tc>
        <w:tc>
          <w:tcPr>
            <w:tcW w:w="5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9,566</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1,182</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730</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9,114</w:t>
            </w:r>
          </w:p>
        </w:tc>
        <w:tc>
          <w:tcPr>
            <w:tcW w:w="1800" w:type="dxa"/>
            <w:vAlign w:val="bottom"/>
            <w:tcBorders>
              <w:bottom w:val="single" w:sz="8" w:color="auto"/>
              <w:right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w:t>
            </w:r>
          </w:p>
        </w:tc>
      </w:tr>
      <w:tr>
        <w:trPr>
          <w:trHeight w:val="196"/>
        </w:trPr>
        <w:tc>
          <w:tcPr>
            <w:tcW w:w="2440" w:type="dxa"/>
            <w:vAlign w:val="bottom"/>
            <w:tcBorders>
              <w:left w:val="single" w:sz="8" w:color="auto"/>
              <w:bottom w:val="single" w:sz="8" w:color="auto"/>
              <w:right w:val="single" w:sz="8" w:color="auto"/>
            </w:tcBorders>
          </w:tcPr>
          <w:p>
            <w:pPr>
              <w:jc w:val="right"/>
              <w:ind w:right="1890"/>
              <w:spacing w:after="0" w:line="196" w:lineRule="exact"/>
              <w:rPr>
                <w:sz w:val="20"/>
                <w:szCs w:val="20"/>
                <w:color w:val="auto"/>
              </w:rPr>
            </w:pPr>
            <w:r>
              <w:rPr>
                <w:rFonts w:ascii="Arial" w:cs="Arial" w:eastAsia="Arial" w:hAnsi="Arial"/>
                <w:sz w:val="18"/>
                <w:szCs w:val="18"/>
                <w:color w:val="auto"/>
              </w:rPr>
              <w:t>2007</w:t>
            </w:r>
          </w:p>
        </w:tc>
        <w:tc>
          <w:tcPr>
            <w:tcW w:w="1500" w:type="dxa"/>
            <w:vAlign w:val="bottom"/>
            <w:tcBorders>
              <w:bottom w:val="single" w:sz="8" w:color="auto"/>
            </w:tcBorders>
          </w:tcPr>
          <w:p>
            <w:pPr>
              <w:spacing w:after="0"/>
              <w:rPr>
                <w:sz w:val="17"/>
                <w:szCs w:val="17"/>
                <w:color w:val="auto"/>
              </w:rPr>
            </w:pPr>
          </w:p>
        </w:tc>
        <w:tc>
          <w:tcPr>
            <w:tcW w:w="5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9,114</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462</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88</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8,740</w:t>
            </w:r>
          </w:p>
        </w:tc>
        <w:tc>
          <w:tcPr>
            <w:tcW w:w="1800" w:type="dxa"/>
            <w:vAlign w:val="bottom"/>
            <w:tcBorders>
              <w:bottom w:val="single" w:sz="8" w:color="auto"/>
              <w:right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w:t>
            </w:r>
          </w:p>
        </w:tc>
      </w:tr>
      <w:tr>
        <w:trPr>
          <w:trHeight w:val="196"/>
        </w:trPr>
        <w:tc>
          <w:tcPr>
            <w:tcW w:w="2440" w:type="dxa"/>
            <w:vAlign w:val="bottom"/>
            <w:tcBorders>
              <w:left w:val="single" w:sz="8" w:color="auto"/>
              <w:bottom w:val="single" w:sz="8" w:color="auto"/>
              <w:right w:val="single" w:sz="8" w:color="auto"/>
            </w:tcBorders>
          </w:tcPr>
          <w:p>
            <w:pPr>
              <w:jc w:val="right"/>
              <w:ind w:right="1890"/>
              <w:spacing w:after="0" w:line="196" w:lineRule="exact"/>
              <w:rPr>
                <w:sz w:val="20"/>
                <w:szCs w:val="20"/>
                <w:color w:val="auto"/>
              </w:rPr>
            </w:pPr>
            <w:r>
              <w:rPr>
                <w:rFonts w:ascii="Arial" w:cs="Arial" w:eastAsia="Arial" w:hAnsi="Arial"/>
                <w:sz w:val="18"/>
                <w:szCs w:val="18"/>
                <w:color w:val="auto"/>
              </w:rPr>
              <w:t>2008</w:t>
            </w:r>
          </w:p>
        </w:tc>
        <w:tc>
          <w:tcPr>
            <w:tcW w:w="1500" w:type="dxa"/>
            <w:vAlign w:val="bottom"/>
            <w:tcBorders>
              <w:bottom w:val="single" w:sz="8" w:color="auto"/>
            </w:tcBorders>
          </w:tcPr>
          <w:p>
            <w:pPr>
              <w:spacing w:after="0"/>
              <w:rPr>
                <w:sz w:val="17"/>
                <w:szCs w:val="17"/>
                <w:color w:val="auto"/>
              </w:rPr>
            </w:pPr>
          </w:p>
        </w:tc>
        <w:tc>
          <w:tcPr>
            <w:tcW w:w="5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8,740</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86</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8,664</w:t>
            </w:r>
          </w:p>
        </w:tc>
        <w:tc>
          <w:tcPr>
            <w:tcW w:w="1800" w:type="dxa"/>
            <w:vAlign w:val="bottom"/>
            <w:tcBorders>
              <w:bottom w:val="single" w:sz="8" w:color="auto"/>
              <w:right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w:t>
            </w:r>
          </w:p>
        </w:tc>
      </w:tr>
      <w:tr>
        <w:trPr>
          <w:trHeight w:val="196"/>
        </w:trPr>
        <w:tc>
          <w:tcPr>
            <w:tcW w:w="2440" w:type="dxa"/>
            <w:vAlign w:val="bottom"/>
            <w:tcBorders>
              <w:left w:val="single" w:sz="8" w:color="auto"/>
              <w:bottom w:val="single" w:sz="8" w:color="auto"/>
              <w:right w:val="single" w:sz="8" w:color="auto"/>
            </w:tcBorders>
          </w:tcPr>
          <w:p>
            <w:pPr>
              <w:jc w:val="right"/>
              <w:ind w:right="1890"/>
              <w:spacing w:after="0" w:line="196" w:lineRule="exact"/>
              <w:rPr>
                <w:sz w:val="20"/>
                <w:szCs w:val="20"/>
                <w:color w:val="auto"/>
              </w:rPr>
            </w:pPr>
            <w:r>
              <w:rPr>
                <w:rFonts w:ascii="Arial" w:cs="Arial" w:eastAsia="Arial" w:hAnsi="Arial"/>
                <w:sz w:val="18"/>
                <w:szCs w:val="18"/>
                <w:color w:val="auto"/>
              </w:rPr>
              <w:t>2009</w:t>
            </w:r>
          </w:p>
        </w:tc>
        <w:tc>
          <w:tcPr>
            <w:tcW w:w="1500" w:type="dxa"/>
            <w:vAlign w:val="bottom"/>
            <w:tcBorders>
              <w:bottom w:val="single" w:sz="8" w:color="auto"/>
            </w:tcBorders>
          </w:tcPr>
          <w:p>
            <w:pPr>
              <w:spacing w:after="0"/>
              <w:rPr>
                <w:sz w:val="17"/>
                <w:szCs w:val="17"/>
                <w:color w:val="auto"/>
              </w:rPr>
            </w:pPr>
          </w:p>
        </w:tc>
        <w:tc>
          <w:tcPr>
            <w:tcW w:w="5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8,664</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760</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7,907</w:t>
            </w:r>
          </w:p>
        </w:tc>
        <w:tc>
          <w:tcPr>
            <w:tcW w:w="1800" w:type="dxa"/>
            <w:vAlign w:val="bottom"/>
            <w:tcBorders>
              <w:bottom w:val="single" w:sz="8" w:color="auto"/>
              <w:right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w:t>
            </w:r>
          </w:p>
        </w:tc>
      </w:tr>
      <w:tr>
        <w:trPr>
          <w:trHeight w:val="196"/>
        </w:trPr>
        <w:tc>
          <w:tcPr>
            <w:tcW w:w="2440" w:type="dxa"/>
            <w:vAlign w:val="bottom"/>
            <w:tcBorders>
              <w:left w:val="single" w:sz="8" w:color="auto"/>
              <w:bottom w:val="single" w:sz="8" w:color="auto"/>
              <w:right w:val="single" w:sz="8" w:color="auto"/>
            </w:tcBorders>
          </w:tcPr>
          <w:p>
            <w:pPr>
              <w:jc w:val="right"/>
              <w:ind w:right="1890"/>
              <w:spacing w:after="0" w:line="196" w:lineRule="exact"/>
              <w:rPr>
                <w:sz w:val="20"/>
                <w:szCs w:val="20"/>
                <w:color w:val="auto"/>
              </w:rPr>
            </w:pPr>
            <w:r>
              <w:rPr>
                <w:rFonts w:ascii="Arial" w:cs="Arial" w:eastAsia="Arial" w:hAnsi="Arial"/>
                <w:sz w:val="18"/>
                <w:szCs w:val="18"/>
                <w:color w:val="auto"/>
              </w:rPr>
              <w:t>2010</w:t>
            </w:r>
          </w:p>
        </w:tc>
        <w:tc>
          <w:tcPr>
            <w:tcW w:w="1500" w:type="dxa"/>
            <w:vAlign w:val="bottom"/>
            <w:tcBorders>
              <w:bottom w:val="single" w:sz="8" w:color="auto"/>
            </w:tcBorders>
          </w:tcPr>
          <w:p>
            <w:pPr>
              <w:spacing w:after="0"/>
              <w:rPr>
                <w:sz w:val="17"/>
                <w:szCs w:val="17"/>
                <w:color w:val="auto"/>
              </w:rPr>
            </w:pPr>
          </w:p>
        </w:tc>
        <w:tc>
          <w:tcPr>
            <w:tcW w:w="5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7,907</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47</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9</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7,869</w:t>
            </w:r>
          </w:p>
        </w:tc>
        <w:tc>
          <w:tcPr>
            <w:tcW w:w="1800" w:type="dxa"/>
            <w:vAlign w:val="bottom"/>
            <w:tcBorders>
              <w:bottom w:val="single" w:sz="8" w:color="auto"/>
              <w:right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w:t>
            </w:r>
          </w:p>
        </w:tc>
      </w:tr>
      <w:tr>
        <w:trPr>
          <w:trHeight w:val="196"/>
        </w:trPr>
        <w:tc>
          <w:tcPr>
            <w:tcW w:w="2440" w:type="dxa"/>
            <w:vAlign w:val="bottom"/>
            <w:tcBorders>
              <w:left w:val="single" w:sz="8" w:color="auto"/>
              <w:bottom w:val="single" w:sz="8" w:color="auto"/>
              <w:right w:val="single" w:sz="8" w:color="auto"/>
            </w:tcBorders>
          </w:tcPr>
          <w:p>
            <w:pPr>
              <w:jc w:val="right"/>
              <w:ind w:right="1890"/>
              <w:spacing w:after="0" w:line="196" w:lineRule="exact"/>
              <w:rPr>
                <w:sz w:val="20"/>
                <w:szCs w:val="20"/>
                <w:color w:val="auto"/>
              </w:rPr>
            </w:pPr>
            <w:r>
              <w:rPr>
                <w:rFonts w:ascii="Arial" w:cs="Arial" w:eastAsia="Arial" w:hAnsi="Arial"/>
                <w:sz w:val="18"/>
                <w:szCs w:val="18"/>
                <w:color w:val="auto"/>
              </w:rPr>
              <w:t>2011</w:t>
            </w:r>
          </w:p>
        </w:tc>
        <w:tc>
          <w:tcPr>
            <w:tcW w:w="1500" w:type="dxa"/>
            <w:vAlign w:val="bottom"/>
            <w:tcBorders>
              <w:bottom w:val="single" w:sz="8" w:color="auto"/>
            </w:tcBorders>
          </w:tcPr>
          <w:p>
            <w:pPr>
              <w:spacing w:after="0"/>
              <w:rPr>
                <w:sz w:val="17"/>
                <w:szCs w:val="17"/>
                <w:color w:val="auto"/>
              </w:rPr>
            </w:pPr>
          </w:p>
        </w:tc>
        <w:tc>
          <w:tcPr>
            <w:tcW w:w="5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7,869</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11</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7,877</w:t>
            </w:r>
          </w:p>
        </w:tc>
        <w:tc>
          <w:tcPr>
            <w:tcW w:w="1800" w:type="dxa"/>
            <w:vAlign w:val="bottom"/>
            <w:tcBorders>
              <w:bottom w:val="single" w:sz="8" w:color="auto"/>
              <w:right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w:t>
            </w:r>
          </w:p>
        </w:tc>
      </w:tr>
      <w:tr>
        <w:trPr>
          <w:trHeight w:val="196"/>
        </w:trPr>
        <w:tc>
          <w:tcPr>
            <w:tcW w:w="2440" w:type="dxa"/>
            <w:vAlign w:val="bottom"/>
            <w:tcBorders>
              <w:left w:val="single" w:sz="8" w:color="auto"/>
              <w:bottom w:val="single" w:sz="8" w:color="auto"/>
              <w:right w:val="single" w:sz="8" w:color="auto"/>
            </w:tcBorders>
          </w:tcPr>
          <w:p>
            <w:pPr>
              <w:jc w:val="right"/>
              <w:ind w:right="1890"/>
              <w:spacing w:after="0" w:line="196" w:lineRule="exact"/>
              <w:rPr>
                <w:sz w:val="20"/>
                <w:szCs w:val="20"/>
                <w:color w:val="auto"/>
              </w:rPr>
            </w:pPr>
            <w:r>
              <w:rPr>
                <w:rFonts w:ascii="Arial" w:cs="Arial" w:eastAsia="Arial" w:hAnsi="Arial"/>
                <w:sz w:val="18"/>
                <w:szCs w:val="18"/>
                <w:color w:val="auto"/>
              </w:rPr>
              <w:t>2012</w:t>
            </w:r>
          </w:p>
        </w:tc>
        <w:tc>
          <w:tcPr>
            <w:tcW w:w="1500" w:type="dxa"/>
            <w:vAlign w:val="bottom"/>
            <w:tcBorders>
              <w:bottom w:val="single" w:sz="8" w:color="auto"/>
            </w:tcBorders>
          </w:tcPr>
          <w:p>
            <w:pPr>
              <w:spacing w:after="0"/>
              <w:rPr>
                <w:sz w:val="17"/>
                <w:szCs w:val="17"/>
                <w:color w:val="auto"/>
              </w:rPr>
            </w:pPr>
          </w:p>
        </w:tc>
        <w:tc>
          <w:tcPr>
            <w:tcW w:w="5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7,877</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12</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7,867</w:t>
            </w:r>
          </w:p>
        </w:tc>
        <w:tc>
          <w:tcPr>
            <w:tcW w:w="1800" w:type="dxa"/>
            <w:vAlign w:val="bottom"/>
            <w:tcBorders>
              <w:bottom w:val="single" w:sz="8" w:color="auto"/>
              <w:right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w:t>
            </w:r>
          </w:p>
        </w:tc>
      </w:tr>
      <w:tr>
        <w:trPr>
          <w:trHeight w:val="196"/>
        </w:trPr>
        <w:tc>
          <w:tcPr>
            <w:tcW w:w="2440" w:type="dxa"/>
            <w:vAlign w:val="bottom"/>
            <w:tcBorders>
              <w:left w:val="single" w:sz="8" w:color="auto"/>
              <w:bottom w:val="single" w:sz="8" w:color="auto"/>
              <w:right w:val="single" w:sz="8" w:color="auto"/>
            </w:tcBorders>
          </w:tcPr>
          <w:p>
            <w:pPr>
              <w:jc w:val="right"/>
              <w:ind w:right="1890"/>
              <w:spacing w:after="0" w:line="196" w:lineRule="exact"/>
              <w:rPr>
                <w:sz w:val="20"/>
                <w:szCs w:val="20"/>
                <w:color w:val="auto"/>
              </w:rPr>
            </w:pPr>
            <w:r>
              <w:rPr>
                <w:rFonts w:ascii="Arial" w:cs="Arial" w:eastAsia="Arial" w:hAnsi="Arial"/>
                <w:sz w:val="18"/>
                <w:szCs w:val="18"/>
                <w:color w:val="auto"/>
              </w:rPr>
              <w:t>2013</w:t>
            </w:r>
          </w:p>
        </w:tc>
        <w:tc>
          <w:tcPr>
            <w:tcW w:w="1500" w:type="dxa"/>
            <w:vAlign w:val="bottom"/>
            <w:tcBorders>
              <w:bottom w:val="single" w:sz="8" w:color="auto"/>
            </w:tcBorders>
          </w:tcPr>
          <w:p>
            <w:pPr>
              <w:spacing w:after="0"/>
              <w:rPr>
                <w:sz w:val="17"/>
                <w:szCs w:val="17"/>
                <w:color w:val="auto"/>
              </w:rPr>
            </w:pPr>
          </w:p>
        </w:tc>
        <w:tc>
          <w:tcPr>
            <w:tcW w:w="5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7,867</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55</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7,815</w:t>
            </w:r>
          </w:p>
        </w:tc>
        <w:tc>
          <w:tcPr>
            <w:tcW w:w="1800" w:type="dxa"/>
            <w:vAlign w:val="bottom"/>
            <w:tcBorders>
              <w:bottom w:val="single" w:sz="8" w:color="auto"/>
              <w:right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w:t>
            </w:r>
          </w:p>
        </w:tc>
      </w:tr>
      <w:tr>
        <w:trPr>
          <w:trHeight w:val="196"/>
        </w:trPr>
        <w:tc>
          <w:tcPr>
            <w:tcW w:w="2440" w:type="dxa"/>
            <w:vAlign w:val="bottom"/>
            <w:tcBorders>
              <w:left w:val="single" w:sz="8" w:color="auto"/>
              <w:bottom w:val="single" w:sz="8" w:color="auto"/>
              <w:right w:val="single" w:sz="8" w:color="auto"/>
            </w:tcBorders>
          </w:tcPr>
          <w:p>
            <w:pPr>
              <w:jc w:val="right"/>
              <w:ind w:right="1890"/>
              <w:spacing w:after="0" w:line="196" w:lineRule="exact"/>
              <w:rPr>
                <w:sz w:val="20"/>
                <w:szCs w:val="20"/>
                <w:color w:val="auto"/>
              </w:rPr>
            </w:pPr>
            <w:r>
              <w:rPr>
                <w:rFonts w:ascii="Arial" w:cs="Arial" w:eastAsia="Arial" w:hAnsi="Arial"/>
                <w:sz w:val="18"/>
                <w:szCs w:val="18"/>
                <w:color w:val="auto"/>
              </w:rPr>
              <w:t>2014</w:t>
            </w:r>
          </w:p>
        </w:tc>
        <w:tc>
          <w:tcPr>
            <w:tcW w:w="1500" w:type="dxa"/>
            <w:vAlign w:val="bottom"/>
            <w:tcBorders>
              <w:bottom w:val="single" w:sz="8" w:color="auto"/>
            </w:tcBorders>
          </w:tcPr>
          <w:p>
            <w:pPr>
              <w:spacing w:after="0"/>
              <w:rPr>
                <w:sz w:val="17"/>
                <w:szCs w:val="17"/>
                <w:color w:val="auto"/>
              </w:rPr>
            </w:pPr>
          </w:p>
        </w:tc>
        <w:tc>
          <w:tcPr>
            <w:tcW w:w="5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7,815</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87</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7,730</w:t>
            </w:r>
          </w:p>
        </w:tc>
        <w:tc>
          <w:tcPr>
            <w:tcW w:w="1800" w:type="dxa"/>
            <w:vAlign w:val="bottom"/>
            <w:tcBorders>
              <w:bottom w:val="single" w:sz="8" w:color="auto"/>
              <w:right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w:t>
            </w:r>
          </w:p>
        </w:tc>
      </w:tr>
      <w:tr>
        <w:trPr>
          <w:trHeight w:val="203"/>
        </w:trPr>
        <w:tc>
          <w:tcPr>
            <w:tcW w:w="2440" w:type="dxa"/>
            <w:vAlign w:val="bottom"/>
            <w:tcBorders>
              <w:left w:val="single" w:sz="8" w:color="auto"/>
              <w:bottom w:val="single" w:sz="8" w:color="auto"/>
              <w:right w:val="single" w:sz="8" w:color="auto"/>
            </w:tcBorders>
          </w:tcPr>
          <w:p>
            <w:pPr>
              <w:jc w:val="right"/>
              <w:ind w:right="1890"/>
              <w:spacing w:after="0" w:line="196" w:lineRule="exact"/>
              <w:rPr>
                <w:sz w:val="20"/>
                <w:szCs w:val="20"/>
                <w:color w:val="auto"/>
              </w:rPr>
            </w:pPr>
            <w:r>
              <w:rPr>
                <w:rFonts w:ascii="Arial" w:cs="Arial" w:eastAsia="Arial" w:hAnsi="Arial"/>
                <w:sz w:val="18"/>
                <w:szCs w:val="18"/>
                <w:color w:val="auto"/>
              </w:rPr>
              <w:t>2015</w:t>
            </w:r>
          </w:p>
        </w:tc>
        <w:tc>
          <w:tcPr>
            <w:tcW w:w="1500" w:type="dxa"/>
            <w:vAlign w:val="bottom"/>
            <w:tcBorders>
              <w:bottom w:val="single" w:sz="8" w:color="auto"/>
            </w:tcBorders>
          </w:tcPr>
          <w:p>
            <w:pPr>
              <w:spacing w:after="0"/>
              <w:rPr>
                <w:sz w:val="17"/>
                <w:szCs w:val="17"/>
                <w:color w:val="auto"/>
              </w:rPr>
            </w:pPr>
          </w:p>
        </w:tc>
        <w:tc>
          <w:tcPr>
            <w:tcW w:w="5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7,730</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18</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7,713</w:t>
            </w:r>
          </w:p>
        </w:tc>
        <w:tc>
          <w:tcPr>
            <w:tcW w:w="1800" w:type="dxa"/>
            <w:vAlign w:val="bottom"/>
            <w:tcBorders>
              <w:bottom w:val="single" w:sz="8" w:color="auto"/>
              <w:right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w:t>
            </w:r>
          </w:p>
        </w:tc>
      </w:tr>
      <w:tr>
        <w:trPr>
          <w:trHeight w:val="210"/>
        </w:trPr>
        <w:tc>
          <w:tcPr>
            <w:tcW w:w="2440" w:type="dxa"/>
            <w:vAlign w:val="bottom"/>
            <w:tcBorders>
              <w:left w:val="single" w:sz="8" w:color="auto"/>
              <w:bottom w:val="single" w:sz="8" w:color="auto"/>
              <w:right w:val="single" w:sz="8" w:color="auto"/>
            </w:tcBorders>
          </w:tcPr>
          <w:p>
            <w:pPr>
              <w:jc w:val="right"/>
              <w:ind w:right="1890"/>
              <w:spacing w:after="0" w:line="202" w:lineRule="exact"/>
              <w:rPr>
                <w:sz w:val="20"/>
                <w:szCs w:val="20"/>
                <w:color w:val="auto"/>
              </w:rPr>
            </w:pPr>
            <w:r>
              <w:rPr>
                <w:rFonts w:ascii="Arial" w:cs="Arial" w:eastAsia="Arial" w:hAnsi="Arial"/>
                <w:sz w:val="18"/>
                <w:szCs w:val="18"/>
                <w:b w:val="1"/>
                <w:bCs w:val="1"/>
                <w:color w:val="auto"/>
              </w:rPr>
              <w:t>2016</w:t>
            </w:r>
          </w:p>
        </w:tc>
        <w:tc>
          <w:tcPr>
            <w:tcW w:w="1500" w:type="dxa"/>
            <w:vAlign w:val="bottom"/>
            <w:tcBorders>
              <w:bottom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7,713</w:t>
            </w:r>
          </w:p>
        </w:tc>
        <w:tc>
          <w:tcPr>
            <w:tcW w:w="1720" w:type="dxa"/>
            <w:vAlign w:val="bottom"/>
            <w:tcBorders>
              <w:bottom w:val="single" w:sz="8" w:color="auto"/>
              <w:right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7</w:t>
            </w:r>
          </w:p>
        </w:tc>
        <w:tc>
          <w:tcPr>
            <w:tcW w:w="1700" w:type="dxa"/>
            <w:vAlign w:val="bottom"/>
            <w:tcBorders>
              <w:bottom w:val="single" w:sz="8" w:color="auto"/>
              <w:right w:val="single" w:sz="8" w:color="auto"/>
            </w:tcBorders>
          </w:tcPr>
          <w:p>
            <w:pPr>
              <w:jc w:val="right"/>
              <w:ind w:right="110"/>
              <w:spacing w:after="0" w:line="202" w:lineRule="exact"/>
              <w:rPr>
                <w:sz w:val="20"/>
                <w:szCs w:val="20"/>
                <w:color w:val="auto"/>
              </w:rPr>
            </w:pPr>
            <w:r>
              <w:rPr>
                <w:rFonts w:ascii="Arial" w:cs="Arial" w:eastAsia="Arial" w:hAnsi="Arial"/>
                <w:sz w:val="18"/>
                <w:szCs w:val="18"/>
                <w:b w:val="1"/>
                <w:bCs w:val="1"/>
                <w:color w:val="auto"/>
              </w:rPr>
              <w:t>-</w:t>
            </w:r>
          </w:p>
        </w:tc>
        <w:tc>
          <w:tcPr>
            <w:tcW w:w="1700" w:type="dxa"/>
            <w:vAlign w:val="bottom"/>
            <w:tcBorders>
              <w:bottom w:val="single" w:sz="8" w:color="auto"/>
              <w:right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7,706</w:t>
            </w:r>
          </w:p>
        </w:tc>
        <w:tc>
          <w:tcPr>
            <w:tcW w:w="1800" w:type="dxa"/>
            <w:vAlign w:val="bottom"/>
            <w:tcBorders>
              <w:bottom w:val="single" w:sz="8" w:color="auto"/>
              <w:right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w:t>
            </w:r>
          </w:p>
        </w:tc>
      </w:tr>
    </w:tbl>
    <w:p>
      <w:pPr>
        <w:spacing w:after="0" w:line="377" w:lineRule="exact"/>
        <w:rPr>
          <w:sz w:val="20"/>
          <w:szCs w:val="20"/>
          <w:color w:val="auto"/>
        </w:rPr>
      </w:pPr>
    </w:p>
    <w:p>
      <w:pPr>
        <w:ind w:right="60" w:firstLine="648"/>
        <w:spacing w:after="0" w:line="236" w:lineRule="auto"/>
        <w:rPr>
          <w:sz w:val="20"/>
          <w:szCs w:val="20"/>
          <w:color w:val="auto"/>
        </w:rPr>
      </w:pPr>
      <w:r>
        <w:rPr>
          <w:rFonts w:ascii="Arial" w:cs="Arial" w:eastAsia="Arial" w:hAnsi="Arial"/>
          <w:sz w:val="18"/>
          <w:szCs w:val="18"/>
          <w:color w:val="auto"/>
        </w:rPr>
        <w:t>We acquired Geschmay Corp., formerly known as Wangner Systems Corporation, in 1999. Brandon is a wholly owned subsidiary of Geschmay Corp. In 1978, Brandon acquired certain assets from Abney Mills (“Abney”), a South Carolina textile manufacturer. Among the assets acquired by Brandon from Abney were assets of Abney’s wholly owned subsidiary, Brandon Sales, Inc. which had sold, among other things, dryer fabrics containing asbestos made by its parent, Abney. Although Brandon manufactured and sold dryer fabrics under its own name subsequent to the asset purchase, none of such fabrics contained asbestos. Because Brandon did not manufacture asbestos-containing products, and because it does not believe that it was the legal successor to, or otherwise responsible for obligations of Abney with respect to products manufactured by Abney, it believes it has strong defenses to the claims that have been asserted against it. As of December 31, 2016, Brandon has resolved, by means of settlement or dismissal, 9,900 claims for a total of $0.2 million. Brandon’s insurance</w:t>
      </w:r>
    </w:p>
    <w:p>
      <w:pPr>
        <w:spacing w:after="0" w:line="208" w:lineRule="exact"/>
        <w:rPr>
          <w:sz w:val="20"/>
          <w:szCs w:val="20"/>
          <w:color w:val="auto"/>
        </w:rPr>
      </w:pPr>
    </w:p>
    <w:p>
      <w:pPr>
        <w:ind w:left="11220"/>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342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95" w:name="page96"/>
    <w:bookmarkEnd w:id="95"/>
    <w:p>
      <w:pPr>
        <w:ind w:right="60"/>
        <w:spacing w:after="0" w:line="238" w:lineRule="auto"/>
        <w:rPr>
          <w:sz w:val="20"/>
          <w:szCs w:val="20"/>
          <w:color w:val="auto"/>
        </w:rPr>
      </w:pPr>
      <w:r>
        <w:rPr>
          <w:rFonts w:ascii="Arial" w:cs="Arial" w:eastAsia="Arial" w:hAnsi="Arial"/>
          <w:sz w:val="18"/>
          <w:szCs w:val="18"/>
          <w:color w:val="auto"/>
        </w:rPr>
        <w:t>carriers initially agreed to pay 88.2% of the total indemnification and defense costs related to these proceedings, subject to the standard reservation of rights. The remaining 11.8% of the costs had been borne directly by Brandon. During 2004, Brandon’s insurance carriers agreed to cover 100% of indemnification and defense costs, subject to policy limits and the standard reservation of rights, and to reimburse Brandon for all indemnity and defense costs paid directly by Brandon related to these proceedings.</w:t>
      </w:r>
    </w:p>
    <w:p>
      <w:pPr>
        <w:spacing w:after="0" w:line="164" w:lineRule="exact"/>
        <w:rPr>
          <w:sz w:val="20"/>
          <w:szCs w:val="20"/>
          <w:color w:val="auto"/>
        </w:rPr>
      </w:pPr>
    </w:p>
    <w:p>
      <w:pPr>
        <w:ind w:right="300" w:firstLine="648"/>
        <w:spacing w:after="0"/>
        <w:rPr>
          <w:sz w:val="20"/>
          <w:szCs w:val="20"/>
          <w:color w:val="auto"/>
        </w:rPr>
      </w:pPr>
      <w:r>
        <w:rPr>
          <w:rFonts w:ascii="Arial" w:cs="Arial" w:eastAsia="Arial" w:hAnsi="Arial"/>
          <w:sz w:val="18"/>
          <w:szCs w:val="18"/>
          <w:color w:val="auto"/>
        </w:rPr>
        <w:t>For the same reasons set forth above with respect to Albany’s claims, as well as the fact that no amounts have been paid to resolve any Brandon claims since 2001, we do not believe a meaningful estimate can be made regarding the range of possible loss with respect to these remaining claims.</w:t>
      </w:r>
    </w:p>
    <w:p>
      <w:pPr>
        <w:spacing w:after="0" w:line="176" w:lineRule="exact"/>
        <w:rPr>
          <w:sz w:val="20"/>
          <w:szCs w:val="20"/>
          <w:color w:val="auto"/>
        </w:rPr>
      </w:pPr>
    </w:p>
    <w:p>
      <w:pPr>
        <w:ind w:right="80" w:firstLine="648"/>
        <w:spacing w:after="0" w:line="237" w:lineRule="auto"/>
        <w:rPr>
          <w:sz w:val="20"/>
          <w:szCs w:val="20"/>
          <w:color w:val="auto"/>
        </w:rPr>
      </w:pPr>
      <w:r>
        <w:rPr>
          <w:rFonts w:ascii="Arial" w:cs="Arial" w:eastAsia="Arial" w:hAnsi="Arial"/>
          <w:sz w:val="18"/>
          <w:szCs w:val="18"/>
          <w:color w:val="auto"/>
        </w:rPr>
        <w:t>In some of these asbestos cases, the Company is named both as a direct defendant and as the “successor in interest” to Mount Vernon Mills (“Mount Vernon”). We acquired certain assets from Mount Vernon in 1993. Certain plaintiffs allege injury caused by asbestos-containing products alleged to have been sold by Mount Vernon many years prior to this acquisition. Mount Vernon is contractually obligated to indemnify the Company against any liability arising out of such products. We deny any liability for products sold by Mount Vernon prior to the acquisition of the Mount Vernon assets. Pursuant to its contractual indemnification obligations, Mount Vernon has assumed the defense of these claims. On this basis, we have successfully moved for dismissal in a number of actions.</w:t>
      </w:r>
    </w:p>
    <w:p>
      <w:pPr>
        <w:spacing w:after="0" w:line="165" w:lineRule="exact"/>
        <w:rPr>
          <w:sz w:val="20"/>
          <w:szCs w:val="20"/>
          <w:color w:val="auto"/>
        </w:rPr>
      </w:pPr>
    </w:p>
    <w:p>
      <w:pPr>
        <w:ind w:right="60" w:firstLine="648"/>
        <w:spacing w:after="0" w:line="238" w:lineRule="auto"/>
        <w:rPr>
          <w:sz w:val="20"/>
          <w:szCs w:val="20"/>
          <w:color w:val="auto"/>
        </w:rPr>
      </w:pPr>
      <w:r>
        <w:rPr>
          <w:rFonts w:ascii="Arial" w:cs="Arial" w:eastAsia="Arial" w:hAnsi="Arial"/>
          <w:sz w:val="18"/>
          <w:szCs w:val="18"/>
          <w:color w:val="auto"/>
        </w:rPr>
        <w:t>Although we do not believe, based on currently available information and for the reasons stated above, that a meaningful estimate of a range of possible loss can be made with respect to such claims, based on our understanding of the insurance policies available, how settlement amounts have been allocated to various policies, our settlement experience, the absence of any judgments against the Company or Brandon, the ratio of paper mill claims to total claims filed, and the defenses available, we currently do not anticipate any material liability relating to the resolution of the aforementioned pending proceedings in excess of existing insurance limits.</w:t>
      </w:r>
    </w:p>
    <w:p>
      <w:pPr>
        <w:spacing w:after="0" w:line="162" w:lineRule="exact"/>
        <w:rPr>
          <w:sz w:val="20"/>
          <w:szCs w:val="20"/>
          <w:color w:val="auto"/>
        </w:rPr>
      </w:pPr>
    </w:p>
    <w:p>
      <w:pPr>
        <w:ind w:right="80" w:firstLine="648"/>
        <w:spacing w:after="0" w:line="237" w:lineRule="auto"/>
        <w:rPr>
          <w:sz w:val="20"/>
          <w:szCs w:val="20"/>
          <w:color w:val="auto"/>
        </w:rPr>
      </w:pPr>
      <w:r>
        <w:rPr>
          <w:rFonts w:ascii="Arial" w:cs="Arial" w:eastAsia="Arial" w:hAnsi="Arial"/>
          <w:sz w:val="18"/>
          <w:szCs w:val="18"/>
          <w:color w:val="auto"/>
        </w:rPr>
        <w:t>Consequently, we currently do not anticipate, based on currently available information, that the ultimate resolution of the aforementioned proceedings will have a material adverse effect on the financial position, results of operations, or cash flows of the Company. Although we cannot predict the number and timing of future claims, based on the foregoing factors and the trends in claims against us to date, we do not anticipate that additional claims likely to be filed against us in the future will have a material adverse effect on our financial position, results of operations, or cash flows. We are aware that litigation is inherently uncertain, especially when the outcome is dependent primarily on determinations of factual matters to be made by juries.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Stock Options and Incentive Plans</w:t>
      </w:r>
    </w:p>
    <w:p>
      <w:pPr>
        <w:spacing w:after="0" w:line="193" w:lineRule="exact"/>
        <w:rPr>
          <w:sz w:val="20"/>
          <w:szCs w:val="20"/>
          <w:color w:val="auto"/>
        </w:rPr>
      </w:pPr>
    </w:p>
    <w:p>
      <w:pPr>
        <w:ind w:right="280" w:firstLine="648"/>
        <w:spacing w:after="0" w:line="246" w:lineRule="auto"/>
        <w:rPr>
          <w:sz w:val="20"/>
          <w:szCs w:val="20"/>
          <w:color w:val="auto"/>
        </w:rPr>
      </w:pPr>
      <w:r>
        <w:rPr>
          <w:rFonts w:ascii="Arial" w:cs="Arial" w:eastAsia="Arial" w:hAnsi="Arial"/>
          <w:sz w:val="18"/>
          <w:szCs w:val="18"/>
          <w:color w:val="auto"/>
        </w:rPr>
        <w:t>We recognized no stock option expense during 2016, 2015 or 2014 and there are currently no remaining unvested options for which stock-option compensation costs will be recognized in future periods.</w:t>
      </w:r>
    </w:p>
    <w:p>
      <w:pPr>
        <w:spacing w:after="0" w:line="156" w:lineRule="exact"/>
        <w:rPr>
          <w:sz w:val="20"/>
          <w:szCs w:val="20"/>
          <w:color w:val="auto"/>
        </w:rPr>
      </w:pPr>
    </w:p>
    <w:p>
      <w:pPr>
        <w:ind w:right="60" w:firstLine="648"/>
        <w:spacing w:after="0" w:line="238" w:lineRule="auto"/>
        <w:rPr>
          <w:sz w:val="20"/>
          <w:szCs w:val="20"/>
          <w:color w:val="auto"/>
        </w:rPr>
      </w:pPr>
      <w:r>
        <w:rPr>
          <w:rFonts w:ascii="Arial" w:cs="Arial" w:eastAsia="Arial" w:hAnsi="Arial"/>
          <w:sz w:val="18"/>
          <w:szCs w:val="18"/>
          <w:color w:val="auto"/>
        </w:rPr>
        <w:t>There have been no stock options granted since November 2002 and we have no stock option plan under which options may be granted, although options may be granted under the Company’s 2011 incentive plan. Options issued under previous plans and still outstanding were exercisable in five cumulative annual amounts beginning twelve months after date of grant. Option exercise prices were normally equal to and were not permitted to be less than the market value on the date of grant. Unexercised options generally terminate twenty years after the date of grant for all plans, and must be exercised within ten years of retirement.</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96" w:name="page97"/>
    <w:bookmarkEnd w:id="96"/>
    <w:p>
      <w:pPr>
        <w:ind w:left="660"/>
        <w:spacing w:after="0"/>
        <w:rPr>
          <w:sz w:val="20"/>
          <w:szCs w:val="20"/>
          <w:color w:val="auto"/>
        </w:rPr>
      </w:pPr>
      <w:r>
        <w:rPr>
          <w:rFonts w:ascii="Arial" w:cs="Arial" w:eastAsia="Arial" w:hAnsi="Arial"/>
          <w:sz w:val="18"/>
          <w:szCs w:val="18"/>
          <w:color w:val="auto"/>
        </w:rPr>
        <w:t>Activity with respect to these plans is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20" w:type="dxa"/>
            <w:vAlign w:val="bottom"/>
            <w:tcBorders>
              <w:top w:val="single" w:sz="8" w:color="auto"/>
              <w:bottom w:val="single" w:sz="8" w:color="auto"/>
            </w:tcBorders>
          </w:tcPr>
          <w:p>
            <w:pPr>
              <w:ind w:left="7180"/>
              <w:spacing w:after="0"/>
              <w:rPr>
                <w:sz w:val="20"/>
                <w:szCs w:val="20"/>
                <w:color w:val="auto"/>
              </w:rPr>
            </w:pPr>
            <w:r>
              <w:rPr>
                <w:rFonts w:ascii="Arial" w:cs="Arial" w:eastAsia="Arial" w:hAnsi="Arial"/>
                <w:sz w:val="18"/>
                <w:szCs w:val="18"/>
                <w:b w:val="1"/>
                <w:bCs w:val="1"/>
                <w:color w:val="auto"/>
              </w:rPr>
              <w:t>2016</w:t>
            </w:r>
          </w:p>
        </w:tc>
        <w:tc>
          <w:tcPr>
            <w:tcW w:w="92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2015</w:t>
            </w:r>
          </w:p>
        </w:tc>
        <w:tc>
          <w:tcPr>
            <w:tcW w:w="12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r>
      <w:tr>
        <w:trPr>
          <w:trHeight w:val="173"/>
        </w:trPr>
        <w:tc>
          <w:tcPr>
            <w:tcW w:w="7620" w:type="dxa"/>
            <w:vAlign w:val="bottom"/>
          </w:tcPr>
          <w:p>
            <w:pPr>
              <w:ind w:left="40"/>
              <w:spacing w:after="0" w:line="173" w:lineRule="exact"/>
              <w:rPr>
                <w:sz w:val="20"/>
                <w:szCs w:val="20"/>
                <w:color w:val="auto"/>
              </w:rPr>
            </w:pPr>
            <w:r>
              <w:rPr>
                <w:rFonts w:ascii="Arial" w:cs="Arial" w:eastAsia="Arial" w:hAnsi="Arial"/>
                <w:sz w:val="18"/>
                <w:szCs w:val="18"/>
                <w:color w:val="auto"/>
              </w:rPr>
              <w:t>Shares under option January 1</w:t>
            </w:r>
          </w:p>
        </w:tc>
        <w:tc>
          <w:tcPr>
            <w:tcW w:w="920" w:type="dxa"/>
            <w:vAlign w:val="bottom"/>
          </w:tcPr>
          <w:p>
            <w:pPr>
              <w:jc w:val="right"/>
              <w:ind w:right="250"/>
              <w:spacing w:after="0" w:line="173" w:lineRule="exact"/>
              <w:rPr>
                <w:sz w:val="20"/>
                <w:szCs w:val="20"/>
                <w:color w:val="auto"/>
              </w:rPr>
            </w:pPr>
            <w:r>
              <w:rPr>
                <w:rFonts w:ascii="Arial" w:cs="Arial" w:eastAsia="Arial" w:hAnsi="Arial"/>
                <w:sz w:val="18"/>
                <w:szCs w:val="18"/>
                <w:b w:val="1"/>
                <w:bCs w:val="1"/>
                <w:color w:val="auto"/>
              </w:rPr>
              <w:t>88,773</w:t>
            </w:r>
          </w:p>
        </w:tc>
        <w:tc>
          <w:tcPr>
            <w:tcW w:w="1660" w:type="dxa"/>
            <w:vAlign w:val="bottom"/>
          </w:tcPr>
          <w:p>
            <w:pPr>
              <w:jc w:val="right"/>
              <w:ind w:right="190"/>
              <w:spacing w:after="0" w:line="173" w:lineRule="exact"/>
              <w:rPr>
                <w:sz w:val="20"/>
                <w:szCs w:val="20"/>
                <w:color w:val="auto"/>
              </w:rPr>
            </w:pPr>
            <w:r>
              <w:rPr>
                <w:rFonts w:ascii="Arial" w:cs="Arial" w:eastAsia="Arial" w:hAnsi="Arial"/>
                <w:sz w:val="18"/>
                <w:szCs w:val="18"/>
                <w:color w:val="auto"/>
              </w:rPr>
              <w:t>187,233</w:t>
            </w:r>
          </w:p>
        </w:tc>
        <w:tc>
          <w:tcPr>
            <w:tcW w:w="1220" w:type="dxa"/>
            <w:vAlign w:val="bottom"/>
          </w:tcPr>
          <w:p>
            <w:pPr>
              <w:jc w:val="right"/>
              <w:spacing w:after="0" w:line="173" w:lineRule="exact"/>
              <w:rPr>
                <w:sz w:val="20"/>
                <w:szCs w:val="20"/>
                <w:color w:val="auto"/>
              </w:rPr>
            </w:pPr>
            <w:r>
              <w:rPr>
                <w:rFonts w:ascii="Arial" w:cs="Arial" w:eastAsia="Arial" w:hAnsi="Arial"/>
                <w:sz w:val="18"/>
                <w:szCs w:val="18"/>
                <w:color w:val="auto"/>
              </w:rPr>
              <w:t>228,533</w:t>
            </w:r>
          </w:p>
        </w:tc>
      </w:tr>
      <w:tr>
        <w:trPr>
          <w:trHeight w:val="203"/>
        </w:trPr>
        <w:tc>
          <w:tcPr>
            <w:tcW w:w="7620" w:type="dxa"/>
            <w:vAlign w:val="bottom"/>
          </w:tcPr>
          <w:p>
            <w:pPr>
              <w:ind w:left="40"/>
              <w:spacing w:after="0" w:line="202" w:lineRule="exact"/>
              <w:rPr>
                <w:sz w:val="20"/>
                <w:szCs w:val="20"/>
                <w:color w:val="auto"/>
              </w:rPr>
            </w:pPr>
            <w:r>
              <w:rPr>
                <w:rFonts w:ascii="Arial" w:cs="Arial" w:eastAsia="Arial" w:hAnsi="Arial"/>
                <w:sz w:val="18"/>
                <w:szCs w:val="18"/>
                <w:color w:val="auto"/>
              </w:rPr>
              <w:t>Options canceled</w:t>
            </w:r>
          </w:p>
        </w:tc>
        <w:tc>
          <w:tcPr>
            <w:tcW w:w="92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w:t>
            </w:r>
          </w:p>
        </w:tc>
        <w:tc>
          <w:tcPr>
            <w:tcW w:w="16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25"/>
        </w:trPr>
        <w:tc>
          <w:tcPr>
            <w:tcW w:w="76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Options exercised</w:t>
            </w: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26,383</w:t>
            </w:r>
          </w:p>
        </w:tc>
        <w:tc>
          <w:tcPr>
            <w:tcW w:w="16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98,460</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41,300</w:t>
            </w:r>
          </w:p>
        </w:tc>
      </w:tr>
      <w:tr>
        <w:trPr>
          <w:trHeight w:val="173"/>
        </w:trPr>
        <w:tc>
          <w:tcPr>
            <w:tcW w:w="7620" w:type="dxa"/>
            <w:vAlign w:val="bottom"/>
          </w:tcPr>
          <w:p>
            <w:pPr>
              <w:ind w:left="40"/>
              <w:spacing w:after="0" w:line="173" w:lineRule="exact"/>
              <w:rPr>
                <w:sz w:val="20"/>
                <w:szCs w:val="20"/>
                <w:color w:val="auto"/>
              </w:rPr>
            </w:pPr>
            <w:r>
              <w:rPr>
                <w:rFonts w:ascii="Arial" w:cs="Arial" w:eastAsia="Arial" w:hAnsi="Arial"/>
                <w:sz w:val="18"/>
                <w:szCs w:val="18"/>
                <w:color w:val="auto"/>
              </w:rPr>
              <w:t>Shares under option at December 31</w:t>
            </w:r>
          </w:p>
        </w:tc>
        <w:tc>
          <w:tcPr>
            <w:tcW w:w="920" w:type="dxa"/>
            <w:vAlign w:val="bottom"/>
          </w:tcPr>
          <w:p>
            <w:pPr>
              <w:jc w:val="right"/>
              <w:ind w:right="250"/>
              <w:spacing w:after="0" w:line="173" w:lineRule="exact"/>
              <w:rPr>
                <w:sz w:val="20"/>
                <w:szCs w:val="20"/>
                <w:color w:val="auto"/>
              </w:rPr>
            </w:pPr>
            <w:r>
              <w:rPr>
                <w:rFonts w:ascii="Arial" w:cs="Arial" w:eastAsia="Arial" w:hAnsi="Arial"/>
                <w:sz w:val="18"/>
                <w:szCs w:val="18"/>
                <w:b w:val="1"/>
                <w:bCs w:val="1"/>
                <w:color w:val="auto"/>
              </w:rPr>
              <w:t>62,390</w:t>
            </w:r>
          </w:p>
        </w:tc>
        <w:tc>
          <w:tcPr>
            <w:tcW w:w="1660" w:type="dxa"/>
            <w:vAlign w:val="bottom"/>
          </w:tcPr>
          <w:p>
            <w:pPr>
              <w:jc w:val="right"/>
              <w:ind w:right="190"/>
              <w:spacing w:after="0" w:line="173" w:lineRule="exact"/>
              <w:rPr>
                <w:sz w:val="20"/>
                <w:szCs w:val="20"/>
                <w:color w:val="auto"/>
              </w:rPr>
            </w:pPr>
            <w:r>
              <w:rPr>
                <w:rFonts w:ascii="Arial" w:cs="Arial" w:eastAsia="Arial" w:hAnsi="Arial"/>
                <w:sz w:val="18"/>
                <w:szCs w:val="18"/>
                <w:color w:val="auto"/>
              </w:rPr>
              <w:t>88,773</w:t>
            </w:r>
          </w:p>
        </w:tc>
        <w:tc>
          <w:tcPr>
            <w:tcW w:w="1220" w:type="dxa"/>
            <w:vAlign w:val="bottom"/>
          </w:tcPr>
          <w:p>
            <w:pPr>
              <w:jc w:val="right"/>
              <w:spacing w:after="0" w:line="173" w:lineRule="exact"/>
              <w:rPr>
                <w:sz w:val="20"/>
                <w:szCs w:val="20"/>
                <w:color w:val="auto"/>
              </w:rPr>
            </w:pPr>
            <w:r>
              <w:rPr>
                <w:rFonts w:ascii="Arial" w:cs="Arial" w:eastAsia="Arial" w:hAnsi="Arial"/>
                <w:sz w:val="18"/>
                <w:szCs w:val="18"/>
                <w:color w:val="auto"/>
              </w:rPr>
              <w:t>187,233</w:t>
            </w:r>
          </w:p>
        </w:tc>
      </w:tr>
      <w:tr>
        <w:trPr>
          <w:trHeight w:val="225"/>
        </w:trPr>
        <w:tc>
          <w:tcPr>
            <w:tcW w:w="76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Options exercisable at December 31</w:t>
            </w: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62,390</w:t>
            </w:r>
          </w:p>
        </w:tc>
        <w:tc>
          <w:tcPr>
            <w:tcW w:w="16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88,773</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187,233</w:t>
            </w:r>
          </w:p>
        </w:tc>
      </w:tr>
      <w:tr>
        <w:trPr>
          <w:trHeight w:val="601"/>
        </w:trPr>
        <w:tc>
          <w:tcPr>
            <w:tcW w:w="7620" w:type="dxa"/>
            <w:vAlign w:val="bottom"/>
          </w:tcPr>
          <w:p>
            <w:pPr>
              <w:ind w:left="660"/>
              <w:spacing w:after="0"/>
              <w:rPr>
                <w:sz w:val="20"/>
                <w:szCs w:val="20"/>
                <w:color w:val="auto"/>
              </w:rPr>
            </w:pPr>
            <w:r>
              <w:rPr>
                <w:rFonts w:ascii="Arial" w:cs="Arial" w:eastAsia="Arial" w:hAnsi="Arial"/>
                <w:sz w:val="18"/>
                <w:szCs w:val="18"/>
                <w:color w:val="auto"/>
              </w:rPr>
              <w:t>The weighted average exercise price is as follows:</w:t>
            </w:r>
          </w:p>
        </w:tc>
        <w:tc>
          <w:tcPr>
            <w:tcW w:w="9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2"/>
        </w:trPr>
        <w:tc>
          <w:tcPr>
            <w:tcW w:w="76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r>
      <w:tr>
        <w:trPr>
          <w:trHeight w:val="196"/>
        </w:trPr>
        <w:tc>
          <w:tcPr>
            <w:tcW w:w="7620" w:type="dxa"/>
            <w:vAlign w:val="bottom"/>
            <w:tcBorders>
              <w:bottom w:val="single" w:sz="8" w:color="auto"/>
            </w:tcBorders>
          </w:tcPr>
          <w:p>
            <w:pPr>
              <w:ind w:left="7180"/>
              <w:spacing w:after="0" w:line="196" w:lineRule="exact"/>
              <w:rPr>
                <w:sz w:val="20"/>
                <w:szCs w:val="20"/>
                <w:color w:val="auto"/>
              </w:rPr>
            </w:pPr>
            <w:r>
              <w:rPr>
                <w:rFonts w:ascii="Arial" w:cs="Arial" w:eastAsia="Arial" w:hAnsi="Arial"/>
                <w:sz w:val="18"/>
                <w:szCs w:val="18"/>
                <w:b w:val="1"/>
                <w:bCs w:val="1"/>
                <w:color w:val="auto"/>
              </w:rPr>
              <w:t>2016</w:t>
            </w:r>
          </w:p>
        </w:tc>
        <w:tc>
          <w:tcPr>
            <w:tcW w:w="9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810"/>
              <w:spacing w:after="0" w:line="196" w:lineRule="exact"/>
              <w:rPr>
                <w:sz w:val="20"/>
                <w:szCs w:val="20"/>
                <w:color w:val="auto"/>
              </w:rPr>
            </w:pPr>
            <w:r>
              <w:rPr>
                <w:rFonts w:ascii="Arial" w:cs="Arial" w:eastAsia="Arial" w:hAnsi="Arial"/>
                <w:sz w:val="18"/>
                <w:szCs w:val="18"/>
                <w:b w:val="1"/>
                <w:bCs w:val="1"/>
                <w:color w:val="auto"/>
              </w:rPr>
              <w:t>2015</w:t>
            </w:r>
          </w:p>
        </w:tc>
        <w:tc>
          <w:tcPr>
            <w:tcW w:w="122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b w:val="1"/>
                <w:bCs w:val="1"/>
                <w:color w:val="auto"/>
              </w:rPr>
              <w:t>2014</w:t>
            </w:r>
          </w:p>
        </w:tc>
      </w:tr>
      <w:tr>
        <w:trPr>
          <w:trHeight w:val="173"/>
        </w:trPr>
        <w:tc>
          <w:tcPr>
            <w:tcW w:w="7620" w:type="dxa"/>
            <w:vAlign w:val="bottom"/>
          </w:tcPr>
          <w:p>
            <w:pPr>
              <w:ind w:left="40"/>
              <w:spacing w:after="0" w:line="173" w:lineRule="exact"/>
              <w:rPr>
                <w:sz w:val="20"/>
                <w:szCs w:val="20"/>
                <w:color w:val="auto"/>
              </w:rPr>
            </w:pPr>
            <w:r>
              <w:rPr>
                <w:rFonts w:ascii="Arial" w:cs="Arial" w:eastAsia="Arial" w:hAnsi="Arial"/>
                <w:sz w:val="18"/>
                <w:szCs w:val="18"/>
                <w:color w:val="auto"/>
              </w:rPr>
              <w:t>Shares under option January 1</w:t>
            </w:r>
          </w:p>
        </w:tc>
        <w:tc>
          <w:tcPr>
            <w:tcW w:w="920" w:type="dxa"/>
            <w:vAlign w:val="bottom"/>
          </w:tcPr>
          <w:p>
            <w:pPr>
              <w:jc w:val="right"/>
              <w:ind w:right="250"/>
              <w:spacing w:after="0" w:line="173" w:lineRule="exact"/>
              <w:rPr>
                <w:sz w:val="20"/>
                <w:szCs w:val="20"/>
                <w:color w:val="auto"/>
              </w:rPr>
            </w:pPr>
            <w:r>
              <w:rPr>
                <w:rFonts w:ascii="Arial" w:cs="Arial" w:eastAsia="Arial" w:hAnsi="Arial"/>
                <w:sz w:val="18"/>
                <w:szCs w:val="18"/>
                <w:b w:val="1"/>
                <w:bCs w:val="1"/>
                <w:color w:val="auto"/>
              </w:rPr>
              <w:t>$18.67</w:t>
            </w:r>
          </w:p>
        </w:tc>
        <w:tc>
          <w:tcPr>
            <w:tcW w:w="1660" w:type="dxa"/>
            <w:vAlign w:val="bottom"/>
          </w:tcPr>
          <w:p>
            <w:pPr>
              <w:jc w:val="right"/>
              <w:ind w:right="190"/>
              <w:spacing w:after="0" w:line="173" w:lineRule="exact"/>
              <w:rPr>
                <w:sz w:val="20"/>
                <w:szCs w:val="20"/>
                <w:color w:val="auto"/>
              </w:rPr>
            </w:pPr>
            <w:r>
              <w:rPr>
                <w:rFonts w:ascii="Arial" w:cs="Arial" w:eastAsia="Arial" w:hAnsi="Arial"/>
                <w:sz w:val="18"/>
                <w:szCs w:val="18"/>
                <w:color w:val="auto"/>
              </w:rPr>
              <w:t>$18.99</w:t>
            </w:r>
          </w:p>
        </w:tc>
        <w:tc>
          <w:tcPr>
            <w:tcW w:w="1220" w:type="dxa"/>
            <w:vAlign w:val="bottom"/>
          </w:tcPr>
          <w:p>
            <w:pPr>
              <w:jc w:val="right"/>
              <w:spacing w:after="0" w:line="173" w:lineRule="exact"/>
              <w:rPr>
                <w:sz w:val="20"/>
                <w:szCs w:val="20"/>
                <w:color w:val="auto"/>
              </w:rPr>
            </w:pPr>
            <w:r>
              <w:rPr>
                <w:rFonts w:ascii="Arial" w:cs="Arial" w:eastAsia="Arial" w:hAnsi="Arial"/>
                <w:sz w:val="18"/>
                <w:szCs w:val="18"/>
                <w:color w:val="auto"/>
              </w:rPr>
              <w:t>$18.94</w:t>
            </w:r>
          </w:p>
        </w:tc>
      </w:tr>
      <w:tr>
        <w:trPr>
          <w:trHeight w:val="203"/>
        </w:trPr>
        <w:tc>
          <w:tcPr>
            <w:tcW w:w="7620" w:type="dxa"/>
            <w:vAlign w:val="bottom"/>
          </w:tcPr>
          <w:p>
            <w:pPr>
              <w:ind w:left="40"/>
              <w:spacing w:after="0" w:line="202" w:lineRule="exact"/>
              <w:rPr>
                <w:sz w:val="20"/>
                <w:szCs w:val="20"/>
                <w:color w:val="auto"/>
              </w:rPr>
            </w:pPr>
            <w:r>
              <w:rPr>
                <w:rFonts w:ascii="Arial" w:cs="Arial" w:eastAsia="Arial" w:hAnsi="Arial"/>
                <w:sz w:val="18"/>
                <w:szCs w:val="18"/>
                <w:color w:val="auto"/>
              </w:rPr>
              <w:t>Options canceled</w:t>
            </w:r>
          </w:p>
        </w:tc>
        <w:tc>
          <w:tcPr>
            <w:tcW w:w="920" w:type="dxa"/>
            <w:vAlign w:val="bottom"/>
          </w:tcPr>
          <w:p>
            <w:pPr>
              <w:jc w:val="right"/>
              <w:ind w:right="390"/>
              <w:spacing w:after="0" w:line="202" w:lineRule="exact"/>
              <w:rPr>
                <w:sz w:val="20"/>
                <w:szCs w:val="20"/>
                <w:color w:val="auto"/>
              </w:rPr>
            </w:pPr>
            <w:r>
              <w:rPr>
                <w:rFonts w:ascii="Arial" w:cs="Arial" w:eastAsia="Arial" w:hAnsi="Arial"/>
                <w:sz w:val="18"/>
                <w:szCs w:val="18"/>
                <w:b w:val="1"/>
                <w:bCs w:val="1"/>
                <w:color w:val="auto"/>
              </w:rPr>
              <w:t>-</w:t>
            </w:r>
          </w:p>
        </w:tc>
        <w:tc>
          <w:tcPr>
            <w:tcW w:w="166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r>
      <w:tr>
        <w:trPr>
          <w:trHeight w:val="225"/>
        </w:trPr>
        <w:tc>
          <w:tcPr>
            <w:tcW w:w="76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Options exercised</w:t>
            </w: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19.60</w:t>
            </w:r>
          </w:p>
        </w:tc>
        <w:tc>
          <w:tcPr>
            <w:tcW w:w="16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19.27</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18.71</w:t>
            </w:r>
          </w:p>
        </w:tc>
      </w:tr>
      <w:tr>
        <w:trPr>
          <w:trHeight w:val="173"/>
        </w:trPr>
        <w:tc>
          <w:tcPr>
            <w:tcW w:w="7620" w:type="dxa"/>
            <w:vAlign w:val="bottom"/>
          </w:tcPr>
          <w:p>
            <w:pPr>
              <w:ind w:left="40"/>
              <w:spacing w:after="0" w:line="173" w:lineRule="exact"/>
              <w:rPr>
                <w:sz w:val="20"/>
                <w:szCs w:val="20"/>
                <w:color w:val="auto"/>
              </w:rPr>
            </w:pPr>
            <w:r>
              <w:rPr>
                <w:rFonts w:ascii="Arial" w:cs="Arial" w:eastAsia="Arial" w:hAnsi="Arial"/>
                <w:sz w:val="18"/>
                <w:szCs w:val="18"/>
                <w:color w:val="auto"/>
              </w:rPr>
              <w:t>Shares under option December 31</w:t>
            </w:r>
          </w:p>
        </w:tc>
        <w:tc>
          <w:tcPr>
            <w:tcW w:w="920" w:type="dxa"/>
            <w:vAlign w:val="bottom"/>
          </w:tcPr>
          <w:p>
            <w:pPr>
              <w:jc w:val="right"/>
              <w:ind w:right="250"/>
              <w:spacing w:after="0" w:line="173" w:lineRule="exact"/>
              <w:rPr>
                <w:sz w:val="20"/>
                <w:szCs w:val="20"/>
                <w:color w:val="auto"/>
              </w:rPr>
            </w:pPr>
            <w:r>
              <w:rPr>
                <w:rFonts w:ascii="Arial" w:cs="Arial" w:eastAsia="Arial" w:hAnsi="Arial"/>
                <w:sz w:val="18"/>
                <w:szCs w:val="18"/>
                <w:b w:val="1"/>
                <w:bCs w:val="1"/>
                <w:color w:val="auto"/>
              </w:rPr>
              <w:t>18.28</w:t>
            </w:r>
          </w:p>
        </w:tc>
        <w:tc>
          <w:tcPr>
            <w:tcW w:w="1660" w:type="dxa"/>
            <w:vAlign w:val="bottom"/>
          </w:tcPr>
          <w:p>
            <w:pPr>
              <w:jc w:val="right"/>
              <w:ind w:right="190"/>
              <w:spacing w:after="0" w:line="173" w:lineRule="exact"/>
              <w:rPr>
                <w:sz w:val="20"/>
                <w:szCs w:val="20"/>
                <w:color w:val="auto"/>
              </w:rPr>
            </w:pPr>
            <w:r>
              <w:rPr>
                <w:rFonts w:ascii="Arial" w:cs="Arial" w:eastAsia="Arial" w:hAnsi="Arial"/>
                <w:sz w:val="18"/>
                <w:szCs w:val="18"/>
                <w:color w:val="auto"/>
              </w:rPr>
              <w:t>18.67</w:t>
            </w:r>
          </w:p>
        </w:tc>
        <w:tc>
          <w:tcPr>
            <w:tcW w:w="1220" w:type="dxa"/>
            <w:vAlign w:val="bottom"/>
          </w:tcPr>
          <w:p>
            <w:pPr>
              <w:jc w:val="right"/>
              <w:spacing w:after="0" w:line="173" w:lineRule="exact"/>
              <w:rPr>
                <w:sz w:val="20"/>
                <w:szCs w:val="20"/>
                <w:color w:val="auto"/>
              </w:rPr>
            </w:pPr>
            <w:r>
              <w:rPr>
                <w:rFonts w:ascii="Arial" w:cs="Arial" w:eastAsia="Arial" w:hAnsi="Arial"/>
                <w:sz w:val="18"/>
                <w:szCs w:val="18"/>
                <w:color w:val="auto"/>
              </w:rPr>
              <w:t>18.99</w:t>
            </w:r>
          </w:p>
        </w:tc>
      </w:tr>
      <w:tr>
        <w:trPr>
          <w:trHeight w:val="225"/>
        </w:trPr>
        <w:tc>
          <w:tcPr>
            <w:tcW w:w="76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Options exercisable December 31</w:t>
            </w: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18.28</w:t>
            </w:r>
          </w:p>
        </w:tc>
        <w:tc>
          <w:tcPr>
            <w:tcW w:w="16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18.67</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18.99</w:t>
            </w:r>
          </w:p>
        </w:tc>
      </w:tr>
    </w:tbl>
    <w:p>
      <w:pPr>
        <w:spacing w:after="0" w:line="377" w:lineRule="exact"/>
        <w:rPr>
          <w:sz w:val="20"/>
          <w:szCs w:val="20"/>
          <w:color w:val="auto"/>
        </w:rPr>
      </w:pPr>
    </w:p>
    <w:p>
      <w:pPr>
        <w:ind w:right="380" w:firstLine="648"/>
        <w:spacing w:after="0" w:line="246" w:lineRule="auto"/>
        <w:rPr>
          <w:sz w:val="20"/>
          <w:szCs w:val="20"/>
          <w:color w:val="auto"/>
        </w:rPr>
      </w:pPr>
      <w:r>
        <w:rPr>
          <w:rFonts w:ascii="Arial" w:cs="Arial" w:eastAsia="Arial" w:hAnsi="Arial"/>
          <w:sz w:val="18"/>
          <w:szCs w:val="18"/>
          <w:color w:val="auto"/>
        </w:rPr>
        <w:t>As of December 31, 2016, the aggregate intrinsic value of vested options was $1.7 million. The aggregate intrinsic value of options exercised was $0.5 million in 2016, $2.0 million in 2015, and $0.7 million in 2014.</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Management share-based compensation:</w:t>
      </w:r>
    </w:p>
    <w:p>
      <w:pPr>
        <w:spacing w:after="0" w:line="193" w:lineRule="exact"/>
        <w:rPr>
          <w:sz w:val="20"/>
          <w:szCs w:val="20"/>
          <w:color w:val="auto"/>
        </w:rPr>
      </w:pPr>
    </w:p>
    <w:p>
      <w:pPr>
        <w:ind w:right="60" w:firstLine="648"/>
        <w:spacing w:after="0" w:line="236" w:lineRule="auto"/>
        <w:rPr>
          <w:sz w:val="20"/>
          <w:szCs w:val="20"/>
          <w:color w:val="auto"/>
        </w:rPr>
      </w:pPr>
      <w:r>
        <w:rPr>
          <w:rFonts w:ascii="Arial" w:cs="Arial" w:eastAsia="Arial" w:hAnsi="Arial"/>
          <w:sz w:val="18"/>
          <w:szCs w:val="18"/>
          <w:color w:val="auto"/>
        </w:rPr>
        <w:t>In 2011, shareholders approved the Albany International 2011 Incentive Plan. Awards granted to date under these plans provide key members of management with incentive compensation based on achieving certain performance targets over a three year period. Such awards are paid out partly in cash and partly in shares of Class A Common Stock. Participants may elect to receive shares net of applicable income taxes. In March 2016, we issued 26,146 shares and made cash payments totaling $ 0.8 million. In March 2015, we issued 35,393 shares and made cash payments totaling $ 1.2 million. In March 2014, we issued 29,321 shares and made cash payments totaling $1.1 million. If a person terminates employment prior to the award becoming fully vested, the person may forfeit all or a portion of the incentive compensation award. The grant date share price is determined when the awards are approved each year and that price is used for measuring the cost for the share-based portion of the award. Expense associated with these awards is recognized over the three year vesting period. In connection with this plan, we recognized expense of $2.7 million in 2016, $3.0 million in 2015 and $2.4 million in 2014. For share-based awards that are dependent on performance after 2016, we expect to record additional compensation expense of approximately $0.7 million in 2017 and $0.6 million in 2018.</w:t>
      </w:r>
    </w:p>
    <w:p>
      <w:pPr>
        <w:spacing w:after="0" w:line="165" w:lineRule="exact"/>
        <w:rPr>
          <w:sz w:val="20"/>
          <w:szCs w:val="20"/>
          <w:color w:val="auto"/>
        </w:rPr>
      </w:pPr>
    </w:p>
    <w:p>
      <w:pPr>
        <w:ind w:right="60" w:firstLine="648"/>
        <w:spacing w:after="0" w:line="237" w:lineRule="auto"/>
        <w:rPr>
          <w:sz w:val="20"/>
          <w:szCs w:val="20"/>
          <w:color w:val="auto"/>
        </w:rPr>
      </w:pPr>
      <w:r>
        <w:rPr>
          <w:rFonts w:ascii="Arial" w:cs="Arial" w:eastAsia="Arial" w:hAnsi="Arial"/>
          <w:sz w:val="18"/>
          <w:szCs w:val="18"/>
          <w:color w:val="auto"/>
        </w:rPr>
        <w:t>In 2011, the Board of Directors modified the annual incentive plan for executive management whereby 40 to 50 percent of the earned incentive compensation is payable in the form of shares of Class A Common Stock. Participants may elect to receive shares net of applicable income taxes. In March 2016, the Company issued 26,774 shares and made cash payments totaling $1.9 million as a result of performance in 2015. In March 2015, the Company issued 19,571 shares and made cash payments totaling $1.5 million as a result of performance in 2014. In March 2014, the Company issued 15,910 shares and made cash payments totaling $ 1.4 million as a result of performance in 2013. The allocation of the award between cash and shares is determined by an average share price after the year of performance. Expense recorded for this plan was $3.3 million in 2016, $3.4 million in 2015, and $2.7 million in 2014.</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97" w:name="page98"/>
    <w:bookmarkEnd w:id="97"/>
    <w:p>
      <w:pPr>
        <w:ind w:right="120" w:firstLine="648"/>
        <w:spacing w:after="0" w:line="245" w:lineRule="auto"/>
        <w:rPr>
          <w:sz w:val="20"/>
          <w:szCs w:val="20"/>
          <w:color w:val="auto"/>
        </w:rPr>
      </w:pPr>
      <w:r>
        <w:rPr>
          <w:rFonts w:ascii="Arial" w:cs="Arial" w:eastAsia="Arial" w:hAnsi="Arial"/>
          <w:sz w:val="18"/>
          <w:szCs w:val="18"/>
          <w:color w:val="auto"/>
        </w:rPr>
        <w:t>Shares payable under these plans generally vest immediately prior to payment. As of December 31, 2016, there were 235,299 shares of Company stock authorized for the payment of awards under these plans. Information with respect to these plans is presented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080" w:type="dxa"/>
            <w:vAlign w:val="bottom"/>
            <w:tcBorders>
              <w:top w:val="single" w:sz="8" w:color="auto"/>
            </w:tcBorders>
          </w:tcPr>
          <w:p>
            <w:pPr>
              <w:spacing w:after="0"/>
              <w:rPr>
                <w:sz w:val="16"/>
                <w:szCs w:val="16"/>
                <w:color w:val="auto"/>
              </w:rPr>
            </w:pPr>
          </w:p>
        </w:tc>
        <w:tc>
          <w:tcPr>
            <w:tcW w:w="2680" w:type="dxa"/>
            <w:vAlign w:val="bottom"/>
            <w:tcBorders>
              <w:top w:val="single" w:sz="8" w:color="auto"/>
            </w:tcBorders>
          </w:tcPr>
          <w:p>
            <w:pPr>
              <w:spacing w:after="0"/>
              <w:rPr>
                <w:sz w:val="16"/>
                <w:szCs w:val="16"/>
                <w:color w:val="auto"/>
              </w:rPr>
            </w:pPr>
          </w:p>
        </w:tc>
        <w:tc>
          <w:tcPr>
            <w:tcW w:w="2000" w:type="dxa"/>
            <w:vAlign w:val="bottom"/>
            <w:tcBorders>
              <w:top w:val="single" w:sz="8" w:color="auto"/>
            </w:tcBorders>
          </w:tcPr>
          <w:p>
            <w:pPr>
              <w:jc w:val="center"/>
              <w:ind w:left="90"/>
              <w:spacing w:after="0" w:line="194" w:lineRule="exact"/>
              <w:rPr>
                <w:sz w:val="20"/>
                <w:szCs w:val="20"/>
                <w:color w:val="auto"/>
              </w:rPr>
            </w:pPr>
            <w:r>
              <w:rPr>
                <w:rFonts w:ascii="Arial" w:cs="Arial" w:eastAsia="Arial" w:hAnsi="Arial"/>
                <w:sz w:val="18"/>
                <w:szCs w:val="18"/>
                <w:b w:val="1"/>
                <w:bCs w:val="1"/>
                <w:color w:val="auto"/>
              </w:rPr>
              <w:t>Weighted</w:t>
            </w:r>
          </w:p>
        </w:tc>
        <w:tc>
          <w:tcPr>
            <w:tcW w:w="1660" w:type="dxa"/>
            <w:vAlign w:val="bottom"/>
            <w:tcBorders>
              <w:top w:val="single" w:sz="8" w:color="auto"/>
            </w:tcBorders>
          </w:tcPr>
          <w:p>
            <w:pPr>
              <w:spacing w:after="0"/>
              <w:rPr>
                <w:sz w:val="16"/>
                <w:szCs w:val="16"/>
                <w:color w:val="auto"/>
              </w:rPr>
            </w:pPr>
          </w:p>
        </w:tc>
      </w:tr>
      <w:tr>
        <w:trPr>
          <w:trHeight w:val="203"/>
        </w:trPr>
        <w:tc>
          <w:tcPr>
            <w:tcW w:w="508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000" w:type="dxa"/>
            <w:vAlign w:val="bottom"/>
          </w:tcPr>
          <w:p>
            <w:pPr>
              <w:jc w:val="center"/>
              <w:ind w:left="90"/>
              <w:spacing w:after="0" w:line="202" w:lineRule="exact"/>
              <w:rPr>
                <w:sz w:val="20"/>
                <w:szCs w:val="20"/>
                <w:color w:val="auto"/>
              </w:rPr>
            </w:pPr>
            <w:r>
              <w:rPr>
                <w:rFonts w:ascii="Arial" w:cs="Arial" w:eastAsia="Arial" w:hAnsi="Arial"/>
                <w:sz w:val="18"/>
                <w:szCs w:val="18"/>
                <w:b w:val="1"/>
                <w:bCs w:val="1"/>
                <w:color w:val="auto"/>
                <w:w w:val="99"/>
              </w:rPr>
              <w:t>average grant</w:t>
            </w:r>
          </w:p>
        </w:tc>
        <w:tc>
          <w:tcPr>
            <w:tcW w:w="1660" w:type="dxa"/>
            <w:vAlign w:val="bottom"/>
          </w:tcPr>
          <w:p>
            <w:pPr>
              <w:jc w:val="center"/>
              <w:ind w:left="50"/>
              <w:spacing w:after="0" w:line="202" w:lineRule="exact"/>
              <w:rPr>
                <w:sz w:val="20"/>
                <w:szCs w:val="20"/>
                <w:color w:val="auto"/>
              </w:rPr>
            </w:pPr>
            <w:r>
              <w:rPr>
                <w:rFonts w:ascii="Arial" w:cs="Arial" w:eastAsia="Arial" w:hAnsi="Arial"/>
                <w:sz w:val="18"/>
                <w:szCs w:val="18"/>
                <w:b w:val="1"/>
                <w:bCs w:val="1"/>
                <w:color w:val="auto"/>
                <w:w w:val="98"/>
              </w:rPr>
              <w:t>Year-end</w:t>
            </w:r>
          </w:p>
        </w:tc>
      </w:tr>
      <w:tr>
        <w:trPr>
          <w:trHeight w:val="203"/>
        </w:trPr>
        <w:tc>
          <w:tcPr>
            <w:tcW w:w="5080" w:type="dxa"/>
            <w:vAlign w:val="bottom"/>
          </w:tcPr>
          <w:p>
            <w:pPr>
              <w:spacing w:after="0"/>
              <w:rPr>
                <w:sz w:val="17"/>
                <w:szCs w:val="17"/>
                <w:color w:val="auto"/>
              </w:rPr>
            </w:pPr>
          </w:p>
        </w:tc>
        <w:tc>
          <w:tcPr>
            <w:tcW w:w="2680" w:type="dxa"/>
            <w:vAlign w:val="bottom"/>
          </w:tcPr>
          <w:p>
            <w:pPr>
              <w:jc w:val="right"/>
              <w:ind w:right="610"/>
              <w:spacing w:after="0" w:line="202" w:lineRule="exact"/>
              <w:rPr>
                <w:sz w:val="20"/>
                <w:szCs w:val="20"/>
                <w:color w:val="auto"/>
              </w:rPr>
            </w:pPr>
            <w:r>
              <w:rPr>
                <w:rFonts w:ascii="Arial" w:cs="Arial" w:eastAsia="Arial" w:hAnsi="Arial"/>
                <w:sz w:val="18"/>
                <w:szCs w:val="18"/>
                <w:b w:val="1"/>
                <w:bCs w:val="1"/>
                <w:color w:val="auto"/>
              </w:rPr>
              <w:t>Number of</w:t>
            </w:r>
          </w:p>
        </w:tc>
        <w:tc>
          <w:tcPr>
            <w:tcW w:w="2000" w:type="dxa"/>
            <w:vAlign w:val="bottom"/>
          </w:tcPr>
          <w:p>
            <w:pPr>
              <w:jc w:val="center"/>
              <w:ind w:left="90"/>
              <w:spacing w:after="0" w:line="202" w:lineRule="exact"/>
              <w:rPr>
                <w:sz w:val="20"/>
                <w:szCs w:val="20"/>
                <w:color w:val="auto"/>
              </w:rPr>
            </w:pPr>
            <w:r>
              <w:rPr>
                <w:rFonts w:ascii="Arial" w:cs="Arial" w:eastAsia="Arial" w:hAnsi="Arial"/>
                <w:sz w:val="18"/>
                <w:szCs w:val="18"/>
                <w:b w:val="1"/>
                <w:bCs w:val="1"/>
                <w:color w:val="auto"/>
              </w:rPr>
              <w:t>date value per</w:t>
            </w:r>
          </w:p>
        </w:tc>
        <w:tc>
          <w:tcPr>
            <w:tcW w:w="1660" w:type="dxa"/>
            <w:vAlign w:val="bottom"/>
          </w:tcPr>
          <w:p>
            <w:pPr>
              <w:jc w:val="center"/>
              <w:ind w:left="50"/>
              <w:spacing w:after="0" w:line="202" w:lineRule="exact"/>
              <w:rPr>
                <w:sz w:val="20"/>
                <w:szCs w:val="20"/>
                <w:color w:val="auto"/>
              </w:rPr>
            </w:pPr>
            <w:r>
              <w:rPr>
                <w:rFonts w:ascii="Arial" w:cs="Arial" w:eastAsia="Arial" w:hAnsi="Arial"/>
                <w:sz w:val="18"/>
                <w:szCs w:val="18"/>
                <w:b w:val="1"/>
                <w:bCs w:val="1"/>
                <w:color w:val="auto"/>
                <w:w w:val="99"/>
              </w:rPr>
              <w:t>intrinsic value</w:t>
            </w:r>
          </w:p>
        </w:tc>
      </w:tr>
      <w:tr>
        <w:trPr>
          <w:trHeight w:val="225"/>
        </w:trPr>
        <w:tc>
          <w:tcPr>
            <w:tcW w:w="508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shares</w:t>
            </w:r>
          </w:p>
        </w:tc>
        <w:tc>
          <w:tcPr>
            <w:tcW w:w="200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b w:val="1"/>
                <w:bCs w:val="1"/>
                <w:color w:val="auto"/>
                <w:w w:val="99"/>
              </w:rPr>
              <w:t>share</w:t>
            </w:r>
          </w:p>
        </w:tc>
        <w:tc>
          <w:tcPr>
            <w:tcW w:w="166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b w:val="1"/>
                <w:bCs w:val="1"/>
                <w:color w:val="auto"/>
                <w:w w:val="99"/>
              </w:rPr>
              <w:t>(000's)</w:t>
            </w:r>
          </w:p>
        </w:tc>
      </w:tr>
      <w:tr>
        <w:trPr>
          <w:trHeight w:val="196"/>
        </w:trPr>
        <w:tc>
          <w:tcPr>
            <w:tcW w:w="508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Shares potentially payable at January 1, 2014</w:t>
            </w:r>
          </w:p>
        </w:tc>
        <w:tc>
          <w:tcPr>
            <w:tcW w:w="268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color w:val="auto"/>
              </w:rPr>
              <w:t>185,564</w:t>
            </w:r>
          </w:p>
        </w:tc>
        <w:tc>
          <w:tcPr>
            <w:tcW w:w="200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color w:val="auto"/>
              </w:rPr>
              <w:t>$27.51</w:t>
            </w:r>
          </w:p>
        </w:tc>
        <w:tc>
          <w:tcPr>
            <w:tcW w:w="16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$6,667</w:t>
            </w:r>
          </w:p>
        </w:tc>
      </w:tr>
      <w:tr>
        <w:trPr>
          <w:trHeight w:val="195"/>
        </w:trPr>
        <w:tc>
          <w:tcPr>
            <w:tcW w:w="5080" w:type="dxa"/>
            <w:vAlign w:val="bottom"/>
          </w:tcPr>
          <w:p>
            <w:pPr>
              <w:ind w:left="40"/>
              <w:spacing w:after="0" w:line="195" w:lineRule="exact"/>
              <w:rPr>
                <w:sz w:val="20"/>
                <w:szCs w:val="20"/>
                <w:color w:val="auto"/>
              </w:rPr>
            </w:pPr>
            <w:r>
              <w:rPr>
                <w:rFonts w:ascii="Arial" w:cs="Arial" w:eastAsia="Arial" w:hAnsi="Arial"/>
                <w:sz w:val="18"/>
                <w:szCs w:val="18"/>
                <w:color w:val="auto"/>
              </w:rPr>
              <w:t>Forfeitures</w:t>
            </w:r>
          </w:p>
        </w:tc>
        <w:tc>
          <w:tcPr>
            <w:tcW w:w="2680" w:type="dxa"/>
            <w:vAlign w:val="bottom"/>
          </w:tcPr>
          <w:p>
            <w:pPr>
              <w:jc w:val="right"/>
              <w:ind w:right="450"/>
              <w:spacing w:after="0" w:line="195" w:lineRule="exact"/>
              <w:rPr>
                <w:sz w:val="20"/>
                <w:szCs w:val="20"/>
                <w:color w:val="auto"/>
              </w:rPr>
            </w:pPr>
            <w:r>
              <w:rPr>
                <w:rFonts w:ascii="Arial" w:cs="Arial" w:eastAsia="Arial" w:hAnsi="Arial"/>
                <w:sz w:val="18"/>
                <w:szCs w:val="18"/>
                <w:color w:val="auto"/>
              </w:rPr>
              <w:t>-</w:t>
            </w:r>
          </w:p>
        </w:tc>
        <w:tc>
          <w:tcPr>
            <w:tcW w:w="2000" w:type="dxa"/>
            <w:vAlign w:val="bottom"/>
          </w:tcPr>
          <w:p>
            <w:pPr>
              <w:jc w:val="right"/>
              <w:ind w:right="390"/>
              <w:spacing w:after="0" w:line="195" w:lineRule="exact"/>
              <w:rPr>
                <w:sz w:val="20"/>
                <w:szCs w:val="20"/>
                <w:color w:val="auto"/>
              </w:rPr>
            </w:pPr>
            <w:r>
              <w:rPr>
                <w:rFonts w:ascii="Arial" w:cs="Arial" w:eastAsia="Arial" w:hAnsi="Arial"/>
                <w:sz w:val="18"/>
                <w:szCs w:val="18"/>
                <w:color w:val="auto"/>
              </w:rPr>
              <w:t>-</w:t>
            </w:r>
          </w:p>
        </w:tc>
        <w:tc>
          <w:tcPr>
            <w:tcW w:w="1660" w:type="dxa"/>
            <w:vAlign w:val="bottom"/>
          </w:tcPr>
          <w:p>
            <w:pPr>
              <w:spacing w:after="0"/>
              <w:rPr>
                <w:sz w:val="16"/>
                <w:szCs w:val="16"/>
                <w:color w:val="auto"/>
              </w:rPr>
            </w:pPr>
          </w:p>
        </w:tc>
      </w:tr>
      <w:tr>
        <w:trPr>
          <w:trHeight w:val="203"/>
        </w:trPr>
        <w:tc>
          <w:tcPr>
            <w:tcW w:w="5080" w:type="dxa"/>
            <w:vAlign w:val="bottom"/>
          </w:tcPr>
          <w:p>
            <w:pPr>
              <w:ind w:left="40"/>
              <w:spacing w:after="0" w:line="202" w:lineRule="exact"/>
              <w:rPr>
                <w:sz w:val="20"/>
                <w:szCs w:val="20"/>
                <w:color w:val="auto"/>
              </w:rPr>
            </w:pPr>
            <w:r>
              <w:rPr>
                <w:rFonts w:ascii="Arial" w:cs="Arial" w:eastAsia="Arial" w:hAnsi="Arial"/>
                <w:sz w:val="18"/>
                <w:szCs w:val="18"/>
                <w:color w:val="auto"/>
              </w:rPr>
              <w:t>Payments</w:t>
            </w:r>
          </w:p>
        </w:tc>
        <w:tc>
          <w:tcPr>
            <w:tcW w:w="268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(75,385)</w:t>
            </w:r>
          </w:p>
        </w:tc>
        <w:tc>
          <w:tcPr>
            <w:tcW w:w="200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$28.60</w:t>
            </w:r>
          </w:p>
        </w:tc>
        <w:tc>
          <w:tcPr>
            <w:tcW w:w="1660" w:type="dxa"/>
            <w:vAlign w:val="bottom"/>
          </w:tcPr>
          <w:p>
            <w:pPr>
              <w:spacing w:after="0"/>
              <w:rPr>
                <w:sz w:val="17"/>
                <w:szCs w:val="17"/>
                <w:color w:val="auto"/>
              </w:rPr>
            </w:pPr>
          </w:p>
        </w:tc>
      </w:tr>
      <w:tr>
        <w:trPr>
          <w:trHeight w:val="203"/>
        </w:trPr>
        <w:tc>
          <w:tcPr>
            <w:tcW w:w="5080" w:type="dxa"/>
            <w:vAlign w:val="bottom"/>
            <w:tcBorders>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Shares accrued based on 2014 performance</w:t>
            </w:r>
          </w:p>
        </w:tc>
        <w:tc>
          <w:tcPr>
            <w:tcW w:w="2680" w:type="dxa"/>
            <w:vAlign w:val="bottom"/>
            <w:tcBorders>
              <w:bottom w:val="single" w:sz="8" w:color="auto"/>
            </w:tcBorders>
          </w:tcPr>
          <w:p>
            <w:pPr>
              <w:jc w:val="right"/>
              <w:ind w:right="450"/>
              <w:spacing w:after="0" w:line="203" w:lineRule="exact"/>
              <w:rPr>
                <w:sz w:val="20"/>
                <w:szCs w:val="20"/>
                <w:color w:val="auto"/>
              </w:rPr>
            </w:pPr>
            <w:r>
              <w:rPr>
                <w:rFonts w:ascii="Arial" w:cs="Arial" w:eastAsia="Arial" w:hAnsi="Arial"/>
                <w:sz w:val="18"/>
                <w:szCs w:val="18"/>
                <w:color w:val="auto"/>
              </w:rPr>
              <w:t>75,020</w:t>
            </w:r>
          </w:p>
        </w:tc>
        <w:tc>
          <w:tcPr>
            <w:tcW w:w="2000" w:type="dxa"/>
            <w:vAlign w:val="bottom"/>
            <w:tcBorders>
              <w:bottom w:val="single" w:sz="8" w:color="auto"/>
            </w:tcBorders>
          </w:tcPr>
          <w:p>
            <w:pPr>
              <w:jc w:val="right"/>
              <w:ind w:right="390"/>
              <w:spacing w:after="0" w:line="203" w:lineRule="exact"/>
              <w:rPr>
                <w:sz w:val="20"/>
                <w:szCs w:val="20"/>
                <w:color w:val="auto"/>
              </w:rPr>
            </w:pPr>
            <w:r>
              <w:rPr>
                <w:rFonts w:ascii="Arial" w:cs="Arial" w:eastAsia="Arial" w:hAnsi="Arial"/>
                <w:sz w:val="18"/>
                <w:szCs w:val="18"/>
                <w:color w:val="auto"/>
              </w:rPr>
              <w:t>$34.65</w:t>
            </w:r>
          </w:p>
        </w:tc>
        <w:tc>
          <w:tcPr>
            <w:tcW w:w="1660" w:type="dxa"/>
            <w:vAlign w:val="bottom"/>
            <w:tcBorders>
              <w:bottom w:val="single" w:sz="8" w:color="auto"/>
            </w:tcBorders>
          </w:tcPr>
          <w:p>
            <w:pPr>
              <w:spacing w:after="0"/>
              <w:rPr>
                <w:sz w:val="17"/>
                <w:szCs w:val="17"/>
                <w:color w:val="auto"/>
              </w:rPr>
            </w:pPr>
          </w:p>
        </w:tc>
      </w:tr>
      <w:tr>
        <w:trPr>
          <w:trHeight w:val="196"/>
        </w:trPr>
        <w:tc>
          <w:tcPr>
            <w:tcW w:w="508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Shares potentially payable at December 31, 2014</w:t>
            </w:r>
          </w:p>
        </w:tc>
        <w:tc>
          <w:tcPr>
            <w:tcW w:w="268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color w:val="auto"/>
              </w:rPr>
              <w:t>185,199</w:t>
            </w:r>
          </w:p>
        </w:tc>
        <w:tc>
          <w:tcPr>
            <w:tcW w:w="200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color w:val="auto"/>
              </w:rPr>
              <w:t>$30.69</w:t>
            </w:r>
          </w:p>
        </w:tc>
        <w:tc>
          <w:tcPr>
            <w:tcW w:w="16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$5,683</w:t>
            </w:r>
          </w:p>
        </w:tc>
      </w:tr>
      <w:tr>
        <w:trPr>
          <w:trHeight w:val="195"/>
        </w:trPr>
        <w:tc>
          <w:tcPr>
            <w:tcW w:w="5080" w:type="dxa"/>
            <w:vAlign w:val="bottom"/>
          </w:tcPr>
          <w:p>
            <w:pPr>
              <w:ind w:left="40"/>
              <w:spacing w:after="0" w:line="195" w:lineRule="exact"/>
              <w:rPr>
                <w:sz w:val="20"/>
                <w:szCs w:val="20"/>
                <w:color w:val="auto"/>
              </w:rPr>
            </w:pPr>
            <w:r>
              <w:rPr>
                <w:rFonts w:ascii="Arial" w:cs="Arial" w:eastAsia="Arial" w:hAnsi="Arial"/>
                <w:sz w:val="18"/>
                <w:szCs w:val="18"/>
                <w:color w:val="auto"/>
              </w:rPr>
              <w:t>Forfeitures</w:t>
            </w:r>
          </w:p>
        </w:tc>
        <w:tc>
          <w:tcPr>
            <w:tcW w:w="2680" w:type="dxa"/>
            <w:vAlign w:val="bottom"/>
          </w:tcPr>
          <w:p>
            <w:pPr>
              <w:jc w:val="right"/>
              <w:ind w:right="450"/>
              <w:spacing w:after="0" w:line="195" w:lineRule="exact"/>
              <w:rPr>
                <w:sz w:val="20"/>
                <w:szCs w:val="20"/>
                <w:color w:val="auto"/>
              </w:rPr>
            </w:pPr>
            <w:r>
              <w:rPr>
                <w:rFonts w:ascii="Arial" w:cs="Arial" w:eastAsia="Arial" w:hAnsi="Arial"/>
                <w:sz w:val="18"/>
                <w:szCs w:val="18"/>
                <w:color w:val="auto"/>
              </w:rPr>
              <w:t>-</w:t>
            </w:r>
          </w:p>
        </w:tc>
        <w:tc>
          <w:tcPr>
            <w:tcW w:w="2000" w:type="dxa"/>
            <w:vAlign w:val="bottom"/>
          </w:tcPr>
          <w:p>
            <w:pPr>
              <w:jc w:val="right"/>
              <w:ind w:right="390"/>
              <w:spacing w:after="0" w:line="195" w:lineRule="exact"/>
              <w:rPr>
                <w:sz w:val="20"/>
                <w:szCs w:val="20"/>
                <w:color w:val="auto"/>
              </w:rPr>
            </w:pPr>
            <w:r>
              <w:rPr>
                <w:rFonts w:ascii="Arial" w:cs="Arial" w:eastAsia="Arial" w:hAnsi="Arial"/>
                <w:sz w:val="18"/>
                <w:szCs w:val="18"/>
                <w:color w:val="auto"/>
              </w:rPr>
              <w:t>-</w:t>
            </w:r>
          </w:p>
        </w:tc>
        <w:tc>
          <w:tcPr>
            <w:tcW w:w="1660" w:type="dxa"/>
            <w:vAlign w:val="bottom"/>
          </w:tcPr>
          <w:p>
            <w:pPr>
              <w:spacing w:after="0"/>
              <w:rPr>
                <w:sz w:val="16"/>
                <w:szCs w:val="16"/>
                <w:color w:val="auto"/>
              </w:rPr>
            </w:pPr>
          </w:p>
        </w:tc>
      </w:tr>
      <w:tr>
        <w:trPr>
          <w:trHeight w:val="203"/>
        </w:trPr>
        <w:tc>
          <w:tcPr>
            <w:tcW w:w="5080" w:type="dxa"/>
            <w:vAlign w:val="bottom"/>
          </w:tcPr>
          <w:p>
            <w:pPr>
              <w:ind w:left="40"/>
              <w:spacing w:after="0" w:line="202" w:lineRule="exact"/>
              <w:rPr>
                <w:sz w:val="20"/>
                <w:szCs w:val="20"/>
                <w:color w:val="auto"/>
              </w:rPr>
            </w:pPr>
            <w:r>
              <w:rPr>
                <w:rFonts w:ascii="Arial" w:cs="Arial" w:eastAsia="Arial" w:hAnsi="Arial"/>
                <w:sz w:val="18"/>
                <w:szCs w:val="18"/>
                <w:color w:val="auto"/>
              </w:rPr>
              <w:t>Payments</w:t>
            </w:r>
          </w:p>
        </w:tc>
        <w:tc>
          <w:tcPr>
            <w:tcW w:w="268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(95,889)</w:t>
            </w:r>
          </w:p>
        </w:tc>
        <w:tc>
          <w:tcPr>
            <w:tcW w:w="200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$29.09</w:t>
            </w:r>
          </w:p>
        </w:tc>
        <w:tc>
          <w:tcPr>
            <w:tcW w:w="1660" w:type="dxa"/>
            <w:vAlign w:val="bottom"/>
          </w:tcPr>
          <w:p>
            <w:pPr>
              <w:spacing w:after="0"/>
              <w:rPr>
                <w:sz w:val="17"/>
                <w:szCs w:val="17"/>
                <w:color w:val="auto"/>
              </w:rPr>
            </w:pPr>
          </w:p>
        </w:tc>
      </w:tr>
      <w:tr>
        <w:trPr>
          <w:trHeight w:val="203"/>
        </w:trPr>
        <w:tc>
          <w:tcPr>
            <w:tcW w:w="5080" w:type="dxa"/>
            <w:vAlign w:val="bottom"/>
            <w:tcBorders>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Shares accrued based on 2015 performance</w:t>
            </w:r>
          </w:p>
        </w:tc>
        <w:tc>
          <w:tcPr>
            <w:tcW w:w="2680" w:type="dxa"/>
            <w:vAlign w:val="bottom"/>
            <w:tcBorders>
              <w:bottom w:val="single" w:sz="8" w:color="auto"/>
            </w:tcBorders>
          </w:tcPr>
          <w:p>
            <w:pPr>
              <w:jc w:val="right"/>
              <w:ind w:right="450"/>
              <w:spacing w:after="0" w:line="203" w:lineRule="exact"/>
              <w:rPr>
                <w:sz w:val="20"/>
                <w:szCs w:val="20"/>
                <w:color w:val="auto"/>
              </w:rPr>
            </w:pPr>
            <w:r>
              <w:rPr>
                <w:rFonts w:ascii="Arial" w:cs="Arial" w:eastAsia="Arial" w:hAnsi="Arial"/>
                <w:sz w:val="18"/>
                <w:szCs w:val="18"/>
                <w:color w:val="auto"/>
              </w:rPr>
              <w:t>98,998</w:t>
            </w:r>
          </w:p>
        </w:tc>
        <w:tc>
          <w:tcPr>
            <w:tcW w:w="2000" w:type="dxa"/>
            <w:vAlign w:val="bottom"/>
            <w:tcBorders>
              <w:bottom w:val="single" w:sz="8" w:color="auto"/>
            </w:tcBorders>
          </w:tcPr>
          <w:p>
            <w:pPr>
              <w:jc w:val="right"/>
              <w:ind w:right="390"/>
              <w:spacing w:after="0" w:line="203" w:lineRule="exact"/>
              <w:rPr>
                <w:sz w:val="20"/>
                <w:szCs w:val="20"/>
                <w:color w:val="auto"/>
              </w:rPr>
            </w:pPr>
            <w:r>
              <w:rPr>
                <w:rFonts w:ascii="Arial" w:cs="Arial" w:eastAsia="Arial" w:hAnsi="Arial"/>
                <w:sz w:val="18"/>
                <w:szCs w:val="18"/>
                <w:color w:val="auto"/>
              </w:rPr>
              <w:t>$38.01</w:t>
            </w:r>
          </w:p>
        </w:tc>
        <w:tc>
          <w:tcPr>
            <w:tcW w:w="1660" w:type="dxa"/>
            <w:vAlign w:val="bottom"/>
            <w:tcBorders>
              <w:bottom w:val="single" w:sz="8" w:color="auto"/>
            </w:tcBorders>
          </w:tcPr>
          <w:p>
            <w:pPr>
              <w:spacing w:after="0"/>
              <w:rPr>
                <w:sz w:val="17"/>
                <w:szCs w:val="17"/>
                <w:color w:val="auto"/>
              </w:rPr>
            </w:pPr>
          </w:p>
        </w:tc>
      </w:tr>
      <w:tr>
        <w:trPr>
          <w:trHeight w:val="196"/>
        </w:trPr>
        <w:tc>
          <w:tcPr>
            <w:tcW w:w="508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Shares potentially payable at December 31, 2015</w:t>
            </w:r>
          </w:p>
        </w:tc>
        <w:tc>
          <w:tcPr>
            <w:tcW w:w="268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color w:val="auto"/>
              </w:rPr>
              <w:t>188,308</w:t>
            </w:r>
          </w:p>
        </w:tc>
        <w:tc>
          <w:tcPr>
            <w:tcW w:w="200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color w:val="auto"/>
              </w:rPr>
              <w:t>$35.35</w:t>
            </w:r>
          </w:p>
        </w:tc>
        <w:tc>
          <w:tcPr>
            <w:tcW w:w="16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$6,657</w:t>
            </w:r>
          </w:p>
        </w:tc>
      </w:tr>
      <w:tr>
        <w:trPr>
          <w:trHeight w:val="195"/>
        </w:trPr>
        <w:tc>
          <w:tcPr>
            <w:tcW w:w="5080" w:type="dxa"/>
            <w:vAlign w:val="bottom"/>
          </w:tcPr>
          <w:p>
            <w:pPr>
              <w:ind w:left="40"/>
              <w:spacing w:after="0" w:line="195" w:lineRule="exact"/>
              <w:rPr>
                <w:sz w:val="20"/>
                <w:szCs w:val="20"/>
                <w:color w:val="auto"/>
              </w:rPr>
            </w:pPr>
            <w:r>
              <w:rPr>
                <w:rFonts w:ascii="Arial" w:cs="Arial" w:eastAsia="Arial" w:hAnsi="Arial"/>
                <w:sz w:val="18"/>
                <w:szCs w:val="18"/>
                <w:color w:val="auto"/>
              </w:rPr>
              <w:t>Forfeitures</w:t>
            </w:r>
          </w:p>
        </w:tc>
        <w:tc>
          <w:tcPr>
            <w:tcW w:w="2680" w:type="dxa"/>
            <w:vAlign w:val="bottom"/>
          </w:tcPr>
          <w:p>
            <w:pPr>
              <w:jc w:val="right"/>
              <w:ind w:right="450"/>
              <w:spacing w:after="0" w:line="195" w:lineRule="exact"/>
              <w:rPr>
                <w:sz w:val="20"/>
                <w:szCs w:val="20"/>
                <w:color w:val="auto"/>
              </w:rPr>
            </w:pPr>
            <w:r>
              <w:rPr>
                <w:rFonts w:ascii="Arial" w:cs="Arial" w:eastAsia="Arial" w:hAnsi="Arial"/>
                <w:sz w:val="18"/>
                <w:szCs w:val="18"/>
                <w:color w:val="auto"/>
              </w:rPr>
              <w:t>-</w:t>
            </w:r>
          </w:p>
        </w:tc>
        <w:tc>
          <w:tcPr>
            <w:tcW w:w="2000" w:type="dxa"/>
            <w:vAlign w:val="bottom"/>
          </w:tcPr>
          <w:p>
            <w:pPr>
              <w:jc w:val="right"/>
              <w:ind w:right="390"/>
              <w:spacing w:after="0" w:line="195" w:lineRule="exact"/>
              <w:rPr>
                <w:sz w:val="20"/>
                <w:szCs w:val="20"/>
                <w:color w:val="auto"/>
              </w:rPr>
            </w:pPr>
            <w:r>
              <w:rPr>
                <w:rFonts w:ascii="Arial" w:cs="Arial" w:eastAsia="Arial" w:hAnsi="Arial"/>
                <w:sz w:val="18"/>
                <w:szCs w:val="18"/>
                <w:color w:val="auto"/>
              </w:rPr>
              <w:t>-</w:t>
            </w:r>
          </w:p>
        </w:tc>
        <w:tc>
          <w:tcPr>
            <w:tcW w:w="1660" w:type="dxa"/>
            <w:vAlign w:val="bottom"/>
          </w:tcPr>
          <w:p>
            <w:pPr>
              <w:spacing w:after="0"/>
              <w:rPr>
                <w:sz w:val="16"/>
                <w:szCs w:val="16"/>
                <w:color w:val="auto"/>
              </w:rPr>
            </w:pPr>
          </w:p>
        </w:tc>
      </w:tr>
      <w:tr>
        <w:trPr>
          <w:trHeight w:val="203"/>
        </w:trPr>
        <w:tc>
          <w:tcPr>
            <w:tcW w:w="5080" w:type="dxa"/>
            <w:vAlign w:val="bottom"/>
          </w:tcPr>
          <w:p>
            <w:pPr>
              <w:ind w:left="40"/>
              <w:spacing w:after="0" w:line="202" w:lineRule="exact"/>
              <w:rPr>
                <w:sz w:val="20"/>
                <w:szCs w:val="20"/>
                <w:color w:val="auto"/>
              </w:rPr>
            </w:pPr>
            <w:r>
              <w:rPr>
                <w:rFonts w:ascii="Arial" w:cs="Arial" w:eastAsia="Arial" w:hAnsi="Arial"/>
                <w:sz w:val="18"/>
                <w:szCs w:val="18"/>
                <w:color w:val="auto"/>
              </w:rPr>
              <w:t>Payments</w:t>
            </w:r>
          </w:p>
        </w:tc>
        <w:tc>
          <w:tcPr>
            <w:tcW w:w="268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(86,926)</w:t>
            </w:r>
          </w:p>
        </w:tc>
        <w:tc>
          <w:tcPr>
            <w:tcW w:w="200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$33.43</w:t>
            </w:r>
          </w:p>
        </w:tc>
        <w:tc>
          <w:tcPr>
            <w:tcW w:w="1660" w:type="dxa"/>
            <w:vAlign w:val="bottom"/>
          </w:tcPr>
          <w:p>
            <w:pPr>
              <w:spacing w:after="0"/>
              <w:rPr>
                <w:sz w:val="17"/>
                <w:szCs w:val="17"/>
                <w:color w:val="auto"/>
              </w:rPr>
            </w:pPr>
          </w:p>
        </w:tc>
      </w:tr>
      <w:tr>
        <w:trPr>
          <w:trHeight w:val="203"/>
        </w:trPr>
        <w:tc>
          <w:tcPr>
            <w:tcW w:w="5080" w:type="dxa"/>
            <w:vAlign w:val="bottom"/>
            <w:tcBorders>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Shares accrued based on 2016 performance</w:t>
            </w:r>
          </w:p>
        </w:tc>
        <w:tc>
          <w:tcPr>
            <w:tcW w:w="2680" w:type="dxa"/>
            <w:vAlign w:val="bottom"/>
            <w:tcBorders>
              <w:bottom w:val="single" w:sz="8" w:color="auto"/>
            </w:tcBorders>
          </w:tcPr>
          <w:p>
            <w:pPr>
              <w:jc w:val="right"/>
              <w:ind w:right="450"/>
              <w:spacing w:after="0" w:line="203" w:lineRule="exact"/>
              <w:rPr>
                <w:sz w:val="20"/>
                <w:szCs w:val="20"/>
                <w:color w:val="auto"/>
              </w:rPr>
            </w:pPr>
            <w:r>
              <w:rPr>
                <w:rFonts w:ascii="Arial" w:cs="Arial" w:eastAsia="Arial" w:hAnsi="Arial"/>
                <w:sz w:val="18"/>
                <w:szCs w:val="18"/>
                <w:color w:val="auto"/>
              </w:rPr>
              <w:t>88,036</w:t>
            </w:r>
          </w:p>
        </w:tc>
        <w:tc>
          <w:tcPr>
            <w:tcW w:w="2000" w:type="dxa"/>
            <w:vAlign w:val="bottom"/>
            <w:tcBorders>
              <w:bottom w:val="single" w:sz="8" w:color="auto"/>
            </w:tcBorders>
          </w:tcPr>
          <w:p>
            <w:pPr>
              <w:jc w:val="right"/>
              <w:ind w:right="390"/>
              <w:spacing w:after="0" w:line="203" w:lineRule="exact"/>
              <w:rPr>
                <w:sz w:val="20"/>
                <w:szCs w:val="20"/>
                <w:color w:val="auto"/>
              </w:rPr>
            </w:pPr>
            <w:r>
              <w:rPr>
                <w:rFonts w:ascii="Arial" w:cs="Arial" w:eastAsia="Arial" w:hAnsi="Arial"/>
                <w:sz w:val="18"/>
                <w:szCs w:val="18"/>
                <w:color w:val="auto"/>
              </w:rPr>
              <w:t>$36.78</w:t>
            </w:r>
          </w:p>
        </w:tc>
        <w:tc>
          <w:tcPr>
            <w:tcW w:w="1660" w:type="dxa"/>
            <w:vAlign w:val="bottom"/>
            <w:tcBorders>
              <w:bottom w:val="single" w:sz="8" w:color="auto"/>
            </w:tcBorders>
          </w:tcPr>
          <w:p>
            <w:pPr>
              <w:spacing w:after="0"/>
              <w:rPr>
                <w:sz w:val="17"/>
                <w:szCs w:val="17"/>
                <w:color w:val="auto"/>
              </w:rPr>
            </w:pPr>
          </w:p>
        </w:tc>
      </w:tr>
      <w:tr>
        <w:trPr>
          <w:trHeight w:val="196"/>
        </w:trPr>
        <w:tc>
          <w:tcPr>
            <w:tcW w:w="508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Shares potentially payable at December 31, 2016</w:t>
            </w:r>
          </w:p>
        </w:tc>
        <w:tc>
          <w:tcPr>
            <w:tcW w:w="268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color w:val="auto"/>
              </w:rPr>
              <w:t>189,418</w:t>
            </w:r>
          </w:p>
        </w:tc>
        <w:tc>
          <w:tcPr>
            <w:tcW w:w="200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color w:val="auto"/>
              </w:rPr>
              <w:t>$36.90</w:t>
            </w:r>
          </w:p>
        </w:tc>
        <w:tc>
          <w:tcPr>
            <w:tcW w:w="16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$6,989</w:t>
            </w: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Other Management share-based compensation:</w:t>
      </w:r>
    </w:p>
    <w:p>
      <w:pPr>
        <w:spacing w:after="0" w:line="171" w:lineRule="exact"/>
        <w:rPr>
          <w:sz w:val="20"/>
          <w:szCs w:val="20"/>
          <w:color w:val="auto"/>
        </w:rPr>
      </w:pPr>
    </w:p>
    <w:p>
      <w:pPr>
        <w:ind w:right="200" w:firstLine="648"/>
        <w:spacing w:after="0" w:line="238" w:lineRule="auto"/>
        <w:rPr>
          <w:sz w:val="20"/>
          <w:szCs w:val="20"/>
          <w:color w:val="auto"/>
        </w:rPr>
      </w:pPr>
      <w:r>
        <w:rPr>
          <w:rFonts w:ascii="Arial" w:cs="Arial" w:eastAsia="Arial" w:hAnsi="Arial"/>
          <w:sz w:val="18"/>
          <w:szCs w:val="18"/>
          <w:color w:val="auto"/>
        </w:rPr>
        <w:t>In 2003, the Company adopted a Restricted Stock Program under which certain key employees were awarded restricted stock units. Company has not awarded new restricted stock units since November 2010 and no expense was recognized in 2016 for this plan. Such units vested over a five-year period and were paid annually in cash based on current market prices of the Company’s stock. The amount of compensation cost attributable to such units was recorded in Selling, general and administrative expenses and was $0.6 million in 2015 and $1.4 million in 2014.</w:t>
      </w:r>
    </w:p>
    <w:p>
      <w:pPr>
        <w:spacing w:after="0" w:line="162" w:lineRule="exact"/>
        <w:rPr>
          <w:sz w:val="20"/>
          <w:szCs w:val="20"/>
          <w:color w:val="auto"/>
        </w:rPr>
      </w:pPr>
    </w:p>
    <w:p>
      <w:pPr>
        <w:ind w:right="160" w:firstLine="648"/>
        <w:spacing w:after="0" w:line="237" w:lineRule="auto"/>
        <w:rPr>
          <w:sz w:val="20"/>
          <w:szCs w:val="20"/>
          <w:color w:val="auto"/>
        </w:rPr>
      </w:pPr>
      <w:r>
        <w:rPr>
          <w:rFonts w:ascii="Arial" w:cs="Arial" w:eastAsia="Arial" w:hAnsi="Arial"/>
          <w:sz w:val="18"/>
          <w:szCs w:val="18"/>
          <w:color w:val="auto"/>
        </w:rPr>
        <w:t>In 2012, the Company adopted a Phantom Stock Plan that replaced the Restricted Stock Program. Awards under this program vest over a five-year period and are paid annually in cash based on current market prices of the Company’s stock. Under this program, employees may earn more or less than the target award based on the Company’s results in the year of the award. Expense recognized for this plan amounted to $3.8 million in 2016, $2.6 million in 2015, and $2.2 million in 2014. Based on awards outstanding at December 31, 2016, we expect to record $8.3 million of compensation cost from 2017 to 2020. The weighted average period for recognition of that cost is approximately 2 years.</w:t>
      </w:r>
    </w:p>
    <w:p>
      <w:pPr>
        <w:spacing w:after="0" w:line="178" w:lineRule="exact"/>
        <w:rPr>
          <w:sz w:val="20"/>
          <w:szCs w:val="20"/>
          <w:color w:val="auto"/>
        </w:rPr>
      </w:pPr>
    </w:p>
    <w:p>
      <w:pPr>
        <w:jc w:val="both"/>
        <w:ind w:right="100" w:firstLine="648"/>
        <w:spacing w:after="0" w:line="239" w:lineRule="auto"/>
        <w:rPr>
          <w:sz w:val="20"/>
          <w:szCs w:val="20"/>
          <w:color w:val="auto"/>
        </w:rPr>
      </w:pPr>
      <w:r>
        <w:rPr>
          <w:rFonts w:ascii="Arial" w:cs="Arial" w:eastAsia="Arial" w:hAnsi="Arial"/>
          <w:sz w:val="18"/>
          <w:szCs w:val="18"/>
          <w:color w:val="auto"/>
        </w:rPr>
        <w:t>In 2012, the Company granted restricted stock units to two executives. The amount of compensation expense was subject to changes in the market price of the Company’s stock and was recorded in Selling, general, and administrative expenses. The final vesting and payment due under these grants occurred in 2015, resulting in no expense recognized in 2016. Expense recognized for these grants was $0.3 million in 2015, and $0.7 million in 2014.</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98" w:name="page99"/>
    <w:bookmarkEnd w:id="98"/>
    <w:p>
      <w:pPr>
        <w:ind w:right="80" w:firstLine="648"/>
        <w:spacing w:after="0" w:line="245" w:lineRule="auto"/>
        <w:rPr>
          <w:sz w:val="20"/>
          <w:szCs w:val="20"/>
          <w:color w:val="auto"/>
        </w:rPr>
      </w:pPr>
      <w:r>
        <w:rPr>
          <w:rFonts w:ascii="Arial" w:cs="Arial" w:eastAsia="Arial" w:hAnsi="Arial"/>
          <w:sz w:val="18"/>
          <w:szCs w:val="18"/>
          <w:color w:val="auto"/>
        </w:rPr>
        <w:t>The determination of compensation expense for other management share-based compensation plans is based on the number of outstanding share units, the end-of-period share price, and Company performance. Information with respect to these plans is presented below:</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680" w:type="dxa"/>
            <w:vAlign w:val="bottom"/>
          </w:tcPr>
          <w:p>
            <w:pPr>
              <w:jc w:val="center"/>
              <w:ind w:left="70"/>
              <w:spacing w:after="0"/>
              <w:rPr>
                <w:sz w:val="20"/>
                <w:szCs w:val="20"/>
                <w:color w:val="auto"/>
              </w:rPr>
            </w:pPr>
            <w:r>
              <w:rPr>
                <w:rFonts w:ascii="Arial" w:cs="Arial" w:eastAsia="Arial" w:hAnsi="Arial"/>
                <w:sz w:val="18"/>
                <w:szCs w:val="18"/>
                <w:b w:val="1"/>
                <w:bCs w:val="1"/>
                <w:color w:val="auto"/>
              </w:rPr>
              <w:t>Cash paid for</w:t>
            </w:r>
          </w:p>
        </w:tc>
      </w:tr>
      <w:tr>
        <w:trPr>
          <w:trHeight w:val="203"/>
        </w:trPr>
        <w:tc>
          <w:tcPr>
            <w:tcW w:w="5220" w:type="dxa"/>
            <w:vAlign w:val="bottom"/>
          </w:tcPr>
          <w:p>
            <w:pPr>
              <w:spacing w:after="0"/>
              <w:rPr>
                <w:sz w:val="17"/>
                <w:szCs w:val="17"/>
                <w:color w:val="auto"/>
              </w:rPr>
            </w:pPr>
          </w:p>
        </w:tc>
        <w:tc>
          <w:tcPr>
            <w:tcW w:w="2260" w:type="dxa"/>
            <w:vAlign w:val="bottom"/>
          </w:tcPr>
          <w:p>
            <w:pPr>
              <w:jc w:val="right"/>
              <w:ind w:right="350"/>
              <w:spacing w:after="0" w:line="202" w:lineRule="exact"/>
              <w:rPr>
                <w:sz w:val="20"/>
                <w:szCs w:val="20"/>
                <w:color w:val="auto"/>
              </w:rPr>
            </w:pPr>
            <w:r>
              <w:rPr>
                <w:rFonts w:ascii="Arial" w:cs="Arial" w:eastAsia="Arial" w:hAnsi="Arial"/>
                <w:sz w:val="18"/>
                <w:szCs w:val="18"/>
                <w:b w:val="1"/>
                <w:bCs w:val="1"/>
                <w:color w:val="auto"/>
              </w:rPr>
              <w:t>Number of</w:t>
            </w:r>
          </w:p>
        </w:tc>
        <w:tc>
          <w:tcPr>
            <w:tcW w:w="226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Weighted average</w:t>
            </w:r>
          </w:p>
        </w:tc>
        <w:tc>
          <w:tcPr>
            <w:tcW w:w="1680" w:type="dxa"/>
            <w:vAlign w:val="bottom"/>
          </w:tcPr>
          <w:p>
            <w:pPr>
              <w:jc w:val="center"/>
              <w:ind w:left="70"/>
              <w:spacing w:after="0" w:line="202" w:lineRule="exact"/>
              <w:rPr>
                <w:sz w:val="20"/>
                <w:szCs w:val="20"/>
                <w:color w:val="auto"/>
              </w:rPr>
            </w:pPr>
            <w:r>
              <w:rPr>
                <w:rFonts w:ascii="Arial" w:cs="Arial" w:eastAsia="Arial" w:hAnsi="Arial"/>
                <w:sz w:val="18"/>
                <w:szCs w:val="18"/>
                <w:b w:val="1"/>
                <w:bCs w:val="1"/>
                <w:color w:val="auto"/>
                <w:w w:val="98"/>
              </w:rPr>
              <w:t>share based</w:t>
            </w:r>
          </w:p>
        </w:tc>
      </w:tr>
      <w:tr>
        <w:trPr>
          <w:trHeight w:val="225"/>
        </w:trPr>
        <w:tc>
          <w:tcPr>
            <w:tcW w:w="522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shares</w:t>
            </w:r>
          </w:p>
        </w:tc>
        <w:tc>
          <w:tcPr>
            <w:tcW w:w="22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value per share</w:t>
            </w:r>
          </w:p>
        </w:tc>
        <w:tc>
          <w:tcPr>
            <w:tcW w:w="168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b w:val="1"/>
                <w:bCs w:val="1"/>
                <w:color w:val="auto"/>
              </w:rPr>
              <w:t>liabilities(000's)</w:t>
            </w:r>
          </w:p>
        </w:tc>
      </w:tr>
      <w:tr>
        <w:trPr>
          <w:trHeight w:val="196"/>
        </w:trPr>
        <w:tc>
          <w:tcPr>
            <w:tcW w:w="522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Share units potentially payable at January 1, 2014</w:t>
            </w:r>
          </w:p>
        </w:tc>
        <w:tc>
          <w:tcPr>
            <w:tcW w:w="226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color w:val="auto"/>
              </w:rPr>
              <w:t>361,189</w:t>
            </w:r>
          </w:p>
        </w:tc>
        <w:tc>
          <w:tcPr>
            <w:tcW w:w="22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r>
      <w:tr>
        <w:trPr>
          <w:trHeight w:val="195"/>
        </w:trPr>
        <w:tc>
          <w:tcPr>
            <w:tcW w:w="5220" w:type="dxa"/>
            <w:vAlign w:val="bottom"/>
          </w:tcPr>
          <w:p>
            <w:pPr>
              <w:ind w:left="40"/>
              <w:spacing w:after="0" w:line="195" w:lineRule="exact"/>
              <w:rPr>
                <w:sz w:val="20"/>
                <w:szCs w:val="20"/>
                <w:color w:val="auto"/>
              </w:rPr>
            </w:pPr>
            <w:r>
              <w:rPr>
                <w:rFonts w:ascii="Arial" w:cs="Arial" w:eastAsia="Arial" w:hAnsi="Arial"/>
                <w:sz w:val="18"/>
                <w:szCs w:val="18"/>
                <w:color w:val="auto"/>
              </w:rPr>
              <w:t>Grants</w:t>
            </w:r>
          </w:p>
        </w:tc>
        <w:tc>
          <w:tcPr>
            <w:tcW w:w="2260" w:type="dxa"/>
            <w:vAlign w:val="bottom"/>
          </w:tcPr>
          <w:p>
            <w:pPr>
              <w:jc w:val="right"/>
              <w:ind w:right="390"/>
              <w:spacing w:after="0" w:line="195" w:lineRule="exact"/>
              <w:rPr>
                <w:sz w:val="20"/>
                <w:szCs w:val="20"/>
                <w:color w:val="auto"/>
              </w:rPr>
            </w:pPr>
            <w:r>
              <w:rPr>
                <w:rFonts w:ascii="Arial" w:cs="Arial" w:eastAsia="Arial" w:hAnsi="Arial"/>
                <w:sz w:val="18"/>
                <w:szCs w:val="18"/>
                <w:color w:val="auto"/>
              </w:rPr>
              <w:t>91,631</w:t>
            </w:r>
          </w:p>
        </w:tc>
        <w:tc>
          <w:tcPr>
            <w:tcW w:w="226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03"/>
        </w:trPr>
        <w:tc>
          <w:tcPr>
            <w:tcW w:w="5220" w:type="dxa"/>
            <w:vAlign w:val="bottom"/>
          </w:tcPr>
          <w:p>
            <w:pPr>
              <w:ind w:left="40"/>
              <w:spacing w:after="0" w:line="202" w:lineRule="exact"/>
              <w:rPr>
                <w:sz w:val="20"/>
                <w:szCs w:val="20"/>
                <w:color w:val="auto"/>
              </w:rPr>
            </w:pPr>
            <w:r>
              <w:rPr>
                <w:rFonts w:ascii="Arial" w:cs="Arial" w:eastAsia="Arial" w:hAnsi="Arial"/>
                <w:sz w:val="18"/>
                <w:szCs w:val="18"/>
                <w:color w:val="auto"/>
              </w:rPr>
              <w:t>Changes due to performance</w:t>
            </w:r>
          </w:p>
        </w:tc>
        <w:tc>
          <w:tcPr>
            <w:tcW w:w="226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(8,793)</w:t>
            </w:r>
          </w:p>
        </w:tc>
        <w:tc>
          <w:tcPr>
            <w:tcW w:w="22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5220" w:type="dxa"/>
            <w:vAlign w:val="bottom"/>
          </w:tcPr>
          <w:p>
            <w:pPr>
              <w:ind w:left="40"/>
              <w:spacing w:after="0" w:line="202" w:lineRule="exact"/>
              <w:rPr>
                <w:sz w:val="20"/>
                <w:szCs w:val="20"/>
                <w:color w:val="auto"/>
              </w:rPr>
            </w:pPr>
            <w:r>
              <w:rPr>
                <w:rFonts w:ascii="Arial" w:cs="Arial" w:eastAsia="Arial" w:hAnsi="Arial"/>
                <w:sz w:val="18"/>
                <w:szCs w:val="18"/>
                <w:color w:val="auto"/>
              </w:rPr>
              <w:t>Payments</w:t>
            </w:r>
          </w:p>
        </w:tc>
        <w:tc>
          <w:tcPr>
            <w:tcW w:w="226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(86,840)</w:t>
            </w:r>
          </w:p>
        </w:tc>
        <w:tc>
          <w:tcPr>
            <w:tcW w:w="226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$35.01</w:t>
            </w:r>
          </w:p>
        </w:tc>
        <w:tc>
          <w:tcPr>
            <w:tcW w:w="16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$3,040</w:t>
            </w:r>
          </w:p>
        </w:tc>
      </w:tr>
      <w:tr>
        <w:trPr>
          <w:trHeight w:val="203"/>
        </w:trPr>
        <w:tc>
          <w:tcPr>
            <w:tcW w:w="5220" w:type="dxa"/>
            <w:vAlign w:val="bottom"/>
            <w:tcBorders>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Forfeitures</w:t>
            </w:r>
          </w:p>
        </w:tc>
        <w:tc>
          <w:tcPr>
            <w:tcW w:w="2260" w:type="dxa"/>
            <w:vAlign w:val="bottom"/>
            <w:tcBorders>
              <w:bottom w:val="single" w:sz="8" w:color="auto"/>
            </w:tcBorders>
          </w:tcPr>
          <w:p>
            <w:pPr>
              <w:jc w:val="right"/>
              <w:ind w:right="330"/>
              <w:spacing w:after="0" w:line="203" w:lineRule="exact"/>
              <w:rPr>
                <w:sz w:val="20"/>
                <w:szCs w:val="20"/>
                <w:color w:val="auto"/>
              </w:rPr>
            </w:pPr>
            <w:r>
              <w:rPr>
                <w:rFonts w:ascii="Arial" w:cs="Arial" w:eastAsia="Arial" w:hAnsi="Arial"/>
                <w:sz w:val="18"/>
                <w:szCs w:val="18"/>
                <w:color w:val="auto"/>
              </w:rPr>
              <w:t>(9,246)</w:t>
            </w:r>
          </w:p>
        </w:tc>
        <w:tc>
          <w:tcPr>
            <w:tcW w:w="22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r>
      <w:tr>
        <w:trPr>
          <w:trHeight w:val="196"/>
        </w:trPr>
        <w:tc>
          <w:tcPr>
            <w:tcW w:w="522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Share units potentially payable at December 31, 2014</w:t>
            </w:r>
          </w:p>
        </w:tc>
        <w:tc>
          <w:tcPr>
            <w:tcW w:w="226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color w:val="auto"/>
              </w:rPr>
              <w:t>347,941</w:t>
            </w:r>
          </w:p>
        </w:tc>
        <w:tc>
          <w:tcPr>
            <w:tcW w:w="22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r>
      <w:tr>
        <w:trPr>
          <w:trHeight w:val="195"/>
        </w:trPr>
        <w:tc>
          <w:tcPr>
            <w:tcW w:w="5220" w:type="dxa"/>
            <w:vAlign w:val="bottom"/>
          </w:tcPr>
          <w:p>
            <w:pPr>
              <w:ind w:left="40"/>
              <w:spacing w:after="0" w:line="195" w:lineRule="exact"/>
              <w:rPr>
                <w:sz w:val="20"/>
                <w:szCs w:val="20"/>
                <w:color w:val="auto"/>
              </w:rPr>
            </w:pPr>
            <w:r>
              <w:rPr>
                <w:rFonts w:ascii="Arial" w:cs="Arial" w:eastAsia="Arial" w:hAnsi="Arial"/>
                <w:sz w:val="18"/>
                <w:szCs w:val="18"/>
                <w:color w:val="auto"/>
              </w:rPr>
              <w:t>Grants</w:t>
            </w:r>
          </w:p>
        </w:tc>
        <w:tc>
          <w:tcPr>
            <w:tcW w:w="2260" w:type="dxa"/>
            <w:vAlign w:val="bottom"/>
          </w:tcPr>
          <w:p>
            <w:pPr>
              <w:jc w:val="right"/>
              <w:ind w:right="390"/>
              <w:spacing w:after="0" w:line="195" w:lineRule="exact"/>
              <w:rPr>
                <w:sz w:val="20"/>
                <w:szCs w:val="20"/>
                <w:color w:val="auto"/>
              </w:rPr>
            </w:pPr>
            <w:r>
              <w:rPr>
                <w:rFonts w:ascii="Arial" w:cs="Arial" w:eastAsia="Arial" w:hAnsi="Arial"/>
                <w:sz w:val="18"/>
                <w:szCs w:val="18"/>
                <w:color w:val="auto"/>
              </w:rPr>
              <w:t>90,065</w:t>
            </w:r>
          </w:p>
        </w:tc>
        <w:tc>
          <w:tcPr>
            <w:tcW w:w="226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03"/>
        </w:trPr>
        <w:tc>
          <w:tcPr>
            <w:tcW w:w="5220" w:type="dxa"/>
            <w:vAlign w:val="bottom"/>
          </w:tcPr>
          <w:p>
            <w:pPr>
              <w:ind w:left="40"/>
              <w:spacing w:after="0" w:line="202" w:lineRule="exact"/>
              <w:rPr>
                <w:sz w:val="20"/>
                <w:szCs w:val="20"/>
                <w:color w:val="auto"/>
              </w:rPr>
            </w:pPr>
            <w:r>
              <w:rPr>
                <w:rFonts w:ascii="Arial" w:cs="Arial" w:eastAsia="Arial" w:hAnsi="Arial"/>
                <w:sz w:val="18"/>
                <w:szCs w:val="18"/>
                <w:color w:val="auto"/>
              </w:rPr>
              <w:t>Changes due to performance</w:t>
            </w:r>
          </w:p>
        </w:tc>
        <w:tc>
          <w:tcPr>
            <w:tcW w:w="226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13,966</w:t>
            </w:r>
          </w:p>
        </w:tc>
        <w:tc>
          <w:tcPr>
            <w:tcW w:w="22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5220" w:type="dxa"/>
            <w:vAlign w:val="bottom"/>
          </w:tcPr>
          <w:p>
            <w:pPr>
              <w:ind w:left="40"/>
              <w:spacing w:after="0" w:line="202" w:lineRule="exact"/>
              <w:rPr>
                <w:sz w:val="20"/>
                <w:szCs w:val="20"/>
                <w:color w:val="auto"/>
              </w:rPr>
            </w:pPr>
            <w:r>
              <w:rPr>
                <w:rFonts w:ascii="Arial" w:cs="Arial" w:eastAsia="Arial" w:hAnsi="Arial"/>
                <w:sz w:val="18"/>
                <w:szCs w:val="18"/>
                <w:color w:val="auto"/>
              </w:rPr>
              <w:t>Payments</w:t>
            </w:r>
          </w:p>
        </w:tc>
        <w:tc>
          <w:tcPr>
            <w:tcW w:w="226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(167,482)</w:t>
            </w:r>
          </w:p>
        </w:tc>
        <w:tc>
          <w:tcPr>
            <w:tcW w:w="226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$36.08</w:t>
            </w:r>
          </w:p>
        </w:tc>
        <w:tc>
          <w:tcPr>
            <w:tcW w:w="16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$6,040</w:t>
            </w:r>
          </w:p>
        </w:tc>
      </w:tr>
      <w:tr>
        <w:trPr>
          <w:trHeight w:val="203"/>
        </w:trPr>
        <w:tc>
          <w:tcPr>
            <w:tcW w:w="5220" w:type="dxa"/>
            <w:vAlign w:val="bottom"/>
            <w:tcBorders>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Forfeitures</w:t>
            </w:r>
          </w:p>
        </w:tc>
        <w:tc>
          <w:tcPr>
            <w:tcW w:w="2260" w:type="dxa"/>
            <w:vAlign w:val="bottom"/>
            <w:tcBorders>
              <w:bottom w:val="single" w:sz="8" w:color="auto"/>
            </w:tcBorders>
          </w:tcPr>
          <w:p>
            <w:pPr>
              <w:jc w:val="right"/>
              <w:ind w:right="330"/>
              <w:spacing w:after="0" w:line="203" w:lineRule="exact"/>
              <w:rPr>
                <w:sz w:val="20"/>
                <w:szCs w:val="20"/>
                <w:color w:val="auto"/>
              </w:rPr>
            </w:pPr>
            <w:r>
              <w:rPr>
                <w:rFonts w:ascii="Arial" w:cs="Arial" w:eastAsia="Arial" w:hAnsi="Arial"/>
                <w:sz w:val="18"/>
                <w:szCs w:val="18"/>
                <w:color w:val="auto"/>
              </w:rPr>
              <w:t>(31,624)</w:t>
            </w:r>
          </w:p>
        </w:tc>
        <w:tc>
          <w:tcPr>
            <w:tcW w:w="22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r>
      <w:tr>
        <w:trPr>
          <w:trHeight w:val="196"/>
        </w:trPr>
        <w:tc>
          <w:tcPr>
            <w:tcW w:w="522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Share units potentially payable at December 31, 2015</w:t>
            </w:r>
          </w:p>
        </w:tc>
        <w:tc>
          <w:tcPr>
            <w:tcW w:w="226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color w:val="auto"/>
              </w:rPr>
              <w:t>252,866</w:t>
            </w:r>
          </w:p>
        </w:tc>
        <w:tc>
          <w:tcPr>
            <w:tcW w:w="22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r>
      <w:tr>
        <w:trPr>
          <w:trHeight w:val="195"/>
        </w:trPr>
        <w:tc>
          <w:tcPr>
            <w:tcW w:w="5220" w:type="dxa"/>
            <w:vAlign w:val="bottom"/>
          </w:tcPr>
          <w:p>
            <w:pPr>
              <w:ind w:left="40"/>
              <w:spacing w:after="0" w:line="195" w:lineRule="exact"/>
              <w:rPr>
                <w:sz w:val="20"/>
                <w:szCs w:val="20"/>
                <w:color w:val="auto"/>
              </w:rPr>
            </w:pPr>
            <w:r>
              <w:rPr>
                <w:rFonts w:ascii="Arial" w:cs="Arial" w:eastAsia="Arial" w:hAnsi="Arial"/>
                <w:sz w:val="18"/>
                <w:szCs w:val="18"/>
                <w:color w:val="auto"/>
              </w:rPr>
              <w:t>Grants</w:t>
            </w:r>
          </w:p>
        </w:tc>
        <w:tc>
          <w:tcPr>
            <w:tcW w:w="2260" w:type="dxa"/>
            <w:vAlign w:val="bottom"/>
          </w:tcPr>
          <w:p>
            <w:pPr>
              <w:jc w:val="right"/>
              <w:ind w:right="390"/>
              <w:spacing w:after="0" w:line="195" w:lineRule="exact"/>
              <w:rPr>
                <w:sz w:val="20"/>
                <w:szCs w:val="20"/>
                <w:color w:val="auto"/>
              </w:rPr>
            </w:pPr>
            <w:r>
              <w:rPr>
                <w:rFonts w:ascii="Arial" w:cs="Arial" w:eastAsia="Arial" w:hAnsi="Arial"/>
                <w:sz w:val="18"/>
                <w:szCs w:val="18"/>
                <w:color w:val="auto"/>
              </w:rPr>
              <w:t>118,279</w:t>
            </w:r>
          </w:p>
        </w:tc>
        <w:tc>
          <w:tcPr>
            <w:tcW w:w="226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03"/>
        </w:trPr>
        <w:tc>
          <w:tcPr>
            <w:tcW w:w="5220" w:type="dxa"/>
            <w:vAlign w:val="bottom"/>
          </w:tcPr>
          <w:p>
            <w:pPr>
              <w:ind w:left="40"/>
              <w:spacing w:after="0" w:line="202" w:lineRule="exact"/>
              <w:rPr>
                <w:sz w:val="20"/>
                <w:szCs w:val="20"/>
                <w:color w:val="auto"/>
              </w:rPr>
            </w:pPr>
            <w:r>
              <w:rPr>
                <w:rFonts w:ascii="Arial" w:cs="Arial" w:eastAsia="Arial" w:hAnsi="Arial"/>
                <w:sz w:val="18"/>
                <w:szCs w:val="18"/>
                <w:color w:val="auto"/>
              </w:rPr>
              <w:t>Changes due to performance</w:t>
            </w:r>
          </w:p>
        </w:tc>
        <w:tc>
          <w:tcPr>
            <w:tcW w:w="226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18,779</w:t>
            </w:r>
          </w:p>
        </w:tc>
        <w:tc>
          <w:tcPr>
            <w:tcW w:w="22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5220" w:type="dxa"/>
            <w:vAlign w:val="bottom"/>
          </w:tcPr>
          <w:p>
            <w:pPr>
              <w:ind w:left="40"/>
              <w:spacing w:after="0" w:line="202" w:lineRule="exact"/>
              <w:rPr>
                <w:sz w:val="20"/>
                <w:szCs w:val="20"/>
                <w:color w:val="auto"/>
              </w:rPr>
            </w:pPr>
            <w:r>
              <w:rPr>
                <w:rFonts w:ascii="Arial" w:cs="Arial" w:eastAsia="Arial" w:hAnsi="Arial"/>
                <w:sz w:val="18"/>
                <w:szCs w:val="18"/>
                <w:color w:val="auto"/>
              </w:rPr>
              <w:t>Payments</w:t>
            </w:r>
          </w:p>
        </w:tc>
        <w:tc>
          <w:tcPr>
            <w:tcW w:w="226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(88,073)</w:t>
            </w:r>
          </w:p>
        </w:tc>
        <w:tc>
          <w:tcPr>
            <w:tcW w:w="226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$33.20</w:t>
            </w:r>
          </w:p>
        </w:tc>
        <w:tc>
          <w:tcPr>
            <w:tcW w:w="16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$2,924</w:t>
            </w:r>
          </w:p>
        </w:tc>
      </w:tr>
      <w:tr>
        <w:trPr>
          <w:trHeight w:val="203"/>
        </w:trPr>
        <w:tc>
          <w:tcPr>
            <w:tcW w:w="5220" w:type="dxa"/>
            <w:vAlign w:val="bottom"/>
            <w:tcBorders>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Forfeitures</w:t>
            </w:r>
          </w:p>
        </w:tc>
        <w:tc>
          <w:tcPr>
            <w:tcW w:w="2260" w:type="dxa"/>
            <w:vAlign w:val="bottom"/>
            <w:tcBorders>
              <w:bottom w:val="single" w:sz="8" w:color="auto"/>
            </w:tcBorders>
          </w:tcPr>
          <w:p>
            <w:pPr>
              <w:jc w:val="right"/>
              <w:ind w:right="330"/>
              <w:spacing w:after="0" w:line="203" w:lineRule="exact"/>
              <w:rPr>
                <w:sz w:val="20"/>
                <w:szCs w:val="20"/>
                <w:color w:val="auto"/>
              </w:rPr>
            </w:pPr>
            <w:r>
              <w:rPr>
                <w:rFonts w:ascii="Arial" w:cs="Arial" w:eastAsia="Arial" w:hAnsi="Arial"/>
                <w:sz w:val="18"/>
                <w:szCs w:val="18"/>
                <w:color w:val="auto"/>
              </w:rPr>
              <w:t>(40,706)</w:t>
            </w:r>
          </w:p>
        </w:tc>
        <w:tc>
          <w:tcPr>
            <w:tcW w:w="22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r>
      <w:tr>
        <w:trPr>
          <w:trHeight w:val="196"/>
        </w:trPr>
        <w:tc>
          <w:tcPr>
            <w:tcW w:w="522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Share units potentially payable at December 31, 2016</w:t>
            </w:r>
          </w:p>
        </w:tc>
        <w:tc>
          <w:tcPr>
            <w:tcW w:w="226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color w:val="auto"/>
              </w:rPr>
              <w:t>261,145</w:t>
            </w:r>
          </w:p>
        </w:tc>
        <w:tc>
          <w:tcPr>
            <w:tcW w:w="22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r>
    </w:tbl>
    <w:p>
      <w:pPr>
        <w:spacing w:after="0" w:line="391" w:lineRule="exact"/>
        <w:rPr>
          <w:sz w:val="20"/>
          <w:szCs w:val="20"/>
          <w:color w:val="auto"/>
        </w:rPr>
      </w:pPr>
    </w:p>
    <w:p>
      <w:pPr>
        <w:ind w:right="60" w:firstLine="648"/>
        <w:spacing w:after="0" w:line="239" w:lineRule="auto"/>
        <w:rPr>
          <w:sz w:val="20"/>
          <w:szCs w:val="20"/>
          <w:color w:val="auto"/>
        </w:rPr>
      </w:pPr>
      <w:r>
        <w:rPr>
          <w:rFonts w:ascii="Arial" w:cs="Arial" w:eastAsia="Arial" w:hAnsi="Arial"/>
          <w:sz w:val="18"/>
          <w:szCs w:val="18"/>
          <w:color w:val="auto"/>
        </w:rPr>
        <w:t>The Company maintains a voluntary savings plan covering substantially all employees in the United States. The Plan, known as the ProsperityPlus Savings Plan, is a qualified plan under section 401(k) of the U.S. Internal Revenue Code. The Company matches, in the form of cash, between 50% and 100% of employee contributions up to a defined maximum. The investment of employee contributions to the plan is self-directed. The Company’s cost of the plan amounted to $5.5 million in 2016, $4.8 million in 2015, and $4.3 million in 2014.</w:t>
      </w:r>
    </w:p>
    <w:p>
      <w:pPr>
        <w:spacing w:after="0" w:line="161" w:lineRule="exact"/>
        <w:rPr>
          <w:sz w:val="20"/>
          <w:szCs w:val="20"/>
          <w:color w:val="auto"/>
        </w:rPr>
      </w:pPr>
    </w:p>
    <w:p>
      <w:pPr>
        <w:ind w:right="260" w:firstLine="648"/>
        <w:spacing w:after="0"/>
        <w:rPr>
          <w:sz w:val="20"/>
          <w:szCs w:val="20"/>
          <w:color w:val="auto"/>
        </w:rPr>
      </w:pPr>
      <w:r>
        <w:rPr>
          <w:rFonts w:ascii="Arial" w:cs="Arial" w:eastAsia="Arial" w:hAnsi="Arial"/>
          <w:sz w:val="18"/>
          <w:szCs w:val="18"/>
          <w:color w:val="auto"/>
        </w:rPr>
        <w:t>The Company’s profit-sharing plan covers substantially all employees in the United States. After the close of each year, the Board of Directors determines the amount of the profit-sharing contribution. Company contributions to the plan are in the form of cash. The expense recorded for this plan was $2.9 million in 2016, $2.4 million in 2015, and $1.5 million in 2014.</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Shareholders’ Equity</w:t>
      </w:r>
    </w:p>
    <w:p>
      <w:pPr>
        <w:spacing w:after="0" w:line="207" w:lineRule="exact"/>
        <w:rPr>
          <w:sz w:val="20"/>
          <w:szCs w:val="20"/>
          <w:color w:val="auto"/>
        </w:rPr>
      </w:pPr>
    </w:p>
    <w:p>
      <w:pPr>
        <w:ind w:right="160" w:firstLine="648"/>
        <w:spacing w:after="0" w:line="237" w:lineRule="auto"/>
        <w:rPr>
          <w:sz w:val="20"/>
          <w:szCs w:val="20"/>
          <w:color w:val="auto"/>
        </w:rPr>
      </w:pPr>
      <w:r>
        <w:rPr>
          <w:rFonts w:ascii="Arial" w:cs="Arial" w:eastAsia="Arial" w:hAnsi="Arial"/>
          <w:sz w:val="18"/>
          <w:szCs w:val="18"/>
          <w:color w:val="auto"/>
        </w:rPr>
        <w:t>We have two classes of Common Stock, Class A Common Stock and Class B Common Stock, each with a par value of $0.001 and equal liquidation rights. Each share of our Class A Common Stock is entitled to one vote on all matters submitted to shareholders, and each share of Class B Common Stock is entitled to ten votes. Class A and Class B Common Stock will receive equal dividends as the Board of Directors may determine from time to time. The Class B Common Stock is convertible into an equal number of shares of Class A Common Stock at any time. At December 31, 2016, 3.3 million shares of Class A Common Stock were reserved for the conversion of Class B Common Stock and the exercise of stock options.</w:t>
      </w:r>
    </w:p>
    <w:p>
      <w:pPr>
        <w:spacing w:after="0" w:line="165" w:lineRule="exact"/>
        <w:rPr>
          <w:sz w:val="20"/>
          <w:szCs w:val="20"/>
          <w:color w:val="auto"/>
        </w:rPr>
      </w:pPr>
    </w:p>
    <w:p>
      <w:pPr>
        <w:ind w:right="240" w:firstLine="648"/>
        <w:spacing w:after="0"/>
        <w:rPr>
          <w:sz w:val="20"/>
          <w:szCs w:val="20"/>
          <w:color w:val="auto"/>
        </w:rPr>
      </w:pPr>
      <w:r>
        <w:rPr>
          <w:rFonts w:ascii="Arial" w:cs="Arial" w:eastAsia="Arial" w:hAnsi="Arial"/>
          <w:sz w:val="18"/>
          <w:szCs w:val="18"/>
          <w:color w:val="auto"/>
        </w:rPr>
        <w:t>In August 2006, we announced that the Board of Directors authorized management to purchase up to 2.0 million additional shares of our Class A Common Stock. The Board’s action authorizes management to purchase shares from time to time, in the open market or otherwise, whenever it believes such purchase to be</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99" w:name="page100"/>
    <w:bookmarkEnd w:id="99"/>
    <w:p>
      <w:pPr>
        <w:ind w:right="280"/>
        <w:spacing w:after="0" w:line="245" w:lineRule="auto"/>
        <w:rPr>
          <w:sz w:val="20"/>
          <w:szCs w:val="20"/>
          <w:color w:val="auto"/>
        </w:rPr>
      </w:pPr>
      <w:r>
        <w:rPr>
          <w:rFonts w:ascii="Arial" w:cs="Arial" w:eastAsia="Arial" w:hAnsi="Arial"/>
          <w:sz w:val="18"/>
          <w:szCs w:val="18"/>
          <w:color w:val="auto"/>
        </w:rPr>
        <w:t>advantageous to our shareholders, and it is otherwise legally permitted to do so. We have made no share purchases under the August 2006 authorization. Activity in Shareholders’ equity for 2014, 2015, and 2016 is presented below:</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40" w:type="dxa"/>
            <w:vAlign w:val="bottom"/>
          </w:tcPr>
          <w:p>
            <w:pPr>
              <w:spacing w:after="0"/>
              <w:rPr>
                <w:sz w:val="13"/>
                <w:szCs w:val="13"/>
                <w:color w:val="auto"/>
              </w:rPr>
            </w:pPr>
          </w:p>
        </w:tc>
        <w:tc>
          <w:tcPr>
            <w:tcW w:w="1380" w:type="dxa"/>
            <w:vAlign w:val="bottom"/>
            <w:gridSpan w:val="3"/>
            <w:vMerge w:val="restart"/>
          </w:tcPr>
          <w:p>
            <w:pPr>
              <w:jc w:val="right"/>
              <w:ind w:right="520"/>
              <w:spacing w:after="0"/>
              <w:rPr>
                <w:sz w:val="20"/>
                <w:szCs w:val="20"/>
                <w:color w:val="auto"/>
              </w:rPr>
            </w:pPr>
            <w:r>
              <w:rPr>
                <w:rFonts w:ascii="Arial" w:cs="Arial" w:eastAsia="Arial" w:hAnsi="Arial"/>
                <w:sz w:val="13"/>
                <w:szCs w:val="13"/>
                <w:b w:val="1"/>
                <w:bCs w:val="1"/>
                <w:color w:val="auto"/>
              </w:rPr>
              <w:t>Class A</w:t>
            </w:r>
          </w:p>
        </w:tc>
        <w:tc>
          <w:tcPr>
            <w:tcW w:w="1320" w:type="dxa"/>
            <w:vAlign w:val="bottom"/>
            <w:gridSpan w:val="3"/>
            <w:vMerge w:val="restart"/>
          </w:tcPr>
          <w:p>
            <w:pPr>
              <w:jc w:val="center"/>
              <w:ind w:right="20"/>
              <w:spacing w:after="0"/>
              <w:rPr>
                <w:sz w:val="20"/>
                <w:szCs w:val="20"/>
                <w:color w:val="auto"/>
              </w:rPr>
            </w:pPr>
            <w:r>
              <w:rPr>
                <w:rFonts w:ascii="Arial" w:cs="Arial" w:eastAsia="Arial" w:hAnsi="Arial"/>
                <w:sz w:val="13"/>
                <w:szCs w:val="13"/>
                <w:b w:val="1"/>
                <w:bCs w:val="1"/>
                <w:color w:val="auto"/>
                <w:w w:val="96"/>
              </w:rPr>
              <w:t>Class B</w:t>
            </w:r>
          </w:p>
        </w:tc>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7"/>
              </w:rPr>
              <w:t>Accumulated</w:t>
            </w:r>
          </w:p>
        </w:tc>
        <w:tc>
          <w:tcPr>
            <w:tcW w:w="1440" w:type="dxa"/>
            <w:vAlign w:val="bottom"/>
            <w:gridSpan w:val="3"/>
            <w:vMerge w:val="restart"/>
          </w:tcPr>
          <w:p>
            <w:pPr>
              <w:jc w:val="center"/>
              <w:ind w:right="100"/>
              <w:spacing w:after="0"/>
              <w:rPr>
                <w:sz w:val="20"/>
                <w:szCs w:val="20"/>
                <w:color w:val="auto"/>
              </w:rPr>
            </w:pPr>
            <w:r>
              <w:rPr>
                <w:rFonts w:ascii="Arial" w:cs="Arial" w:eastAsia="Arial" w:hAnsi="Arial"/>
                <w:sz w:val="13"/>
                <w:szCs w:val="13"/>
                <w:b w:val="1"/>
                <w:bCs w:val="1"/>
                <w:color w:val="auto"/>
                <w:w w:val="96"/>
              </w:rPr>
              <w:t>Class A</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340" w:type="dxa"/>
            <w:vAlign w:val="bottom"/>
          </w:tcPr>
          <w:p>
            <w:pPr>
              <w:spacing w:after="0"/>
              <w:rPr>
                <w:sz w:val="5"/>
                <w:szCs w:val="5"/>
                <w:color w:val="auto"/>
              </w:rPr>
            </w:pPr>
          </w:p>
        </w:tc>
        <w:tc>
          <w:tcPr>
            <w:tcW w:w="1380" w:type="dxa"/>
            <w:vAlign w:val="bottom"/>
            <w:gridSpan w:val="3"/>
            <w:vMerge w:val="continue"/>
          </w:tcPr>
          <w:p>
            <w:pPr>
              <w:spacing w:after="0"/>
              <w:rPr>
                <w:sz w:val="5"/>
                <w:szCs w:val="5"/>
                <w:color w:val="auto"/>
              </w:rPr>
            </w:pPr>
          </w:p>
        </w:tc>
        <w:tc>
          <w:tcPr>
            <w:tcW w:w="1320" w:type="dxa"/>
            <w:vAlign w:val="bottom"/>
            <w:gridSpan w:val="3"/>
            <w:vMerge w:val="continue"/>
          </w:tcPr>
          <w:p>
            <w:pPr>
              <w:spacing w:after="0"/>
              <w:rPr>
                <w:sz w:val="5"/>
                <w:szCs w:val="5"/>
                <w:color w:val="auto"/>
              </w:rPr>
            </w:pPr>
          </w:p>
        </w:tc>
        <w:tc>
          <w:tcPr>
            <w:tcW w:w="9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140" w:type="dxa"/>
            <w:vAlign w:val="bottom"/>
            <w:gridSpan w:val="2"/>
            <w:vMerge w:val="restart"/>
          </w:tcPr>
          <w:p>
            <w:pPr>
              <w:jc w:val="center"/>
              <w:ind w:right="140"/>
              <w:spacing w:after="0" w:line="135" w:lineRule="exact"/>
              <w:rPr>
                <w:sz w:val="20"/>
                <w:szCs w:val="20"/>
                <w:color w:val="auto"/>
              </w:rPr>
            </w:pPr>
            <w:r>
              <w:rPr>
                <w:rFonts w:ascii="Arial" w:cs="Arial" w:eastAsia="Arial" w:hAnsi="Arial"/>
                <w:sz w:val="13"/>
                <w:szCs w:val="13"/>
                <w:b w:val="1"/>
                <w:bCs w:val="1"/>
                <w:color w:val="auto"/>
                <w:w w:val="97"/>
              </w:rPr>
              <w:t>items of other</w:t>
            </w:r>
          </w:p>
        </w:tc>
        <w:tc>
          <w:tcPr>
            <w:tcW w:w="1440" w:type="dxa"/>
            <w:vAlign w:val="bottom"/>
            <w:gridSpan w:val="3"/>
            <w:vMerge w:val="continue"/>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3340" w:type="dxa"/>
            <w:vAlign w:val="bottom"/>
          </w:tcPr>
          <w:p>
            <w:pPr>
              <w:spacing w:after="0"/>
              <w:rPr>
                <w:sz w:val="5"/>
                <w:szCs w:val="5"/>
                <w:color w:val="auto"/>
              </w:rPr>
            </w:pPr>
          </w:p>
        </w:tc>
        <w:tc>
          <w:tcPr>
            <w:tcW w:w="1380" w:type="dxa"/>
            <w:vAlign w:val="bottom"/>
            <w:gridSpan w:val="3"/>
            <w:vMerge w:val="restart"/>
          </w:tcPr>
          <w:p>
            <w:pPr>
              <w:jc w:val="right"/>
              <w:ind w:right="300"/>
              <w:spacing w:after="0"/>
              <w:rPr>
                <w:sz w:val="20"/>
                <w:szCs w:val="20"/>
                <w:color w:val="auto"/>
              </w:rPr>
            </w:pPr>
            <w:r>
              <w:rPr>
                <w:rFonts w:ascii="Arial" w:cs="Arial" w:eastAsia="Arial" w:hAnsi="Arial"/>
                <w:sz w:val="13"/>
                <w:szCs w:val="13"/>
                <w:b w:val="1"/>
                <w:bCs w:val="1"/>
                <w:color w:val="auto"/>
              </w:rPr>
              <w:t>Common Stock</w:t>
            </w:r>
          </w:p>
        </w:tc>
        <w:tc>
          <w:tcPr>
            <w:tcW w:w="1320" w:type="dxa"/>
            <w:vAlign w:val="bottom"/>
            <w:gridSpan w:val="3"/>
            <w:vMerge w:val="restart"/>
          </w:tcPr>
          <w:p>
            <w:pPr>
              <w:jc w:val="center"/>
              <w:ind w:right="60"/>
              <w:spacing w:after="0"/>
              <w:rPr>
                <w:sz w:val="20"/>
                <w:szCs w:val="20"/>
                <w:color w:val="auto"/>
              </w:rPr>
            </w:pPr>
            <w:r>
              <w:rPr>
                <w:rFonts w:ascii="Arial" w:cs="Arial" w:eastAsia="Arial" w:hAnsi="Arial"/>
                <w:sz w:val="13"/>
                <w:szCs w:val="13"/>
                <w:b w:val="1"/>
                <w:bCs w:val="1"/>
                <w:color w:val="auto"/>
                <w:w w:val="97"/>
              </w:rPr>
              <w:t>Preferred Stock</w:t>
            </w:r>
          </w:p>
        </w:tc>
        <w:tc>
          <w:tcPr>
            <w:tcW w:w="9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440" w:type="dxa"/>
            <w:vAlign w:val="bottom"/>
            <w:gridSpan w:val="3"/>
            <w:vMerge w:val="restart"/>
          </w:tcPr>
          <w:p>
            <w:pPr>
              <w:jc w:val="center"/>
              <w:ind w:right="100"/>
              <w:spacing w:after="0"/>
              <w:rPr>
                <w:sz w:val="20"/>
                <w:szCs w:val="20"/>
                <w:color w:val="auto"/>
              </w:rPr>
            </w:pPr>
            <w:r>
              <w:rPr>
                <w:rFonts w:ascii="Arial" w:cs="Arial" w:eastAsia="Arial" w:hAnsi="Arial"/>
                <w:sz w:val="13"/>
                <w:szCs w:val="13"/>
                <w:b w:val="1"/>
                <w:bCs w:val="1"/>
                <w:color w:val="auto"/>
                <w:w w:val="95"/>
              </w:rPr>
              <w:t>Treasury Stock</w:t>
            </w: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3340" w:type="dxa"/>
            <w:vAlign w:val="bottom"/>
          </w:tcPr>
          <w:p>
            <w:pPr>
              <w:spacing w:after="0"/>
              <w:rPr>
                <w:sz w:val="7"/>
                <w:szCs w:val="7"/>
                <w:color w:val="auto"/>
              </w:rPr>
            </w:pPr>
          </w:p>
        </w:tc>
        <w:tc>
          <w:tcPr>
            <w:tcW w:w="1380" w:type="dxa"/>
            <w:vAlign w:val="bottom"/>
            <w:gridSpan w:val="3"/>
            <w:vMerge w:val="continue"/>
          </w:tcPr>
          <w:p>
            <w:pPr>
              <w:spacing w:after="0"/>
              <w:rPr>
                <w:sz w:val="7"/>
                <w:szCs w:val="7"/>
                <w:color w:val="auto"/>
              </w:rPr>
            </w:pPr>
          </w:p>
        </w:tc>
        <w:tc>
          <w:tcPr>
            <w:tcW w:w="1320" w:type="dxa"/>
            <w:vAlign w:val="bottom"/>
            <w:gridSpan w:val="3"/>
            <w:vMerge w:val="continue"/>
          </w:tcPr>
          <w:p>
            <w:pPr>
              <w:spacing w:after="0"/>
              <w:rPr>
                <w:sz w:val="7"/>
                <w:szCs w:val="7"/>
                <w:color w:val="auto"/>
              </w:rPr>
            </w:pPr>
          </w:p>
        </w:tc>
        <w:tc>
          <w:tcPr>
            <w:tcW w:w="940" w:type="dxa"/>
            <w:vAlign w:val="bottom"/>
            <w:vMerge w:val="restart"/>
          </w:tcPr>
          <w:p>
            <w:pPr>
              <w:jc w:val="right"/>
              <w:ind w:right="168"/>
              <w:spacing w:after="0" w:line="135" w:lineRule="exact"/>
              <w:rPr>
                <w:sz w:val="20"/>
                <w:szCs w:val="20"/>
                <w:color w:val="auto"/>
              </w:rPr>
            </w:pPr>
            <w:r>
              <w:rPr>
                <w:rFonts w:ascii="Arial" w:cs="Arial" w:eastAsia="Arial" w:hAnsi="Arial"/>
                <w:sz w:val="13"/>
                <w:szCs w:val="13"/>
                <w:b w:val="1"/>
                <w:bCs w:val="1"/>
                <w:color w:val="auto"/>
              </w:rPr>
              <w:t>Additional</w:t>
            </w:r>
          </w:p>
        </w:tc>
        <w:tc>
          <w:tcPr>
            <w:tcW w:w="860" w:type="dxa"/>
            <w:vAlign w:val="bottom"/>
            <w:vMerge w:val="restart"/>
          </w:tcPr>
          <w:p>
            <w:pPr>
              <w:jc w:val="right"/>
              <w:ind w:right="169"/>
              <w:spacing w:after="0" w:line="135" w:lineRule="exact"/>
              <w:rPr>
                <w:sz w:val="20"/>
                <w:szCs w:val="20"/>
                <w:color w:val="auto"/>
              </w:rPr>
            </w:pPr>
            <w:r>
              <w:rPr>
                <w:rFonts w:ascii="Arial" w:cs="Arial" w:eastAsia="Arial" w:hAnsi="Arial"/>
                <w:sz w:val="13"/>
                <w:szCs w:val="13"/>
                <w:b w:val="1"/>
                <w:bCs w:val="1"/>
                <w:color w:val="auto"/>
              </w:rPr>
              <w:t>Retained</w:t>
            </w:r>
          </w:p>
        </w:tc>
        <w:tc>
          <w:tcPr>
            <w:tcW w:w="1080" w:type="dxa"/>
            <w:vAlign w:val="bottom"/>
            <w:vMerge w:val="restart"/>
          </w:tcPr>
          <w:p>
            <w:pPr>
              <w:jc w:val="right"/>
              <w:ind w:right="49"/>
              <w:spacing w:after="0" w:line="135" w:lineRule="exact"/>
              <w:rPr>
                <w:sz w:val="20"/>
                <w:szCs w:val="20"/>
                <w:color w:val="auto"/>
              </w:rPr>
            </w:pPr>
            <w:r>
              <w:rPr>
                <w:rFonts w:ascii="Arial" w:cs="Arial" w:eastAsia="Arial" w:hAnsi="Arial"/>
                <w:sz w:val="13"/>
                <w:szCs w:val="13"/>
                <w:b w:val="1"/>
                <w:bCs w:val="1"/>
                <w:color w:val="auto"/>
                <w:w w:val="98"/>
              </w:rPr>
              <w:t>comprehensive</w:t>
            </w:r>
          </w:p>
        </w:tc>
        <w:tc>
          <w:tcPr>
            <w:tcW w:w="60" w:type="dxa"/>
            <w:vAlign w:val="bottom"/>
          </w:tcPr>
          <w:p>
            <w:pPr>
              <w:spacing w:after="0"/>
              <w:rPr>
                <w:sz w:val="7"/>
                <w:szCs w:val="7"/>
                <w:color w:val="auto"/>
              </w:rPr>
            </w:pPr>
          </w:p>
        </w:tc>
        <w:tc>
          <w:tcPr>
            <w:tcW w:w="1440" w:type="dxa"/>
            <w:vAlign w:val="bottom"/>
            <w:gridSpan w:val="3"/>
            <w:vMerge w:val="continue"/>
          </w:tcPr>
          <w:p>
            <w:pPr>
              <w:spacing w:after="0"/>
              <w:rPr>
                <w:sz w:val="7"/>
                <w:szCs w:val="7"/>
                <w:color w:val="auto"/>
              </w:rPr>
            </w:pPr>
          </w:p>
        </w:tc>
        <w:tc>
          <w:tcPr>
            <w:tcW w:w="1000" w:type="dxa"/>
            <w:vAlign w:val="bottom"/>
            <w:vMerge w:val="restart"/>
          </w:tcPr>
          <w:p>
            <w:pPr>
              <w:jc w:val="right"/>
              <w:spacing w:after="0" w:line="135" w:lineRule="exact"/>
              <w:rPr>
                <w:sz w:val="20"/>
                <w:szCs w:val="20"/>
                <w:color w:val="auto"/>
              </w:rPr>
            </w:pPr>
            <w:r>
              <w:rPr>
                <w:rFonts w:ascii="Arial" w:cs="Arial" w:eastAsia="Arial" w:hAnsi="Arial"/>
                <w:sz w:val="13"/>
                <w:szCs w:val="13"/>
                <w:b w:val="1"/>
                <w:bCs w:val="1"/>
                <w:color w:val="auto"/>
                <w:w w:val="99"/>
              </w:rPr>
              <w:t>Noncontrolling</w:t>
            </w:r>
          </w:p>
        </w:tc>
        <w:tc>
          <w:tcPr>
            <w:tcW w:w="0" w:type="dxa"/>
            <w:vAlign w:val="bottom"/>
          </w:tcPr>
          <w:p>
            <w:pPr>
              <w:spacing w:after="0"/>
              <w:rPr>
                <w:sz w:val="1"/>
                <w:szCs w:val="1"/>
                <w:color w:val="auto"/>
              </w:rPr>
            </w:pPr>
          </w:p>
        </w:tc>
      </w:tr>
      <w:tr>
        <w:trPr>
          <w:trHeight w:val="26"/>
        </w:trPr>
        <w:tc>
          <w:tcPr>
            <w:tcW w:w="33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70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860" w:type="dxa"/>
            <w:vAlign w:val="bottom"/>
            <w:vMerge w:val="continue"/>
          </w:tcPr>
          <w:p>
            <w:pPr>
              <w:spacing w:after="0"/>
              <w:rPr>
                <w:sz w:val="2"/>
                <w:szCs w:val="2"/>
                <w:color w:val="auto"/>
              </w:rPr>
            </w:pPr>
          </w:p>
        </w:tc>
        <w:tc>
          <w:tcPr>
            <w:tcW w:w="1080" w:type="dxa"/>
            <w:vAlign w:val="bottom"/>
            <w:vMerge w:val="continue"/>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340" w:type="dxa"/>
            <w:vAlign w:val="bottom"/>
            <w:tcBorders>
              <w:bottom w:val="single" w:sz="8" w:color="auto"/>
            </w:tcBorders>
            <w:vMerge w:val="continue"/>
          </w:tcPr>
          <w:p>
            <w:pPr>
              <w:spacing w:after="0"/>
              <w:rPr>
                <w:sz w:val="13"/>
                <w:szCs w:val="13"/>
                <w:color w:val="auto"/>
              </w:rPr>
            </w:pPr>
          </w:p>
        </w:tc>
        <w:tc>
          <w:tcPr>
            <w:tcW w:w="70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rPr>
              <w:t>Shares</w:t>
            </w:r>
          </w:p>
        </w:tc>
        <w:tc>
          <w:tcPr>
            <w:tcW w:w="6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3"/>
                <w:szCs w:val="13"/>
                <w:b w:val="1"/>
                <w:bCs w:val="1"/>
                <w:color w:val="auto"/>
                <w:w w:val="97"/>
              </w:rPr>
              <w:t>Amount</w:t>
            </w:r>
          </w:p>
        </w:tc>
        <w:tc>
          <w:tcPr>
            <w:tcW w:w="72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rPr>
              <w:t>Shares</w:t>
            </w:r>
          </w:p>
        </w:tc>
        <w:tc>
          <w:tcPr>
            <w:tcW w:w="154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3"/>
                <w:szCs w:val="13"/>
                <w:b w:val="1"/>
                <w:bCs w:val="1"/>
                <w:color w:val="auto"/>
                <w:w w:val="99"/>
              </w:rPr>
              <w:t>Amount paid-in capital</w:t>
            </w:r>
          </w:p>
        </w:tc>
        <w:tc>
          <w:tcPr>
            <w:tcW w:w="86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earnings</w:t>
            </w:r>
          </w:p>
        </w:tc>
        <w:tc>
          <w:tcPr>
            <w:tcW w:w="11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96"/>
              </w:rPr>
              <w:t>income</w:t>
            </w:r>
          </w:p>
        </w:tc>
        <w:tc>
          <w:tcPr>
            <w:tcW w:w="66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rPr>
              <w:t>Shares</w:t>
            </w:r>
          </w:p>
        </w:tc>
        <w:tc>
          <w:tcPr>
            <w:tcW w:w="780" w:type="dxa"/>
            <w:vAlign w:val="bottom"/>
            <w:tcBorders>
              <w:bottom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rPr>
              <w:t>Amount</w:t>
            </w:r>
          </w:p>
        </w:tc>
        <w:tc>
          <w:tcPr>
            <w:tcW w:w="1000" w:type="dxa"/>
            <w:vAlign w:val="bottom"/>
            <w:tcBorders>
              <w:bottom w:val="single" w:sz="8" w:color="auto"/>
            </w:tcBorders>
          </w:tcPr>
          <w:p>
            <w:pPr>
              <w:jc w:val="right"/>
              <w:ind w:right="209"/>
              <w:spacing w:after="0"/>
              <w:rPr>
                <w:sz w:val="20"/>
                <w:szCs w:val="20"/>
                <w:color w:val="auto"/>
              </w:rPr>
            </w:pPr>
            <w:r>
              <w:rPr>
                <w:rFonts w:ascii="Arial" w:cs="Arial" w:eastAsia="Arial" w:hAnsi="Arial"/>
                <w:sz w:val="13"/>
                <w:szCs w:val="13"/>
                <w:b w:val="1"/>
                <w:bCs w:val="1"/>
                <w:color w:val="auto"/>
              </w:rPr>
              <w:t>Interest</w:t>
            </w:r>
          </w:p>
        </w:tc>
        <w:tc>
          <w:tcPr>
            <w:tcW w:w="0" w:type="dxa"/>
            <w:vAlign w:val="bottom"/>
          </w:tcPr>
          <w:p>
            <w:pPr>
              <w:spacing w:after="0"/>
              <w:rPr>
                <w:sz w:val="1"/>
                <w:szCs w:val="1"/>
                <w:color w:val="auto"/>
              </w:rPr>
            </w:pPr>
          </w:p>
        </w:tc>
      </w:tr>
      <w:tr>
        <w:trPr>
          <w:trHeight w:val="156"/>
        </w:trPr>
        <w:tc>
          <w:tcPr>
            <w:tcW w:w="33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January 1, 2014</w:t>
            </w: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36,996</w:t>
            </w:r>
          </w:p>
        </w:tc>
        <w:tc>
          <w:tcPr>
            <w:tcW w:w="680" w:type="dxa"/>
            <w:vAlign w:val="bottom"/>
            <w:tcBorders>
              <w:bottom w:val="single" w:sz="8" w:color="auto"/>
            </w:tcBorders>
            <w:gridSpan w:val="2"/>
          </w:tcPr>
          <w:p>
            <w:pPr>
              <w:jc w:val="right"/>
              <w:ind w:right="120"/>
              <w:spacing w:after="0" w:line="155" w:lineRule="exact"/>
              <w:rPr>
                <w:sz w:val="20"/>
                <w:szCs w:val="20"/>
                <w:color w:val="auto"/>
              </w:rPr>
            </w:pPr>
            <w:r>
              <w:rPr>
                <w:rFonts w:ascii="Arial" w:cs="Arial" w:eastAsia="Arial" w:hAnsi="Arial"/>
                <w:sz w:val="14"/>
                <w:szCs w:val="14"/>
                <w:color w:val="auto"/>
              </w:rPr>
              <w:t>$37</w:t>
            </w: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3,236</w:t>
            </w:r>
          </w:p>
        </w:tc>
        <w:tc>
          <w:tcPr>
            <w:tcW w:w="600" w:type="dxa"/>
            <w:vAlign w:val="bottom"/>
            <w:tcBorders>
              <w:bottom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color w:val="auto"/>
              </w:rPr>
              <w:t>$3</w:t>
            </w:r>
          </w:p>
        </w:tc>
        <w:tc>
          <w:tcPr>
            <w:tcW w:w="9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$416,728</w:t>
            </w: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$434,598</w:t>
            </w:r>
          </w:p>
        </w:tc>
        <w:tc>
          <w:tcPr>
            <w:tcW w:w="1140" w:type="dxa"/>
            <w:vAlign w:val="bottom"/>
            <w:tcBorders>
              <w:bottom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color w:val="auto"/>
              </w:rPr>
              <w:t>($49,498)</w:t>
            </w: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8,464</w:t>
            </w:r>
          </w:p>
        </w:tc>
        <w:tc>
          <w:tcPr>
            <w:tcW w:w="78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color w:val="auto"/>
              </w:rPr>
              <w:t>($257,571)</w:t>
            </w: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$3,482</w:t>
            </w:r>
          </w:p>
        </w:tc>
        <w:tc>
          <w:tcPr>
            <w:tcW w:w="0" w:type="dxa"/>
            <w:vAlign w:val="bottom"/>
          </w:tcPr>
          <w:p>
            <w:pPr>
              <w:spacing w:after="0"/>
              <w:rPr>
                <w:sz w:val="1"/>
                <w:szCs w:val="1"/>
                <w:color w:val="auto"/>
              </w:rPr>
            </w:pPr>
          </w:p>
        </w:tc>
      </w:tr>
      <w:tr>
        <w:trPr>
          <w:trHeight w:val="160"/>
        </w:trPr>
        <w:tc>
          <w:tcPr>
            <w:tcW w:w="3340" w:type="dxa"/>
            <w:vAlign w:val="bottom"/>
          </w:tcPr>
          <w:p>
            <w:pPr>
              <w:spacing w:after="0"/>
              <w:rPr>
                <w:sz w:val="20"/>
                <w:szCs w:val="20"/>
                <w:color w:val="auto"/>
              </w:rPr>
            </w:pPr>
            <w:r>
              <w:rPr>
                <w:rFonts w:ascii="Arial" w:cs="Arial" w:eastAsia="Arial" w:hAnsi="Arial"/>
                <w:sz w:val="14"/>
                <w:szCs w:val="14"/>
                <w:color w:val="auto"/>
              </w:rPr>
              <w:t>Net income</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41,569</w:t>
            </w: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162"/>
        </w:trPr>
        <w:tc>
          <w:tcPr>
            <w:tcW w:w="3340" w:type="dxa"/>
            <w:vAlign w:val="bottom"/>
          </w:tcPr>
          <w:p>
            <w:pPr>
              <w:spacing w:after="0"/>
              <w:rPr>
                <w:sz w:val="20"/>
                <w:szCs w:val="20"/>
                <w:color w:val="auto"/>
              </w:rPr>
            </w:pPr>
            <w:r>
              <w:rPr>
                <w:rFonts w:ascii="Arial" w:cs="Arial" w:eastAsia="Arial" w:hAnsi="Arial"/>
                <w:sz w:val="14"/>
                <w:szCs w:val="14"/>
                <w:color w:val="auto"/>
              </w:rPr>
              <w:t>Compensation and benefits paid or payable in</w:t>
            </w: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40" w:type="dxa"/>
            <w:vAlign w:val="bottom"/>
          </w:tcPr>
          <w:p>
            <w:pPr>
              <w:spacing w:after="0"/>
              <w:rPr>
                <w:sz w:val="20"/>
                <w:szCs w:val="20"/>
                <w:color w:val="auto"/>
              </w:rPr>
            </w:pPr>
            <w:r>
              <w:rPr>
                <w:rFonts w:ascii="Arial" w:cs="Arial" w:eastAsia="Arial" w:hAnsi="Arial"/>
                <w:sz w:val="14"/>
                <w:szCs w:val="14"/>
                <w:color w:val="auto"/>
              </w:rPr>
              <w:t>shares</w:t>
            </w:r>
          </w:p>
        </w:tc>
        <w:tc>
          <w:tcPr>
            <w:tcW w:w="700" w:type="dxa"/>
            <w:vAlign w:val="bottom"/>
          </w:tcPr>
          <w:p>
            <w:pPr>
              <w:jc w:val="right"/>
              <w:spacing w:after="0"/>
              <w:rPr>
                <w:sz w:val="20"/>
                <w:szCs w:val="20"/>
                <w:color w:val="auto"/>
              </w:rPr>
            </w:pPr>
            <w:r>
              <w:rPr>
                <w:rFonts w:ascii="Arial" w:cs="Arial" w:eastAsia="Arial" w:hAnsi="Arial"/>
                <w:sz w:val="14"/>
                <w:szCs w:val="14"/>
                <w:color w:val="auto"/>
              </w:rPr>
              <w:t>47</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1,234</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340" w:type="dxa"/>
            <w:vAlign w:val="bottom"/>
          </w:tcPr>
          <w:p>
            <w:pPr>
              <w:spacing w:after="0"/>
              <w:rPr>
                <w:sz w:val="20"/>
                <w:szCs w:val="20"/>
                <w:color w:val="auto"/>
              </w:rPr>
            </w:pPr>
            <w:r>
              <w:rPr>
                <w:rFonts w:ascii="Arial" w:cs="Arial" w:eastAsia="Arial" w:hAnsi="Arial"/>
                <w:sz w:val="14"/>
                <w:szCs w:val="14"/>
                <w:color w:val="auto"/>
              </w:rPr>
              <w:t>Conversion of Class B shares to Class A shares</w:t>
            </w: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340" w:type="dxa"/>
            <w:vAlign w:val="bottom"/>
          </w:tcPr>
          <w:p>
            <w:pPr>
              <w:spacing w:after="0"/>
              <w:rPr>
                <w:sz w:val="20"/>
                <w:szCs w:val="20"/>
                <w:color w:val="auto"/>
              </w:rPr>
            </w:pPr>
            <w:r>
              <w:rPr>
                <w:rFonts w:ascii="Arial" w:cs="Arial" w:eastAsia="Arial" w:hAnsi="Arial"/>
                <w:sz w:val="14"/>
                <w:szCs w:val="14"/>
                <w:color w:val="auto"/>
              </w:rPr>
              <w:t>Changes in equity related to Noncontrolling interest</w:t>
            </w: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40" w:type="dxa"/>
            <w:vAlign w:val="bottom"/>
          </w:tcPr>
          <w:p>
            <w:pPr>
              <w:spacing w:after="0"/>
              <w:rPr>
                <w:sz w:val="20"/>
                <w:szCs w:val="20"/>
                <w:color w:val="auto"/>
              </w:rPr>
            </w:pPr>
            <w:r>
              <w:rPr>
                <w:rFonts w:ascii="Arial" w:cs="Arial" w:eastAsia="Arial" w:hAnsi="Arial"/>
                <w:sz w:val="14"/>
                <w:szCs w:val="14"/>
                <w:color w:val="auto"/>
              </w:rPr>
              <w:t>in ASC</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(24)</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62"/>
        </w:trPr>
        <w:tc>
          <w:tcPr>
            <w:tcW w:w="3340" w:type="dxa"/>
            <w:vAlign w:val="bottom"/>
          </w:tcPr>
          <w:p>
            <w:pPr>
              <w:spacing w:after="0"/>
              <w:rPr>
                <w:sz w:val="20"/>
                <w:szCs w:val="20"/>
                <w:color w:val="auto"/>
              </w:rPr>
            </w:pPr>
            <w:r>
              <w:rPr>
                <w:rFonts w:ascii="Arial" w:cs="Arial" w:eastAsia="Arial" w:hAnsi="Arial"/>
                <w:sz w:val="14"/>
                <w:szCs w:val="14"/>
                <w:color w:val="auto"/>
              </w:rPr>
              <w:t>Options exercised</w:t>
            </w:r>
          </w:p>
        </w:tc>
        <w:tc>
          <w:tcPr>
            <w:tcW w:w="700" w:type="dxa"/>
            <w:vAlign w:val="bottom"/>
          </w:tcPr>
          <w:p>
            <w:pPr>
              <w:jc w:val="right"/>
              <w:spacing w:after="0"/>
              <w:rPr>
                <w:sz w:val="20"/>
                <w:szCs w:val="20"/>
                <w:color w:val="auto"/>
              </w:rPr>
            </w:pPr>
            <w:r>
              <w:rPr>
                <w:rFonts w:ascii="Arial" w:cs="Arial" w:eastAsia="Arial" w:hAnsi="Arial"/>
                <w:sz w:val="14"/>
                <w:szCs w:val="14"/>
                <w:color w:val="auto"/>
              </w:rPr>
              <w:t>41</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974</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340" w:type="dxa"/>
            <w:vAlign w:val="bottom"/>
          </w:tcPr>
          <w:p>
            <w:pPr>
              <w:spacing w:after="0"/>
              <w:rPr>
                <w:sz w:val="20"/>
                <w:szCs w:val="20"/>
                <w:color w:val="auto"/>
              </w:rPr>
            </w:pPr>
            <w:r>
              <w:rPr>
                <w:rFonts w:ascii="Arial" w:cs="Arial" w:eastAsia="Arial" w:hAnsi="Arial"/>
                <w:sz w:val="14"/>
                <w:szCs w:val="14"/>
                <w:color w:val="auto"/>
              </w:rPr>
              <w:t>Shares issued to Directors'</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60</w:t>
            </w:r>
          </w:p>
        </w:tc>
        <w:tc>
          <w:tcPr>
            <w:tcW w:w="86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w:t>
            </w: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90</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340" w:type="dxa"/>
            <w:vAlign w:val="bottom"/>
          </w:tcPr>
          <w:p>
            <w:pPr>
              <w:spacing w:after="0"/>
              <w:rPr>
                <w:sz w:val="20"/>
                <w:szCs w:val="20"/>
                <w:color w:val="auto"/>
              </w:rPr>
            </w:pPr>
            <w:r>
              <w:rPr>
                <w:rFonts w:ascii="Arial" w:cs="Arial" w:eastAsia="Arial" w:hAnsi="Arial"/>
                <w:sz w:val="14"/>
                <w:szCs w:val="14"/>
                <w:color w:val="auto"/>
              </w:rPr>
              <w:t>Dividends declared</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(20,062)</w:t>
            </w: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340" w:type="dxa"/>
            <w:vAlign w:val="bottom"/>
          </w:tcPr>
          <w:p>
            <w:pPr>
              <w:spacing w:after="0"/>
              <w:rPr>
                <w:sz w:val="20"/>
                <w:szCs w:val="20"/>
                <w:color w:val="auto"/>
              </w:rPr>
            </w:pPr>
            <w:r>
              <w:rPr>
                <w:rFonts w:ascii="Arial" w:cs="Arial" w:eastAsia="Arial" w:hAnsi="Arial"/>
                <w:sz w:val="14"/>
                <w:szCs w:val="14"/>
                <w:color w:val="auto"/>
              </w:rPr>
              <w:t>Cumulative translation adjustments</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(55,102)</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2"/>
        </w:trPr>
        <w:tc>
          <w:tcPr>
            <w:tcW w:w="3340" w:type="dxa"/>
            <w:vAlign w:val="bottom"/>
          </w:tcPr>
          <w:p>
            <w:pPr>
              <w:spacing w:after="0"/>
              <w:rPr>
                <w:sz w:val="20"/>
                <w:szCs w:val="20"/>
                <w:color w:val="auto"/>
              </w:rPr>
            </w:pPr>
            <w:r>
              <w:rPr>
                <w:rFonts w:ascii="Arial" w:cs="Arial" w:eastAsia="Arial" w:hAnsi="Arial"/>
                <w:sz w:val="14"/>
                <w:szCs w:val="14"/>
                <w:color w:val="auto"/>
              </w:rPr>
              <w:t>Pension and postretirement liability adjustments</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(3,283)</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34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Derivative valuation adjustment</w:t>
            </w:r>
          </w:p>
        </w:tc>
        <w:tc>
          <w:tcPr>
            <w:tcW w:w="7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gridSpan w:val="2"/>
          </w:tcPr>
          <w:p>
            <w:pPr>
              <w:jc w:val="right"/>
              <w:ind w:right="60"/>
              <w:spacing w:after="0" w:line="157"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gridSpan w:val="2"/>
          </w:tcPr>
          <w:p>
            <w:pPr>
              <w:jc w:val="right"/>
              <w:ind w:right="60"/>
              <w:spacing w:after="0" w:line="157" w:lineRule="exact"/>
              <w:rPr>
                <w:sz w:val="20"/>
                <w:szCs w:val="20"/>
                <w:color w:val="auto"/>
              </w:rPr>
            </w:pPr>
            <w:r>
              <w:rPr>
                <w:rFonts w:ascii="Arial" w:cs="Arial" w:eastAsia="Arial" w:hAnsi="Arial"/>
                <w:sz w:val="14"/>
                <w:szCs w:val="14"/>
                <w:color w:val="auto"/>
              </w:rPr>
              <w:t>116</w:t>
            </w:r>
          </w:p>
        </w:tc>
        <w:tc>
          <w:tcPr>
            <w:tcW w:w="6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gridSpan w:val="2"/>
          </w:tcPr>
          <w:p>
            <w:pPr>
              <w:jc w:val="right"/>
              <w:ind w:right="20"/>
              <w:spacing w:after="0" w:line="157"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33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December 31, 2014</w:t>
            </w: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37,085</w:t>
            </w:r>
          </w:p>
        </w:tc>
        <w:tc>
          <w:tcPr>
            <w:tcW w:w="680" w:type="dxa"/>
            <w:vAlign w:val="bottom"/>
            <w:tcBorders>
              <w:bottom w:val="single" w:sz="8" w:color="auto"/>
            </w:tcBorders>
            <w:gridSpan w:val="2"/>
          </w:tcPr>
          <w:p>
            <w:pPr>
              <w:jc w:val="right"/>
              <w:ind w:right="120"/>
              <w:spacing w:after="0" w:line="155" w:lineRule="exact"/>
              <w:rPr>
                <w:sz w:val="20"/>
                <w:szCs w:val="20"/>
                <w:color w:val="auto"/>
              </w:rPr>
            </w:pPr>
            <w:r>
              <w:rPr>
                <w:rFonts w:ascii="Arial" w:cs="Arial" w:eastAsia="Arial" w:hAnsi="Arial"/>
                <w:sz w:val="14"/>
                <w:szCs w:val="14"/>
                <w:color w:val="auto"/>
              </w:rPr>
              <w:t>$37</w:t>
            </w: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3,235</w:t>
            </w:r>
          </w:p>
        </w:tc>
        <w:tc>
          <w:tcPr>
            <w:tcW w:w="600" w:type="dxa"/>
            <w:vAlign w:val="bottom"/>
            <w:tcBorders>
              <w:bottom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color w:val="auto"/>
              </w:rPr>
              <w:t>$3</w:t>
            </w:r>
          </w:p>
        </w:tc>
        <w:tc>
          <w:tcPr>
            <w:tcW w:w="9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$418,972</w:t>
            </w: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$456,105</w:t>
            </w:r>
          </w:p>
        </w:tc>
        <w:tc>
          <w:tcPr>
            <w:tcW w:w="1140" w:type="dxa"/>
            <w:vAlign w:val="bottom"/>
            <w:tcBorders>
              <w:bottom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color w:val="auto"/>
              </w:rPr>
              <w:t>($107,767)</w:t>
            </w: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8,459</w:t>
            </w:r>
          </w:p>
        </w:tc>
        <w:tc>
          <w:tcPr>
            <w:tcW w:w="78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color w:val="auto"/>
              </w:rPr>
              <w:t>($257,481)</w:t>
            </w: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$3,699</w:t>
            </w:r>
          </w:p>
        </w:tc>
        <w:tc>
          <w:tcPr>
            <w:tcW w:w="0" w:type="dxa"/>
            <w:vAlign w:val="bottom"/>
          </w:tcPr>
          <w:p>
            <w:pPr>
              <w:spacing w:after="0"/>
              <w:rPr>
                <w:sz w:val="1"/>
                <w:szCs w:val="1"/>
                <w:color w:val="auto"/>
              </w:rPr>
            </w:pPr>
          </w:p>
        </w:tc>
      </w:tr>
      <w:tr>
        <w:trPr>
          <w:trHeight w:val="160"/>
        </w:trPr>
        <w:tc>
          <w:tcPr>
            <w:tcW w:w="3340" w:type="dxa"/>
            <w:vAlign w:val="bottom"/>
          </w:tcPr>
          <w:p>
            <w:pPr>
              <w:spacing w:after="0"/>
              <w:rPr>
                <w:sz w:val="20"/>
                <w:szCs w:val="20"/>
                <w:color w:val="auto"/>
              </w:rPr>
            </w:pPr>
            <w:r>
              <w:rPr>
                <w:rFonts w:ascii="Arial" w:cs="Arial" w:eastAsia="Arial" w:hAnsi="Arial"/>
                <w:sz w:val="14"/>
                <w:szCs w:val="14"/>
                <w:color w:val="auto"/>
              </w:rPr>
              <w:t>Net income</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57,279</w:t>
            </w: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62"/>
        </w:trPr>
        <w:tc>
          <w:tcPr>
            <w:tcW w:w="3340" w:type="dxa"/>
            <w:vAlign w:val="bottom"/>
          </w:tcPr>
          <w:p>
            <w:pPr>
              <w:spacing w:after="0"/>
              <w:rPr>
                <w:sz w:val="20"/>
                <w:szCs w:val="20"/>
                <w:color w:val="auto"/>
              </w:rPr>
            </w:pPr>
            <w:r>
              <w:rPr>
                <w:rFonts w:ascii="Arial" w:cs="Arial" w:eastAsia="Arial" w:hAnsi="Arial"/>
                <w:sz w:val="14"/>
                <w:szCs w:val="14"/>
                <w:color w:val="auto"/>
              </w:rPr>
              <w:t>Compensation and benefits paid or payable in</w:t>
            </w: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40" w:type="dxa"/>
            <w:vAlign w:val="bottom"/>
          </w:tcPr>
          <w:p>
            <w:pPr>
              <w:spacing w:after="0"/>
              <w:rPr>
                <w:sz w:val="20"/>
                <w:szCs w:val="20"/>
                <w:color w:val="auto"/>
              </w:rPr>
            </w:pPr>
            <w:r>
              <w:rPr>
                <w:rFonts w:ascii="Arial" w:cs="Arial" w:eastAsia="Arial" w:hAnsi="Arial"/>
                <w:sz w:val="14"/>
                <w:szCs w:val="14"/>
                <w:color w:val="auto"/>
              </w:rPr>
              <w:t>shares</w:t>
            </w:r>
          </w:p>
        </w:tc>
        <w:tc>
          <w:tcPr>
            <w:tcW w:w="700" w:type="dxa"/>
            <w:vAlign w:val="bottom"/>
          </w:tcPr>
          <w:p>
            <w:pPr>
              <w:jc w:val="right"/>
              <w:spacing w:after="0"/>
              <w:rPr>
                <w:sz w:val="20"/>
                <w:szCs w:val="20"/>
                <w:color w:val="auto"/>
              </w:rPr>
            </w:pPr>
            <w:r>
              <w:rPr>
                <w:rFonts w:ascii="Arial" w:cs="Arial" w:eastAsia="Arial" w:hAnsi="Arial"/>
                <w:sz w:val="14"/>
                <w:szCs w:val="14"/>
                <w:color w:val="auto"/>
              </w:rPr>
              <w:t>55</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1,540</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340" w:type="dxa"/>
            <w:vAlign w:val="bottom"/>
          </w:tcPr>
          <w:p>
            <w:pPr>
              <w:spacing w:after="0"/>
              <w:rPr>
                <w:sz w:val="20"/>
                <w:szCs w:val="20"/>
                <w:color w:val="auto"/>
              </w:rPr>
            </w:pPr>
            <w:r>
              <w:rPr>
                <w:rFonts w:ascii="Arial" w:cs="Arial" w:eastAsia="Arial" w:hAnsi="Arial"/>
                <w:sz w:val="14"/>
                <w:szCs w:val="14"/>
                <w:color w:val="auto"/>
              </w:rPr>
              <w:t>Options exercised</w:t>
            </w:r>
          </w:p>
        </w:tc>
        <w:tc>
          <w:tcPr>
            <w:tcW w:w="700" w:type="dxa"/>
            <w:vAlign w:val="bottom"/>
          </w:tcPr>
          <w:p>
            <w:pPr>
              <w:jc w:val="right"/>
              <w:spacing w:after="0"/>
              <w:rPr>
                <w:sz w:val="20"/>
                <w:szCs w:val="20"/>
                <w:color w:val="auto"/>
              </w:rPr>
            </w:pPr>
            <w:r>
              <w:rPr>
                <w:rFonts w:ascii="Arial" w:cs="Arial" w:eastAsia="Arial" w:hAnsi="Arial"/>
                <w:sz w:val="14"/>
                <w:szCs w:val="14"/>
                <w:color w:val="auto"/>
              </w:rPr>
              <w:t>99</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2,520</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340" w:type="dxa"/>
            <w:vAlign w:val="bottom"/>
          </w:tcPr>
          <w:p>
            <w:pPr>
              <w:spacing w:after="0"/>
              <w:rPr>
                <w:sz w:val="20"/>
                <w:szCs w:val="20"/>
                <w:color w:val="auto"/>
              </w:rPr>
            </w:pPr>
            <w:r>
              <w:rPr>
                <w:rFonts w:ascii="Arial" w:cs="Arial" w:eastAsia="Arial" w:hAnsi="Arial"/>
                <w:sz w:val="14"/>
                <w:szCs w:val="14"/>
                <w:color w:val="auto"/>
              </w:rPr>
              <w:t>Shares issued to Directors'</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76</w:t>
            </w:r>
          </w:p>
        </w:tc>
        <w:tc>
          <w:tcPr>
            <w:tcW w:w="86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w:t>
            </w: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90</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340" w:type="dxa"/>
            <w:vAlign w:val="bottom"/>
          </w:tcPr>
          <w:p>
            <w:pPr>
              <w:spacing w:after="0"/>
              <w:rPr>
                <w:sz w:val="20"/>
                <w:szCs w:val="20"/>
                <w:color w:val="auto"/>
              </w:rPr>
            </w:pPr>
            <w:r>
              <w:rPr>
                <w:rFonts w:ascii="Arial" w:cs="Arial" w:eastAsia="Arial" w:hAnsi="Arial"/>
                <w:sz w:val="14"/>
                <w:szCs w:val="14"/>
                <w:color w:val="auto"/>
              </w:rPr>
              <w:t>Dividends declared</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(21,434)</w:t>
            </w: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340" w:type="dxa"/>
            <w:vAlign w:val="bottom"/>
          </w:tcPr>
          <w:p>
            <w:pPr>
              <w:spacing w:after="0"/>
              <w:rPr>
                <w:sz w:val="20"/>
                <w:szCs w:val="20"/>
                <w:color w:val="auto"/>
              </w:rPr>
            </w:pPr>
            <w:r>
              <w:rPr>
                <w:rFonts w:ascii="Arial" w:cs="Arial" w:eastAsia="Arial" w:hAnsi="Arial"/>
                <w:sz w:val="14"/>
                <w:szCs w:val="14"/>
                <w:color w:val="auto"/>
              </w:rPr>
              <w:t>Cumulative translation adjustments</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(53,415)</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62"/>
        </w:trPr>
        <w:tc>
          <w:tcPr>
            <w:tcW w:w="3340" w:type="dxa"/>
            <w:vAlign w:val="bottom"/>
          </w:tcPr>
          <w:p>
            <w:pPr>
              <w:spacing w:after="0"/>
              <w:rPr>
                <w:sz w:val="20"/>
                <w:szCs w:val="20"/>
                <w:color w:val="auto"/>
              </w:rPr>
            </w:pPr>
            <w:r>
              <w:rPr>
                <w:rFonts w:ascii="Arial" w:cs="Arial" w:eastAsia="Arial" w:hAnsi="Arial"/>
                <w:sz w:val="14"/>
                <w:szCs w:val="14"/>
                <w:color w:val="auto"/>
              </w:rPr>
              <w:t>Pension and postretirement liability adjustments</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2,941</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34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Derivative valuation adjustment</w:t>
            </w:r>
          </w:p>
        </w:tc>
        <w:tc>
          <w:tcPr>
            <w:tcW w:w="7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gridSpan w:val="2"/>
          </w:tcPr>
          <w:p>
            <w:pPr>
              <w:jc w:val="right"/>
              <w:ind w:right="60"/>
              <w:spacing w:after="0" w:line="157"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gridSpan w:val="2"/>
          </w:tcPr>
          <w:p>
            <w:pPr>
              <w:jc w:val="right"/>
              <w:ind w:right="60"/>
              <w:spacing w:after="0" w:line="157" w:lineRule="exact"/>
              <w:rPr>
                <w:sz w:val="20"/>
                <w:szCs w:val="20"/>
                <w:color w:val="auto"/>
              </w:rPr>
            </w:pPr>
            <w:r>
              <w:rPr>
                <w:rFonts w:ascii="Arial" w:cs="Arial" w:eastAsia="Arial" w:hAnsi="Arial"/>
                <w:sz w:val="14"/>
                <w:szCs w:val="14"/>
                <w:color w:val="auto"/>
              </w:rPr>
              <w:t>(603)</w:t>
            </w:r>
          </w:p>
        </w:tc>
        <w:tc>
          <w:tcPr>
            <w:tcW w:w="6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gridSpan w:val="2"/>
          </w:tcPr>
          <w:p>
            <w:pPr>
              <w:jc w:val="right"/>
              <w:ind w:right="20"/>
              <w:spacing w:after="0" w:line="157"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33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December 31, 2015</w:t>
            </w: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37,239</w:t>
            </w:r>
          </w:p>
        </w:tc>
        <w:tc>
          <w:tcPr>
            <w:tcW w:w="680" w:type="dxa"/>
            <w:vAlign w:val="bottom"/>
            <w:tcBorders>
              <w:bottom w:val="single" w:sz="8" w:color="auto"/>
            </w:tcBorders>
            <w:gridSpan w:val="2"/>
          </w:tcPr>
          <w:p>
            <w:pPr>
              <w:jc w:val="right"/>
              <w:ind w:right="120"/>
              <w:spacing w:after="0" w:line="155" w:lineRule="exact"/>
              <w:rPr>
                <w:sz w:val="20"/>
                <w:szCs w:val="20"/>
                <w:color w:val="auto"/>
              </w:rPr>
            </w:pPr>
            <w:r>
              <w:rPr>
                <w:rFonts w:ascii="Arial" w:cs="Arial" w:eastAsia="Arial" w:hAnsi="Arial"/>
                <w:sz w:val="14"/>
                <w:szCs w:val="14"/>
                <w:color w:val="auto"/>
              </w:rPr>
              <w:t>$37</w:t>
            </w: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3,235</w:t>
            </w:r>
          </w:p>
        </w:tc>
        <w:tc>
          <w:tcPr>
            <w:tcW w:w="600" w:type="dxa"/>
            <w:vAlign w:val="bottom"/>
            <w:tcBorders>
              <w:bottom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color w:val="auto"/>
              </w:rPr>
              <w:t>$3</w:t>
            </w:r>
          </w:p>
        </w:tc>
        <w:tc>
          <w:tcPr>
            <w:tcW w:w="9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$423,108</w:t>
            </w: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$491,950</w:t>
            </w:r>
          </w:p>
        </w:tc>
        <w:tc>
          <w:tcPr>
            <w:tcW w:w="1140" w:type="dxa"/>
            <w:vAlign w:val="bottom"/>
            <w:tcBorders>
              <w:bottom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color w:val="auto"/>
              </w:rPr>
              <w:t>($158,844)</w:t>
            </w: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8,455</w:t>
            </w:r>
          </w:p>
        </w:tc>
        <w:tc>
          <w:tcPr>
            <w:tcW w:w="78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color w:val="auto"/>
              </w:rPr>
              <w:t>($257,391)</w:t>
            </w: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$3,690</w:t>
            </w:r>
          </w:p>
        </w:tc>
        <w:tc>
          <w:tcPr>
            <w:tcW w:w="0" w:type="dxa"/>
            <w:vAlign w:val="bottom"/>
          </w:tcPr>
          <w:p>
            <w:pPr>
              <w:spacing w:after="0"/>
              <w:rPr>
                <w:sz w:val="1"/>
                <w:szCs w:val="1"/>
                <w:color w:val="auto"/>
              </w:rPr>
            </w:pPr>
          </w:p>
        </w:tc>
      </w:tr>
      <w:tr>
        <w:trPr>
          <w:trHeight w:val="160"/>
        </w:trPr>
        <w:tc>
          <w:tcPr>
            <w:tcW w:w="3340" w:type="dxa"/>
            <w:vAlign w:val="bottom"/>
          </w:tcPr>
          <w:p>
            <w:pPr>
              <w:spacing w:after="0"/>
              <w:rPr>
                <w:sz w:val="20"/>
                <w:szCs w:val="20"/>
                <w:color w:val="auto"/>
              </w:rPr>
            </w:pPr>
            <w:r>
              <w:rPr>
                <w:rFonts w:ascii="Arial" w:cs="Arial" w:eastAsia="Arial" w:hAnsi="Arial"/>
                <w:sz w:val="14"/>
                <w:szCs w:val="14"/>
                <w:color w:val="auto"/>
              </w:rPr>
              <w:t>Net income</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52,733</w:t>
            </w: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62"/>
        </w:trPr>
        <w:tc>
          <w:tcPr>
            <w:tcW w:w="3340" w:type="dxa"/>
            <w:vAlign w:val="bottom"/>
          </w:tcPr>
          <w:p>
            <w:pPr>
              <w:spacing w:after="0"/>
              <w:rPr>
                <w:sz w:val="20"/>
                <w:szCs w:val="20"/>
                <w:color w:val="auto"/>
              </w:rPr>
            </w:pPr>
            <w:r>
              <w:rPr>
                <w:rFonts w:ascii="Arial" w:cs="Arial" w:eastAsia="Arial" w:hAnsi="Arial"/>
                <w:sz w:val="14"/>
                <w:szCs w:val="14"/>
                <w:color w:val="auto"/>
              </w:rPr>
              <w:t>Compensation and benefits paid or payable in</w:t>
            </w: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40" w:type="dxa"/>
            <w:vAlign w:val="bottom"/>
          </w:tcPr>
          <w:p>
            <w:pPr>
              <w:spacing w:after="0"/>
              <w:rPr>
                <w:sz w:val="20"/>
                <w:szCs w:val="20"/>
                <w:color w:val="auto"/>
              </w:rPr>
            </w:pPr>
            <w:r>
              <w:rPr>
                <w:rFonts w:ascii="Arial" w:cs="Arial" w:eastAsia="Arial" w:hAnsi="Arial"/>
                <w:sz w:val="14"/>
                <w:szCs w:val="14"/>
                <w:color w:val="auto"/>
              </w:rPr>
              <w:t>shares</w:t>
            </w:r>
          </w:p>
        </w:tc>
        <w:tc>
          <w:tcPr>
            <w:tcW w:w="700" w:type="dxa"/>
            <w:vAlign w:val="bottom"/>
          </w:tcPr>
          <w:p>
            <w:pPr>
              <w:jc w:val="right"/>
              <w:spacing w:after="0"/>
              <w:rPr>
                <w:sz w:val="20"/>
                <w:szCs w:val="20"/>
                <w:color w:val="auto"/>
              </w:rPr>
            </w:pPr>
            <w:r>
              <w:rPr>
                <w:rFonts w:ascii="Arial" w:cs="Arial" w:eastAsia="Arial" w:hAnsi="Arial"/>
                <w:sz w:val="14"/>
                <w:szCs w:val="14"/>
                <w:color w:val="auto"/>
              </w:rPr>
              <w:t>53</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1,980</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62"/>
        </w:trPr>
        <w:tc>
          <w:tcPr>
            <w:tcW w:w="3340" w:type="dxa"/>
            <w:vAlign w:val="bottom"/>
          </w:tcPr>
          <w:p>
            <w:pPr>
              <w:spacing w:after="0"/>
              <w:rPr>
                <w:sz w:val="20"/>
                <w:szCs w:val="20"/>
                <w:color w:val="auto"/>
              </w:rPr>
            </w:pPr>
            <w:r>
              <w:rPr>
                <w:rFonts w:ascii="Arial" w:cs="Arial" w:eastAsia="Arial" w:hAnsi="Arial"/>
                <w:sz w:val="14"/>
                <w:szCs w:val="14"/>
                <w:color w:val="auto"/>
              </w:rPr>
              <w:t>Options exercised</w:t>
            </w:r>
          </w:p>
        </w:tc>
        <w:tc>
          <w:tcPr>
            <w:tcW w:w="700" w:type="dxa"/>
            <w:vAlign w:val="bottom"/>
          </w:tcPr>
          <w:p>
            <w:pPr>
              <w:jc w:val="right"/>
              <w:spacing w:after="0"/>
              <w:rPr>
                <w:sz w:val="20"/>
                <w:szCs w:val="20"/>
                <w:color w:val="auto"/>
              </w:rPr>
            </w:pPr>
            <w:r>
              <w:rPr>
                <w:rFonts w:ascii="Arial" w:cs="Arial" w:eastAsia="Arial" w:hAnsi="Arial"/>
                <w:sz w:val="14"/>
                <w:szCs w:val="14"/>
                <w:color w:val="auto"/>
              </w:rPr>
              <w:t>26</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667</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62"/>
        </w:trPr>
        <w:tc>
          <w:tcPr>
            <w:tcW w:w="3340" w:type="dxa"/>
            <w:vAlign w:val="bottom"/>
          </w:tcPr>
          <w:p>
            <w:pPr>
              <w:spacing w:after="0"/>
              <w:rPr>
                <w:sz w:val="20"/>
                <w:szCs w:val="20"/>
                <w:color w:val="auto"/>
              </w:rPr>
            </w:pPr>
            <w:r>
              <w:rPr>
                <w:rFonts w:ascii="Arial" w:cs="Arial" w:eastAsia="Arial" w:hAnsi="Arial"/>
                <w:sz w:val="14"/>
                <w:szCs w:val="14"/>
                <w:color w:val="auto"/>
              </w:rPr>
              <w:t>Shares issued to Directors'</w:t>
            </w: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198</w:t>
            </w:r>
          </w:p>
        </w:tc>
        <w:tc>
          <w:tcPr>
            <w:tcW w:w="86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w:t>
            </w: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255</w:t>
            </w: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340" w:type="dxa"/>
            <w:vAlign w:val="bottom"/>
          </w:tcPr>
          <w:p>
            <w:pPr>
              <w:spacing w:after="0"/>
              <w:rPr>
                <w:sz w:val="20"/>
                <w:szCs w:val="20"/>
                <w:color w:val="auto"/>
              </w:rPr>
            </w:pPr>
            <w:r>
              <w:rPr>
                <w:rFonts w:ascii="Arial" w:cs="Arial" w:eastAsia="Arial" w:hAnsi="Arial"/>
                <w:sz w:val="14"/>
                <w:szCs w:val="14"/>
                <w:color w:val="auto"/>
              </w:rPr>
              <w:t>Dividends declared</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(21,828)</w:t>
            </w: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340" w:type="dxa"/>
            <w:vAlign w:val="bottom"/>
          </w:tcPr>
          <w:p>
            <w:pPr>
              <w:spacing w:after="0"/>
              <w:rPr>
                <w:sz w:val="20"/>
                <w:szCs w:val="20"/>
                <w:color w:val="auto"/>
              </w:rPr>
            </w:pPr>
            <w:r>
              <w:rPr>
                <w:rFonts w:ascii="Arial" w:cs="Arial" w:eastAsia="Arial" w:hAnsi="Arial"/>
                <w:sz w:val="14"/>
                <w:szCs w:val="14"/>
                <w:color w:val="auto"/>
              </w:rPr>
              <w:t>Cumulative translation adjustments</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(24,643)</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2"/>
        </w:trPr>
        <w:tc>
          <w:tcPr>
            <w:tcW w:w="3340" w:type="dxa"/>
            <w:vAlign w:val="bottom"/>
          </w:tcPr>
          <w:p>
            <w:pPr>
              <w:spacing w:after="0"/>
              <w:rPr>
                <w:sz w:val="20"/>
                <w:szCs w:val="20"/>
                <w:color w:val="auto"/>
              </w:rPr>
            </w:pPr>
            <w:r>
              <w:rPr>
                <w:rFonts w:ascii="Arial" w:cs="Arial" w:eastAsia="Arial" w:hAnsi="Arial"/>
                <w:sz w:val="14"/>
                <w:szCs w:val="14"/>
                <w:color w:val="auto"/>
              </w:rPr>
              <w:t>Pension and postretirement liability adjustments</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(2,994)</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34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Derivative valuation adjustment</w:t>
            </w:r>
          </w:p>
        </w:tc>
        <w:tc>
          <w:tcPr>
            <w:tcW w:w="7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gridSpan w:val="2"/>
          </w:tcPr>
          <w:p>
            <w:pPr>
              <w:jc w:val="right"/>
              <w:ind w:right="60"/>
              <w:spacing w:after="0" w:line="157"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gridSpan w:val="2"/>
          </w:tcPr>
          <w:p>
            <w:pPr>
              <w:jc w:val="right"/>
              <w:ind w:right="60"/>
              <w:spacing w:after="0" w:line="157" w:lineRule="exact"/>
              <w:rPr>
                <w:sz w:val="20"/>
                <w:szCs w:val="20"/>
                <w:color w:val="auto"/>
              </w:rPr>
            </w:pPr>
            <w:r>
              <w:rPr>
                <w:rFonts w:ascii="Arial" w:cs="Arial" w:eastAsia="Arial" w:hAnsi="Arial"/>
                <w:sz w:val="14"/>
                <w:szCs w:val="14"/>
                <w:color w:val="auto"/>
              </w:rPr>
              <w:t>2,292</w:t>
            </w:r>
          </w:p>
        </w:tc>
        <w:tc>
          <w:tcPr>
            <w:tcW w:w="6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gridSpan w:val="2"/>
          </w:tcPr>
          <w:p>
            <w:pPr>
              <w:jc w:val="right"/>
              <w:ind w:right="20"/>
              <w:spacing w:after="0" w:line="157"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33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December 31, 2016</w:t>
            </w: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37,319</w:t>
            </w:r>
          </w:p>
        </w:tc>
        <w:tc>
          <w:tcPr>
            <w:tcW w:w="680" w:type="dxa"/>
            <w:vAlign w:val="bottom"/>
            <w:tcBorders>
              <w:bottom w:val="single" w:sz="8" w:color="auto"/>
            </w:tcBorders>
            <w:gridSpan w:val="2"/>
          </w:tcPr>
          <w:p>
            <w:pPr>
              <w:jc w:val="right"/>
              <w:ind w:right="120"/>
              <w:spacing w:after="0" w:line="155" w:lineRule="exact"/>
              <w:rPr>
                <w:sz w:val="20"/>
                <w:szCs w:val="20"/>
                <w:color w:val="auto"/>
              </w:rPr>
            </w:pPr>
            <w:r>
              <w:rPr>
                <w:rFonts w:ascii="Arial" w:cs="Arial" w:eastAsia="Arial" w:hAnsi="Arial"/>
                <w:sz w:val="14"/>
                <w:szCs w:val="14"/>
                <w:color w:val="auto"/>
              </w:rPr>
              <w:t>$37</w:t>
            </w: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3,234</w:t>
            </w:r>
          </w:p>
        </w:tc>
        <w:tc>
          <w:tcPr>
            <w:tcW w:w="600" w:type="dxa"/>
            <w:vAlign w:val="bottom"/>
            <w:tcBorders>
              <w:bottom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color w:val="auto"/>
              </w:rPr>
              <w:t>$3</w:t>
            </w:r>
          </w:p>
        </w:tc>
        <w:tc>
          <w:tcPr>
            <w:tcW w:w="9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$425,953</w:t>
            </w: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$522,855</w:t>
            </w:r>
          </w:p>
        </w:tc>
        <w:tc>
          <w:tcPr>
            <w:tcW w:w="1140" w:type="dxa"/>
            <w:vAlign w:val="bottom"/>
            <w:tcBorders>
              <w:bottom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color w:val="auto"/>
              </w:rPr>
              <w:t>($184,189)</w:t>
            </w: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8,443</w:t>
            </w:r>
          </w:p>
        </w:tc>
        <w:tc>
          <w:tcPr>
            <w:tcW w:w="78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color w:val="auto"/>
              </w:rPr>
              <w:t>($257,136)</w:t>
            </w: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$3,767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1120"/>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342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20. Quarterly Financial Data (unaudited)</w:t>
      </w:r>
    </w:p>
    <w:p>
      <w:pPr>
        <w:spacing w:after="0" w:line="192" w:lineRule="exact"/>
        <w:rPr>
          <w:sz w:val="20"/>
          <w:szCs w:val="20"/>
          <w:color w:val="auto"/>
        </w:rPr>
      </w:pPr>
    </w:p>
    <w:p>
      <w:pPr>
        <w:ind w:right="80" w:firstLine="648"/>
        <w:spacing w:after="0" w:line="237" w:lineRule="auto"/>
        <w:rPr>
          <w:sz w:val="20"/>
          <w:szCs w:val="20"/>
          <w:color w:val="auto"/>
        </w:rPr>
      </w:pPr>
      <w:r>
        <w:rPr>
          <w:rFonts w:ascii="Arial" w:cs="Arial" w:eastAsia="Arial" w:hAnsi="Arial"/>
          <w:sz w:val="18"/>
          <w:szCs w:val="18"/>
          <w:color w:val="auto"/>
        </w:rPr>
        <w:t>The following table presents certain unaudited quarterly consolidated statement of operations data from continuing operations for each of the quarters in the periods ended December 31, 2016, 2015 and 2014. The information has been derived from our unaudited financial statements, which have been prepared on substantially the same basis as the audited consolidated financial statements contained in this report. We have presented quarterly earnings per share numbers as reported in our earnings releases. The sum of these quarterly results may differ from annual results due to rounding and the impact of the difference in the weighted shares outstanding for the stand-alone periods. The results of operations for any quarter are not necessarily indicative of the results to be expected for any future period.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20" w:type="dxa"/>
            <w:vAlign w:val="bottom"/>
          </w:tcPr>
          <w:p>
            <w:pPr>
              <w:spacing w:after="0"/>
              <w:rPr>
                <w:sz w:val="20"/>
                <w:szCs w:val="20"/>
                <w:color w:val="auto"/>
              </w:rPr>
            </w:pPr>
            <w:r>
              <w:rPr>
                <w:rFonts w:ascii="Arial" w:cs="Arial" w:eastAsia="Arial" w:hAnsi="Arial"/>
                <w:sz w:val="18"/>
                <w:szCs w:val="18"/>
                <w:b w:val="1"/>
                <w:bCs w:val="1"/>
                <w:color w:val="auto"/>
              </w:rPr>
              <w:t>(in millions, except per share amounts)</w:t>
            </w:r>
          </w:p>
        </w:tc>
        <w:tc>
          <w:tcPr>
            <w:tcW w:w="15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25"/>
        </w:trPr>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2016</w:t>
            </w:r>
          </w:p>
        </w:tc>
        <w:tc>
          <w:tcPr>
            <w:tcW w:w="15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1st</w:t>
            </w:r>
          </w:p>
        </w:tc>
        <w:tc>
          <w:tcPr>
            <w:tcW w:w="15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2nd</w:t>
            </w:r>
          </w:p>
        </w:tc>
        <w:tc>
          <w:tcPr>
            <w:tcW w:w="146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3rd</w:t>
            </w:r>
          </w:p>
        </w:tc>
        <w:tc>
          <w:tcPr>
            <w:tcW w:w="14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4th</w:t>
            </w: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Total</w:t>
            </w:r>
          </w:p>
        </w:tc>
      </w:tr>
      <w:tr>
        <w:trPr>
          <w:trHeight w:val="173"/>
        </w:trPr>
        <w:tc>
          <w:tcPr>
            <w:tcW w:w="4220" w:type="dxa"/>
            <w:vAlign w:val="bottom"/>
          </w:tcPr>
          <w:p>
            <w:pPr>
              <w:ind w:left="40"/>
              <w:spacing w:after="0" w:line="173" w:lineRule="exact"/>
              <w:rPr>
                <w:sz w:val="20"/>
                <w:szCs w:val="20"/>
                <w:color w:val="auto"/>
              </w:rPr>
            </w:pPr>
            <w:r>
              <w:rPr>
                <w:rFonts w:ascii="Arial" w:cs="Arial" w:eastAsia="Arial" w:hAnsi="Arial"/>
                <w:sz w:val="18"/>
                <w:szCs w:val="18"/>
                <w:b w:val="1"/>
                <w:bCs w:val="1"/>
                <w:color w:val="auto"/>
              </w:rPr>
              <w:t>Net sales</w:t>
            </w:r>
          </w:p>
        </w:tc>
        <w:tc>
          <w:tcPr>
            <w:tcW w:w="1580" w:type="dxa"/>
            <w:vAlign w:val="bottom"/>
          </w:tcPr>
          <w:p>
            <w:pPr>
              <w:jc w:val="right"/>
              <w:ind w:right="330"/>
              <w:spacing w:after="0" w:line="173" w:lineRule="exact"/>
              <w:rPr>
                <w:sz w:val="20"/>
                <w:szCs w:val="20"/>
                <w:color w:val="auto"/>
              </w:rPr>
            </w:pPr>
            <w:r>
              <w:rPr>
                <w:rFonts w:ascii="Arial" w:cs="Arial" w:eastAsia="Arial" w:hAnsi="Arial"/>
                <w:sz w:val="18"/>
                <w:szCs w:val="18"/>
                <w:b w:val="1"/>
                <w:bCs w:val="1"/>
                <w:color w:val="auto"/>
              </w:rPr>
              <w:t>$172.3</w:t>
            </w:r>
          </w:p>
        </w:tc>
        <w:tc>
          <w:tcPr>
            <w:tcW w:w="1540" w:type="dxa"/>
            <w:vAlign w:val="bottom"/>
          </w:tcPr>
          <w:p>
            <w:pPr>
              <w:jc w:val="right"/>
              <w:ind w:right="370"/>
              <w:spacing w:after="0" w:line="173" w:lineRule="exact"/>
              <w:rPr>
                <w:sz w:val="20"/>
                <w:szCs w:val="20"/>
                <w:color w:val="auto"/>
              </w:rPr>
            </w:pPr>
            <w:r>
              <w:rPr>
                <w:rFonts w:ascii="Arial" w:cs="Arial" w:eastAsia="Arial" w:hAnsi="Arial"/>
                <w:sz w:val="18"/>
                <w:szCs w:val="18"/>
                <w:b w:val="1"/>
                <w:bCs w:val="1"/>
                <w:color w:val="auto"/>
              </w:rPr>
              <w:t>$203.2</w:t>
            </w:r>
          </w:p>
        </w:tc>
        <w:tc>
          <w:tcPr>
            <w:tcW w:w="1460" w:type="dxa"/>
            <w:vAlign w:val="bottom"/>
          </w:tcPr>
          <w:p>
            <w:pPr>
              <w:jc w:val="right"/>
              <w:ind w:right="330"/>
              <w:spacing w:after="0" w:line="173" w:lineRule="exact"/>
              <w:rPr>
                <w:sz w:val="20"/>
                <w:szCs w:val="20"/>
                <w:color w:val="auto"/>
              </w:rPr>
            </w:pPr>
            <w:r>
              <w:rPr>
                <w:rFonts w:ascii="Arial" w:cs="Arial" w:eastAsia="Arial" w:hAnsi="Arial"/>
                <w:sz w:val="18"/>
                <w:szCs w:val="18"/>
                <w:b w:val="1"/>
                <w:bCs w:val="1"/>
                <w:color w:val="auto"/>
              </w:rPr>
              <w:t>$191.3</w:t>
            </w:r>
          </w:p>
        </w:tc>
        <w:tc>
          <w:tcPr>
            <w:tcW w:w="1420" w:type="dxa"/>
            <w:vAlign w:val="bottom"/>
          </w:tcPr>
          <w:p>
            <w:pPr>
              <w:jc w:val="right"/>
              <w:ind w:right="270"/>
              <w:spacing w:after="0" w:line="173" w:lineRule="exact"/>
              <w:rPr>
                <w:sz w:val="20"/>
                <w:szCs w:val="20"/>
                <w:color w:val="auto"/>
              </w:rPr>
            </w:pPr>
            <w:r>
              <w:rPr>
                <w:rFonts w:ascii="Arial" w:cs="Arial" w:eastAsia="Arial" w:hAnsi="Arial"/>
                <w:sz w:val="18"/>
                <w:szCs w:val="18"/>
                <w:b w:val="1"/>
                <w:bCs w:val="1"/>
                <w:color w:val="auto"/>
              </w:rPr>
              <w:t>$213.0</w:t>
            </w:r>
          </w:p>
        </w:tc>
        <w:tc>
          <w:tcPr>
            <w:tcW w:w="1200" w:type="dxa"/>
            <w:vAlign w:val="bottom"/>
          </w:tcPr>
          <w:p>
            <w:pPr>
              <w:jc w:val="right"/>
              <w:ind w:right="10"/>
              <w:spacing w:after="0" w:line="173" w:lineRule="exact"/>
              <w:rPr>
                <w:sz w:val="20"/>
                <w:szCs w:val="20"/>
                <w:color w:val="auto"/>
              </w:rPr>
            </w:pPr>
            <w:r>
              <w:rPr>
                <w:rFonts w:ascii="Arial" w:cs="Arial" w:eastAsia="Arial" w:hAnsi="Arial"/>
                <w:sz w:val="18"/>
                <w:szCs w:val="18"/>
                <w:b w:val="1"/>
                <w:bCs w:val="1"/>
                <w:color w:val="auto"/>
              </w:rPr>
              <w:t>$779.8</w:t>
            </w:r>
          </w:p>
        </w:tc>
      </w:tr>
      <w:tr>
        <w:trPr>
          <w:trHeight w:val="203"/>
        </w:trPr>
        <w:tc>
          <w:tcPr>
            <w:tcW w:w="4220" w:type="dxa"/>
            <w:vAlign w:val="bottom"/>
          </w:tcPr>
          <w:p>
            <w:pPr>
              <w:ind w:left="40"/>
              <w:spacing w:after="0" w:line="202" w:lineRule="exact"/>
              <w:rPr>
                <w:sz w:val="20"/>
                <w:szCs w:val="20"/>
                <w:color w:val="auto"/>
              </w:rPr>
            </w:pPr>
            <w:r>
              <w:rPr>
                <w:rFonts w:ascii="Arial" w:cs="Arial" w:eastAsia="Arial" w:hAnsi="Arial"/>
                <w:sz w:val="18"/>
                <w:szCs w:val="18"/>
                <w:b w:val="1"/>
                <w:bCs w:val="1"/>
                <w:color w:val="auto"/>
              </w:rPr>
              <w:t>Gross profit</w:t>
            </w:r>
          </w:p>
        </w:tc>
        <w:tc>
          <w:tcPr>
            <w:tcW w:w="158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72.5</w:t>
            </w:r>
          </w:p>
        </w:tc>
        <w:tc>
          <w:tcPr>
            <w:tcW w:w="1540" w:type="dxa"/>
            <w:vAlign w:val="bottom"/>
          </w:tcPr>
          <w:p>
            <w:pPr>
              <w:jc w:val="right"/>
              <w:ind w:right="370"/>
              <w:spacing w:after="0" w:line="202" w:lineRule="exact"/>
              <w:rPr>
                <w:sz w:val="20"/>
                <w:szCs w:val="20"/>
                <w:color w:val="auto"/>
              </w:rPr>
            </w:pPr>
            <w:r>
              <w:rPr>
                <w:rFonts w:ascii="Arial" w:cs="Arial" w:eastAsia="Arial" w:hAnsi="Arial"/>
                <w:sz w:val="18"/>
                <w:szCs w:val="18"/>
                <w:b w:val="1"/>
                <w:bCs w:val="1"/>
                <w:color w:val="auto"/>
              </w:rPr>
              <w:t>78.3</w:t>
            </w:r>
          </w:p>
        </w:tc>
        <w:tc>
          <w:tcPr>
            <w:tcW w:w="146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72.4</w:t>
            </w:r>
          </w:p>
        </w:tc>
        <w:tc>
          <w:tcPr>
            <w:tcW w:w="1420" w:type="dxa"/>
            <w:vAlign w:val="bottom"/>
          </w:tcPr>
          <w:p>
            <w:pPr>
              <w:jc w:val="right"/>
              <w:ind w:right="270"/>
              <w:spacing w:after="0" w:line="202" w:lineRule="exact"/>
              <w:rPr>
                <w:sz w:val="20"/>
                <w:szCs w:val="20"/>
                <w:color w:val="auto"/>
              </w:rPr>
            </w:pPr>
            <w:r>
              <w:rPr>
                <w:rFonts w:ascii="Arial" w:cs="Arial" w:eastAsia="Arial" w:hAnsi="Arial"/>
                <w:sz w:val="18"/>
                <w:szCs w:val="18"/>
                <w:b w:val="1"/>
                <w:bCs w:val="1"/>
                <w:color w:val="auto"/>
              </w:rPr>
              <w:t>77.4</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300.6</w:t>
            </w:r>
          </w:p>
        </w:tc>
      </w:tr>
      <w:tr>
        <w:trPr>
          <w:trHeight w:val="203"/>
        </w:trPr>
        <w:tc>
          <w:tcPr>
            <w:tcW w:w="4220" w:type="dxa"/>
            <w:vAlign w:val="bottom"/>
          </w:tcPr>
          <w:p>
            <w:pPr>
              <w:ind w:left="40"/>
              <w:spacing w:after="0" w:line="202" w:lineRule="exact"/>
              <w:rPr>
                <w:sz w:val="20"/>
                <w:szCs w:val="20"/>
                <w:color w:val="auto"/>
              </w:rPr>
            </w:pPr>
            <w:r>
              <w:rPr>
                <w:rFonts w:ascii="Arial" w:cs="Arial" w:eastAsia="Arial" w:hAnsi="Arial"/>
                <w:sz w:val="18"/>
                <w:szCs w:val="18"/>
                <w:b w:val="1"/>
                <w:bCs w:val="1"/>
                <w:color w:val="auto"/>
              </w:rPr>
              <w:t>Net income attributable to the Company</w:t>
            </w:r>
          </w:p>
        </w:tc>
        <w:tc>
          <w:tcPr>
            <w:tcW w:w="158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13.5</w:t>
            </w:r>
          </w:p>
        </w:tc>
        <w:tc>
          <w:tcPr>
            <w:tcW w:w="1540" w:type="dxa"/>
            <w:vAlign w:val="bottom"/>
          </w:tcPr>
          <w:p>
            <w:pPr>
              <w:jc w:val="right"/>
              <w:ind w:right="370"/>
              <w:spacing w:after="0" w:line="202" w:lineRule="exact"/>
              <w:rPr>
                <w:sz w:val="20"/>
                <w:szCs w:val="20"/>
                <w:color w:val="auto"/>
              </w:rPr>
            </w:pPr>
            <w:r>
              <w:rPr>
                <w:rFonts w:ascii="Arial" w:cs="Arial" w:eastAsia="Arial" w:hAnsi="Arial"/>
                <w:sz w:val="18"/>
                <w:szCs w:val="18"/>
                <w:b w:val="1"/>
                <w:bCs w:val="1"/>
                <w:color w:val="auto"/>
              </w:rPr>
              <w:t>10.4</w:t>
            </w:r>
          </w:p>
        </w:tc>
        <w:tc>
          <w:tcPr>
            <w:tcW w:w="146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13.1</w:t>
            </w:r>
          </w:p>
        </w:tc>
        <w:tc>
          <w:tcPr>
            <w:tcW w:w="1420" w:type="dxa"/>
            <w:vAlign w:val="bottom"/>
          </w:tcPr>
          <w:p>
            <w:pPr>
              <w:jc w:val="right"/>
              <w:ind w:right="270"/>
              <w:spacing w:after="0" w:line="202" w:lineRule="exact"/>
              <w:rPr>
                <w:sz w:val="20"/>
                <w:szCs w:val="20"/>
                <w:color w:val="auto"/>
              </w:rPr>
            </w:pPr>
            <w:r>
              <w:rPr>
                <w:rFonts w:ascii="Arial" w:cs="Arial" w:eastAsia="Arial" w:hAnsi="Arial"/>
                <w:sz w:val="18"/>
                <w:szCs w:val="18"/>
                <w:b w:val="1"/>
                <w:bCs w:val="1"/>
                <w:color w:val="auto"/>
              </w:rPr>
              <w:t>15.8</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52.8</w:t>
            </w:r>
          </w:p>
        </w:tc>
      </w:tr>
      <w:tr>
        <w:trPr>
          <w:trHeight w:val="203"/>
        </w:trPr>
        <w:tc>
          <w:tcPr>
            <w:tcW w:w="4220" w:type="dxa"/>
            <w:vAlign w:val="bottom"/>
          </w:tcPr>
          <w:p>
            <w:pPr>
              <w:ind w:left="40"/>
              <w:spacing w:after="0" w:line="202" w:lineRule="exact"/>
              <w:rPr>
                <w:sz w:val="20"/>
                <w:szCs w:val="20"/>
                <w:color w:val="auto"/>
              </w:rPr>
            </w:pPr>
            <w:r>
              <w:rPr>
                <w:rFonts w:ascii="Arial" w:cs="Arial" w:eastAsia="Arial" w:hAnsi="Arial"/>
                <w:sz w:val="18"/>
                <w:szCs w:val="18"/>
                <w:b w:val="1"/>
                <w:bCs w:val="1"/>
                <w:color w:val="auto"/>
              </w:rPr>
              <w:t>Basic earnings per share</w:t>
            </w:r>
          </w:p>
        </w:tc>
        <w:tc>
          <w:tcPr>
            <w:tcW w:w="158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0.42</w:t>
            </w:r>
          </w:p>
        </w:tc>
        <w:tc>
          <w:tcPr>
            <w:tcW w:w="1540" w:type="dxa"/>
            <w:vAlign w:val="bottom"/>
          </w:tcPr>
          <w:p>
            <w:pPr>
              <w:jc w:val="right"/>
              <w:ind w:right="370"/>
              <w:spacing w:after="0" w:line="202" w:lineRule="exact"/>
              <w:rPr>
                <w:sz w:val="20"/>
                <w:szCs w:val="20"/>
                <w:color w:val="auto"/>
              </w:rPr>
            </w:pPr>
            <w:r>
              <w:rPr>
                <w:rFonts w:ascii="Arial" w:cs="Arial" w:eastAsia="Arial" w:hAnsi="Arial"/>
                <w:sz w:val="18"/>
                <w:szCs w:val="18"/>
                <w:b w:val="1"/>
                <w:bCs w:val="1"/>
                <w:color w:val="auto"/>
              </w:rPr>
              <w:t>0.32</w:t>
            </w:r>
          </w:p>
        </w:tc>
        <w:tc>
          <w:tcPr>
            <w:tcW w:w="146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0.41</w:t>
            </w:r>
          </w:p>
        </w:tc>
        <w:tc>
          <w:tcPr>
            <w:tcW w:w="1420" w:type="dxa"/>
            <w:vAlign w:val="bottom"/>
          </w:tcPr>
          <w:p>
            <w:pPr>
              <w:jc w:val="right"/>
              <w:ind w:right="270"/>
              <w:spacing w:after="0" w:line="202" w:lineRule="exact"/>
              <w:rPr>
                <w:sz w:val="20"/>
                <w:szCs w:val="20"/>
                <w:color w:val="auto"/>
              </w:rPr>
            </w:pPr>
            <w:r>
              <w:rPr>
                <w:rFonts w:ascii="Arial" w:cs="Arial" w:eastAsia="Arial" w:hAnsi="Arial"/>
                <w:sz w:val="18"/>
                <w:szCs w:val="18"/>
                <w:b w:val="1"/>
                <w:bCs w:val="1"/>
                <w:color w:val="auto"/>
              </w:rPr>
              <w:t>0.49</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1.64</w:t>
            </w:r>
          </w:p>
        </w:tc>
      </w:tr>
      <w:tr>
        <w:trPr>
          <w:trHeight w:val="203"/>
        </w:trPr>
        <w:tc>
          <w:tcPr>
            <w:tcW w:w="4220" w:type="dxa"/>
            <w:vAlign w:val="bottom"/>
          </w:tcPr>
          <w:p>
            <w:pPr>
              <w:ind w:left="40"/>
              <w:spacing w:after="0" w:line="202" w:lineRule="exact"/>
              <w:rPr>
                <w:sz w:val="20"/>
                <w:szCs w:val="20"/>
                <w:color w:val="auto"/>
              </w:rPr>
            </w:pPr>
            <w:r>
              <w:rPr>
                <w:rFonts w:ascii="Arial" w:cs="Arial" w:eastAsia="Arial" w:hAnsi="Arial"/>
                <w:sz w:val="18"/>
                <w:szCs w:val="18"/>
                <w:b w:val="1"/>
                <w:bCs w:val="1"/>
                <w:color w:val="auto"/>
              </w:rPr>
              <w:t>Diluted earnings per share</w:t>
            </w:r>
          </w:p>
        </w:tc>
        <w:tc>
          <w:tcPr>
            <w:tcW w:w="158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0.42</w:t>
            </w:r>
          </w:p>
        </w:tc>
        <w:tc>
          <w:tcPr>
            <w:tcW w:w="1540" w:type="dxa"/>
            <w:vAlign w:val="bottom"/>
          </w:tcPr>
          <w:p>
            <w:pPr>
              <w:jc w:val="right"/>
              <w:ind w:right="370"/>
              <w:spacing w:after="0" w:line="202" w:lineRule="exact"/>
              <w:rPr>
                <w:sz w:val="20"/>
                <w:szCs w:val="20"/>
                <w:color w:val="auto"/>
              </w:rPr>
            </w:pPr>
            <w:r>
              <w:rPr>
                <w:rFonts w:ascii="Arial" w:cs="Arial" w:eastAsia="Arial" w:hAnsi="Arial"/>
                <w:sz w:val="18"/>
                <w:szCs w:val="18"/>
                <w:b w:val="1"/>
                <w:bCs w:val="1"/>
                <w:color w:val="auto"/>
              </w:rPr>
              <w:t>0.32</w:t>
            </w:r>
          </w:p>
        </w:tc>
        <w:tc>
          <w:tcPr>
            <w:tcW w:w="146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0.41</w:t>
            </w:r>
          </w:p>
        </w:tc>
        <w:tc>
          <w:tcPr>
            <w:tcW w:w="1420" w:type="dxa"/>
            <w:vAlign w:val="bottom"/>
          </w:tcPr>
          <w:p>
            <w:pPr>
              <w:jc w:val="right"/>
              <w:ind w:right="270"/>
              <w:spacing w:after="0" w:line="202" w:lineRule="exact"/>
              <w:rPr>
                <w:sz w:val="20"/>
                <w:szCs w:val="20"/>
                <w:color w:val="auto"/>
              </w:rPr>
            </w:pPr>
            <w:r>
              <w:rPr>
                <w:rFonts w:ascii="Arial" w:cs="Arial" w:eastAsia="Arial" w:hAnsi="Arial"/>
                <w:sz w:val="18"/>
                <w:szCs w:val="18"/>
                <w:b w:val="1"/>
                <w:bCs w:val="1"/>
                <w:color w:val="auto"/>
              </w:rPr>
              <w:t>0.49</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1.64</w:t>
            </w:r>
          </w:p>
        </w:tc>
      </w:tr>
      <w:tr>
        <w:trPr>
          <w:trHeight w:val="203"/>
        </w:trPr>
        <w:tc>
          <w:tcPr>
            <w:tcW w:w="4220" w:type="dxa"/>
            <w:vAlign w:val="bottom"/>
          </w:tcPr>
          <w:p>
            <w:pPr>
              <w:ind w:left="40"/>
              <w:spacing w:after="0" w:line="202" w:lineRule="exact"/>
              <w:rPr>
                <w:sz w:val="20"/>
                <w:szCs w:val="20"/>
                <w:color w:val="auto"/>
              </w:rPr>
            </w:pPr>
            <w:r>
              <w:rPr>
                <w:rFonts w:ascii="Arial" w:cs="Arial" w:eastAsia="Arial" w:hAnsi="Arial"/>
                <w:sz w:val="18"/>
                <w:szCs w:val="18"/>
                <w:b w:val="1"/>
                <w:bCs w:val="1"/>
                <w:color w:val="auto"/>
              </w:rPr>
              <w:t>Cash dividends per share</w:t>
            </w:r>
          </w:p>
        </w:tc>
        <w:tc>
          <w:tcPr>
            <w:tcW w:w="158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0.17</w:t>
            </w:r>
          </w:p>
        </w:tc>
        <w:tc>
          <w:tcPr>
            <w:tcW w:w="1540" w:type="dxa"/>
            <w:vAlign w:val="bottom"/>
          </w:tcPr>
          <w:p>
            <w:pPr>
              <w:jc w:val="right"/>
              <w:ind w:right="370"/>
              <w:spacing w:after="0" w:line="202" w:lineRule="exact"/>
              <w:rPr>
                <w:sz w:val="20"/>
                <w:szCs w:val="20"/>
                <w:color w:val="auto"/>
              </w:rPr>
            </w:pPr>
            <w:r>
              <w:rPr>
                <w:rFonts w:ascii="Arial" w:cs="Arial" w:eastAsia="Arial" w:hAnsi="Arial"/>
                <w:sz w:val="18"/>
                <w:szCs w:val="18"/>
                <w:b w:val="1"/>
                <w:bCs w:val="1"/>
                <w:color w:val="auto"/>
              </w:rPr>
              <w:t>0.17</w:t>
            </w:r>
          </w:p>
        </w:tc>
        <w:tc>
          <w:tcPr>
            <w:tcW w:w="146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0.17</w:t>
            </w:r>
          </w:p>
        </w:tc>
        <w:tc>
          <w:tcPr>
            <w:tcW w:w="1420" w:type="dxa"/>
            <w:vAlign w:val="bottom"/>
          </w:tcPr>
          <w:p>
            <w:pPr>
              <w:jc w:val="right"/>
              <w:ind w:right="270"/>
              <w:spacing w:after="0" w:line="202" w:lineRule="exact"/>
              <w:rPr>
                <w:sz w:val="20"/>
                <w:szCs w:val="20"/>
                <w:color w:val="auto"/>
              </w:rPr>
            </w:pPr>
            <w:r>
              <w:rPr>
                <w:rFonts w:ascii="Arial" w:cs="Arial" w:eastAsia="Arial" w:hAnsi="Arial"/>
                <w:sz w:val="18"/>
                <w:szCs w:val="18"/>
                <w:b w:val="1"/>
                <w:bCs w:val="1"/>
                <w:color w:val="auto"/>
              </w:rPr>
              <w:t>0.17</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0.68</w:t>
            </w:r>
          </w:p>
        </w:tc>
      </w:tr>
      <w:tr>
        <w:trPr>
          <w:trHeight w:val="203"/>
        </w:trPr>
        <w:tc>
          <w:tcPr>
            <w:tcW w:w="4220" w:type="dxa"/>
            <w:vAlign w:val="bottom"/>
          </w:tcPr>
          <w:p>
            <w:pPr>
              <w:ind w:left="40"/>
              <w:spacing w:after="0" w:line="202" w:lineRule="exact"/>
              <w:rPr>
                <w:sz w:val="20"/>
                <w:szCs w:val="20"/>
                <w:color w:val="auto"/>
              </w:rPr>
            </w:pPr>
            <w:r>
              <w:rPr>
                <w:rFonts w:ascii="Arial" w:cs="Arial" w:eastAsia="Arial" w:hAnsi="Arial"/>
                <w:sz w:val="18"/>
                <w:szCs w:val="18"/>
                <w:b w:val="1"/>
                <w:bCs w:val="1"/>
                <w:color w:val="auto"/>
              </w:rPr>
              <w:t>Class A Common Stock prices:</w:t>
            </w:r>
          </w:p>
        </w:tc>
        <w:tc>
          <w:tcPr>
            <w:tcW w:w="15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220" w:type="dxa"/>
            <w:vAlign w:val="bottom"/>
          </w:tcPr>
          <w:p>
            <w:pPr>
              <w:ind w:left="140"/>
              <w:spacing w:after="0" w:line="202" w:lineRule="exact"/>
              <w:rPr>
                <w:sz w:val="20"/>
                <w:szCs w:val="20"/>
                <w:color w:val="auto"/>
              </w:rPr>
            </w:pPr>
            <w:r>
              <w:rPr>
                <w:rFonts w:ascii="Arial" w:cs="Arial" w:eastAsia="Arial" w:hAnsi="Arial"/>
                <w:sz w:val="18"/>
                <w:szCs w:val="18"/>
                <w:b w:val="1"/>
                <w:bCs w:val="1"/>
                <w:color w:val="auto"/>
              </w:rPr>
              <w:t>High</w:t>
            </w:r>
          </w:p>
        </w:tc>
        <w:tc>
          <w:tcPr>
            <w:tcW w:w="158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38.21</w:t>
            </w:r>
          </w:p>
        </w:tc>
        <w:tc>
          <w:tcPr>
            <w:tcW w:w="1540" w:type="dxa"/>
            <w:vAlign w:val="bottom"/>
          </w:tcPr>
          <w:p>
            <w:pPr>
              <w:jc w:val="right"/>
              <w:ind w:right="370"/>
              <w:spacing w:after="0" w:line="202" w:lineRule="exact"/>
              <w:rPr>
                <w:sz w:val="20"/>
                <w:szCs w:val="20"/>
                <w:color w:val="auto"/>
              </w:rPr>
            </w:pPr>
            <w:r>
              <w:rPr>
                <w:rFonts w:ascii="Arial" w:cs="Arial" w:eastAsia="Arial" w:hAnsi="Arial"/>
                <w:sz w:val="18"/>
                <w:szCs w:val="18"/>
                <w:b w:val="1"/>
                <w:bCs w:val="1"/>
                <w:color w:val="auto"/>
              </w:rPr>
              <w:t>41.31</w:t>
            </w:r>
          </w:p>
        </w:tc>
        <w:tc>
          <w:tcPr>
            <w:tcW w:w="146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43.78</w:t>
            </w:r>
          </w:p>
        </w:tc>
        <w:tc>
          <w:tcPr>
            <w:tcW w:w="1420" w:type="dxa"/>
            <w:vAlign w:val="bottom"/>
          </w:tcPr>
          <w:p>
            <w:pPr>
              <w:jc w:val="right"/>
              <w:ind w:right="270"/>
              <w:spacing w:after="0" w:line="202" w:lineRule="exact"/>
              <w:rPr>
                <w:sz w:val="20"/>
                <w:szCs w:val="20"/>
                <w:color w:val="auto"/>
              </w:rPr>
            </w:pPr>
            <w:r>
              <w:rPr>
                <w:rFonts w:ascii="Arial" w:cs="Arial" w:eastAsia="Arial" w:hAnsi="Arial"/>
                <w:sz w:val="18"/>
                <w:szCs w:val="18"/>
                <w:b w:val="1"/>
                <w:bCs w:val="1"/>
                <w:color w:val="auto"/>
              </w:rPr>
              <w:t>49.25</w:t>
            </w:r>
          </w:p>
        </w:tc>
        <w:tc>
          <w:tcPr>
            <w:tcW w:w="1200" w:type="dxa"/>
            <w:vAlign w:val="bottom"/>
          </w:tcPr>
          <w:p>
            <w:pPr>
              <w:spacing w:after="0"/>
              <w:rPr>
                <w:sz w:val="17"/>
                <w:szCs w:val="17"/>
                <w:color w:val="auto"/>
              </w:rPr>
            </w:pPr>
          </w:p>
        </w:tc>
      </w:tr>
      <w:tr>
        <w:trPr>
          <w:trHeight w:val="239"/>
        </w:trPr>
        <w:tc>
          <w:tcPr>
            <w:tcW w:w="4220" w:type="dxa"/>
            <w:vAlign w:val="bottom"/>
          </w:tcPr>
          <w:p>
            <w:pPr>
              <w:ind w:left="140"/>
              <w:spacing w:after="0"/>
              <w:rPr>
                <w:sz w:val="20"/>
                <w:szCs w:val="20"/>
                <w:color w:val="auto"/>
              </w:rPr>
            </w:pPr>
            <w:r>
              <w:rPr>
                <w:rFonts w:ascii="Arial" w:cs="Arial" w:eastAsia="Arial" w:hAnsi="Arial"/>
                <w:sz w:val="18"/>
                <w:szCs w:val="18"/>
                <w:b w:val="1"/>
                <w:bCs w:val="1"/>
                <w:color w:val="auto"/>
              </w:rPr>
              <w:t>Low</w:t>
            </w:r>
          </w:p>
        </w:tc>
        <w:tc>
          <w:tcPr>
            <w:tcW w:w="1580" w:type="dxa"/>
            <w:vAlign w:val="bottom"/>
          </w:tcPr>
          <w:p>
            <w:pPr>
              <w:jc w:val="right"/>
              <w:ind w:right="330"/>
              <w:spacing w:after="0"/>
              <w:rPr>
                <w:sz w:val="20"/>
                <w:szCs w:val="20"/>
                <w:color w:val="auto"/>
              </w:rPr>
            </w:pPr>
            <w:r>
              <w:rPr>
                <w:rFonts w:ascii="Arial" w:cs="Arial" w:eastAsia="Arial" w:hAnsi="Arial"/>
                <w:sz w:val="18"/>
                <w:szCs w:val="18"/>
                <w:b w:val="1"/>
                <w:bCs w:val="1"/>
                <w:color w:val="auto"/>
              </w:rPr>
              <w:t>31.43</w:t>
            </w:r>
          </w:p>
        </w:tc>
        <w:tc>
          <w:tcPr>
            <w:tcW w:w="1540" w:type="dxa"/>
            <w:vAlign w:val="bottom"/>
          </w:tcPr>
          <w:p>
            <w:pPr>
              <w:jc w:val="right"/>
              <w:ind w:right="370"/>
              <w:spacing w:after="0"/>
              <w:rPr>
                <w:sz w:val="20"/>
                <w:szCs w:val="20"/>
                <w:color w:val="auto"/>
              </w:rPr>
            </w:pPr>
            <w:r>
              <w:rPr>
                <w:rFonts w:ascii="Arial" w:cs="Arial" w:eastAsia="Arial" w:hAnsi="Arial"/>
                <w:sz w:val="18"/>
                <w:szCs w:val="18"/>
                <w:b w:val="1"/>
                <w:bCs w:val="1"/>
                <w:color w:val="auto"/>
              </w:rPr>
              <w:t>37.27</w:t>
            </w:r>
          </w:p>
        </w:tc>
        <w:tc>
          <w:tcPr>
            <w:tcW w:w="1460" w:type="dxa"/>
            <w:vAlign w:val="bottom"/>
          </w:tcPr>
          <w:p>
            <w:pPr>
              <w:jc w:val="right"/>
              <w:ind w:right="330"/>
              <w:spacing w:after="0"/>
              <w:rPr>
                <w:sz w:val="20"/>
                <w:szCs w:val="20"/>
                <w:color w:val="auto"/>
              </w:rPr>
            </w:pPr>
            <w:r>
              <w:rPr>
                <w:rFonts w:ascii="Arial" w:cs="Arial" w:eastAsia="Arial" w:hAnsi="Arial"/>
                <w:sz w:val="18"/>
                <w:szCs w:val="18"/>
                <w:b w:val="1"/>
                <w:bCs w:val="1"/>
                <w:color w:val="auto"/>
              </w:rPr>
              <w:t>38.92</w:t>
            </w:r>
          </w:p>
        </w:tc>
        <w:tc>
          <w:tcPr>
            <w:tcW w:w="1420" w:type="dxa"/>
            <w:vAlign w:val="bottom"/>
          </w:tcPr>
          <w:p>
            <w:pPr>
              <w:jc w:val="right"/>
              <w:ind w:right="270"/>
              <w:spacing w:after="0"/>
              <w:rPr>
                <w:sz w:val="20"/>
                <w:szCs w:val="20"/>
                <w:color w:val="auto"/>
              </w:rPr>
            </w:pPr>
            <w:r>
              <w:rPr>
                <w:rFonts w:ascii="Arial" w:cs="Arial" w:eastAsia="Arial" w:hAnsi="Arial"/>
                <w:sz w:val="18"/>
                <w:szCs w:val="18"/>
                <w:b w:val="1"/>
                <w:bCs w:val="1"/>
                <w:color w:val="auto"/>
              </w:rPr>
              <w:t>38.65</w:t>
            </w:r>
          </w:p>
        </w:tc>
        <w:tc>
          <w:tcPr>
            <w:tcW w:w="1200" w:type="dxa"/>
            <w:vAlign w:val="bottom"/>
          </w:tcPr>
          <w:p>
            <w:pPr>
              <w:spacing w:after="0"/>
              <w:rPr>
                <w:sz w:val="20"/>
                <w:szCs w:val="20"/>
                <w:color w:val="auto"/>
              </w:rPr>
            </w:pPr>
          </w:p>
        </w:tc>
      </w:tr>
      <w:tr>
        <w:trPr>
          <w:trHeight w:val="392"/>
        </w:trPr>
        <w:tc>
          <w:tcPr>
            <w:tcW w:w="42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2015</w:t>
            </w:r>
          </w:p>
        </w:tc>
        <w:tc>
          <w:tcPr>
            <w:tcW w:w="15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1st</w:t>
            </w:r>
          </w:p>
        </w:tc>
        <w:tc>
          <w:tcPr>
            <w:tcW w:w="15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2nd</w:t>
            </w:r>
          </w:p>
        </w:tc>
        <w:tc>
          <w:tcPr>
            <w:tcW w:w="14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3rd</w:t>
            </w:r>
          </w:p>
        </w:tc>
        <w:tc>
          <w:tcPr>
            <w:tcW w:w="14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4th</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Total</w:t>
            </w:r>
          </w:p>
        </w:tc>
      </w:tr>
      <w:tr>
        <w:trPr>
          <w:trHeight w:val="195"/>
        </w:trPr>
        <w:tc>
          <w:tcPr>
            <w:tcW w:w="4220" w:type="dxa"/>
            <w:vAlign w:val="bottom"/>
          </w:tcPr>
          <w:p>
            <w:pPr>
              <w:ind w:left="40"/>
              <w:spacing w:after="0" w:line="195" w:lineRule="exact"/>
              <w:rPr>
                <w:sz w:val="20"/>
                <w:szCs w:val="20"/>
                <w:color w:val="auto"/>
              </w:rPr>
            </w:pPr>
            <w:r>
              <w:rPr>
                <w:rFonts w:ascii="Arial" w:cs="Arial" w:eastAsia="Arial" w:hAnsi="Arial"/>
                <w:sz w:val="18"/>
                <w:szCs w:val="18"/>
                <w:color w:val="auto"/>
              </w:rPr>
              <w:t>Net sales</w:t>
            </w:r>
          </w:p>
        </w:tc>
        <w:tc>
          <w:tcPr>
            <w:tcW w:w="1580" w:type="dxa"/>
            <w:vAlign w:val="bottom"/>
          </w:tcPr>
          <w:p>
            <w:pPr>
              <w:jc w:val="right"/>
              <w:ind w:right="330"/>
              <w:spacing w:after="0" w:line="195" w:lineRule="exact"/>
              <w:rPr>
                <w:sz w:val="20"/>
                <w:szCs w:val="20"/>
                <w:color w:val="auto"/>
              </w:rPr>
            </w:pPr>
            <w:r>
              <w:rPr>
                <w:rFonts w:ascii="Arial" w:cs="Arial" w:eastAsia="Arial" w:hAnsi="Arial"/>
                <w:sz w:val="18"/>
                <w:szCs w:val="18"/>
                <w:color w:val="auto"/>
              </w:rPr>
              <w:t>$181.3</w:t>
            </w:r>
          </w:p>
        </w:tc>
        <w:tc>
          <w:tcPr>
            <w:tcW w:w="1540" w:type="dxa"/>
            <w:vAlign w:val="bottom"/>
          </w:tcPr>
          <w:p>
            <w:pPr>
              <w:jc w:val="right"/>
              <w:ind w:right="370"/>
              <w:spacing w:after="0" w:line="195" w:lineRule="exact"/>
              <w:rPr>
                <w:sz w:val="20"/>
                <w:szCs w:val="20"/>
                <w:color w:val="auto"/>
              </w:rPr>
            </w:pPr>
            <w:r>
              <w:rPr>
                <w:rFonts w:ascii="Arial" w:cs="Arial" w:eastAsia="Arial" w:hAnsi="Arial"/>
                <w:sz w:val="18"/>
                <w:szCs w:val="18"/>
                <w:color w:val="auto"/>
              </w:rPr>
              <w:t>$172.3</w:t>
            </w:r>
          </w:p>
        </w:tc>
        <w:tc>
          <w:tcPr>
            <w:tcW w:w="1460" w:type="dxa"/>
            <w:vAlign w:val="bottom"/>
          </w:tcPr>
          <w:p>
            <w:pPr>
              <w:jc w:val="right"/>
              <w:ind w:right="330"/>
              <w:spacing w:after="0" w:line="195" w:lineRule="exact"/>
              <w:rPr>
                <w:sz w:val="20"/>
                <w:szCs w:val="20"/>
                <w:color w:val="auto"/>
              </w:rPr>
            </w:pPr>
            <w:r>
              <w:rPr>
                <w:rFonts w:ascii="Arial" w:cs="Arial" w:eastAsia="Arial" w:hAnsi="Arial"/>
                <w:sz w:val="18"/>
                <w:szCs w:val="18"/>
                <w:color w:val="auto"/>
              </w:rPr>
              <w:t>$178.8</w:t>
            </w:r>
          </w:p>
        </w:tc>
        <w:tc>
          <w:tcPr>
            <w:tcW w:w="1420" w:type="dxa"/>
            <w:vAlign w:val="bottom"/>
          </w:tcPr>
          <w:p>
            <w:pPr>
              <w:jc w:val="right"/>
              <w:ind w:right="270"/>
              <w:spacing w:after="0" w:line="195" w:lineRule="exact"/>
              <w:rPr>
                <w:sz w:val="20"/>
                <w:szCs w:val="20"/>
                <w:color w:val="auto"/>
              </w:rPr>
            </w:pPr>
            <w:r>
              <w:rPr>
                <w:rFonts w:ascii="Arial" w:cs="Arial" w:eastAsia="Arial" w:hAnsi="Arial"/>
                <w:sz w:val="18"/>
                <w:szCs w:val="18"/>
                <w:color w:val="auto"/>
              </w:rPr>
              <w:t>$177.5</w:t>
            </w:r>
          </w:p>
        </w:tc>
        <w:tc>
          <w:tcPr>
            <w:tcW w:w="1200" w:type="dxa"/>
            <w:vAlign w:val="bottom"/>
          </w:tcPr>
          <w:p>
            <w:pPr>
              <w:jc w:val="right"/>
              <w:ind w:right="10"/>
              <w:spacing w:after="0" w:line="195" w:lineRule="exact"/>
              <w:rPr>
                <w:sz w:val="20"/>
                <w:szCs w:val="20"/>
                <w:color w:val="auto"/>
              </w:rPr>
            </w:pPr>
            <w:r>
              <w:rPr>
                <w:rFonts w:ascii="Arial" w:cs="Arial" w:eastAsia="Arial" w:hAnsi="Arial"/>
                <w:sz w:val="18"/>
                <w:szCs w:val="18"/>
                <w:color w:val="auto"/>
              </w:rPr>
              <w:t>$709.9</w:t>
            </w:r>
          </w:p>
        </w:tc>
      </w:tr>
      <w:tr>
        <w:trPr>
          <w:trHeight w:val="203"/>
        </w:trPr>
        <w:tc>
          <w:tcPr>
            <w:tcW w:w="4220" w:type="dxa"/>
            <w:vAlign w:val="bottom"/>
          </w:tcPr>
          <w:p>
            <w:pPr>
              <w:ind w:left="40"/>
              <w:spacing w:after="0" w:line="202" w:lineRule="exact"/>
              <w:rPr>
                <w:sz w:val="20"/>
                <w:szCs w:val="20"/>
                <w:color w:val="auto"/>
              </w:rPr>
            </w:pPr>
            <w:r>
              <w:rPr>
                <w:rFonts w:ascii="Arial" w:cs="Arial" w:eastAsia="Arial" w:hAnsi="Arial"/>
                <w:sz w:val="18"/>
                <w:szCs w:val="18"/>
                <w:color w:val="auto"/>
              </w:rPr>
              <w:t>Gross profit</w:t>
            </w:r>
          </w:p>
        </w:tc>
        <w:tc>
          <w:tcPr>
            <w:tcW w:w="158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76.7</w:t>
            </w:r>
          </w:p>
        </w:tc>
        <w:tc>
          <w:tcPr>
            <w:tcW w:w="154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54.6</w:t>
            </w:r>
          </w:p>
        </w:tc>
        <w:tc>
          <w:tcPr>
            <w:tcW w:w="146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75.7</w:t>
            </w:r>
          </w:p>
        </w:tc>
        <w:tc>
          <w:tcPr>
            <w:tcW w:w="14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71.7</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278.7</w:t>
            </w:r>
          </w:p>
        </w:tc>
      </w:tr>
      <w:tr>
        <w:trPr>
          <w:trHeight w:val="203"/>
        </w:trPr>
        <w:tc>
          <w:tcPr>
            <w:tcW w:w="4220" w:type="dxa"/>
            <w:vAlign w:val="bottom"/>
          </w:tcPr>
          <w:p>
            <w:pPr>
              <w:ind w:left="40"/>
              <w:spacing w:after="0" w:line="202" w:lineRule="exact"/>
              <w:rPr>
                <w:sz w:val="20"/>
                <w:szCs w:val="20"/>
                <w:color w:val="auto"/>
              </w:rPr>
            </w:pPr>
            <w:r>
              <w:rPr>
                <w:rFonts w:ascii="Arial" w:cs="Arial" w:eastAsia="Arial" w:hAnsi="Arial"/>
                <w:sz w:val="18"/>
                <w:szCs w:val="18"/>
                <w:color w:val="auto"/>
              </w:rPr>
              <w:t>Net income/(loss) attributable to the Company</w:t>
            </w:r>
          </w:p>
        </w:tc>
        <w:tc>
          <w:tcPr>
            <w:tcW w:w="158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12.2</w:t>
            </w:r>
          </w:p>
        </w:tc>
        <w:tc>
          <w:tcPr>
            <w:tcW w:w="154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(2.2)</w:t>
            </w:r>
          </w:p>
        </w:tc>
        <w:tc>
          <w:tcPr>
            <w:tcW w:w="146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9.7</w:t>
            </w:r>
          </w:p>
        </w:tc>
        <w:tc>
          <w:tcPr>
            <w:tcW w:w="14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37.6</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57.3</w:t>
            </w:r>
          </w:p>
        </w:tc>
      </w:tr>
      <w:tr>
        <w:trPr>
          <w:trHeight w:val="203"/>
        </w:trPr>
        <w:tc>
          <w:tcPr>
            <w:tcW w:w="4220" w:type="dxa"/>
            <w:vAlign w:val="bottom"/>
          </w:tcPr>
          <w:p>
            <w:pPr>
              <w:ind w:left="40"/>
              <w:spacing w:after="0" w:line="202" w:lineRule="exact"/>
              <w:rPr>
                <w:sz w:val="20"/>
                <w:szCs w:val="20"/>
                <w:color w:val="auto"/>
              </w:rPr>
            </w:pPr>
            <w:r>
              <w:rPr>
                <w:rFonts w:ascii="Arial" w:cs="Arial" w:eastAsia="Arial" w:hAnsi="Arial"/>
                <w:sz w:val="18"/>
                <w:szCs w:val="18"/>
                <w:color w:val="auto"/>
              </w:rPr>
              <w:t>Basic earnings per share</w:t>
            </w:r>
          </w:p>
        </w:tc>
        <w:tc>
          <w:tcPr>
            <w:tcW w:w="158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0.38</w:t>
            </w:r>
          </w:p>
        </w:tc>
        <w:tc>
          <w:tcPr>
            <w:tcW w:w="154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(0.07)</w:t>
            </w:r>
          </w:p>
        </w:tc>
        <w:tc>
          <w:tcPr>
            <w:tcW w:w="146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0.30</w:t>
            </w:r>
          </w:p>
        </w:tc>
        <w:tc>
          <w:tcPr>
            <w:tcW w:w="14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1.18</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1.79</w:t>
            </w:r>
          </w:p>
        </w:tc>
      </w:tr>
      <w:tr>
        <w:trPr>
          <w:trHeight w:val="203"/>
        </w:trPr>
        <w:tc>
          <w:tcPr>
            <w:tcW w:w="4220" w:type="dxa"/>
            <w:vAlign w:val="bottom"/>
          </w:tcPr>
          <w:p>
            <w:pPr>
              <w:ind w:left="40"/>
              <w:spacing w:after="0" w:line="202" w:lineRule="exact"/>
              <w:rPr>
                <w:sz w:val="20"/>
                <w:szCs w:val="20"/>
                <w:color w:val="auto"/>
              </w:rPr>
            </w:pPr>
            <w:r>
              <w:rPr>
                <w:rFonts w:ascii="Arial" w:cs="Arial" w:eastAsia="Arial" w:hAnsi="Arial"/>
                <w:sz w:val="18"/>
                <w:szCs w:val="18"/>
                <w:color w:val="auto"/>
              </w:rPr>
              <w:t>Diluted earnings per share</w:t>
            </w:r>
          </w:p>
        </w:tc>
        <w:tc>
          <w:tcPr>
            <w:tcW w:w="158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0.38</w:t>
            </w:r>
          </w:p>
        </w:tc>
        <w:tc>
          <w:tcPr>
            <w:tcW w:w="154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(0.07)</w:t>
            </w:r>
          </w:p>
        </w:tc>
        <w:tc>
          <w:tcPr>
            <w:tcW w:w="146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0.30</w:t>
            </w:r>
          </w:p>
        </w:tc>
        <w:tc>
          <w:tcPr>
            <w:tcW w:w="14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1.18</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1.79</w:t>
            </w:r>
          </w:p>
        </w:tc>
      </w:tr>
      <w:tr>
        <w:trPr>
          <w:trHeight w:val="203"/>
        </w:trPr>
        <w:tc>
          <w:tcPr>
            <w:tcW w:w="4220" w:type="dxa"/>
            <w:vAlign w:val="bottom"/>
          </w:tcPr>
          <w:p>
            <w:pPr>
              <w:ind w:left="40"/>
              <w:spacing w:after="0" w:line="202" w:lineRule="exact"/>
              <w:rPr>
                <w:sz w:val="20"/>
                <w:szCs w:val="20"/>
                <w:color w:val="auto"/>
              </w:rPr>
            </w:pPr>
            <w:r>
              <w:rPr>
                <w:rFonts w:ascii="Arial" w:cs="Arial" w:eastAsia="Arial" w:hAnsi="Arial"/>
                <w:sz w:val="18"/>
                <w:szCs w:val="18"/>
                <w:color w:val="auto"/>
              </w:rPr>
              <w:t>Cash dividends per share</w:t>
            </w:r>
          </w:p>
        </w:tc>
        <w:tc>
          <w:tcPr>
            <w:tcW w:w="158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0.16</w:t>
            </w:r>
          </w:p>
        </w:tc>
        <w:tc>
          <w:tcPr>
            <w:tcW w:w="154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0.17</w:t>
            </w:r>
          </w:p>
        </w:tc>
        <w:tc>
          <w:tcPr>
            <w:tcW w:w="146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0.17</w:t>
            </w:r>
          </w:p>
        </w:tc>
        <w:tc>
          <w:tcPr>
            <w:tcW w:w="14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0.17</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0.67</w:t>
            </w:r>
          </w:p>
        </w:tc>
      </w:tr>
      <w:tr>
        <w:trPr>
          <w:trHeight w:val="203"/>
        </w:trPr>
        <w:tc>
          <w:tcPr>
            <w:tcW w:w="4220" w:type="dxa"/>
            <w:vAlign w:val="bottom"/>
          </w:tcPr>
          <w:p>
            <w:pPr>
              <w:ind w:left="40"/>
              <w:spacing w:after="0" w:line="202" w:lineRule="exact"/>
              <w:rPr>
                <w:sz w:val="20"/>
                <w:szCs w:val="20"/>
                <w:color w:val="auto"/>
              </w:rPr>
            </w:pPr>
            <w:r>
              <w:rPr>
                <w:rFonts w:ascii="Arial" w:cs="Arial" w:eastAsia="Arial" w:hAnsi="Arial"/>
                <w:sz w:val="18"/>
                <w:szCs w:val="18"/>
                <w:color w:val="auto"/>
              </w:rPr>
              <w:t>Class A Common Stock prices:</w:t>
            </w:r>
          </w:p>
        </w:tc>
        <w:tc>
          <w:tcPr>
            <w:tcW w:w="15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220" w:type="dxa"/>
            <w:vAlign w:val="bottom"/>
          </w:tcPr>
          <w:p>
            <w:pPr>
              <w:ind w:left="140"/>
              <w:spacing w:after="0" w:line="202" w:lineRule="exact"/>
              <w:rPr>
                <w:sz w:val="20"/>
                <w:szCs w:val="20"/>
                <w:color w:val="auto"/>
              </w:rPr>
            </w:pPr>
            <w:r>
              <w:rPr>
                <w:rFonts w:ascii="Arial" w:cs="Arial" w:eastAsia="Arial" w:hAnsi="Arial"/>
                <w:sz w:val="18"/>
                <w:szCs w:val="18"/>
                <w:color w:val="auto"/>
              </w:rPr>
              <w:t>High</w:t>
            </w:r>
          </w:p>
        </w:tc>
        <w:tc>
          <w:tcPr>
            <w:tcW w:w="158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40.31</w:t>
            </w:r>
          </w:p>
        </w:tc>
        <w:tc>
          <w:tcPr>
            <w:tcW w:w="154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41.15</w:t>
            </w:r>
          </w:p>
        </w:tc>
        <w:tc>
          <w:tcPr>
            <w:tcW w:w="146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40.21</w:t>
            </w:r>
          </w:p>
        </w:tc>
        <w:tc>
          <w:tcPr>
            <w:tcW w:w="14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39.25</w:t>
            </w:r>
          </w:p>
        </w:tc>
        <w:tc>
          <w:tcPr>
            <w:tcW w:w="1200" w:type="dxa"/>
            <w:vAlign w:val="bottom"/>
          </w:tcPr>
          <w:p>
            <w:pPr>
              <w:spacing w:after="0"/>
              <w:rPr>
                <w:sz w:val="17"/>
                <w:szCs w:val="17"/>
                <w:color w:val="auto"/>
              </w:rPr>
            </w:pPr>
          </w:p>
        </w:tc>
      </w:tr>
      <w:tr>
        <w:trPr>
          <w:trHeight w:val="217"/>
        </w:trPr>
        <w:tc>
          <w:tcPr>
            <w:tcW w:w="4220" w:type="dxa"/>
            <w:vAlign w:val="bottom"/>
          </w:tcPr>
          <w:p>
            <w:pPr>
              <w:ind w:left="140"/>
              <w:spacing w:after="0"/>
              <w:rPr>
                <w:sz w:val="20"/>
                <w:szCs w:val="20"/>
                <w:color w:val="auto"/>
              </w:rPr>
            </w:pPr>
            <w:r>
              <w:rPr>
                <w:rFonts w:ascii="Arial" w:cs="Arial" w:eastAsia="Arial" w:hAnsi="Arial"/>
                <w:sz w:val="18"/>
                <w:szCs w:val="18"/>
                <w:color w:val="auto"/>
              </w:rPr>
              <w:t>Low</w:t>
            </w:r>
          </w:p>
        </w:tc>
        <w:tc>
          <w:tcPr>
            <w:tcW w:w="1580" w:type="dxa"/>
            <w:vAlign w:val="bottom"/>
          </w:tcPr>
          <w:p>
            <w:pPr>
              <w:jc w:val="right"/>
              <w:ind w:right="330"/>
              <w:spacing w:after="0"/>
              <w:rPr>
                <w:sz w:val="20"/>
                <w:szCs w:val="20"/>
                <w:color w:val="auto"/>
              </w:rPr>
            </w:pPr>
            <w:r>
              <w:rPr>
                <w:rFonts w:ascii="Arial" w:cs="Arial" w:eastAsia="Arial" w:hAnsi="Arial"/>
                <w:sz w:val="18"/>
                <w:szCs w:val="18"/>
                <w:color w:val="auto"/>
              </w:rPr>
              <w:t>34.13</w:t>
            </w:r>
          </w:p>
        </w:tc>
        <w:tc>
          <w:tcPr>
            <w:tcW w:w="1540" w:type="dxa"/>
            <w:vAlign w:val="bottom"/>
          </w:tcPr>
          <w:p>
            <w:pPr>
              <w:jc w:val="right"/>
              <w:ind w:right="370"/>
              <w:spacing w:after="0"/>
              <w:rPr>
                <w:sz w:val="20"/>
                <w:szCs w:val="20"/>
                <w:color w:val="auto"/>
              </w:rPr>
            </w:pPr>
            <w:r>
              <w:rPr>
                <w:rFonts w:ascii="Arial" w:cs="Arial" w:eastAsia="Arial" w:hAnsi="Arial"/>
                <w:sz w:val="18"/>
                <w:szCs w:val="18"/>
                <w:color w:val="auto"/>
              </w:rPr>
              <w:t>39.15</w:t>
            </w:r>
          </w:p>
        </w:tc>
        <w:tc>
          <w:tcPr>
            <w:tcW w:w="1460" w:type="dxa"/>
            <w:vAlign w:val="bottom"/>
          </w:tcPr>
          <w:p>
            <w:pPr>
              <w:jc w:val="right"/>
              <w:ind w:right="330"/>
              <w:spacing w:after="0"/>
              <w:rPr>
                <w:sz w:val="20"/>
                <w:szCs w:val="20"/>
                <w:color w:val="auto"/>
              </w:rPr>
            </w:pPr>
            <w:r>
              <w:rPr>
                <w:rFonts w:ascii="Arial" w:cs="Arial" w:eastAsia="Arial" w:hAnsi="Arial"/>
                <w:sz w:val="18"/>
                <w:szCs w:val="18"/>
                <w:color w:val="auto"/>
              </w:rPr>
              <w:t>28.28</w:t>
            </w:r>
          </w:p>
        </w:tc>
        <w:tc>
          <w:tcPr>
            <w:tcW w:w="1420" w:type="dxa"/>
            <w:vAlign w:val="bottom"/>
          </w:tcPr>
          <w:p>
            <w:pPr>
              <w:jc w:val="right"/>
              <w:ind w:right="270"/>
              <w:spacing w:after="0"/>
              <w:rPr>
                <w:sz w:val="20"/>
                <w:szCs w:val="20"/>
                <w:color w:val="auto"/>
              </w:rPr>
            </w:pPr>
            <w:r>
              <w:rPr>
                <w:rFonts w:ascii="Arial" w:cs="Arial" w:eastAsia="Arial" w:hAnsi="Arial"/>
                <w:sz w:val="18"/>
                <w:szCs w:val="18"/>
                <w:color w:val="auto"/>
              </w:rPr>
              <w:t>28.19</w:t>
            </w:r>
          </w:p>
        </w:tc>
        <w:tc>
          <w:tcPr>
            <w:tcW w:w="1200" w:type="dxa"/>
            <w:vAlign w:val="bottom"/>
          </w:tcPr>
          <w:p>
            <w:pPr>
              <w:spacing w:after="0"/>
              <w:rPr>
                <w:sz w:val="18"/>
                <w:szCs w:val="18"/>
                <w:color w:val="auto"/>
              </w:rPr>
            </w:pPr>
          </w:p>
        </w:tc>
      </w:tr>
      <w:tr>
        <w:trPr>
          <w:trHeight w:val="392"/>
        </w:trPr>
        <w:tc>
          <w:tcPr>
            <w:tcW w:w="42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2014</w:t>
            </w:r>
          </w:p>
        </w:tc>
        <w:tc>
          <w:tcPr>
            <w:tcW w:w="15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1st</w:t>
            </w:r>
          </w:p>
        </w:tc>
        <w:tc>
          <w:tcPr>
            <w:tcW w:w="15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2nd</w:t>
            </w:r>
          </w:p>
        </w:tc>
        <w:tc>
          <w:tcPr>
            <w:tcW w:w="14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3rd</w:t>
            </w:r>
          </w:p>
        </w:tc>
        <w:tc>
          <w:tcPr>
            <w:tcW w:w="14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4th</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Total</w:t>
            </w:r>
          </w:p>
        </w:tc>
      </w:tr>
      <w:tr>
        <w:trPr>
          <w:trHeight w:val="195"/>
        </w:trPr>
        <w:tc>
          <w:tcPr>
            <w:tcW w:w="4220" w:type="dxa"/>
            <w:vAlign w:val="bottom"/>
          </w:tcPr>
          <w:p>
            <w:pPr>
              <w:ind w:left="40"/>
              <w:spacing w:after="0" w:line="195" w:lineRule="exact"/>
              <w:rPr>
                <w:sz w:val="20"/>
                <w:szCs w:val="20"/>
                <w:color w:val="auto"/>
              </w:rPr>
            </w:pPr>
            <w:r>
              <w:rPr>
                <w:rFonts w:ascii="Arial" w:cs="Arial" w:eastAsia="Arial" w:hAnsi="Arial"/>
                <w:sz w:val="18"/>
                <w:szCs w:val="18"/>
                <w:color w:val="auto"/>
              </w:rPr>
              <w:t>Net sales</w:t>
            </w:r>
          </w:p>
        </w:tc>
        <w:tc>
          <w:tcPr>
            <w:tcW w:w="1580" w:type="dxa"/>
            <w:vAlign w:val="bottom"/>
          </w:tcPr>
          <w:p>
            <w:pPr>
              <w:jc w:val="right"/>
              <w:ind w:right="330"/>
              <w:spacing w:after="0" w:line="195" w:lineRule="exact"/>
              <w:rPr>
                <w:sz w:val="20"/>
                <w:szCs w:val="20"/>
                <w:color w:val="auto"/>
              </w:rPr>
            </w:pPr>
            <w:r>
              <w:rPr>
                <w:rFonts w:ascii="Arial" w:cs="Arial" w:eastAsia="Arial" w:hAnsi="Arial"/>
                <w:sz w:val="18"/>
                <w:szCs w:val="18"/>
                <w:color w:val="auto"/>
              </w:rPr>
              <w:t>$180.3</w:t>
            </w:r>
          </w:p>
        </w:tc>
        <w:tc>
          <w:tcPr>
            <w:tcW w:w="1540" w:type="dxa"/>
            <w:vAlign w:val="bottom"/>
          </w:tcPr>
          <w:p>
            <w:pPr>
              <w:jc w:val="right"/>
              <w:ind w:right="370"/>
              <w:spacing w:after="0" w:line="195" w:lineRule="exact"/>
              <w:rPr>
                <w:sz w:val="20"/>
                <w:szCs w:val="20"/>
                <w:color w:val="auto"/>
              </w:rPr>
            </w:pPr>
            <w:r>
              <w:rPr>
                <w:rFonts w:ascii="Arial" w:cs="Arial" w:eastAsia="Arial" w:hAnsi="Arial"/>
                <w:sz w:val="18"/>
                <w:szCs w:val="18"/>
                <w:color w:val="auto"/>
              </w:rPr>
              <w:t>$193.5</w:t>
            </w:r>
          </w:p>
        </w:tc>
        <w:tc>
          <w:tcPr>
            <w:tcW w:w="1460" w:type="dxa"/>
            <w:vAlign w:val="bottom"/>
          </w:tcPr>
          <w:p>
            <w:pPr>
              <w:jc w:val="right"/>
              <w:ind w:right="330"/>
              <w:spacing w:after="0" w:line="195" w:lineRule="exact"/>
              <w:rPr>
                <w:sz w:val="20"/>
                <w:szCs w:val="20"/>
                <w:color w:val="auto"/>
              </w:rPr>
            </w:pPr>
            <w:r>
              <w:rPr>
                <w:rFonts w:ascii="Arial" w:cs="Arial" w:eastAsia="Arial" w:hAnsi="Arial"/>
                <w:sz w:val="18"/>
                <w:szCs w:val="18"/>
                <w:color w:val="auto"/>
              </w:rPr>
              <w:t>$179.9</w:t>
            </w:r>
          </w:p>
        </w:tc>
        <w:tc>
          <w:tcPr>
            <w:tcW w:w="1420" w:type="dxa"/>
            <w:vAlign w:val="bottom"/>
          </w:tcPr>
          <w:p>
            <w:pPr>
              <w:jc w:val="right"/>
              <w:ind w:right="270"/>
              <w:spacing w:after="0" w:line="195" w:lineRule="exact"/>
              <w:rPr>
                <w:sz w:val="20"/>
                <w:szCs w:val="20"/>
                <w:color w:val="auto"/>
              </w:rPr>
            </w:pPr>
            <w:r>
              <w:rPr>
                <w:rFonts w:ascii="Arial" w:cs="Arial" w:eastAsia="Arial" w:hAnsi="Arial"/>
                <w:sz w:val="18"/>
                <w:szCs w:val="18"/>
                <w:color w:val="auto"/>
              </w:rPr>
              <w:t>$191.6</w:t>
            </w:r>
          </w:p>
        </w:tc>
        <w:tc>
          <w:tcPr>
            <w:tcW w:w="1200" w:type="dxa"/>
            <w:vAlign w:val="bottom"/>
          </w:tcPr>
          <w:p>
            <w:pPr>
              <w:jc w:val="right"/>
              <w:ind w:right="10"/>
              <w:spacing w:after="0" w:line="195" w:lineRule="exact"/>
              <w:rPr>
                <w:sz w:val="20"/>
                <w:szCs w:val="20"/>
                <w:color w:val="auto"/>
              </w:rPr>
            </w:pPr>
            <w:r>
              <w:rPr>
                <w:rFonts w:ascii="Arial" w:cs="Arial" w:eastAsia="Arial" w:hAnsi="Arial"/>
                <w:sz w:val="18"/>
                <w:szCs w:val="18"/>
                <w:color w:val="auto"/>
              </w:rPr>
              <w:t>$745.3</w:t>
            </w:r>
          </w:p>
        </w:tc>
      </w:tr>
      <w:tr>
        <w:trPr>
          <w:trHeight w:val="203"/>
        </w:trPr>
        <w:tc>
          <w:tcPr>
            <w:tcW w:w="4220" w:type="dxa"/>
            <w:vAlign w:val="bottom"/>
          </w:tcPr>
          <w:p>
            <w:pPr>
              <w:ind w:left="40"/>
              <w:spacing w:after="0" w:line="202" w:lineRule="exact"/>
              <w:rPr>
                <w:sz w:val="20"/>
                <w:szCs w:val="20"/>
                <w:color w:val="auto"/>
              </w:rPr>
            </w:pPr>
            <w:r>
              <w:rPr>
                <w:rFonts w:ascii="Arial" w:cs="Arial" w:eastAsia="Arial" w:hAnsi="Arial"/>
                <w:sz w:val="18"/>
                <w:szCs w:val="18"/>
                <w:color w:val="auto"/>
              </w:rPr>
              <w:t>Gross profit</w:t>
            </w:r>
          </w:p>
        </w:tc>
        <w:tc>
          <w:tcPr>
            <w:tcW w:w="158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74.8</w:t>
            </w:r>
          </w:p>
        </w:tc>
        <w:tc>
          <w:tcPr>
            <w:tcW w:w="154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75.3</w:t>
            </w:r>
          </w:p>
        </w:tc>
        <w:tc>
          <w:tcPr>
            <w:tcW w:w="146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68.6</w:t>
            </w:r>
          </w:p>
        </w:tc>
        <w:tc>
          <w:tcPr>
            <w:tcW w:w="14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72.9</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291.6</w:t>
            </w:r>
          </w:p>
        </w:tc>
      </w:tr>
      <w:tr>
        <w:trPr>
          <w:trHeight w:val="203"/>
        </w:trPr>
        <w:tc>
          <w:tcPr>
            <w:tcW w:w="4220" w:type="dxa"/>
            <w:vAlign w:val="bottom"/>
          </w:tcPr>
          <w:p>
            <w:pPr>
              <w:ind w:left="40"/>
              <w:spacing w:after="0" w:line="202" w:lineRule="exact"/>
              <w:rPr>
                <w:sz w:val="20"/>
                <w:szCs w:val="20"/>
                <w:color w:val="auto"/>
              </w:rPr>
            </w:pPr>
            <w:r>
              <w:rPr>
                <w:rFonts w:ascii="Arial" w:cs="Arial" w:eastAsia="Arial" w:hAnsi="Arial"/>
                <w:sz w:val="18"/>
                <w:szCs w:val="18"/>
                <w:color w:val="auto"/>
              </w:rPr>
              <w:t>Net income attributable to the Company</w:t>
            </w:r>
          </w:p>
        </w:tc>
        <w:tc>
          <w:tcPr>
            <w:tcW w:w="158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w:t>
            </w:r>
          </w:p>
        </w:tc>
        <w:tc>
          <w:tcPr>
            <w:tcW w:w="154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11.2</w:t>
            </w:r>
          </w:p>
        </w:tc>
        <w:tc>
          <w:tcPr>
            <w:tcW w:w="146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11.8</w:t>
            </w:r>
          </w:p>
        </w:tc>
        <w:tc>
          <w:tcPr>
            <w:tcW w:w="14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8.0</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41.6</w:t>
            </w:r>
          </w:p>
        </w:tc>
      </w:tr>
      <w:tr>
        <w:trPr>
          <w:trHeight w:val="203"/>
        </w:trPr>
        <w:tc>
          <w:tcPr>
            <w:tcW w:w="4220" w:type="dxa"/>
            <w:vAlign w:val="bottom"/>
          </w:tcPr>
          <w:p>
            <w:pPr>
              <w:ind w:left="40"/>
              <w:spacing w:after="0" w:line="202" w:lineRule="exact"/>
              <w:rPr>
                <w:sz w:val="20"/>
                <w:szCs w:val="20"/>
                <w:color w:val="auto"/>
              </w:rPr>
            </w:pPr>
            <w:r>
              <w:rPr>
                <w:rFonts w:ascii="Arial" w:cs="Arial" w:eastAsia="Arial" w:hAnsi="Arial"/>
                <w:sz w:val="18"/>
                <w:szCs w:val="18"/>
                <w:color w:val="auto"/>
              </w:rPr>
              <w:t>Basic earnings per share</w:t>
            </w:r>
          </w:p>
        </w:tc>
        <w:tc>
          <w:tcPr>
            <w:tcW w:w="158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0.33</w:t>
            </w:r>
          </w:p>
        </w:tc>
        <w:tc>
          <w:tcPr>
            <w:tcW w:w="154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0.35</w:t>
            </w:r>
          </w:p>
        </w:tc>
        <w:tc>
          <w:tcPr>
            <w:tcW w:w="146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0.37</w:t>
            </w:r>
          </w:p>
        </w:tc>
        <w:tc>
          <w:tcPr>
            <w:tcW w:w="14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0.26</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1.31</w:t>
            </w:r>
          </w:p>
        </w:tc>
      </w:tr>
      <w:tr>
        <w:trPr>
          <w:trHeight w:val="203"/>
        </w:trPr>
        <w:tc>
          <w:tcPr>
            <w:tcW w:w="4220" w:type="dxa"/>
            <w:vAlign w:val="bottom"/>
          </w:tcPr>
          <w:p>
            <w:pPr>
              <w:ind w:left="40"/>
              <w:spacing w:after="0" w:line="202" w:lineRule="exact"/>
              <w:rPr>
                <w:sz w:val="20"/>
                <w:szCs w:val="20"/>
                <w:color w:val="auto"/>
              </w:rPr>
            </w:pPr>
            <w:r>
              <w:rPr>
                <w:rFonts w:ascii="Arial" w:cs="Arial" w:eastAsia="Arial" w:hAnsi="Arial"/>
                <w:sz w:val="18"/>
                <w:szCs w:val="18"/>
                <w:color w:val="auto"/>
              </w:rPr>
              <w:t>Diluted earnings per share</w:t>
            </w:r>
          </w:p>
        </w:tc>
        <w:tc>
          <w:tcPr>
            <w:tcW w:w="158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0.33</w:t>
            </w:r>
          </w:p>
        </w:tc>
        <w:tc>
          <w:tcPr>
            <w:tcW w:w="154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0.35</w:t>
            </w:r>
          </w:p>
        </w:tc>
        <w:tc>
          <w:tcPr>
            <w:tcW w:w="146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0.37</w:t>
            </w:r>
          </w:p>
        </w:tc>
        <w:tc>
          <w:tcPr>
            <w:tcW w:w="14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0.25</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1.30</w:t>
            </w:r>
          </w:p>
        </w:tc>
      </w:tr>
      <w:tr>
        <w:trPr>
          <w:trHeight w:val="203"/>
        </w:trPr>
        <w:tc>
          <w:tcPr>
            <w:tcW w:w="4220" w:type="dxa"/>
            <w:vAlign w:val="bottom"/>
          </w:tcPr>
          <w:p>
            <w:pPr>
              <w:ind w:left="40"/>
              <w:spacing w:after="0" w:line="202" w:lineRule="exact"/>
              <w:rPr>
                <w:sz w:val="20"/>
                <w:szCs w:val="20"/>
                <w:color w:val="auto"/>
              </w:rPr>
            </w:pPr>
            <w:r>
              <w:rPr>
                <w:rFonts w:ascii="Arial" w:cs="Arial" w:eastAsia="Arial" w:hAnsi="Arial"/>
                <w:sz w:val="18"/>
                <w:szCs w:val="18"/>
                <w:color w:val="auto"/>
              </w:rPr>
              <w:t>Cash dividends per share</w:t>
            </w:r>
          </w:p>
        </w:tc>
        <w:tc>
          <w:tcPr>
            <w:tcW w:w="158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0.15</w:t>
            </w:r>
          </w:p>
        </w:tc>
        <w:tc>
          <w:tcPr>
            <w:tcW w:w="154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0.16</w:t>
            </w:r>
          </w:p>
        </w:tc>
        <w:tc>
          <w:tcPr>
            <w:tcW w:w="146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0.16</w:t>
            </w:r>
          </w:p>
        </w:tc>
        <w:tc>
          <w:tcPr>
            <w:tcW w:w="14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0.16</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0.63</w:t>
            </w:r>
          </w:p>
        </w:tc>
      </w:tr>
      <w:tr>
        <w:trPr>
          <w:trHeight w:val="203"/>
        </w:trPr>
        <w:tc>
          <w:tcPr>
            <w:tcW w:w="4220" w:type="dxa"/>
            <w:vAlign w:val="bottom"/>
          </w:tcPr>
          <w:p>
            <w:pPr>
              <w:ind w:left="40"/>
              <w:spacing w:after="0" w:line="202" w:lineRule="exact"/>
              <w:rPr>
                <w:sz w:val="20"/>
                <w:szCs w:val="20"/>
                <w:color w:val="auto"/>
              </w:rPr>
            </w:pPr>
            <w:r>
              <w:rPr>
                <w:rFonts w:ascii="Arial" w:cs="Arial" w:eastAsia="Arial" w:hAnsi="Arial"/>
                <w:sz w:val="18"/>
                <w:szCs w:val="18"/>
                <w:color w:val="auto"/>
              </w:rPr>
              <w:t>Class A Common Stock prices:</w:t>
            </w:r>
          </w:p>
        </w:tc>
        <w:tc>
          <w:tcPr>
            <w:tcW w:w="15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220" w:type="dxa"/>
            <w:vAlign w:val="bottom"/>
          </w:tcPr>
          <w:p>
            <w:pPr>
              <w:ind w:left="140"/>
              <w:spacing w:after="0" w:line="202" w:lineRule="exact"/>
              <w:rPr>
                <w:sz w:val="20"/>
                <w:szCs w:val="20"/>
                <w:color w:val="auto"/>
              </w:rPr>
            </w:pPr>
            <w:r>
              <w:rPr>
                <w:rFonts w:ascii="Arial" w:cs="Arial" w:eastAsia="Arial" w:hAnsi="Arial"/>
                <w:sz w:val="18"/>
                <w:szCs w:val="18"/>
                <w:color w:val="auto"/>
              </w:rPr>
              <w:t>High</w:t>
            </w:r>
          </w:p>
        </w:tc>
        <w:tc>
          <w:tcPr>
            <w:tcW w:w="158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37.59</w:t>
            </w:r>
          </w:p>
        </w:tc>
        <w:tc>
          <w:tcPr>
            <w:tcW w:w="154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38.01</w:t>
            </w:r>
          </w:p>
        </w:tc>
        <w:tc>
          <w:tcPr>
            <w:tcW w:w="146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38.53</w:t>
            </w:r>
          </w:p>
        </w:tc>
        <w:tc>
          <w:tcPr>
            <w:tcW w:w="14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38.15</w:t>
            </w:r>
          </w:p>
        </w:tc>
        <w:tc>
          <w:tcPr>
            <w:tcW w:w="1200" w:type="dxa"/>
            <w:vAlign w:val="bottom"/>
          </w:tcPr>
          <w:p>
            <w:pPr>
              <w:spacing w:after="0"/>
              <w:rPr>
                <w:sz w:val="17"/>
                <w:szCs w:val="17"/>
                <w:color w:val="auto"/>
              </w:rPr>
            </w:pPr>
          </w:p>
        </w:tc>
      </w:tr>
      <w:tr>
        <w:trPr>
          <w:trHeight w:val="217"/>
        </w:trPr>
        <w:tc>
          <w:tcPr>
            <w:tcW w:w="4220" w:type="dxa"/>
            <w:vAlign w:val="bottom"/>
          </w:tcPr>
          <w:p>
            <w:pPr>
              <w:ind w:left="140"/>
              <w:spacing w:after="0"/>
              <w:rPr>
                <w:sz w:val="20"/>
                <w:szCs w:val="20"/>
                <w:color w:val="auto"/>
              </w:rPr>
            </w:pPr>
            <w:r>
              <w:rPr>
                <w:rFonts w:ascii="Arial" w:cs="Arial" w:eastAsia="Arial" w:hAnsi="Arial"/>
                <w:sz w:val="18"/>
                <w:szCs w:val="18"/>
                <w:color w:val="auto"/>
              </w:rPr>
              <w:t>Low</w:t>
            </w:r>
          </w:p>
        </w:tc>
        <w:tc>
          <w:tcPr>
            <w:tcW w:w="1580" w:type="dxa"/>
            <w:vAlign w:val="bottom"/>
          </w:tcPr>
          <w:p>
            <w:pPr>
              <w:jc w:val="right"/>
              <w:ind w:right="330"/>
              <w:spacing w:after="0"/>
              <w:rPr>
                <w:sz w:val="20"/>
                <w:szCs w:val="20"/>
                <w:color w:val="auto"/>
              </w:rPr>
            </w:pPr>
            <w:r>
              <w:rPr>
                <w:rFonts w:ascii="Arial" w:cs="Arial" w:eastAsia="Arial" w:hAnsi="Arial"/>
                <w:sz w:val="18"/>
                <w:szCs w:val="18"/>
                <w:color w:val="auto"/>
              </w:rPr>
              <w:t>32.85</w:t>
            </w:r>
          </w:p>
        </w:tc>
        <w:tc>
          <w:tcPr>
            <w:tcW w:w="1540" w:type="dxa"/>
            <w:vAlign w:val="bottom"/>
          </w:tcPr>
          <w:p>
            <w:pPr>
              <w:jc w:val="right"/>
              <w:ind w:right="370"/>
              <w:spacing w:after="0"/>
              <w:rPr>
                <w:sz w:val="20"/>
                <w:szCs w:val="20"/>
                <w:color w:val="auto"/>
              </w:rPr>
            </w:pPr>
            <w:r>
              <w:rPr>
                <w:rFonts w:ascii="Arial" w:cs="Arial" w:eastAsia="Arial" w:hAnsi="Arial"/>
                <w:sz w:val="18"/>
                <w:szCs w:val="18"/>
                <w:color w:val="auto"/>
              </w:rPr>
              <w:t>33.67</w:t>
            </w:r>
          </w:p>
        </w:tc>
        <w:tc>
          <w:tcPr>
            <w:tcW w:w="1460" w:type="dxa"/>
            <w:vAlign w:val="bottom"/>
          </w:tcPr>
          <w:p>
            <w:pPr>
              <w:jc w:val="right"/>
              <w:ind w:right="330"/>
              <w:spacing w:after="0"/>
              <w:rPr>
                <w:sz w:val="20"/>
                <w:szCs w:val="20"/>
                <w:color w:val="auto"/>
              </w:rPr>
            </w:pPr>
            <w:r>
              <w:rPr>
                <w:rFonts w:ascii="Arial" w:cs="Arial" w:eastAsia="Arial" w:hAnsi="Arial"/>
                <w:sz w:val="18"/>
                <w:szCs w:val="18"/>
                <w:color w:val="auto"/>
              </w:rPr>
              <w:t>34.04</w:t>
            </w:r>
          </w:p>
        </w:tc>
        <w:tc>
          <w:tcPr>
            <w:tcW w:w="1420" w:type="dxa"/>
            <w:vAlign w:val="bottom"/>
          </w:tcPr>
          <w:p>
            <w:pPr>
              <w:jc w:val="right"/>
              <w:ind w:right="270"/>
              <w:spacing w:after="0"/>
              <w:rPr>
                <w:sz w:val="20"/>
                <w:szCs w:val="20"/>
                <w:color w:val="auto"/>
              </w:rPr>
            </w:pPr>
            <w:r>
              <w:rPr>
                <w:rFonts w:ascii="Arial" w:cs="Arial" w:eastAsia="Arial" w:hAnsi="Arial"/>
                <w:sz w:val="18"/>
                <w:szCs w:val="18"/>
                <w:color w:val="auto"/>
              </w:rPr>
              <w:t>32.46</w:t>
            </w:r>
          </w:p>
        </w:tc>
        <w:tc>
          <w:tcPr>
            <w:tcW w:w="1200" w:type="dxa"/>
            <w:vAlign w:val="bottom"/>
          </w:tcPr>
          <w:p>
            <w:pPr>
              <w:spacing w:after="0"/>
              <w:rPr>
                <w:sz w:val="18"/>
                <w:szCs w:val="18"/>
                <w:color w:val="auto"/>
              </w:rPr>
            </w:pPr>
          </w:p>
        </w:tc>
      </w:tr>
      <w:tr>
        <w:trPr>
          <w:trHeight w:val="189"/>
        </w:trPr>
        <w:tc>
          <w:tcPr>
            <w:tcW w:w="4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1" w:name="page102"/>
    <w:bookmarkEnd w:id="101"/>
    <w:p>
      <w:pPr>
        <w:ind w:right="220" w:firstLine="648"/>
        <w:spacing w:after="0" w:line="245" w:lineRule="auto"/>
        <w:rPr>
          <w:sz w:val="20"/>
          <w:szCs w:val="20"/>
          <w:color w:val="auto"/>
        </w:rPr>
      </w:pPr>
      <w:r>
        <w:rPr>
          <w:rFonts w:ascii="Arial" w:cs="Arial" w:eastAsia="Arial" w:hAnsi="Arial"/>
          <w:sz w:val="18"/>
          <w:szCs w:val="18"/>
          <w:color w:val="auto"/>
        </w:rPr>
        <w:t>In 2016, restructuring charges reduced earnings per share by $0.01 in the first quarter, $0.13 in the second quarter, $0.01 in the third quarter, and $0.01 in the fourth quarter.</w:t>
      </w:r>
    </w:p>
    <w:p>
      <w:pPr>
        <w:spacing w:after="0" w:line="157" w:lineRule="exact"/>
        <w:rPr>
          <w:sz w:val="20"/>
          <w:szCs w:val="20"/>
          <w:color w:val="auto"/>
        </w:rPr>
      </w:pPr>
    </w:p>
    <w:p>
      <w:pPr>
        <w:ind w:right="40" w:firstLine="648"/>
        <w:spacing w:after="0" w:line="239" w:lineRule="auto"/>
        <w:rPr>
          <w:sz w:val="20"/>
          <w:szCs w:val="20"/>
          <w:color w:val="auto"/>
        </w:rPr>
      </w:pPr>
      <w:r>
        <w:rPr>
          <w:rFonts w:ascii="Arial" w:cs="Arial" w:eastAsia="Arial" w:hAnsi="Arial"/>
          <w:sz w:val="18"/>
          <w:szCs w:val="18"/>
          <w:color w:val="auto"/>
        </w:rPr>
        <w:t>In 2016, we recorded measurement period adjustments related to the business acquisition that occurred in the second quarter of 2016. Measurement period adjustments decreased earnings per share by $0.03 in the third quarter, and $ 0.00 in the fourth quarter. Costs related the acquisition transaction reduced earnings per share by $0.03 in the first quarter, $0.08 in the second quarter, $0.00 in the third quarter, and $0.00 in the fourth quarter</w:t>
      </w:r>
    </w:p>
    <w:p>
      <w:pPr>
        <w:spacing w:after="0" w:line="175" w:lineRule="exact"/>
        <w:rPr>
          <w:sz w:val="20"/>
          <w:szCs w:val="20"/>
          <w:color w:val="auto"/>
        </w:rPr>
      </w:pPr>
    </w:p>
    <w:p>
      <w:pPr>
        <w:ind w:right="40" w:firstLine="648"/>
        <w:spacing w:after="0" w:line="246" w:lineRule="auto"/>
        <w:rPr>
          <w:sz w:val="20"/>
          <w:szCs w:val="20"/>
          <w:color w:val="auto"/>
        </w:rPr>
      </w:pPr>
      <w:r>
        <w:rPr>
          <w:rFonts w:ascii="Arial" w:cs="Arial" w:eastAsia="Arial" w:hAnsi="Arial"/>
          <w:sz w:val="18"/>
          <w:szCs w:val="18"/>
          <w:color w:val="auto"/>
        </w:rPr>
        <w:t>In 2016, discrete income tax adjustments, increased earnings per share by $0.03 in the first quarter, $0.00 in the second quarter, $0.00 in the third quarter, and $0.04 in the fourth quarter.</w:t>
      </w:r>
    </w:p>
    <w:p>
      <w:pPr>
        <w:spacing w:after="0" w:line="156" w:lineRule="exact"/>
        <w:rPr>
          <w:sz w:val="20"/>
          <w:szCs w:val="20"/>
          <w:color w:val="auto"/>
        </w:rPr>
      </w:pPr>
    </w:p>
    <w:p>
      <w:pPr>
        <w:ind w:right="220" w:firstLine="648"/>
        <w:spacing w:after="0" w:line="246" w:lineRule="auto"/>
        <w:rPr>
          <w:sz w:val="20"/>
          <w:szCs w:val="20"/>
          <w:color w:val="auto"/>
        </w:rPr>
      </w:pPr>
      <w:r>
        <w:rPr>
          <w:rFonts w:ascii="Arial" w:cs="Arial" w:eastAsia="Arial" w:hAnsi="Arial"/>
          <w:sz w:val="18"/>
          <w:szCs w:val="18"/>
          <w:color w:val="auto"/>
        </w:rPr>
        <w:t>In 2015, restructuring charges reduced earnings per share by $0.18 in the first quarter, $0.02 in the second quarter, $0.07 in the third quarter, and $0.21 in the fourth quarter.</w:t>
      </w:r>
    </w:p>
    <w:p>
      <w:pPr>
        <w:spacing w:after="0" w:line="156"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In 2015, discrete income tax adjustments, increased/(decreased) earnings per share by $ (0.01) in the first quarter, $0.00 in the second quarter, ($0.15) in the third quarter, and $0.85 in the fourth quarter. The amount recognized in the fourth quarter was principally due to a worthless stock deduction for the Company’s investment in its German subsidiary.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2015, we recognized a gain related to the sale of investment of $0.02 per share in the first quarter.</w:t>
      </w:r>
    </w:p>
    <w:p>
      <w:pPr>
        <w:spacing w:after="0" w:line="171" w:lineRule="exact"/>
        <w:rPr>
          <w:sz w:val="20"/>
          <w:szCs w:val="20"/>
          <w:color w:val="auto"/>
        </w:rPr>
      </w:pPr>
    </w:p>
    <w:p>
      <w:pPr>
        <w:ind w:right="220" w:firstLine="648"/>
        <w:spacing w:after="0" w:line="246" w:lineRule="auto"/>
        <w:rPr>
          <w:sz w:val="20"/>
          <w:szCs w:val="20"/>
          <w:color w:val="auto"/>
        </w:rPr>
      </w:pPr>
      <w:r>
        <w:rPr>
          <w:rFonts w:ascii="Arial" w:cs="Arial" w:eastAsia="Arial" w:hAnsi="Arial"/>
          <w:sz w:val="18"/>
          <w:szCs w:val="18"/>
          <w:color w:val="auto"/>
        </w:rPr>
        <w:t>In 2014, restructuring charges reduced earnings per share by $0.02 in the first quarter, $0.04 in the second quarter, $0.02 in the third quarter, and $0.04 in the fourth quarter.</w:t>
      </w:r>
    </w:p>
    <w:p>
      <w:pPr>
        <w:spacing w:after="0" w:line="156" w:lineRule="exact"/>
        <w:rPr>
          <w:sz w:val="20"/>
          <w:szCs w:val="20"/>
          <w:color w:val="auto"/>
        </w:rPr>
      </w:pPr>
    </w:p>
    <w:p>
      <w:pPr>
        <w:ind w:right="60" w:firstLine="648"/>
        <w:spacing w:after="0" w:line="246" w:lineRule="auto"/>
        <w:rPr>
          <w:sz w:val="20"/>
          <w:szCs w:val="20"/>
          <w:color w:val="auto"/>
        </w:rPr>
      </w:pPr>
      <w:r>
        <w:rPr>
          <w:rFonts w:ascii="Arial" w:cs="Arial" w:eastAsia="Arial" w:hAnsi="Arial"/>
          <w:sz w:val="18"/>
          <w:szCs w:val="18"/>
          <w:color w:val="auto"/>
        </w:rPr>
        <w:t>In 2014, we recognized a gain related to the insurance recovery due to damage to a Machine Clothing manufacturing facility, $0.03 per share in the second quarter and $0.01 per share in the third quarter.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2014, earnings per share included a pension plan settlement charge of $0.16 per share in the fourth quarter.</w:t>
      </w:r>
    </w:p>
    <w:p>
      <w:pPr>
        <w:spacing w:after="0" w:line="171" w:lineRule="exact"/>
        <w:rPr>
          <w:sz w:val="20"/>
          <w:szCs w:val="20"/>
          <w:color w:val="auto"/>
        </w:rPr>
      </w:pPr>
    </w:p>
    <w:p>
      <w:pPr>
        <w:ind w:right="160" w:firstLine="648"/>
        <w:spacing w:after="0"/>
        <w:rPr>
          <w:sz w:val="20"/>
          <w:szCs w:val="20"/>
          <w:color w:val="auto"/>
        </w:rPr>
      </w:pPr>
      <w:r>
        <w:rPr>
          <w:rFonts w:ascii="Arial" w:cs="Arial" w:eastAsia="Arial" w:hAnsi="Arial"/>
          <w:sz w:val="18"/>
          <w:szCs w:val="18"/>
          <w:color w:val="auto"/>
        </w:rPr>
        <w:t>The Company’s Class A Common Stock is traded principally on the New York Stock Exchange. As of December 31, 2016, there were approximately 7,500 beneficial owners of the Company’s common stock, including employees owning shares through the Company’s 401(k) defined contribution plan.</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02" w:name="page103"/>
    <w:bookmarkEnd w:id="102"/>
    <w:p>
      <w:pPr>
        <w:spacing w:after="0"/>
        <w:tabs>
          <w:tab w:leader="none" w:pos="11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8"/>
          <w:szCs w:val="18"/>
          <w:b w:val="1"/>
          <w:bCs w:val="1"/>
          <w:color w:val="auto"/>
        </w:rPr>
        <w:t>CONTROLS AND PROCEDURES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53"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The Company, with the participation of its management, including its Chief Executive Officer and Chief Financial Officer, has carried out an evaluation of the effectiveness of the design and operation of the Company’s disclosure controls and procedures (as defined in Exchange Act Rules 13a-15 and 15d-15) as of December 31, 2016. Such disclosure controls and procedures are designed to ensure that information required to be disclosed in reports under the Exchange Act is recorded, processed, summarized and reported within the time periods specified in the Commission's rules and forms, and to ensure that information required to be disclosed under the Exchange Act is accumulated and communicated to management, including the Chief Executive Officer and Chief Financial Officer, as appropriate to allow timely decisions regarding required disclosure.</w:t>
      </w:r>
    </w:p>
    <w:p>
      <w:pPr>
        <w:spacing w:after="0" w:line="136" w:lineRule="exact"/>
        <w:rPr>
          <w:sz w:val="20"/>
          <w:szCs w:val="20"/>
          <w:color w:val="auto"/>
        </w:rPr>
      </w:pPr>
    </w:p>
    <w:p>
      <w:pPr>
        <w:ind w:right="240" w:firstLine="648"/>
        <w:spacing w:after="0"/>
        <w:rPr>
          <w:sz w:val="20"/>
          <w:szCs w:val="20"/>
          <w:color w:val="auto"/>
        </w:rPr>
      </w:pPr>
      <w:r>
        <w:rPr>
          <w:rFonts w:ascii="Arial" w:cs="Arial" w:eastAsia="Arial" w:hAnsi="Arial"/>
          <w:sz w:val="18"/>
          <w:szCs w:val="18"/>
          <w:color w:val="auto"/>
        </w:rPr>
        <w:t>Based on and as of the date of this evaluation, the Chief Executive Officer and the Chief Financial Officer have concluded that the Company’s disclosure controls and procedures were not effective as of such date, due to the material weaknesses in the Company’s internal control over financial reporting described below.</w:t>
      </w:r>
    </w:p>
    <w:p>
      <w:pPr>
        <w:spacing w:after="0" w:line="135" w:lineRule="exact"/>
        <w:rPr>
          <w:sz w:val="20"/>
          <w:szCs w:val="20"/>
          <w:color w:val="auto"/>
        </w:rPr>
      </w:pPr>
    </w:p>
    <w:p>
      <w:pPr>
        <w:ind w:right="40" w:firstLine="648"/>
        <w:spacing w:after="0" w:line="236" w:lineRule="auto"/>
        <w:rPr>
          <w:sz w:val="20"/>
          <w:szCs w:val="20"/>
          <w:color w:val="auto"/>
        </w:rPr>
      </w:pPr>
      <w:r>
        <w:rPr>
          <w:rFonts w:ascii="Arial" w:cs="Arial" w:eastAsia="Arial" w:hAnsi="Arial"/>
          <w:sz w:val="18"/>
          <w:szCs w:val="18"/>
          <w:color w:val="auto"/>
        </w:rPr>
        <w:t xml:space="preserve">As the result of these material weaknesses, a third-party provider of services to a foreign sales location of the Company in Japan (AI Japan) was able unilaterally to disburse to himself funds from such subsidiary’s bank accounts, while misrepresenting the nature of such disbursements in the Company’s books and records. This third-party agent was also responsible for preparing financial statements and reports for the Japan subsidiary. These disbursements occurred during the period from January 1, 2014 through December 31, 2016, with most of the disbursements occurring during the fourth quarter of 2016 as the relationship with the agent was in the process of being terminated. During the fourth quarter of 2016, the Company recorded a charge of $2.5 million related to these losses. While some of the loss occurred in prior periods, such prior-period losses were not material to any such period and, accordingly, the Company has not restated any previously-issued financial statements relating to any such period. (See Footnote 6 under </w:t>
      </w:r>
      <w:r>
        <w:rPr>
          <w:rFonts w:ascii="Arial" w:cs="Arial" w:eastAsia="Arial" w:hAnsi="Arial"/>
          <w:sz w:val="18"/>
          <w:szCs w:val="18"/>
          <w:b w:val="1"/>
          <w:bCs w:val="1"/>
          <w:color w:val="auto"/>
        </w:rPr>
        <w:t>Item 8</w:t>
      </w:r>
      <w:r>
        <w:rPr>
          <w:rFonts w:ascii="Arial" w:cs="Arial" w:eastAsia="Arial" w:hAnsi="Arial"/>
          <w:sz w:val="18"/>
          <w:szCs w:val="18"/>
          <w:color w:val="auto"/>
        </w:rPr>
        <w:t>.)</w:t>
      </w:r>
    </w:p>
    <w:p>
      <w:pPr>
        <w:spacing w:after="0" w:line="127"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color w:val="auto"/>
        </w:rPr>
        <w:t>After the discovery of these losses and of the related material weaknesses, the Company completed additional substantive procedures prior to the filing of this report. Based on these procedures, management believes that the consolidated financial statements included in this report have been prepared in accordance with generally accepted accounting principles, and present fairly, in all material respects, the financial condition, results of operations and cash flows of the Company, as of and for the periods presented.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53" w:lineRule="exact"/>
        <w:rPr>
          <w:sz w:val="20"/>
          <w:szCs w:val="20"/>
          <w:color w:val="auto"/>
        </w:rPr>
      </w:pPr>
    </w:p>
    <w:p>
      <w:pPr>
        <w:ind w:right="80" w:firstLine="648"/>
        <w:spacing w:after="0" w:line="239" w:lineRule="auto"/>
        <w:rPr>
          <w:sz w:val="20"/>
          <w:szCs w:val="20"/>
          <w:color w:val="auto"/>
        </w:rPr>
      </w:pPr>
      <w:r>
        <w:rPr>
          <w:rFonts w:ascii="Arial" w:cs="Arial" w:eastAsia="Arial" w:hAnsi="Arial"/>
          <w:sz w:val="18"/>
          <w:szCs w:val="18"/>
          <w:color w:val="auto"/>
        </w:rPr>
        <w:t>Management of the Company is responsible for establishing and maintaining adequate internal control over financial reporting as defined in Rules 13a-15(f) and 15d-15(f) under the Securities Exchange Act of 1934. The Company’s internal control system is a process designed to provide reasonable assurance regarding the reliability of financial reporting and the preparation of financial statements for external reporting purposes in accordance with accounting principles generally accepted in the United States of America.</w:t>
      </w:r>
    </w:p>
    <w:p>
      <w:pPr>
        <w:spacing w:after="0" w:line="134" w:lineRule="exact"/>
        <w:rPr>
          <w:sz w:val="20"/>
          <w:szCs w:val="20"/>
          <w:color w:val="auto"/>
        </w:rPr>
      </w:pPr>
    </w:p>
    <w:p>
      <w:pPr>
        <w:ind w:right="160" w:firstLine="648"/>
        <w:spacing w:after="0"/>
        <w:rPr>
          <w:sz w:val="20"/>
          <w:szCs w:val="20"/>
          <w:color w:val="auto"/>
        </w:rPr>
      </w:pPr>
      <w:r>
        <w:rPr>
          <w:rFonts w:ascii="Arial" w:cs="Arial" w:eastAsia="Arial" w:hAnsi="Arial"/>
          <w:sz w:val="18"/>
          <w:szCs w:val="18"/>
          <w:color w:val="auto"/>
        </w:rPr>
        <w:t>Because of its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and procedures may deteriorate.</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3" w:name="page104"/>
    <w:bookmarkEnd w:id="103"/>
    <w:p>
      <w:pPr>
        <w:ind w:right="40" w:firstLine="648"/>
        <w:spacing w:after="0" w:line="238" w:lineRule="auto"/>
        <w:rPr>
          <w:sz w:val="20"/>
          <w:szCs w:val="20"/>
          <w:color w:val="auto"/>
        </w:rPr>
      </w:pPr>
      <w:r>
        <w:rPr>
          <w:rFonts w:ascii="Arial" w:cs="Arial" w:eastAsia="Arial" w:hAnsi="Arial"/>
          <w:sz w:val="18"/>
          <w:szCs w:val="18"/>
          <w:color w:val="auto"/>
        </w:rPr>
        <w:t>Management, under the supervision of the Company’s Chief Executive Officer and Chief Financial Officer, and oversight of the Board of Directors, conducted an assessment of the effectiveness of the Company’s internal control over financial reporting as of December 31, 2016. In making this assessment, management used the criteria set forth by the 2013 Committee of Sponsoring Organizations of the Treadway Commission (COSO) in Internal Control – Integrated Framework.</w:t>
      </w:r>
    </w:p>
    <w:p>
      <w:pPr>
        <w:spacing w:after="0" w:line="137" w:lineRule="exact"/>
        <w:rPr>
          <w:sz w:val="20"/>
          <w:szCs w:val="20"/>
          <w:color w:val="auto"/>
        </w:rPr>
      </w:pPr>
    </w:p>
    <w:p>
      <w:pPr>
        <w:ind w:right="200" w:firstLine="648"/>
        <w:spacing w:after="0" w:line="239" w:lineRule="auto"/>
        <w:rPr>
          <w:sz w:val="20"/>
          <w:szCs w:val="20"/>
          <w:color w:val="auto"/>
        </w:rPr>
      </w:pPr>
      <w:r>
        <w:rPr>
          <w:rFonts w:ascii="Arial" w:cs="Arial" w:eastAsia="Arial" w:hAnsi="Arial"/>
          <w:sz w:val="18"/>
          <w:szCs w:val="18"/>
          <w:color w:val="auto"/>
        </w:rPr>
        <w:t>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 Management has determined that certain material weaknesses existed at December 31, 2016, and that as a result, our internal control over financial reporting was not effective as of such date.</w:t>
      </w:r>
    </w:p>
    <w:p>
      <w:pPr>
        <w:spacing w:after="0" w:line="121"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The Company did not establish effective reporting lines, appropriate authorities, responsibilities and monitoring activities for financial reporting processes and internal controls, as well as the assignment of banking signatory authorities, limits and responsibilities, at AI Japan and certain other foreign locations. As a result, the Company lacked effective written entity and process level controls over initiation, authorization, processing and recording of transactions and safeguarding of assets managed by a third party service provider at a foreign sales location (AI Japan). In addition, the Company did not have effective management review controls over the assessment of a potential reserve for a loss contract due to a failure to understand and document the design requirements and operation of an effective management review control.</w:t>
      </w:r>
    </w:p>
    <w:p>
      <w:pPr>
        <w:spacing w:after="0" w:line="138"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 xml:space="preserve">Certain of these control deficiencies resulted in immaterial misstatements to the 2016 interim quarterly financial statements that were corrected in these audited consolidated financial statements (see Footnote 6 under </w:t>
      </w:r>
      <w:r>
        <w:rPr>
          <w:rFonts w:ascii="Arial" w:cs="Arial" w:eastAsia="Arial" w:hAnsi="Arial"/>
          <w:sz w:val="18"/>
          <w:szCs w:val="18"/>
          <w:b w:val="1"/>
          <w:bCs w:val="1"/>
          <w:color w:val="auto"/>
        </w:rPr>
        <w:t>Item 8</w:t>
      </w:r>
      <w:r>
        <w:rPr>
          <w:rFonts w:ascii="Arial" w:cs="Arial" w:eastAsia="Arial" w:hAnsi="Arial"/>
          <w:sz w:val="18"/>
          <w:szCs w:val="18"/>
          <w:color w:val="auto"/>
        </w:rPr>
        <w:t>). Although no material misstatements were identified in our consolidated financial statements, these control deficiencies create a reasonable possibility that a material misstatement to the consolidated financial statements would not be prevented or detected on a timely basis. We have concluded that our internal control over financial reporting was not effective as of December 31, 2016.</w:t>
      </w:r>
    </w:p>
    <w:p>
      <w:pPr>
        <w:spacing w:after="0" w:line="135"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During 2016, the Company acquired Blue Falcon I, Inc., the composites aerostructures business from Harris Corp. (now known as "Albany Aerostructures Composites, LLC"), which represents a material change in the internal control over financial reporting since management’s last assessment of effectiveness. Management has excluded from its assessment of the effectiveness of the Company’s internal control over financial reporting as of December 31, 2016, Albany Aerostructures Composites, LLC’s internal control over financial reporting associated with total assets of $252.5 million (of which $137.5 million represents goodwill and intangibles included within the scope of the assessment) and total revenues of $67.0 million included in the consolidated financial statements of the Company as of and for the year ended December 31, 2016.</w:t>
      </w:r>
    </w:p>
    <w:p>
      <w:pPr>
        <w:spacing w:after="0" w:line="122" w:lineRule="exact"/>
        <w:rPr>
          <w:sz w:val="20"/>
          <w:szCs w:val="20"/>
          <w:color w:val="auto"/>
        </w:rPr>
      </w:pPr>
    </w:p>
    <w:p>
      <w:pPr>
        <w:ind w:right="120" w:firstLine="648"/>
        <w:spacing w:after="0"/>
        <w:rPr>
          <w:sz w:val="20"/>
          <w:szCs w:val="20"/>
          <w:color w:val="auto"/>
        </w:rPr>
      </w:pPr>
      <w:r>
        <w:rPr>
          <w:rFonts w:ascii="Arial" w:cs="Arial" w:eastAsia="Arial" w:hAnsi="Arial"/>
          <w:sz w:val="18"/>
          <w:szCs w:val="18"/>
          <w:color w:val="auto"/>
        </w:rPr>
        <w:t>Our independent registered public accounting firm, KPMG LLP, who audited the consolidated financial statements included in this annual report, has expressed an adverse report on the operating effectiveness of the Company’s internal control over financial reporting which appears on pages 49 and 50 of this annual report on Form 10-K.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Plan</w:t>
      </w:r>
    </w:p>
    <w:p>
      <w:pPr>
        <w:spacing w:after="0" w:line="166" w:lineRule="exact"/>
        <w:rPr>
          <w:sz w:val="20"/>
          <w:szCs w:val="20"/>
          <w:color w:val="auto"/>
        </w:rPr>
      </w:pPr>
    </w:p>
    <w:p>
      <w:pPr>
        <w:ind w:right="160" w:firstLine="648"/>
        <w:spacing w:after="0"/>
        <w:rPr>
          <w:sz w:val="20"/>
          <w:szCs w:val="20"/>
          <w:color w:val="auto"/>
        </w:rPr>
      </w:pPr>
      <w:r>
        <w:rPr>
          <w:rFonts w:ascii="Arial" w:cs="Arial" w:eastAsia="Arial" w:hAnsi="Arial"/>
          <w:sz w:val="18"/>
          <w:szCs w:val="18"/>
          <w:color w:val="auto"/>
        </w:rPr>
        <w:t>Also during the fourth quarter, and as the result of the loss and related control deficiencies described above, the Company initiated comprehensive remediation efforts to ensure that the deficiencies that contributed to the material weaknesses are remediated such that these controls will operate effectively. These efforts include:</w:t>
      </w:r>
    </w:p>
    <w:p>
      <w:pPr>
        <w:spacing w:after="0" w:line="122" w:lineRule="exact"/>
        <w:rPr>
          <w:sz w:val="20"/>
          <w:szCs w:val="20"/>
          <w:color w:val="auto"/>
        </w:rPr>
      </w:pPr>
    </w:p>
    <w:p>
      <w:pPr>
        <w:ind w:left="980" w:right="600" w:hanging="324"/>
        <w:spacing w:after="0" w:line="246"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review of financial reporting processes relating to AI Japan, and enhancements and additions to the internal control at that location;</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04" w:name="page105"/>
    <w:bookmarkEnd w:id="104"/>
    <w:p>
      <w:pPr>
        <w:ind w:left="980" w:right="440" w:hanging="324"/>
        <w:spacing w:after="0" w:line="238"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increasing senior financial and accounting management monitoring of financial reporting at smaller Company locations, establishing effective reporting lines, and appropriate authorities, and responsibilities and monitoring for financial reporting activities, and assignment of banking signatory authorities, limits and responsibilities at such locations, including AI Japan and certain other foreign locations.</w:t>
      </w:r>
    </w:p>
    <w:p>
      <w:pPr>
        <w:spacing w:after="0" w:line="190" w:lineRule="exact"/>
        <w:rPr>
          <w:rFonts w:ascii="Arial" w:cs="Arial" w:eastAsia="Arial" w:hAnsi="Arial"/>
          <w:sz w:val="18"/>
          <w:szCs w:val="18"/>
          <w:color w:val="auto"/>
        </w:rPr>
      </w:pPr>
    </w:p>
    <w:p>
      <w:pPr>
        <w:ind w:left="980" w:right="30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Enhancing management review controls and procedures for the assessment of potential reserves for loss contracts and provide additional training regarding the required documentation of design and operating effectiveness of internal control over financial reporting.</w:t>
      </w:r>
    </w:p>
    <w:p>
      <w:pPr>
        <w:spacing w:after="0" w:line="200" w:lineRule="exact"/>
        <w:rPr>
          <w:sz w:val="20"/>
          <w:szCs w:val="20"/>
          <w:color w:val="auto"/>
        </w:rPr>
      </w:pPr>
    </w:p>
    <w:p>
      <w:pPr>
        <w:spacing w:after="0" w:line="273" w:lineRule="exact"/>
        <w:rPr>
          <w:sz w:val="20"/>
          <w:szCs w:val="20"/>
          <w:color w:val="auto"/>
        </w:rPr>
      </w:pPr>
    </w:p>
    <w:p>
      <w:pPr>
        <w:ind w:right="60" w:firstLine="648"/>
        <w:spacing w:after="0"/>
        <w:rPr>
          <w:sz w:val="20"/>
          <w:szCs w:val="20"/>
          <w:color w:val="auto"/>
        </w:rPr>
      </w:pPr>
      <w:r>
        <w:rPr>
          <w:rFonts w:ascii="Arial" w:cs="Arial" w:eastAsia="Arial" w:hAnsi="Arial"/>
          <w:sz w:val="18"/>
          <w:szCs w:val="18"/>
          <w:color w:val="auto"/>
        </w:rPr>
        <w:t>We believe that such efforts will effectively remediate the reported material weaknesses. However, the material weaknesses will not be considered remediated until the remediated controls operate for a sufficient period of time and management has concluded, through testing, that these controls are operating effectively.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66" w:lineRule="exact"/>
        <w:rPr>
          <w:sz w:val="20"/>
          <w:szCs w:val="20"/>
          <w:color w:val="auto"/>
        </w:rPr>
      </w:pPr>
    </w:p>
    <w:p>
      <w:pPr>
        <w:ind w:right="320" w:firstLine="648"/>
        <w:spacing w:after="0"/>
        <w:rPr>
          <w:sz w:val="20"/>
          <w:szCs w:val="20"/>
          <w:color w:val="auto"/>
        </w:rPr>
      </w:pPr>
      <w:r>
        <w:rPr>
          <w:rFonts w:ascii="Arial" w:cs="Arial" w:eastAsia="Arial" w:hAnsi="Arial"/>
          <w:sz w:val="18"/>
          <w:szCs w:val="18"/>
          <w:color w:val="auto"/>
        </w:rPr>
        <w:t>Other than the remediation efforts described above, there were no changes in our internal control over financial reporting during our fourth fiscal quarter of 2016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40" w:type="dxa"/>
            <w:vAlign w:val="bottom"/>
            <w:gridSpan w:val="2"/>
          </w:tcPr>
          <w:p>
            <w:pPr>
              <w:spacing w:after="0"/>
              <w:rPr>
                <w:sz w:val="20"/>
                <w:szCs w:val="20"/>
                <w:color w:val="auto"/>
              </w:rPr>
            </w:pPr>
            <w:r>
              <w:rPr>
                <w:rFonts w:ascii="Arial" w:cs="Arial" w:eastAsia="Arial" w:hAnsi="Arial"/>
                <w:sz w:val="18"/>
                <w:szCs w:val="18"/>
                <w:color w:val="auto"/>
              </w:rPr>
              <w:t>/s/ Joseph G. Morone, Ph.D.</w:t>
            </w:r>
          </w:p>
        </w:tc>
        <w:tc>
          <w:tcPr>
            <w:tcW w:w="4560" w:type="dxa"/>
            <w:vAlign w:val="bottom"/>
            <w:gridSpan w:val="3"/>
          </w:tcPr>
          <w:p>
            <w:pPr>
              <w:ind w:left="580"/>
              <w:spacing w:after="0"/>
              <w:rPr>
                <w:sz w:val="20"/>
                <w:szCs w:val="20"/>
                <w:color w:val="auto"/>
              </w:rPr>
            </w:pPr>
            <w:r>
              <w:rPr>
                <w:rFonts w:ascii="Arial" w:cs="Arial" w:eastAsia="Arial" w:hAnsi="Arial"/>
                <w:sz w:val="18"/>
                <w:szCs w:val="18"/>
                <w:color w:val="auto"/>
              </w:rPr>
              <w:t>/s/ John B. Cozzolino</w:t>
            </w:r>
          </w:p>
        </w:tc>
        <w:tc>
          <w:tcPr>
            <w:tcW w:w="3420" w:type="dxa"/>
            <w:vAlign w:val="bottom"/>
          </w:tcPr>
          <w:p>
            <w:pPr>
              <w:spacing w:after="0"/>
              <w:rPr>
                <w:sz w:val="20"/>
                <w:szCs w:val="20"/>
                <w:color w:val="auto"/>
              </w:rPr>
            </w:pPr>
            <w:r>
              <w:rPr>
                <w:rFonts w:ascii="Arial" w:cs="Arial" w:eastAsia="Arial" w:hAnsi="Arial"/>
                <w:sz w:val="18"/>
                <w:szCs w:val="18"/>
                <w:color w:val="auto"/>
              </w:rPr>
              <w:t>/s/ David M. Pawlick</w:t>
            </w:r>
          </w:p>
        </w:tc>
      </w:tr>
      <w:tr>
        <w:trPr>
          <w:trHeight w:val="195"/>
        </w:trPr>
        <w:tc>
          <w:tcPr>
            <w:tcW w:w="20" w:type="dxa"/>
            <w:vAlign w:val="bottom"/>
          </w:tcPr>
          <w:p>
            <w:pPr>
              <w:spacing w:after="0"/>
              <w:rPr>
                <w:sz w:val="16"/>
                <w:szCs w:val="16"/>
                <w:color w:val="auto"/>
              </w:rPr>
            </w:pPr>
          </w:p>
        </w:tc>
        <w:tc>
          <w:tcPr>
            <w:tcW w:w="34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Joseph G. Morone, Ph.D.</w:t>
            </w:r>
          </w:p>
        </w:tc>
        <w:tc>
          <w:tcPr>
            <w:tcW w:w="580" w:type="dxa"/>
            <w:vAlign w:val="bottom"/>
          </w:tcPr>
          <w:p>
            <w:pPr>
              <w:spacing w:after="0"/>
              <w:rPr>
                <w:sz w:val="16"/>
                <w:szCs w:val="16"/>
                <w:color w:val="auto"/>
              </w:rPr>
            </w:pPr>
          </w:p>
        </w:tc>
        <w:tc>
          <w:tcPr>
            <w:tcW w:w="34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John B. Cozzolino</w:t>
            </w:r>
          </w:p>
        </w:tc>
        <w:tc>
          <w:tcPr>
            <w:tcW w:w="560" w:type="dxa"/>
            <w:vAlign w:val="bottom"/>
          </w:tcPr>
          <w:p>
            <w:pPr>
              <w:spacing w:after="0"/>
              <w:rPr>
                <w:sz w:val="16"/>
                <w:szCs w:val="16"/>
                <w:color w:val="auto"/>
              </w:rPr>
            </w:pPr>
          </w:p>
        </w:tc>
        <w:tc>
          <w:tcPr>
            <w:tcW w:w="34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David M. Pawlick</w:t>
            </w:r>
          </w:p>
        </w:tc>
      </w:tr>
      <w:tr>
        <w:trPr>
          <w:trHeight w:val="203"/>
        </w:trPr>
        <w:tc>
          <w:tcPr>
            <w:tcW w:w="3440" w:type="dxa"/>
            <w:vAlign w:val="bottom"/>
            <w:gridSpan w:val="2"/>
          </w:tcPr>
          <w:p>
            <w:pPr>
              <w:spacing w:after="0" w:line="202" w:lineRule="exact"/>
              <w:rPr>
                <w:sz w:val="20"/>
                <w:szCs w:val="20"/>
                <w:color w:val="auto"/>
              </w:rPr>
            </w:pPr>
            <w:r>
              <w:rPr>
                <w:rFonts w:ascii="Arial" w:cs="Arial" w:eastAsia="Arial" w:hAnsi="Arial"/>
                <w:sz w:val="18"/>
                <w:szCs w:val="18"/>
                <w:color w:val="auto"/>
              </w:rPr>
              <w:t>President and</w:t>
            </w:r>
          </w:p>
        </w:tc>
        <w:tc>
          <w:tcPr>
            <w:tcW w:w="4560" w:type="dxa"/>
            <w:vAlign w:val="bottom"/>
            <w:gridSpan w:val="3"/>
          </w:tcPr>
          <w:p>
            <w:pPr>
              <w:ind w:left="580"/>
              <w:spacing w:after="0" w:line="202" w:lineRule="exact"/>
              <w:rPr>
                <w:sz w:val="20"/>
                <w:szCs w:val="20"/>
                <w:color w:val="auto"/>
              </w:rPr>
            </w:pPr>
            <w:r>
              <w:rPr>
                <w:rFonts w:ascii="Arial" w:cs="Arial" w:eastAsia="Arial" w:hAnsi="Arial"/>
                <w:sz w:val="18"/>
                <w:szCs w:val="18"/>
                <w:color w:val="auto"/>
              </w:rPr>
              <w:t>Chief Financial Officer</w:t>
            </w:r>
          </w:p>
        </w:tc>
        <w:tc>
          <w:tcPr>
            <w:tcW w:w="3420" w:type="dxa"/>
            <w:vAlign w:val="bottom"/>
          </w:tcPr>
          <w:p>
            <w:pPr>
              <w:spacing w:after="0" w:line="202" w:lineRule="exact"/>
              <w:rPr>
                <w:sz w:val="20"/>
                <w:szCs w:val="20"/>
                <w:color w:val="auto"/>
              </w:rPr>
            </w:pPr>
            <w:r>
              <w:rPr>
                <w:rFonts w:ascii="Arial" w:cs="Arial" w:eastAsia="Arial" w:hAnsi="Arial"/>
                <w:sz w:val="18"/>
                <w:szCs w:val="18"/>
                <w:color w:val="auto"/>
              </w:rPr>
              <w:t>Vice President and</w:t>
            </w:r>
          </w:p>
        </w:tc>
      </w:tr>
      <w:tr>
        <w:trPr>
          <w:trHeight w:val="203"/>
        </w:trPr>
        <w:tc>
          <w:tcPr>
            <w:tcW w:w="3440" w:type="dxa"/>
            <w:vAlign w:val="bottom"/>
            <w:gridSpan w:val="2"/>
          </w:tcPr>
          <w:p>
            <w:pPr>
              <w:spacing w:after="0" w:line="202" w:lineRule="exact"/>
              <w:rPr>
                <w:sz w:val="20"/>
                <w:szCs w:val="20"/>
                <w:color w:val="auto"/>
              </w:rPr>
            </w:pPr>
            <w:r>
              <w:rPr>
                <w:rFonts w:ascii="Arial" w:cs="Arial" w:eastAsia="Arial" w:hAnsi="Arial"/>
                <w:sz w:val="18"/>
                <w:szCs w:val="18"/>
                <w:color w:val="auto"/>
              </w:rPr>
              <w:t>Chief Executive Officer</w:t>
            </w:r>
          </w:p>
        </w:tc>
        <w:tc>
          <w:tcPr>
            <w:tcW w:w="4560" w:type="dxa"/>
            <w:vAlign w:val="bottom"/>
            <w:gridSpan w:val="3"/>
          </w:tcPr>
          <w:p>
            <w:pPr>
              <w:ind w:left="580"/>
              <w:spacing w:after="0" w:line="202" w:lineRule="exact"/>
              <w:rPr>
                <w:sz w:val="20"/>
                <w:szCs w:val="20"/>
                <w:color w:val="auto"/>
              </w:rPr>
            </w:pPr>
            <w:r>
              <w:rPr>
                <w:rFonts w:ascii="Arial" w:cs="Arial" w:eastAsia="Arial" w:hAnsi="Arial"/>
                <w:sz w:val="18"/>
                <w:szCs w:val="18"/>
                <w:color w:val="auto"/>
              </w:rPr>
              <w:t>and Treasurer</w:t>
            </w:r>
          </w:p>
        </w:tc>
        <w:tc>
          <w:tcPr>
            <w:tcW w:w="3420" w:type="dxa"/>
            <w:vAlign w:val="bottom"/>
          </w:tcPr>
          <w:p>
            <w:pPr>
              <w:spacing w:after="0" w:line="202" w:lineRule="exact"/>
              <w:rPr>
                <w:sz w:val="20"/>
                <w:szCs w:val="20"/>
                <w:color w:val="auto"/>
              </w:rPr>
            </w:pPr>
            <w:r>
              <w:rPr>
                <w:rFonts w:ascii="Arial" w:cs="Arial" w:eastAsia="Arial" w:hAnsi="Arial"/>
                <w:sz w:val="18"/>
                <w:szCs w:val="18"/>
                <w:color w:val="auto"/>
              </w:rPr>
              <w:t>Controller</w:t>
            </w:r>
          </w:p>
        </w:tc>
      </w:tr>
      <w:tr>
        <w:trPr>
          <w:trHeight w:val="203"/>
        </w:trPr>
        <w:tc>
          <w:tcPr>
            <w:tcW w:w="3440" w:type="dxa"/>
            <w:vAlign w:val="bottom"/>
            <w:gridSpan w:val="2"/>
          </w:tcPr>
          <w:p>
            <w:pPr>
              <w:spacing w:after="0" w:line="202" w:lineRule="exact"/>
              <w:rPr>
                <w:sz w:val="20"/>
                <w:szCs w:val="20"/>
                <w:color w:val="auto"/>
              </w:rPr>
            </w:pPr>
            <w:r>
              <w:rPr>
                <w:rFonts w:ascii="Arial" w:cs="Arial" w:eastAsia="Arial" w:hAnsi="Arial"/>
                <w:sz w:val="18"/>
                <w:szCs w:val="18"/>
                <w:color w:val="auto"/>
              </w:rPr>
              <w:t>and Director</w:t>
            </w:r>
          </w:p>
        </w:tc>
        <w:tc>
          <w:tcPr>
            <w:tcW w:w="4560" w:type="dxa"/>
            <w:vAlign w:val="bottom"/>
            <w:gridSpan w:val="3"/>
          </w:tcPr>
          <w:p>
            <w:pPr>
              <w:ind w:left="580"/>
              <w:spacing w:after="0" w:line="202" w:lineRule="exact"/>
              <w:rPr>
                <w:sz w:val="20"/>
                <w:szCs w:val="20"/>
                <w:color w:val="auto"/>
              </w:rPr>
            </w:pPr>
            <w:r>
              <w:rPr>
                <w:rFonts w:ascii="Arial" w:cs="Arial" w:eastAsia="Arial" w:hAnsi="Arial"/>
                <w:sz w:val="18"/>
                <w:szCs w:val="18"/>
                <w:color w:val="auto"/>
              </w:rPr>
              <w:t>(Principal Financial Officer)</w:t>
            </w:r>
          </w:p>
        </w:tc>
        <w:tc>
          <w:tcPr>
            <w:tcW w:w="3420" w:type="dxa"/>
            <w:vAlign w:val="bottom"/>
          </w:tcPr>
          <w:p>
            <w:pPr>
              <w:spacing w:after="0" w:line="202" w:lineRule="exact"/>
              <w:rPr>
                <w:sz w:val="20"/>
                <w:szCs w:val="20"/>
                <w:color w:val="auto"/>
              </w:rPr>
            </w:pPr>
            <w:r>
              <w:rPr>
                <w:rFonts w:ascii="Arial" w:cs="Arial" w:eastAsia="Arial" w:hAnsi="Arial"/>
                <w:sz w:val="18"/>
                <w:szCs w:val="18"/>
                <w:color w:val="auto"/>
              </w:rPr>
              <w:t>(Principal Accounting Officer)</w:t>
            </w:r>
          </w:p>
        </w:tc>
      </w:tr>
      <w:tr>
        <w:trPr>
          <w:trHeight w:val="217"/>
        </w:trPr>
        <w:tc>
          <w:tcPr>
            <w:tcW w:w="344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5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540"/>
        </w:trPr>
        <w:tc>
          <w:tcPr>
            <w:tcW w:w="3440" w:type="dxa"/>
            <w:vAlign w:val="bottom"/>
            <w:gridSpan w:val="2"/>
          </w:tcPr>
          <w:p>
            <w:pPr>
              <w:spacing w:after="0"/>
              <w:rPr>
                <w:sz w:val="20"/>
                <w:szCs w:val="20"/>
                <w:color w:val="auto"/>
              </w:rPr>
            </w:pPr>
            <w:r>
              <w:rPr>
                <w:rFonts w:ascii="Arial" w:cs="Arial" w:eastAsia="Arial" w:hAnsi="Arial"/>
                <w:sz w:val="18"/>
                <w:szCs w:val="18"/>
                <w:b w:val="1"/>
                <w:bCs w:val="1"/>
                <w:color w:val="auto"/>
              </w:rPr>
              <w:t>Item 9B.  OTHER INFORMATION</w:t>
            </w:r>
          </w:p>
        </w:tc>
        <w:tc>
          <w:tcPr>
            <w:tcW w:w="5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702"/>
        </w:trPr>
        <w:tc>
          <w:tcPr>
            <w:tcW w:w="20" w:type="dxa"/>
            <w:vAlign w:val="bottom"/>
          </w:tcPr>
          <w:p>
            <w:pPr>
              <w:spacing w:after="0"/>
              <w:rPr>
                <w:sz w:val="24"/>
                <w:szCs w:val="24"/>
                <w:color w:val="auto"/>
              </w:rPr>
            </w:pPr>
          </w:p>
        </w:tc>
        <w:tc>
          <w:tcPr>
            <w:tcW w:w="3420" w:type="dxa"/>
            <w:vAlign w:val="bottom"/>
          </w:tcPr>
          <w:p>
            <w:pPr>
              <w:ind w:left="380"/>
              <w:spacing w:after="0"/>
              <w:rPr>
                <w:sz w:val="20"/>
                <w:szCs w:val="20"/>
                <w:color w:val="auto"/>
              </w:rPr>
            </w:pPr>
            <w:r>
              <w:rPr>
                <w:rFonts w:ascii="Arial" w:cs="Arial" w:eastAsia="Arial" w:hAnsi="Arial"/>
                <w:sz w:val="18"/>
                <w:szCs w:val="18"/>
                <w:color w:val="auto"/>
              </w:rPr>
              <w:t>None.</w:t>
            </w:r>
          </w:p>
        </w:tc>
        <w:tc>
          <w:tcPr>
            <w:tcW w:w="5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20" w:type="dxa"/>
            <w:vAlign w:val="bottom"/>
          </w:tcPr>
          <w:p>
            <w:pPr>
              <w:spacing w:after="0"/>
              <w:rPr>
                <w:sz w:val="24"/>
                <w:szCs w:val="24"/>
                <w:color w:val="auto"/>
              </w:rPr>
            </w:pP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05" w:name="page106"/>
    <w:bookmarkEnd w:id="105"/>
    <w:p>
      <w:pPr>
        <w:ind w:left="5700"/>
        <w:spacing w:after="0"/>
        <w:rPr>
          <w:sz w:val="20"/>
          <w:szCs w:val="20"/>
          <w:color w:val="auto"/>
        </w:rPr>
      </w:pPr>
      <w:r>
        <w:rPr>
          <w:rFonts w:ascii="Arial" w:cs="Arial" w:eastAsia="Arial" w:hAnsi="Arial"/>
          <w:sz w:val="18"/>
          <w:szCs w:val="18"/>
          <w:b w:val="1"/>
          <w:bCs w:val="1"/>
          <w:color w:val="auto"/>
        </w:rPr>
        <w:t>PART III</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93" w:lineRule="exact"/>
        <w:rPr>
          <w:sz w:val="20"/>
          <w:szCs w:val="20"/>
          <w:color w:val="auto"/>
        </w:rPr>
      </w:pPr>
    </w:p>
    <w:p>
      <w:pPr>
        <w:ind w:left="820" w:right="320" w:hanging="407"/>
        <w:spacing w:after="0" w:line="246" w:lineRule="auto"/>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Directors.</w:t>
      </w:r>
      <w:r>
        <w:rPr>
          <w:rFonts w:ascii="Arial" w:cs="Arial" w:eastAsia="Arial" w:hAnsi="Arial"/>
          <w:sz w:val="18"/>
          <w:szCs w:val="18"/>
          <w:color w:val="auto"/>
        </w:rPr>
        <w:t xml:space="preserve"> The information set out in the section captioned “Election of Directors” in the Proxy Statement is incorporated herein by reference.</w:t>
      </w:r>
    </w:p>
    <w:p>
      <w:pPr>
        <w:spacing w:after="0" w:line="169" w:lineRule="exact"/>
        <w:rPr>
          <w:rFonts w:ascii="Arial" w:cs="Arial" w:eastAsia="Arial" w:hAnsi="Arial"/>
          <w:sz w:val="18"/>
          <w:szCs w:val="18"/>
          <w:color w:val="auto"/>
        </w:rPr>
      </w:pPr>
    </w:p>
    <w:p>
      <w:pPr>
        <w:ind w:left="820" w:hanging="407"/>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Executive Officers.</w:t>
      </w:r>
      <w:r>
        <w:rPr>
          <w:rFonts w:ascii="Arial" w:cs="Arial" w:eastAsia="Arial" w:hAnsi="Arial"/>
          <w:sz w:val="18"/>
          <w:szCs w:val="18"/>
          <w:color w:val="auto"/>
        </w:rPr>
        <w:t xml:space="preserve"> Information about the officers of the Company is set forth in Item 1 above.</w:t>
      </w:r>
    </w:p>
    <w:p>
      <w:pPr>
        <w:spacing w:after="0" w:line="171" w:lineRule="exact"/>
        <w:rPr>
          <w:rFonts w:ascii="Arial" w:cs="Arial" w:eastAsia="Arial" w:hAnsi="Arial"/>
          <w:sz w:val="18"/>
          <w:szCs w:val="18"/>
          <w:color w:val="auto"/>
        </w:rPr>
      </w:pPr>
    </w:p>
    <w:p>
      <w:pPr>
        <w:ind w:left="820" w:hanging="407"/>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Significant Employees.</w:t>
      </w:r>
      <w:r>
        <w:rPr>
          <w:rFonts w:ascii="Arial" w:cs="Arial" w:eastAsia="Arial" w:hAnsi="Arial"/>
          <w:sz w:val="18"/>
          <w:szCs w:val="18"/>
          <w:color w:val="auto"/>
        </w:rPr>
        <w:t xml:space="preserve"> Same as Executive Officers.</w:t>
      </w:r>
    </w:p>
    <w:p>
      <w:pPr>
        <w:spacing w:after="0" w:line="171" w:lineRule="exact"/>
        <w:rPr>
          <w:rFonts w:ascii="Arial" w:cs="Arial" w:eastAsia="Arial" w:hAnsi="Arial"/>
          <w:sz w:val="18"/>
          <w:szCs w:val="18"/>
          <w:color w:val="auto"/>
        </w:rPr>
      </w:pPr>
    </w:p>
    <w:p>
      <w:pPr>
        <w:ind w:left="820" w:right="60" w:hanging="407"/>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Nature of any family relationship between any director, executive officer, person nominated or chosen to become a director or executive officer.</w:t>
      </w:r>
      <w:r>
        <w:rPr>
          <w:rFonts w:ascii="Arial" w:cs="Arial" w:eastAsia="Arial" w:hAnsi="Arial"/>
          <w:sz w:val="18"/>
          <w:szCs w:val="18"/>
          <w:color w:val="auto"/>
        </w:rPr>
        <w:t xml:space="preserve"> The information set out in the section captioned “Certain Business Relationships and Related Person Transactions” in the Proxy Statement is incorporated herein by reference.</w:t>
      </w:r>
    </w:p>
    <w:p>
      <w:pPr>
        <w:spacing w:after="0" w:line="175" w:lineRule="exact"/>
        <w:rPr>
          <w:rFonts w:ascii="Arial" w:cs="Arial" w:eastAsia="Arial" w:hAnsi="Arial"/>
          <w:sz w:val="18"/>
          <w:szCs w:val="18"/>
          <w:color w:val="auto"/>
        </w:rPr>
      </w:pPr>
    </w:p>
    <w:p>
      <w:pPr>
        <w:ind w:left="820" w:right="180" w:hanging="407"/>
        <w:spacing w:after="0" w:line="261" w:lineRule="auto"/>
        <w:tabs>
          <w:tab w:leader="none" w:pos="820"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Business experience, during the past five years, of each director, executive officer, person nominated or chosen to become director or executive officer, and significant employees.</w:t>
      </w:r>
      <w:r>
        <w:rPr>
          <w:rFonts w:ascii="Arial" w:cs="Arial" w:eastAsia="Arial" w:hAnsi="Arial"/>
          <w:sz w:val="17"/>
          <w:szCs w:val="17"/>
          <w:color w:val="auto"/>
        </w:rPr>
        <w:t xml:space="preserve"> Information about the officers of the Company is set forth in Item 1 above and the information set out in the section captioned “Election of Directors” in the Proxy Statement is incorporated herein by reference.</w:t>
      </w:r>
    </w:p>
    <w:p>
      <w:pPr>
        <w:spacing w:after="0" w:line="145" w:lineRule="exact"/>
        <w:rPr>
          <w:rFonts w:ascii="Arial" w:cs="Arial" w:eastAsia="Arial" w:hAnsi="Arial"/>
          <w:sz w:val="17"/>
          <w:szCs w:val="17"/>
          <w:color w:val="auto"/>
        </w:rPr>
      </w:pPr>
    </w:p>
    <w:p>
      <w:pPr>
        <w:ind w:left="820" w:right="40" w:hanging="407"/>
        <w:spacing w:after="0" w:line="246" w:lineRule="auto"/>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Involvement in certain legal proceedings by any director, person nominated to become a director or executive officer.</w:t>
      </w:r>
      <w:r>
        <w:rPr>
          <w:rFonts w:ascii="Arial" w:cs="Arial" w:eastAsia="Arial" w:hAnsi="Arial"/>
          <w:sz w:val="18"/>
          <w:szCs w:val="18"/>
          <w:color w:val="auto"/>
        </w:rPr>
        <w:t xml:space="preserve"> The information set out in the section captioned “Election of Directors” in the Proxy Statement is incorporated herein by reference.</w:t>
      </w:r>
    </w:p>
    <w:p>
      <w:pPr>
        <w:spacing w:after="0" w:line="156" w:lineRule="exact"/>
        <w:rPr>
          <w:rFonts w:ascii="Arial" w:cs="Arial" w:eastAsia="Arial" w:hAnsi="Arial"/>
          <w:sz w:val="18"/>
          <w:szCs w:val="18"/>
          <w:color w:val="auto"/>
        </w:rPr>
      </w:pPr>
    </w:p>
    <w:p>
      <w:pPr>
        <w:ind w:left="820" w:hanging="407"/>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Certain promoters and control persons.</w:t>
      </w:r>
      <w:r>
        <w:rPr>
          <w:rFonts w:ascii="Arial" w:cs="Arial" w:eastAsia="Arial" w:hAnsi="Arial"/>
          <w:sz w:val="18"/>
          <w:szCs w:val="18"/>
          <w:color w:val="auto"/>
        </w:rPr>
        <w:t xml:space="preserve"> None.</w:t>
      </w:r>
    </w:p>
    <w:p>
      <w:pPr>
        <w:spacing w:after="0" w:line="184" w:lineRule="exact"/>
        <w:rPr>
          <w:rFonts w:ascii="Arial" w:cs="Arial" w:eastAsia="Arial" w:hAnsi="Arial"/>
          <w:sz w:val="18"/>
          <w:szCs w:val="18"/>
          <w:color w:val="auto"/>
        </w:rPr>
      </w:pPr>
    </w:p>
    <w:p>
      <w:pPr>
        <w:ind w:left="820" w:right="180" w:hanging="407"/>
        <w:spacing w:after="0" w:line="246" w:lineRule="auto"/>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Audit Committee Financial Expert.</w:t>
      </w:r>
      <w:r>
        <w:rPr>
          <w:rFonts w:ascii="Arial" w:cs="Arial" w:eastAsia="Arial" w:hAnsi="Arial"/>
          <w:sz w:val="18"/>
          <w:szCs w:val="18"/>
          <w:color w:val="auto"/>
        </w:rPr>
        <w:t xml:space="preserve"> The information set out in the section captioned “Corporate Governance” in the Proxy Statement is incorporated herein by reference.</w:t>
      </w:r>
    </w:p>
    <w:p>
      <w:pPr>
        <w:spacing w:after="0" w:line="156" w:lineRule="exact"/>
        <w:rPr>
          <w:rFonts w:ascii="Arial" w:cs="Arial" w:eastAsia="Arial" w:hAnsi="Arial"/>
          <w:sz w:val="18"/>
          <w:szCs w:val="18"/>
          <w:color w:val="auto"/>
        </w:rPr>
      </w:pPr>
    </w:p>
    <w:p>
      <w:pPr>
        <w:ind w:left="820" w:hanging="407"/>
        <w:spacing w:after="0" w:line="237" w:lineRule="auto"/>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Code of Ethics.</w:t>
      </w:r>
      <w:r>
        <w:rPr>
          <w:rFonts w:ascii="Arial" w:cs="Arial" w:eastAsia="Arial" w:hAnsi="Arial"/>
          <w:sz w:val="18"/>
          <w:szCs w:val="18"/>
          <w:color w:val="auto"/>
        </w:rPr>
        <w:t xml:space="preserve"> The Company has adopted a Code of Ethics that applies to its Chief Executive Officer, Chief Financial Officer and Controller. A copy of the Code of Ethics is filed as Exhibit 10(p) and is available at the Corporate Governance section of the Company’s website (www.albint.com). A copy of the Code of Ethics may be obtained, without charge, by writing to: Investor Relations Department, Albany International Corp., 216 Airport Drive, Rochester, New Hampshire 03867. Any amendment to the Code of Ethics will be disclosed by posting the amended Code of Ethics on the Company’s website. Any waiver of any provision of the Code of Ethics will be disclosed by the filing of a Form 8-K.</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93"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color w:val="auto"/>
        </w:rPr>
        <w:t>The information set forth in the sections of the Proxy Statement captioned “Executive Compensation,” “Summary Compensation Table,” “Grants of Plan-Based Awards,” “Outstanding Equity Awards At Fiscal Year-End,” “Option Exercises and Stock Vested,” “Pension Benefits,” “Nonqualified Deferred Compensation,” “Director Compensation,” “Compensation Committee Report,” “Compensation Discussion and Analysis,” and “Compensation Committee Interlocks and Insider Participation” is incorporated herein by reference.</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6" w:name="page107"/>
    <w:bookmarkEnd w:id="106"/>
    <w:p>
      <w:pPr>
        <w:ind w:left="820" w:right="840" w:hanging="809"/>
        <w:spacing w:after="0" w:line="270"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36" w:lineRule="exact"/>
        <w:rPr>
          <w:sz w:val="20"/>
          <w:szCs w:val="20"/>
          <w:color w:val="auto"/>
        </w:rPr>
      </w:pPr>
    </w:p>
    <w:p>
      <w:pPr>
        <w:ind w:right="560" w:firstLine="648"/>
        <w:spacing w:after="0" w:line="446" w:lineRule="auto"/>
        <w:rPr>
          <w:sz w:val="20"/>
          <w:szCs w:val="20"/>
          <w:color w:val="auto"/>
        </w:rPr>
      </w:pPr>
      <w:r>
        <w:rPr>
          <w:rFonts w:ascii="Arial" w:cs="Arial" w:eastAsia="Arial" w:hAnsi="Arial"/>
          <w:sz w:val="18"/>
          <w:szCs w:val="18"/>
          <w:color w:val="auto"/>
        </w:rPr>
        <w:t xml:space="preserve">The information set forth in the section captioned "Share Ownership" in the Proxy Statement is incorporated herein by reference. </w:t>
      </w:r>
      <w:r>
        <w:rPr>
          <w:rFonts w:ascii="Arial" w:cs="Arial" w:eastAsia="Arial" w:hAnsi="Arial"/>
          <w:sz w:val="18"/>
          <w:szCs w:val="18"/>
          <w:b w:val="1"/>
          <w:bCs w:val="1"/>
          <w:color w:val="auto"/>
        </w:rPr>
        <w:t>Equity Compensation Plan Information</w:t>
      </w:r>
    </w:p>
    <w:tbl>
      <w:tblPr>
        <w:tblLayout w:type="fixed"/>
        <w:tblInd w:w="0" w:type="dxa"/>
        <w:tblCellMar>
          <w:top w:w="0" w:type="dxa"/>
          <w:left w:w="0" w:type="dxa"/>
          <w:bottom w:w="0" w:type="dxa"/>
          <w:right w:w="0" w:type="dxa"/>
        </w:tblCellMar>
      </w:tblPr>
      <w:tr>
        <w:trPr>
          <w:trHeight w:val="144"/>
        </w:trPr>
        <w:tc>
          <w:tcPr>
            <w:tcW w:w="3140" w:type="dxa"/>
            <w:vAlign w:val="bottom"/>
            <w:tcBorders>
              <w:top w:val="single" w:sz="8" w:color="auto"/>
            </w:tcBorders>
          </w:tcPr>
          <w:p>
            <w:pPr>
              <w:spacing w:after="0"/>
              <w:rPr>
                <w:sz w:val="12"/>
                <w:szCs w:val="12"/>
                <w:color w:val="auto"/>
              </w:rPr>
            </w:pPr>
          </w:p>
        </w:tc>
        <w:tc>
          <w:tcPr>
            <w:tcW w:w="2540" w:type="dxa"/>
            <w:vAlign w:val="bottom"/>
            <w:tcBorders>
              <w:top w:val="single" w:sz="8" w:color="auto"/>
            </w:tcBorders>
          </w:tcPr>
          <w:p>
            <w:pPr>
              <w:jc w:val="center"/>
              <w:ind w:left="21"/>
              <w:spacing w:after="0" w:line="144" w:lineRule="exact"/>
              <w:rPr>
                <w:sz w:val="20"/>
                <w:szCs w:val="20"/>
                <w:color w:val="auto"/>
              </w:rPr>
            </w:pPr>
            <w:r>
              <w:rPr>
                <w:rFonts w:ascii="Arial" w:cs="Arial" w:eastAsia="Arial" w:hAnsi="Arial"/>
                <w:sz w:val="14"/>
                <w:szCs w:val="14"/>
                <w:b w:val="1"/>
                <w:bCs w:val="1"/>
                <w:color w:val="auto"/>
              </w:rPr>
              <w:t>Number of securities to be issued</w:t>
            </w:r>
          </w:p>
        </w:tc>
        <w:tc>
          <w:tcPr>
            <w:tcW w:w="2120" w:type="dxa"/>
            <w:vAlign w:val="bottom"/>
            <w:tcBorders>
              <w:top w:val="single" w:sz="8" w:color="auto"/>
            </w:tcBorders>
          </w:tcPr>
          <w:p>
            <w:pPr>
              <w:jc w:val="center"/>
              <w:spacing w:after="0" w:line="144" w:lineRule="exact"/>
              <w:rPr>
                <w:sz w:val="20"/>
                <w:szCs w:val="20"/>
                <w:color w:val="auto"/>
              </w:rPr>
            </w:pPr>
            <w:r>
              <w:rPr>
                <w:rFonts w:ascii="Arial" w:cs="Arial" w:eastAsia="Arial" w:hAnsi="Arial"/>
                <w:sz w:val="14"/>
                <w:szCs w:val="14"/>
                <w:b w:val="1"/>
                <w:bCs w:val="1"/>
                <w:color w:val="auto"/>
              </w:rPr>
              <w:t>Weighted average exercise</w:t>
            </w:r>
          </w:p>
        </w:tc>
        <w:tc>
          <w:tcPr>
            <w:tcW w:w="3620" w:type="dxa"/>
            <w:vAlign w:val="bottom"/>
            <w:tcBorders>
              <w:top w:val="single" w:sz="8" w:color="auto"/>
            </w:tcBorders>
          </w:tcPr>
          <w:p>
            <w:pPr>
              <w:jc w:val="center"/>
              <w:spacing w:after="0" w:line="144" w:lineRule="exact"/>
              <w:rPr>
                <w:sz w:val="20"/>
                <w:szCs w:val="20"/>
                <w:color w:val="auto"/>
              </w:rPr>
            </w:pPr>
            <w:r>
              <w:rPr>
                <w:rFonts w:ascii="Arial" w:cs="Arial" w:eastAsia="Arial" w:hAnsi="Arial"/>
                <w:sz w:val="14"/>
                <w:szCs w:val="14"/>
                <w:b w:val="1"/>
                <w:bCs w:val="1"/>
                <w:color w:val="auto"/>
              </w:rPr>
              <w:t>Number of securities remaining available for future</w:t>
            </w:r>
          </w:p>
        </w:tc>
      </w:tr>
      <w:tr>
        <w:trPr>
          <w:trHeight w:val="162"/>
        </w:trPr>
        <w:tc>
          <w:tcPr>
            <w:tcW w:w="3140" w:type="dxa"/>
            <w:vAlign w:val="bottom"/>
          </w:tcPr>
          <w:p>
            <w:pPr>
              <w:spacing w:after="0"/>
              <w:rPr>
                <w:sz w:val="14"/>
                <w:szCs w:val="14"/>
                <w:color w:val="auto"/>
              </w:rPr>
            </w:pPr>
          </w:p>
        </w:tc>
        <w:tc>
          <w:tcPr>
            <w:tcW w:w="2540" w:type="dxa"/>
            <w:vAlign w:val="bottom"/>
          </w:tcPr>
          <w:p>
            <w:pPr>
              <w:jc w:val="center"/>
              <w:ind w:left="21"/>
              <w:spacing w:after="0"/>
              <w:rPr>
                <w:sz w:val="20"/>
                <w:szCs w:val="20"/>
                <w:color w:val="auto"/>
              </w:rPr>
            </w:pPr>
            <w:r>
              <w:rPr>
                <w:rFonts w:ascii="Arial" w:cs="Arial" w:eastAsia="Arial" w:hAnsi="Arial"/>
                <w:sz w:val="14"/>
                <w:szCs w:val="14"/>
                <w:b w:val="1"/>
                <w:bCs w:val="1"/>
                <w:color w:val="auto"/>
              </w:rPr>
              <w:t>upon exercise of outstanding</w:t>
            </w:r>
          </w:p>
        </w:tc>
        <w:tc>
          <w:tcPr>
            <w:tcW w:w="2120" w:type="dxa"/>
            <w:vAlign w:val="bottom"/>
          </w:tcPr>
          <w:p>
            <w:pPr>
              <w:jc w:val="center"/>
              <w:spacing w:after="0"/>
              <w:rPr>
                <w:sz w:val="20"/>
                <w:szCs w:val="20"/>
                <w:color w:val="auto"/>
              </w:rPr>
            </w:pPr>
            <w:r>
              <w:rPr>
                <w:rFonts w:ascii="Arial" w:cs="Arial" w:eastAsia="Arial" w:hAnsi="Arial"/>
                <w:sz w:val="14"/>
                <w:szCs w:val="14"/>
                <w:b w:val="1"/>
                <w:bCs w:val="1"/>
                <w:color w:val="auto"/>
              </w:rPr>
              <w:t>price of outstanding options,</w:t>
            </w: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rPr>
              <w:t>issuance under equity compensation plans</w:t>
            </w:r>
          </w:p>
        </w:tc>
      </w:tr>
      <w:tr>
        <w:trPr>
          <w:trHeight w:val="175"/>
        </w:trPr>
        <w:tc>
          <w:tcPr>
            <w:tcW w:w="31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Plan Category</w:t>
            </w:r>
          </w:p>
        </w:tc>
        <w:tc>
          <w:tcPr>
            <w:tcW w:w="2540" w:type="dxa"/>
            <w:vAlign w:val="bottom"/>
            <w:tcBorders>
              <w:bottom w:val="single" w:sz="8" w:color="auto"/>
            </w:tcBorders>
          </w:tcPr>
          <w:p>
            <w:pPr>
              <w:jc w:val="center"/>
              <w:ind w:left="41"/>
              <w:spacing w:after="0"/>
              <w:rPr>
                <w:sz w:val="20"/>
                <w:szCs w:val="20"/>
                <w:color w:val="auto"/>
              </w:rPr>
            </w:pPr>
            <w:r>
              <w:rPr>
                <w:rFonts w:ascii="Arial" w:cs="Arial" w:eastAsia="Arial" w:hAnsi="Arial"/>
                <w:sz w:val="14"/>
                <w:szCs w:val="14"/>
                <w:b w:val="1"/>
                <w:bCs w:val="1"/>
                <w:color w:val="auto"/>
              </w:rPr>
              <w:t>options, warrants, and rights</w:t>
            </w: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warrants, and rights</w:t>
            </w: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(excluding securities reflected in column (a))</w:t>
            </w:r>
          </w:p>
        </w:tc>
      </w:tr>
      <w:tr>
        <w:trPr>
          <w:trHeight w:val="195"/>
        </w:trPr>
        <w:tc>
          <w:tcPr>
            <w:tcW w:w="3140" w:type="dxa"/>
            <w:vAlign w:val="bottom"/>
          </w:tcPr>
          <w:p>
            <w:pPr>
              <w:spacing w:after="0"/>
              <w:rPr>
                <w:sz w:val="16"/>
                <w:szCs w:val="16"/>
                <w:color w:val="auto"/>
              </w:rPr>
            </w:pPr>
          </w:p>
        </w:tc>
        <w:tc>
          <w:tcPr>
            <w:tcW w:w="2540" w:type="dxa"/>
            <w:vAlign w:val="bottom"/>
          </w:tcPr>
          <w:p>
            <w:pPr>
              <w:jc w:val="center"/>
              <w:ind w:left="41"/>
              <w:spacing w:after="0" w:line="195" w:lineRule="exact"/>
              <w:rPr>
                <w:sz w:val="20"/>
                <w:szCs w:val="20"/>
                <w:color w:val="auto"/>
              </w:rPr>
            </w:pPr>
            <w:r>
              <w:rPr>
                <w:rFonts w:ascii="Arial" w:cs="Arial" w:eastAsia="Arial" w:hAnsi="Arial"/>
                <w:sz w:val="18"/>
                <w:szCs w:val="18"/>
                <w:color w:val="auto"/>
                <w:w w:val="99"/>
              </w:rPr>
              <w:t>(a)</w:t>
            </w:r>
          </w:p>
        </w:tc>
        <w:tc>
          <w:tcPr>
            <w:tcW w:w="2120" w:type="dxa"/>
            <w:vAlign w:val="bottom"/>
          </w:tcPr>
          <w:p>
            <w:pPr>
              <w:jc w:val="center"/>
              <w:spacing w:after="0" w:line="195" w:lineRule="exact"/>
              <w:rPr>
                <w:sz w:val="20"/>
                <w:szCs w:val="20"/>
                <w:color w:val="auto"/>
              </w:rPr>
            </w:pPr>
            <w:r>
              <w:rPr>
                <w:rFonts w:ascii="Arial" w:cs="Arial" w:eastAsia="Arial" w:hAnsi="Arial"/>
                <w:sz w:val="18"/>
                <w:szCs w:val="18"/>
                <w:color w:val="auto"/>
                <w:w w:val="99"/>
              </w:rPr>
              <w:t>(b)</w:t>
            </w:r>
          </w:p>
        </w:tc>
        <w:tc>
          <w:tcPr>
            <w:tcW w:w="3620" w:type="dxa"/>
            <w:vAlign w:val="bottom"/>
          </w:tcPr>
          <w:p>
            <w:pPr>
              <w:jc w:val="center"/>
              <w:spacing w:after="0" w:line="195" w:lineRule="exact"/>
              <w:rPr>
                <w:sz w:val="20"/>
                <w:szCs w:val="20"/>
                <w:color w:val="auto"/>
              </w:rPr>
            </w:pPr>
            <w:r>
              <w:rPr>
                <w:rFonts w:ascii="Arial" w:cs="Arial" w:eastAsia="Arial" w:hAnsi="Arial"/>
                <w:sz w:val="18"/>
                <w:szCs w:val="18"/>
                <w:color w:val="auto"/>
                <w:w w:val="95"/>
              </w:rPr>
              <w:t>(c)</w:t>
            </w:r>
          </w:p>
        </w:tc>
      </w:tr>
      <w:tr>
        <w:trPr>
          <w:trHeight w:val="203"/>
        </w:trPr>
        <w:tc>
          <w:tcPr>
            <w:tcW w:w="3140" w:type="dxa"/>
            <w:vAlign w:val="bottom"/>
          </w:tcPr>
          <w:p>
            <w:pPr>
              <w:ind w:left="40"/>
              <w:spacing w:after="0" w:line="203" w:lineRule="exact"/>
              <w:rPr>
                <w:sz w:val="20"/>
                <w:szCs w:val="20"/>
                <w:color w:val="auto"/>
              </w:rPr>
            </w:pPr>
            <w:r>
              <w:rPr>
                <w:rFonts w:ascii="Arial" w:cs="Arial" w:eastAsia="Arial" w:hAnsi="Arial"/>
                <w:sz w:val="18"/>
                <w:szCs w:val="18"/>
                <w:color w:val="auto"/>
              </w:rPr>
              <w:t>Equity compensation plans approved</w:t>
            </w:r>
          </w:p>
        </w:tc>
        <w:tc>
          <w:tcPr>
            <w:tcW w:w="2540" w:type="dxa"/>
            <w:vAlign w:val="bottom"/>
          </w:tcPr>
          <w:p>
            <w:pPr>
              <w:jc w:val="center"/>
              <w:ind w:left="21"/>
              <w:spacing w:after="0" w:line="203" w:lineRule="exact"/>
              <w:rPr>
                <w:sz w:val="20"/>
                <w:szCs w:val="20"/>
                <w:color w:val="auto"/>
              </w:rPr>
            </w:pPr>
            <w:r>
              <w:rPr>
                <w:rFonts w:ascii="Arial" w:cs="Arial" w:eastAsia="Arial" w:hAnsi="Arial"/>
                <w:sz w:val="15"/>
                <w:szCs w:val="15"/>
                <w:color w:val="auto"/>
              </w:rPr>
              <w:t xml:space="preserve">62,390 </w:t>
            </w:r>
            <w:r>
              <w:rPr>
                <w:rFonts w:ascii="Arial" w:cs="Arial" w:eastAsia="Arial" w:hAnsi="Arial"/>
                <w:sz w:val="23"/>
                <w:szCs w:val="23"/>
                <w:color w:val="auto"/>
                <w:vertAlign w:val="superscript"/>
              </w:rPr>
              <w:t>1</w:t>
            </w:r>
          </w:p>
        </w:tc>
        <w:tc>
          <w:tcPr>
            <w:tcW w:w="2120" w:type="dxa"/>
            <w:vAlign w:val="bottom"/>
          </w:tcPr>
          <w:p>
            <w:pPr>
              <w:jc w:val="center"/>
              <w:spacing w:after="0" w:line="203" w:lineRule="exact"/>
              <w:rPr>
                <w:sz w:val="20"/>
                <w:szCs w:val="20"/>
                <w:color w:val="auto"/>
              </w:rPr>
            </w:pPr>
            <w:r>
              <w:rPr>
                <w:rFonts w:ascii="Arial" w:cs="Arial" w:eastAsia="Arial" w:hAnsi="Arial"/>
                <w:sz w:val="18"/>
                <w:szCs w:val="18"/>
                <w:color w:val="auto"/>
                <w:w w:val="98"/>
              </w:rPr>
              <w:t>$18.28</w:t>
            </w:r>
          </w:p>
        </w:tc>
        <w:tc>
          <w:tcPr>
            <w:tcW w:w="3620" w:type="dxa"/>
            <w:vAlign w:val="bottom"/>
          </w:tcPr>
          <w:p>
            <w:pPr>
              <w:jc w:val="center"/>
              <w:spacing w:after="0" w:line="203" w:lineRule="exact"/>
              <w:rPr>
                <w:sz w:val="20"/>
                <w:szCs w:val="20"/>
                <w:color w:val="auto"/>
              </w:rPr>
            </w:pPr>
            <w:r>
              <w:rPr>
                <w:rFonts w:ascii="Arial" w:cs="Arial" w:eastAsia="Arial" w:hAnsi="Arial"/>
                <w:sz w:val="15"/>
                <w:szCs w:val="15"/>
                <w:color w:val="auto"/>
              </w:rPr>
              <w:t xml:space="preserve">235,299 </w:t>
            </w:r>
            <w:r>
              <w:rPr>
                <w:rFonts w:ascii="Arial" w:cs="Arial" w:eastAsia="Arial" w:hAnsi="Arial"/>
                <w:sz w:val="23"/>
                <w:szCs w:val="23"/>
                <w:color w:val="auto"/>
                <w:vertAlign w:val="superscript"/>
              </w:rPr>
              <w:t>2,3,4</w:t>
            </w:r>
          </w:p>
        </w:tc>
      </w:tr>
      <w:tr>
        <w:trPr>
          <w:trHeight w:val="202"/>
        </w:trPr>
        <w:tc>
          <w:tcPr>
            <w:tcW w:w="3140" w:type="dxa"/>
            <w:vAlign w:val="bottom"/>
          </w:tcPr>
          <w:p>
            <w:pPr>
              <w:ind w:left="40"/>
              <w:spacing w:after="0" w:line="201" w:lineRule="exact"/>
              <w:rPr>
                <w:sz w:val="20"/>
                <w:szCs w:val="20"/>
                <w:color w:val="auto"/>
              </w:rPr>
            </w:pPr>
            <w:r>
              <w:rPr>
                <w:rFonts w:ascii="Arial" w:cs="Arial" w:eastAsia="Arial" w:hAnsi="Arial"/>
                <w:sz w:val="18"/>
                <w:szCs w:val="18"/>
                <w:color w:val="auto"/>
              </w:rPr>
              <w:t>by security holders</w:t>
            </w:r>
          </w:p>
        </w:tc>
        <w:tc>
          <w:tcPr>
            <w:tcW w:w="25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3620" w:type="dxa"/>
            <w:vAlign w:val="bottom"/>
          </w:tcPr>
          <w:p>
            <w:pPr>
              <w:spacing w:after="0"/>
              <w:rPr>
                <w:sz w:val="17"/>
                <w:szCs w:val="17"/>
                <w:color w:val="auto"/>
              </w:rPr>
            </w:pPr>
          </w:p>
        </w:tc>
      </w:tr>
      <w:tr>
        <w:trPr>
          <w:trHeight w:val="203"/>
        </w:trPr>
        <w:tc>
          <w:tcPr>
            <w:tcW w:w="3140" w:type="dxa"/>
            <w:vAlign w:val="bottom"/>
          </w:tcPr>
          <w:p>
            <w:pPr>
              <w:ind w:left="40"/>
              <w:spacing w:after="0" w:line="202" w:lineRule="exact"/>
              <w:rPr>
                <w:sz w:val="20"/>
                <w:szCs w:val="20"/>
                <w:color w:val="auto"/>
              </w:rPr>
            </w:pPr>
            <w:r>
              <w:rPr>
                <w:rFonts w:ascii="Arial" w:cs="Arial" w:eastAsia="Arial" w:hAnsi="Arial"/>
                <w:sz w:val="18"/>
                <w:szCs w:val="18"/>
                <w:color w:val="auto"/>
              </w:rPr>
              <w:t>Equity compensation plans not</w:t>
            </w:r>
          </w:p>
        </w:tc>
        <w:tc>
          <w:tcPr>
            <w:tcW w:w="2540" w:type="dxa"/>
            <w:vAlign w:val="bottom"/>
          </w:tcPr>
          <w:p>
            <w:pPr>
              <w:jc w:val="center"/>
              <w:ind w:left="41"/>
              <w:spacing w:after="0" w:line="202" w:lineRule="exact"/>
              <w:rPr>
                <w:sz w:val="20"/>
                <w:szCs w:val="20"/>
                <w:color w:val="auto"/>
              </w:rPr>
            </w:pPr>
            <w:r>
              <w:rPr>
                <w:rFonts w:ascii="Arial" w:cs="Arial" w:eastAsia="Arial" w:hAnsi="Arial"/>
                <w:sz w:val="18"/>
                <w:szCs w:val="18"/>
                <w:color w:val="auto"/>
                <w:w w:val="99"/>
              </w:rPr>
              <w:t>-</w:t>
            </w:r>
          </w:p>
        </w:tc>
        <w:tc>
          <w:tcPr>
            <w:tcW w:w="212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c>
          <w:tcPr>
            <w:tcW w:w="362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3140" w:type="dxa"/>
            <w:vAlign w:val="bottom"/>
            <w:tcBorders>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approved by security holders</w:t>
            </w:r>
          </w:p>
        </w:tc>
        <w:tc>
          <w:tcPr>
            <w:tcW w:w="254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spacing w:after="0"/>
              <w:rPr>
                <w:sz w:val="17"/>
                <w:szCs w:val="17"/>
                <w:color w:val="auto"/>
              </w:rPr>
            </w:pPr>
          </w:p>
        </w:tc>
        <w:tc>
          <w:tcPr>
            <w:tcW w:w="3620" w:type="dxa"/>
            <w:vAlign w:val="bottom"/>
            <w:tcBorders>
              <w:bottom w:val="single" w:sz="8" w:color="auto"/>
            </w:tcBorders>
          </w:tcPr>
          <w:p>
            <w:pPr>
              <w:spacing w:after="0"/>
              <w:rPr>
                <w:sz w:val="17"/>
                <w:szCs w:val="17"/>
                <w:color w:val="auto"/>
              </w:rPr>
            </w:pPr>
          </w:p>
        </w:tc>
      </w:tr>
      <w:tr>
        <w:trPr>
          <w:trHeight w:val="237"/>
        </w:trPr>
        <w:tc>
          <w:tcPr>
            <w:tcW w:w="31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2540" w:type="dxa"/>
            <w:vAlign w:val="bottom"/>
            <w:tcBorders>
              <w:bottom w:val="single" w:sz="8" w:color="auto"/>
            </w:tcBorders>
          </w:tcPr>
          <w:p>
            <w:pPr>
              <w:jc w:val="center"/>
              <w:ind w:left="21"/>
              <w:spacing w:after="0" w:line="236" w:lineRule="exact"/>
              <w:rPr>
                <w:sz w:val="20"/>
                <w:szCs w:val="20"/>
                <w:color w:val="auto"/>
              </w:rPr>
            </w:pPr>
            <w:r>
              <w:rPr>
                <w:rFonts w:ascii="Arial" w:cs="Arial" w:eastAsia="Arial" w:hAnsi="Arial"/>
                <w:sz w:val="17"/>
                <w:szCs w:val="17"/>
                <w:color w:val="auto"/>
              </w:rPr>
              <w:t xml:space="preserve">62,390 </w:t>
            </w:r>
            <w:r>
              <w:rPr>
                <w:rFonts w:ascii="Arial" w:cs="Arial" w:eastAsia="Arial" w:hAnsi="Arial"/>
                <w:sz w:val="27"/>
                <w:szCs w:val="27"/>
                <w:color w:val="auto"/>
                <w:vertAlign w:val="superscript"/>
              </w:rPr>
              <w:t>1</w:t>
            </w: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$18.28</w:t>
            </w:r>
          </w:p>
        </w:tc>
        <w:tc>
          <w:tcPr>
            <w:tcW w:w="3620" w:type="dxa"/>
            <w:vAlign w:val="bottom"/>
            <w:tcBorders>
              <w:bottom w:val="single" w:sz="8" w:color="auto"/>
            </w:tcBorders>
          </w:tcPr>
          <w:p>
            <w:pPr>
              <w:jc w:val="center"/>
              <w:spacing w:after="0" w:line="236" w:lineRule="exact"/>
              <w:rPr>
                <w:sz w:val="20"/>
                <w:szCs w:val="20"/>
                <w:color w:val="auto"/>
              </w:rPr>
            </w:pPr>
            <w:r>
              <w:rPr>
                <w:rFonts w:ascii="Arial" w:cs="Arial" w:eastAsia="Arial" w:hAnsi="Arial"/>
                <w:sz w:val="17"/>
                <w:szCs w:val="17"/>
                <w:color w:val="auto"/>
                <w:w w:val="97"/>
              </w:rPr>
              <w:t xml:space="preserve">235,299 </w:t>
            </w:r>
            <w:r>
              <w:rPr>
                <w:rFonts w:ascii="Arial" w:cs="Arial" w:eastAsia="Arial" w:hAnsi="Arial"/>
                <w:sz w:val="27"/>
                <w:szCs w:val="27"/>
                <w:color w:val="auto"/>
                <w:w w:val="97"/>
                <w:vertAlign w:val="superscript"/>
              </w:rPr>
              <w:t>2,3,4</w:t>
            </w:r>
          </w:p>
        </w:tc>
      </w:tr>
    </w:tbl>
    <w:p>
      <w:pPr>
        <w:spacing w:after="0" w:line="377" w:lineRule="exact"/>
        <w:rPr>
          <w:sz w:val="20"/>
          <w:szCs w:val="20"/>
          <w:color w:val="auto"/>
        </w:rPr>
      </w:pPr>
    </w:p>
    <w:p>
      <w:pPr>
        <w:ind w:left="1040" w:right="440" w:hanging="384"/>
        <w:spacing w:after="0" w:line="234"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Does not include 40,645 , 55,191, and 82,582 shares that may be issued pursuant to 2014, 2015 and 2016, respectively, performance incentive awards granted to certain executive officers pursuant to the 2011 Incentive Plan. Such awards are not “exercisable,” but will be paid out to the recipients in accordance with their terms, subject to certain conditions.</w:t>
      </w:r>
    </w:p>
    <w:p>
      <w:pPr>
        <w:spacing w:after="0" w:line="2" w:lineRule="exact"/>
        <w:rPr>
          <w:rFonts w:ascii="Arial" w:cs="Arial" w:eastAsia="Arial" w:hAnsi="Arial"/>
          <w:sz w:val="18"/>
          <w:szCs w:val="18"/>
          <w:color w:val="auto"/>
        </w:rPr>
      </w:pPr>
    </w:p>
    <w:p>
      <w:pPr>
        <w:ind w:left="1060" w:right="180" w:hanging="404"/>
        <w:spacing w:after="0" w:line="234" w:lineRule="auto"/>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Reflects the number of shares that may be issued pursuant to future awards under the 2011 Incentive Plan. Additional shares of Class A Common Stock are available for issuance under the 2011 Incentive Plan (see note 3 below), as well as under the Directors’ Annual Retainer Plan (see note 4 below). No additional shares are available under any of the stock option plans pursuant to which outstanding options were granted.</w:t>
      </w:r>
    </w:p>
    <w:p>
      <w:pPr>
        <w:spacing w:after="0" w:line="3" w:lineRule="exact"/>
        <w:rPr>
          <w:rFonts w:ascii="Arial" w:cs="Arial" w:eastAsia="Arial" w:hAnsi="Arial"/>
          <w:sz w:val="18"/>
          <w:szCs w:val="18"/>
          <w:color w:val="auto"/>
        </w:rPr>
      </w:pPr>
    </w:p>
    <w:p>
      <w:pPr>
        <w:ind w:left="1060" w:right="80" w:hanging="404"/>
        <w:spacing w:after="0" w:line="234" w:lineRule="auto"/>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235,299 shares available for future issuance under the 2011 Incentive Plan. The 2011 Incentive Plan allows the Board from time to time to increase the number of shares that may be issued pursuant to awards granted under that Plan, provided that the number of shares so added may not exceed 500,000 in any one calendar year, and provided further that the total number of shares then available for issuance under the Plan shall not exceed 1,000,000 at any time. Shares of Common Stock covered by awards granted under the 2011 Incentive Plan are only counted as used to the extent they are actually issued and delivered. Accordingly, if an award is settled for cash, or if shares are withheld to pay any exercise price or to satisfy any tax-withholding requirement, only shares issued (if any), net of shares withheld, will be deemed delivered for purposes of determining the number of shares available under the Plan. If shares are issued subject to conditions that may result in the forfeiture, cancellation, or return of such shares to the Company, any shares forfeited, canceled, or returned shall be treated as not issued. If shares are tendered to the Company in payment of any obligation in connection with an award, the number of shares tendered shall be added to the number of shares available under the 2005 Incentive Plan. Assuming full exercise by the Board of its power to increase annually the number of shares available under the 2011 Incentive Plan, the maximum number of additional shares that could yet be issued pursuant to the Plan awards (including those set forth in column (c) above) would be 2,735,299.</w:t>
      </w:r>
    </w:p>
    <w:p>
      <w:pPr>
        <w:spacing w:after="0" w:line="9" w:lineRule="exact"/>
        <w:rPr>
          <w:rFonts w:ascii="Arial" w:cs="Arial" w:eastAsia="Arial" w:hAnsi="Arial"/>
          <w:sz w:val="18"/>
          <w:szCs w:val="18"/>
          <w:color w:val="auto"/>
        </w:rPr>
      </w:pPr>
    </w:p>
    <w:p>
      <w:pPr>
        <w:ind w:left="1060" w:right="140" w:hanging="404"/>
        <w:spacing w:after="0" w:line="239" w:lineRule="auto"/>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Directors’ Annual Retainer Plan provides that the aggregate dollar amount of the annual retainer payable for service as a member of the Company’s Board of Directors is $100,000, $50,000 of which is required to be paid in shares of Class A Common Stock, the exact number of shares to be paid for any year being determined on the basis of the per share closing price of such stock on the day of the Annual Meeting at which the election of the directors for such year occurs, as shown in the</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7" w:name="page108"/>
    <w:bookmarkEnd w:id="107"/>
    <w:p>
      <w:pPr>
        <w:ind w:left="1060" w:right="20"/>
        <w:spacing w:after="0"/>
        <w:rPr>
          <w:sz w:val="20"/>
          <w:szCs w:val="20"/>
          <w:color w:val="auto"/>
        </w:rPr>
      </w:pPr>
      <w:r>
        <w:rPr>
          <w:rFonts w:ascii="Arial" w:cs="Arial" w:eastAsia="Arial" w:hAnsi="Arial"/>
          <w:sz w:val="18"/>
          <w:szCs w:val="18"/>
          <w:color w:val="auto"/>
        </w:rPr>
        <w:t>composite index published for such day in the Wall Street Journal, rounded down to the nearest whole share. A director who owns shares of Common Stock with a value of at least $300,000 may elect to receive, in cash, all or any portion of the retainer otherwise payable in shares of Common Stock.</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RELATED TRANSACTIONS AND DIRECTOR INDEPENDENCE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out in the section captioned “Election of Directors” in the Proxy Statement is incorporated herein by reference.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forth in the section captioned “Independent Auditors” in the Proxy Statement is incorporated herein by reference.</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08" w:name="page109"/>
    <w:bookmarkEnd w:id="108"/>
    <w:p>
      <w:pPr>
        <w:jc w:val="center"/>
        <w:ind w:right="20"/>
        <w:spacing w:after="0"/>
        <w:rPr>
          <w:sz w:val="20"/>
          <w:szCs w:val="20"/>
          <w:color w:val="auto"/>
        </w:rPr>
      </w:pPr>
      <w:r>
        <w:rPr>
          <w:rFonts w:ascii="Arial" w:cs="Arial" w:eastAsia="Arial" w:hAnsi="Arial"/>
          <w:sz w:val="18"/>
          <w:szCs w:val="18"/>
          <w:b w:val="1"/>
          <w:bCs w:val="1"/>
          <w:color w:val="auto"/>
        </w:rPr>
        <w:t>PART IV</w:t>
      </w:r>
    </w:p>
    <w:p>
      <w:pPr>
        <w:spacing w:after="0" w:line="170" w:lineRule="exact"/>
        <w:rPr>
          <w:sz w:val="20"/>
          <w:szCs w:val="20"/>
          <w:color w:val="auto"/>
        </w:rPr>
      </w:pPr>
    </w:p>
    <w:tbl>
      <w:tblPr>
        <w:tblLayout w:type="fixed"/>
        <w:tblInd w:w="10" w:type="dxa"/>
        <w:tblCellMar>
          <w:top w:w="0" w:type="dxa"/>
          <w:left w:w="0" w:type="dxa"/>
          <w:bottom w:w="0" w:type="dxa"/>
          <w:right w:w="0" w:type="dxa"/>
        </w:tblCellMar>
      </w:tblPr>
      <w:tr>
        <w:trPr>
          <w:trHeight w:val="239"/>
        </w:trPr>
        <w:tc>
          <w:tcPr>
            <w:tcW w:w="7140" w:type="dxa"/>
            <w:vAlign w:val="bottom"/>
            <w:gridSpan w:val="2"/>
          </w:tcPr>
          <w:p>
            <w:pPr>
              <w:spacing w:after="0"/>
              <w:rPr>
                <w:sz w:val="20"/>
                <w:szCs w:val="20"/>
                <w:color w:val="auto"/>
              </w:rPr>
            </w:pPr>
            <w:r>
              <w:rPr>
                <w:rFonts w:ascii="Arial" w:cs="Arial" w:eastAsia="Arial" w:hAnsi="Arial"/>
                <w:sz w:val="18"/>
                <w:szCs w:val="18"/>
                <w:b w:val="1"/>
                <w:bCs w:val="1"/>
                <w:color w:val="auto"/>
              </w:rPr>
              <w:t>Item 15.  EXHIBITS AND FINANCIAL STATEMENT SCHEDULES</w:t>
            </w:r>
          </w:p>
        </w:tc>
        <w:tc>
          <w:tcPr>
            <w:tcW w:w="1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8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Exhibit</w:t>
            </w:r>
          </w:p>
        </w:tc>
        <w:tc>
          <w:tcPr>
            <w:tcW w:w="6340" w:type="dxa"/>
            <w:vAlign w:val="bottom"/>
          </w:tcPr>
          <w:p>
            <w:pPr>
              <w:spacing w:after="0"/>
              <w:rPr>
                <w:sz w:val="24"/>
                <w:szCs w:val="24"/>
                <w:color w:val="auto"/>
              </w:rPr>
            </w:pPr>
          </w:p>
        </w:tc>
        <w:tc>
          <w:tcPr>
            <w:tcW w:w="1320" w:type="dxa"/>
            <w:vAlign w:val="bottom"/>
            <w:vMerge w:val="restart"/>
          </w:tcPr>
          <w:p>
            <w:pPr>
              <w:jc w:val="center"/>
              <w:ind w:left="210"/>
              <w:spacing w:after="0"/>
              <w:rPr>
                <w:sz w:val="20"/>
                <w:szCs w:val="20"/>
                <w:color w:val="auto"/>
              </w:rPr>
            </w:pPr>
            <w:r>
              <w:rPr>
                <w:rFonts w:ascii="Arial" w:cs="Arial" w:eastAsia="Arial" w:hAnsi="Arial"/>
                <w:sz w:val="18"/>
                <w:szCs w:val="18"/>
                <w:b w:val="1"/>
                <w:bCs w:val="1"/>
                <w:color w:val="auto"/>
                <w:w w:val="99"/>
              </w:rPr>
              <w:t>Filed</w:t>
            </w:r>
          </w:p>
        </w:tc>
        <w:tc>
          <w:tcPr>
            <w:tcW w:w="3000" w:type="dxa"/>
            <w:vAlign w:val="bottom"/>
            <w:gridSpan w:val="3"/>
          </w:tcPr>
          <w:p>
            <w:pPr>
              <w:jc w:val="right"/>
              <w:ind w:right="290"/>
              <w:spacing w:after="0"/>
              <w:rPr>
                <w:sz w:val="20"/>
                <w:szCs w:val="20"/>
                <w:color w:val="auto"/>
              </w:rPr>
            </w:pPr>
            <w:r>
              <w:rPr>
                <w:rFonts w:ascii="Arial" w:cs="Arial" w:eastAsia="Arial" w:hAnsi="Arial"/>
                <w:sz w:val="18"/>
                <w:szCs w:val="18"/>
                <w:b w:val="1"/>
                <w:bCs w:val="1"/>
                <w:color w:val="auto"/>
              </w:rPr>
              <w:t>Incorporated by Reference</w:t>
            </w:r>
          </w:p>
        </w:tc>
        <w:tc>
          <w:tcPr>
            <w:tcW w:w="0" w:type="dxa"/>
            <w:vAlign w:val="bottom"/>
          </w:tcPr>
          <w:p>
            <w:pPr>
              <w:spacing w:after="0"/>
              <w:rPr>
                <w:sz w:val="1"/>
                <w:szCs w:val="1"/>
                <w:color w:val="auto"/>
              </w:rPr>
            </w:pPr>
          </w:p>
        </w:tc>
      </w:tr>
      <w:tr>
        <w:trPr>
          <w:trHeight w:val="160"/>
        </w:trPr>
        <w:tc>
          <w:tcPr>
            <w:tcW w:w="800" w:type="dxa"/>
            <w:vAlign w:val="bottom"/>
            <w:vMerge w:val="continue"/>
          </w:tcPr>
          <w:p>
            <w:pPr>
              <w:spacing w:after="0"/>
              <w:rPr>
                <w:sz w:val="13"/>
                <w:szCs w:val="13"/>
                <w:color w:val="auto"/>
              </w:rPr>
            </w:pPr>
          </w:p>
        </w:tc>
        <w:tc>
          <w:tcPr>
            <w:tcW w:w="634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ind w:left="180"/>
              <w:spacing w:after="0" w:line="160" w:lineRule="exact"/>
              <w:rPr>
                <w:sz w:val="20"/>
                <w:szCs w:val="20"/>
                <w:color w:val="auto"/>
              </w:rPr>
            </w:pPr>
            <w:r>
              <w:rPr>
                <w:rFonts w:ascii="Arial" w:cs="Arial" w:eastAsia="Arial" w:hAnsi="Arial"/>
                <w:sz w:val="18"/>
                <w:szCs w:val="18"/>
                <w:b w:val="1"/>
                <w:bCs w:val="1"/>
                <w:color w:val="auto"/>
              </w:rPr>
              <w:t>Period</w:t>
            </w:r>
          </w:p>
        </w:tc>
        <w:tc>
          <w:tcPr>
            <w:tcW w:w="820" w:type="dxa"/>
            <w:vAlign w:val="bottom"/>
            <w:tcBorders>
              <w:top w:val="single" w:sz="8" w:color="auto"/>
            </w:tcBorders>
          </w:tcPr>
          <w:p>
            <w:pPr>
              <w:jc w:val="center"/>
              <w:spacing w:after="0" w:line="160" w:lineRule="exact"/>
              <w:rPr>
                <w:sz w:val="20"/>
                <w:szCs w:val="20"/>
                <w:color w:val="auto"/>
              </w:rPr>
            </w:pPr>
            <w:r>
              <w:rPr>
                <w:rFonts w:ascii="Arial" w:cs="Arial" w:eastAsia="Arial" w:hAnsi="Arial"/>
                <w:sz w:val="18"/>
                <w:szCs w:val="18"/>
                <w:b w:val="1"/>
                <w:bCs w:val="1"/>
                <w:color w:val="auto"/>
                <w:w w:val="99"/>
              </w:rPr>
              <w:t>Filing</w:t>
            </w:r>
          </w:p>
        </w:tc>
        <w:tc>
          <w:tcPr>
            <w:tcW w:w="0" w:type="dxa"/>
            <w:vAlign w:val="bottom"/>
          </w:tcPr>
          <w:p>
            <w:pPr>
              <w:spacing w:after="0"/>
              <w:rPr>
                <w:sz w:val="1"/>
                <w:szCs w:val="1"/>
                <w:color w:val="auto"/>
              </w:rPr>
            </w:pPr>
          </w:p>
        </w:tc>
      </w:tr>
      <w:tr>
        <w:trPr>
          <w:trHeight w:val="239"/>
        </w:trPr>
        <w:tc>
          <w:tcPr>
            <w:tcW w:w="8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Number</w:t>
            </w:r>
          </w:p>
        </w:tc>
        <w:tc>
          <w:tcPr>
            <w:tcW w:w="63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Exhibit Description</w:t>
            </w:r>
          </w:p>
        </w:tc>
        <w:tc>
          <w:tcPr>
            <w:tcW w:w="132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b w:val="1"/>
                <w:bCs w:val="1"/>
                <w:color w:val="auto"/>
                <w:w w:val="99"/>
              </w:rPr>
              <w:t>Herewith</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Form</w:t>
            </w:r>
          </w:p>
        </w:tc>
        <w:tc>
          <w:tcPr>
            <w:tcW w:w="8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Ending</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195"/>
        </w:trPr>
        <w:tc>
          <w:tcPr>
            <w:tcW w:w="800" w:type="dxa"/>
            <w:vAlign w:val="bottom"/>
            <w:tcBorders>
              <w:left w:val="single" w:sz="8" w:color="auto"/>
            </w:tcBorders>
          </w:tcPr>
          <w:p>
            <w:pPr>
              <w:ind w:left="40"/>
              <w:spacing w:after="0" w:line="195" w:lineRule="exact"/>
              <w:rPr>
                <w:sz w:val="20"/>
                <w:szCs w:val="20"/>
                <w:color w:val="auto"/>
              </w:rPr>
            </w:pPr>
            <w:r>
              <w:rPr>
                <w:rFonts w:ascii="Arial" w:cs="Arial" w:eastAsia="Arial" w:hAnsi="Arial"/>
                <w:sz w:val="18"/>
                <w:szCs w:val="18"/>
                <w:color w:val="auto"/>
              </w:rPr>
              <w:t>3 (a)</w:t>
            </w:r>
          </w:p>
        </w:tc>
        <w:tc>
          <w:tcPr>
            <w:tcW w:w="6340" w:type="dxa"/>
            <w:vAlign w:val="bottom"/>
          </w:tcPr>
          <w:p>
            <w:pPr>
              <w:ind w:left="40"/>
              <w:spacing w:after="0" w:line="195" w:lineRule="exact"/>
              <w:rPr>
                <w:sz w:val="20"/>
                <w:szCs w:val="20"/>
                <w:color w:val="auto"/>
              </w:rPr>
            </w:pPr>
            <w:r>
              <w:rPr>
                <w:rFonts w:ascii="Arial" w:cs="Arial" w:eastAsia="Arial" w:hAnsi="Arial"/>
                <w:sz w:val="18"/>
                <w:szCs w:val="18"/>
                <w:color w:val="auto"/>
              </w:rPr>
              <w:t>Amended and Restated Certificate of Incorporation of Company</w:t>
            </w:r>
          </w:p>
        </w:tc>
        <w:tc>
          <w:tcPr>
            <w:tcW w:w="1320" w:type="dxa"/>
            <w:vAlign w:val="bottom"/>
          </w:tcPr>
          <w:p>
            <w:pPr>
              <w:spacing w:after="0"/>
              <w:rPr>
                <w:sz w:val="16"/>
                <w:szCs w:val="16"/>
                <w:color w:val="auto"/>
              </w:rPr>
            </w:pPr>
          </w:p>
        </w:tc>
        <w:tc>
          <w:tcPr>
            <w:tcW w:w="1300" w:type="dxa"/>
            <w:vAlign w:val="bottom"/>
          </w:tcPr>
          <w:p>
            <w:pPr>
              <w:jc w:val="center"/>
              <w:spacing w:after="0" w:line="195" w:lineRule="exact"/>
              <w:rPr>
                <w:sz w:val="20"/>
                <w:szCs w:val="20"/>
                <w:color w:val="auto"/>
              </w:rPr>
            </w:pPr>
            <w:r>
              <w:rPr>
                <w:rFonts w:ascii="Arial" w:cs="Arial" w:eastAsia="Arial" w:hAnsi="Arial"/>
                <w:sz w:val="18"/>
                <w:szCs w:val="18"/>
                <w:color w:val="auto"/>
                <w:w w:val="99"/>
              </w:rPr>
              <w:t>8-K</w:t>
            </w:r>
          </w:p>
        </w:tc>
        <w:tc>
          <w:tcPr>
            <w:tcW w:w="880" w:type="dxa"/>
            <w:vAlign w:val="bottom"/>
          </w:tcPr>
          <w:p>
            <w:pPr>
              <w:spacing w:after="0"/>
              <w:rPr>
                <w:sz w:val="16"/>
                <w:szCs w:val="16"/>
                <w:color w:val="auto"/>
              </w:rPr>
            </w:pPr>
          </w:p>
        </w:tc>
        <w:tc>
          <w:tcPr>
            <w:tcW w:w="8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6/2/15</w:t>
            </w:r>
          </w:p>
        </w:tc>
        <w:tc>
          <w:tcPr>
            <w:tcW w:w="0" w:type="dxa"/>
            <w:vAlign w:val="bottom"/>
          </w:tcPr>
          <w:p>
            <w:pPr>
              <w:spacing w:after="0"/>
              <w:rPr>
                <w:sz w:val="1"/>
                <w:szCs w:val="1"/>
                <w:color w:val="auto"/>
              </w:rPr>
            </w:pPr>
          </w:p>
        </w:tc>
      </w:tr>
      <w:tr>
        <w:trPr>
          <w:trHeight w:val="203"/>
        </w:trPr>
        <w:tc>
          <w:tcPr>
            <w:tcW w:w="800" w:type="dxa"/>
            <w:vAlign w:val="bottom"/>
            <w:tcBorders>
              <w:left w:val="single" w:sz="8" w:color="auto"/>
            </w:tcBorders>
          </w:tcPr>
          <w:p>
            <w:pPr>
              <w:ind w:left="40"/>
              <w:spacing w:after="0" w:line="202" w:lineRule="exact"/>
              <w:rPr>
                <w:sz w:val="20"/>
                <w:szCs w:val="20"/>
                <w:color w:val="auto"/>
              </w:rPr>
            </w:pPr>
            <w:r>
              <w:rPr>
                <w:rFonts w:ascii="Arial" w:cs="Arial" w:eastAsia="Arial" w:hAnsi="Arial"/>
                <w:sz w:val="18"/>
                <w:szCs w:val="18"/>
                <w:color w:val="auto"/>
              </w:rPr>
              <w:t>3 (b)</w:t>
            </w:r>
          </w:p>
        </w:tc>
        <w:tc>
          <w:tcPr>
            <w:tcW w:w="6340" w:type="dxa"/>
            <w:vAlign w:val="bottom"/>
          </w:tcPr>
          <w:p>
            <w:pPr>
              <w:ind w:left="40"/>
              <w:spacing w:after="0" w:line="202" w:lineRule="exact"/>
              <w:rPr>
                <w:sz w:val="20"/>
                <w:szCs w:val="20"/>
                <w:color w:val="auto"/>
              </w:rPr>
            </w:pPr>
            <w:r>
              <w:rPr>
                <w:rFonts w:ascii="Arial" w:cs="Arial" w:eastAsia="Arial" w:hAnsi="Arial"/>
                <w:sz w:val="18"/>
                <w:szCs w:val="18"/>
                <w:color w:val="auto"/>
              </w:rPr>
              <w:t>Bylaws of Company</w:t>
            </w:r>
          </w:p>
        </w:tc>
        <w:tc>
          <w:tcPr>
            <w:tcW w:w="1320" w:type="dxa"/>
            <w:vAlign w:val="bottom"/>
          </w:tcPr>
          <w:p>
            <w:pPr>
              <w:spacing w:after="0"/>
              <w:rPr>
                <w:sz w:val="17"/>
                <w:szCs w:val="17"/>
                <w:color w:val="auto"/>
              </w:rPr>
            </w:pPr>
          </w:p>
        </w:tc>
        <w:tc>
          <w:tcPr>
            <w:tcW w:w="1300" w:type="dxa"/>
            <w:vAlign w:val="bottom"/>
          </w:tcPr>
          <w:p>
            <w:pPr>
              <w:jc w:val="center"/>
              <w:spacing w:after="0" w:line="202" w:lineRule="exact"/>
              <w:rPr>
                <w:sz w:val="20"/>
                <w:szCs w:val="20"/>
                <w:color w:val="auto"/>
              </w:rPr>
            </w:pPr>
            <w:r>
              <w:rPr>
                <w:rFonts w:ascii="Arial" w:cs="Arial" w:eastAsia="Arial" w:hAnsi="Arial"/>
                <w:sz w:val="18"/>
                <w:szCs w:val="18"/>
                <w:color w:val="auto"/>
                <w:w w:val="99"/>
              </w:rPr>
              <w:t>8-K</w:t>
            </w:r>
          </w:p>
        </w:tc>
        <w:tc>
          <w:tcPr>
            <w:tcW w:w="880" w:type="dxa"/>
            <w:vAlign w:val="bottom"/>
          </w:tcPr>
          <w:p>
            <w:pPr>
              <w:spacing w:after="0"/>
              <w:rPr>
                <w:sz w:val="17"/>
                <w:szCs w:val="17"/>
                <w:color w:val="auto"/>
              </w:rPr>
            </w:pPr>
          </w:p>
        </w:tc>
        <w:tc>
          <w:tcPr>
            <w:tcW w:w="8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2/23/11</w:t>
            </w:r>
          </w:p>
        </w:tc>
        <w:tc>
          <w:tcPr>
            <w:tcW w:w="0" w:type="dxa"/>
            <w:vAlign w:val="bottom"/>
          </w:tcPr>
          <w:p>
            <w:pPr>
              <w:spacing w:after="0"/>
              <w:rPr>
                <w:sz w:val="1"/>
                <w:szCs w:val="1"/>
                <w:color w:val="auto"/>
              </w:rPr>
            </w:pPr>
          </w:p>
        </w:tc>
      </w:tr>
      <w:tr>
        <w:trPr>
          <w:trHeight w:val="203"/>
        </w:trPr>
        <w:tc>
          <w:tcPr>
            <w:tcW w:w="800" w:type="dxa"/>
            <w:vAlign w:val="bottom"/>
            <w:tcBorders>
              <w:left w:val="single" w:sz="8" w:color="auto"/>
            </w:tcBorders>
          </w:tcPr>
          <w:p>
            <w:pPr>
              <w:ind w:left="40"/>
              <w:spacing w:after="0" w:line="202" w:lineRule="exact"/>
              <w:rPr>
                <w:sz w:val="20"/>
                <w:szCs w:val="20"/>
                <w:color w:val="auto"/>
              </w:rPr>
            </w:pPr>
            <w:r>
              <w:rPr>
                <w:rFonts w:ascii="Arial" w:cs="Arial" w:eastAsia="Arial" w:hAnsi="Arial"/>
                <w:sz w:val="18"/>
                <w:szCs w:val="18"/>
                <w:color w:val="auto"/>
              </w:rPr>
              <w:t>4 (a)</w:t>
            </w:r>
          </w:p>
        </w:tc>
        <w:tc>
          <w:tcPr>
            <w:tcW w:w="6340" w:type="dxa"/>
            <w:vAlign w:val="bottom"/>
          </w:tcPr>
          <w:p>
            <w:pPr>
              <w:ind w:left="40"/>
              <w:spacing w:after="0" w:line="202" w:lineRule="exact"/>
              <w:rPr>
                <w:sz w:val="20"/>
                <w:szCs w:val="20"/>
                <w:color w:val="auto"/>
              </w:rPr>
            </w:pPr>
            <w:r>
              <w:rPr>
                <w:rFonts w:ascii="Arial" w:cs="Arial" w:eastAsia="Arial" w:hAnsi="Arial"/>
                <w:sz w:val="18"/>
                <w:szCs w:val="18"/>
                <w:color w:val="auto"/>
              </w:rPr>
              <w:t>Article IV of Certificate of Incorporation of Company</w:t>
            </w:r>
          </w:p>
        </w:tc>
        <w:tc>
          <w:tcPr>
            <w:tcW w:w="1320" w:type="dxa"/>
            <w:vAlign w:val="bottom"/>
          </w:tcPr>
          <w:p>
            <w:pPr>
              <w:spacing w:after="0"/>
              <w:rPr>
                <w:sz w:val="17"/>
                <w:szCs w:val="17"/>
                <w:color w:val="auto"/>
              </w:rPr>
            </w:pPr>
          </w:p>
        </w:tc>
        <w:tc>
          <w:tcPr>
            <w:tcW w:w="1300" w:type="dxa"/>
            <w:vAlign w:val="bottom"/>
          </w:tcPr>
          <w:p>
            <w:pPr>
              <w:jc w:val="center"/>
              <w:spacing w:after="0" w:line="202" w:lineRule="exact"/>
              <w:rPr>
                <w:sz w:val="20"/>
                <w:szCs w:val="20"/>
                <w:color w:val="auto"/>
              </w:rPr>
            </w:pPr>
            <w:r>
              <w:rPr>
                <w:rFonts w:ascii="Arial" w:cs="Arial" w:eastAsia="Arial" w:hAnsi="Arial"/>
                <w:sz w:val="18"/>
                <w:szCs w:val="18"/>
                <w:color w:val="auto"/>
                <w:w w:val="99"/>
              </w:rPr>
              <w:t>8-K</w:t>
            </w:r>
          </w:p>
        </w:tc>
        <w:tc>
          <w:tcPr>
            <w:tcW w:w="880" w:type="dxa"/>
            <w:vAlign w:val="bottom"/>
          </w:tcPr>
          <w:p>
            <w:pPr>
              <w:spacing w:after="0"/>
              <w:rPr>
                <w:sz w:val="17"/>
                <w:szCs w:val="17"/>
                <w:color w:val="auto"/>
              </w:rPr>
            </w:pPr>
          </w:p>
        </w:tc>
        <w:tc>
          <w:tcPr>
            <w:tcW w:w="8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6/2/15</w:t>
            </w:r>
          </w:p>
        </w:tc>
        <w:tc>
          <w:tcPr>
            <w:tcW w:w="0" w:type="dxa"/>
            <w:vAlign w:val="bottom"/>
          </w:tcPr>
          <w:p>
            <w:pPr>
              <w:spacing w:after="0"/>
              <w:rPr>
                <w:sz w:val="1"/>
                <w:szCs w:val="1"/>
                <w:color w:val="auto"/>
              </w:rPr>
            </w:pPr>
          </w:p>
        </w:tc>
      </w:tr>
      <w:tr>
        <w:trPr>
          <w:trHeight w:val="203"/>
        </w:trPr>
        <w:tc>
          <w:tcPr>
            <w:tcW w:w="800" w:type="dxa"/>
            <w:vAlign w:val="bottom"/>
            <w:tcBorders>
              <w:left w:val="single" w:sz="8" w:color="auto"/>
            </w:tcBorders>
          </w:tcPr>
          <w:p>
            <w:pPr>
              <w:ind w:left="40"/>
              <w:spacing w:after="0" w:line="202" w:lineRule="exact"/>
              <w:rPr>
                <w:sz w:val="20"/>
                <w:szCs w:val="20"/>
                <w:color w:val="auto"/>
              </w:rPr>
            </w:pPr>
            <w:r>
              <w:rPr>
                <w:rFonts w:ascii="Arial" w:cs="Arial" w:eastAsia="Arial" w:hAnsi="Arial"/>
                <w:sz w:val="18"/>
                <w:szCs w:val="18"/>
                <w:color w:val="auto"/>
              </w:rPr>
              <w:t>4 (b)</w:t>
            </w:r>
          </w:p>
        </w:tc>
        <w:tc>
          <w:tcPr>
            <w:tcW w:w="6340" w:type="dxa"/>
            <w:vAlign w:val="bottom"/>
          </w:tcPr>
          <w:p>
            <w:pPr>
              <w:ind w:left="40"/>
              <w:spacing w:after="0" w:line="202" w:lineRule="exact"/>
              <w:rPr>
                <w:sz w:val="20"/>
                <w:szCs w:val="20"/>
                <w:color w:val="auto"/>
              </w:rPr>
            </w:pPr>
            <w:r>
              <w:rPr>
                <w:rFonts w:ascii="Arial" w:cs="Arial" w:eastAsia="Arial" w:hAnsi="Arial"/>
                <w:sz w:val="18"/>
                <w:szCs w:val="18"/>
                <w:color w:val="auto"/>
              </w:rPr>
              <w:t>Specimen Stock Certificate for Class A Common Stock</w:t>
            </w:r>
          </w:p>
        </w:tc>
        <w:tc>
          <w:tcPr>
            <w:tcW w:w="1320" w:type="dxa"/>
            <w:vAlign w:val="bottom"/>
          </w:tcPr>
          <w:p>
            <w:pPr>
              <w:spacing w:after="0"/>
              <w:rPr>
                <w:sz w:val="17"/>
                <w:szCs w:val="17"/>
                <w:color w:val="auto"/>
              </w:rPr>
            </w:pPr>
          </w:p>
        </w:tc>
        <w:tc>
          <w:tcPr>
            <w:tcW w:w="1300" w:type="dxa"/>
            <w:vAlign w:val="bottom"/>
          </w:tcPr>
          <w:p>
            <w:pPr>
              <w:jc w:val="center"/>
              <w:spacing w:after="0" w:line="202" w:lineRule="exact"/>
              <w:rPr>
                <w:sz w:val="20"/>
                <w:szCs w:val="20"/>
                <w:color w:val="auto"/>
              </w:rPr>
            </w:pPr>
            <w:r>
              <w:rPr>
                <w:rFonts w:ascii="Arial" w:cs="Arial" w:eastAsia="Arial" w:hAnsi="Arial"/>
                <w:sz w:val="18"/>
                <w:szCs w:val="18"/>
                <w:color w:val="auto"/>
                <w:w w:val="98"/>
              </w:rPr>
              <w:t>S-1, No. 33-</w:t>
            </w:r>
          </w:p>
        </w:tc>
        <w:tc>
          <w:tcPr>
            <w:tcW w:w="880" w:type="dxa"/>
            <w:vAlign w:val="bottom"/>
          </w:tcPr>
          <w:p>
            <w:pPr>
              <w:spacing w:after="0"/>
              <w:rPr>
                <w:sz w:val="17"/>
                <w:szCs w:val="17"/>
                <w:color w:val="auto"/>
              </w:rPr>
            </w:pPr>
          </w:p>
        </w:tc>
        <w:tc>
          <w:tcPr>
            <w:tcW w:w="8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9/30/87</w:t>
            </w:r>
          </w:p>
        </w:tc>
        <w:tc>
          <w:tcPr>
            <w:tcW w:w="0" w:type="dxa"/>
            <w:vAlign w:val="bottom"/>
          </w:tcPr>
          <w:p>
            <w:pPr>
              <w:spacing w:after="0"/>
              <w:rPr>
                <w:sz w:val="1"/>
                <w:szCs w:val="1"/>
                <w:color w:val="auto"/>
              </w:rPr>
            </w:pPr>
          </w:p>
        </w:tc>
      </w:tr>
      <w:tr>
        <w:trPr>
          <w:trHeight w:val="203"/>
        </w:trPr>
        <w:tc>
          <w:tcPr>
            <w:tcW w:w="800" w:type="dxa"/>
            <w:vAlign w:val="bottom"/>
            <w:tcBorders>
              <w:left w:val="single" w:sz="8" w:color="auto"/>
              <w:bottom w:val="single" w:sz="8" w:color="auto"/>
            </w:tcBorders>
          </w:tcPr>
          <w:p>
            <w:pPr>
              <w:spacing w:after="0"/>
              <w:rPr>
                <w:sz w:val="17"/>
                <w:szCs w:val="17"/>
                <w:color w:val="auto"/>
              </w:rPr>
            </w:pPr>
          </w:p>
        </w:tc>
        <w:tc>
          <w:tcPr>
            <w:tcW w:w="63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w w:val="99"/>
              </w:rPr>
              <w:t>16254</w:t>
            </w:r>
          </w:p>
        </w:tc>
        <w:tc>
          <w:tcPr>
            <w:tcW w:w="880" w:type="dxa"/>
            <w:vAlign w:val="bottom"/>
            <w:tcBorders>
              <w:bottom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140" w:type="dxa"/>
            <w:vAlign w:val="bottom"/>
            <w:tcBorders>
              <w:left w:val="single" w:sz="8" w:color="auto"/>
              <w:bottom w:val="single" w:sz="8" w:color="auto"/>
            </w:tcBorders>
            <w:gridSpan w:val="2"/>
          </w:tcPr>
          <w:p>
            <w:pPr>
              <w:ind w:left="40"/>
              <w:spacing w:after="0" w:line="196" w:lineRule="exact"/>
              <w:rPr>
                <w:sz w:val="20"/>
                <w:szCs w:val="20"/>
                <w:color w:val="auto"/>
              </w:rPr>
            </w:pPr>
            <w:r>
              <w:rPr>
                <w:rFonts w:ascii="Arial" w:cs="Arial" w:eastAsia="Arial" w:hAnsi="Arial"/>
                <w:sz w:val="18"/>
                <w:szCs w:val="18"/>
                <w:b w:val="1"/>
                <w:bCs w:val="1"/>
                <w:color w:val="auto"/>
              </w:rPr>
              <w:t>Credit Agreement</w:t>
            </w:r>
          </w:p>
        </w:tc>
        <w:tc>
          <w:tcPr>
            <w:tcW w:w="13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00" w:type="dxa"/>
            <w:vAlign w:val="bottom"/>
            <w:tcBorders>
              <w:left w:val="single" w:sz="8" w:color="auto"/>
            </w:tcBorders>
          </w:tcPr>
          <w:p>
            <w:pPr>
              <w:ind w:left="40"/>
              <w:spacing w:after="0" w:line="195" w:lineRule="exact"/>
              <w:rPr>
                <w:sz w:val="20"/>
                <w:szCs w:val="20"/>
                <w:color w:val="auto"/>
              </w:rPr>
            </w:pPr>
            <w:r>
              <w:rPr>
                <w:rFonts w:ascii="Arial" w:cs="Arial" w:eastAsia="Arial" w:hAnsi="Arial"/>
                <w:sz w:val="18"/>
                <w:szCs w:val="18"/>
                <w:color w:val="auto"/>
              </w:rPr>
              <w:t>10(k)</w:t>
            </w:r>
          </w:p>
        </w:tc>
        <w:tc>
          <w:tcPr>
            <w:tcW w:w="7660" w:type="dxa"/>
            <w:vAlign w:val="bottom"/>
            <w:gridSpan w:val="2"/>
          </w:tcPr>
          <w:p>
            <w:pPr>
              <w:ind w:left="40"/>
              <w:spacing w:after="0" w:line="195" w:lineRule="exact"/>
              <w:rPr>
                <w:sz w:val="20"/>
                <w:szCs w:val="20"/>
                <w:color w:val="auto"/>
              </w:rPr>
            </w:pPr>
            <w:r>
              <w:rPr>
                <w:rFonts w:ascii="Arial" w:cs="Arial" w:eastAsia="Arial" w:hAnsi="Arial"/>
                <w:sz w:val="18"/>
                <w:szCs w:val="18"/>
                <w:color w:val="auto"/>
              </w:rPr>
              <w:t>$550 Million Five-Year Revolving Credit Facility Agreement among Albany International Corp.,</w:t>
            </w:r>
          </w:p>
        </w:tc>
        <w:tc>
          <w:tcPr>
            <w:tcW w:w="1300" w:type="dxa"/>
            <w:vAlign w:val="bottom"/>
          </w:tcPr>
          <w:p>
            <w:pPr>
              <w:jc w:val="center"/>
              <w:spacing w:after="0" w:line="195" w:lineRule="exact"/>
              <w:rPr>
                <w:sz w:val="20"/>
                <w:szCs w:val="20"/>
                <w:color w:val="auto"/>
              </w:rPr>
            </w:pPr>
            <w:r>
              <w:rPr>
                <w:rFonts w:ascii="Arial" w:cs="Arial" w:eastAsia="Arial" w:hAnsi="Arial"/>
                <w:sz w:val="18"/>
                <w:szCs w:val="18"/>
                <w:color w:val="auto"/>
                <w:w w:val="99"/>
              </w:rPr>
              <w:t>8-K</w:t>
            </w:r>
          </w:p>
        </w:tc>
        <w:tc>
          <w:tcPr>
            <w:tcW w:w="880" w:type="dxa"/>
            <w:vAlign w:val="bottom"/>
          </w:tcPr>
          <w:p>
            <w:pPr>
              <w:spacing w:after="0"/>
              <w:rPr>
                <w:sz w:val="16"/>
                <w:szCs w:val="16"/>
                <w:color w:val="auto"/>
              </w:rPr>
            </w:pPr>
          </w:p>
        </w:tc>
        <w:tc>
          <w:tcPr>
            <w:tcW w:w="8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4/8/16</w:t>
            </w:r>
          </w:p>
        </w:tc>
        <w:tc>
          <w:tcPr>
            <w:tcW w:w="0" w:type="dxa"/>
            <w:vAlign w:val="bottom"/>
          </w:tcPr>
          <w:p>
            <w:pPr>
              <w:spacing w:after="0"/>
              <w:rPr>
                <w:sz w:val="1"/>
                <w:szCs w:val="1"/>
                <w:color w:val="auto"/>
              </w:rPr>
            </w:pPr>
          </w:p>
        </w:tc>
      </w:tr>
      <w:tr>
        <w:trPr>
          <w:trHeight w:val="203"/>
        </w:trPr>
        <w:tc>
          <w:tcPr>
            <w:tcW w:w="800" w:type="dxa"/>
            <w:vAlign w:val="bottom"/>
            <w:tcBorders>
              <w:left w:val="single" w:sz="8" w:color="auto"/>
            </w:tcBorders>
          </w:tcPr>
          <w:p>
            <w:pPr>
              <w:ind w:left="40"/>
              <w:spacing w:after="0" w:line="202" w:lineRule="exact"/>
              <w:rPr>
                <w:sz w:val="20"/>
                <w:szCs w:val="20"/>
                <w:color w:val="auto"/>
              </w:rPr>
            </w:pPr>
            <w:r>
              <w:rPr>
                <w:rFonts w:ascii="Arial" w:cs="Arial" w:eastAsia="Arial" w:hAnsi="Arial"/>
                <w:sz w:val="18"/>
                <w:szCs w:val="18"/>
                <w:color w:val="auto"/>
              </w:rPr>
              <w:t>(xvii)</w:t>
            </w:r>
          </w:p>
        </w:tc>
        <w:tc>
          <w:tcPr>
            <w:tcW w:w="766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the other Borrowers named therein, the Lenders Party thereto, JPMorgan Chase Bank, N.A.,</w:t>
            </w:r>
          </w:p>
        </w:tc>
        <w:tc>
          <w:tcPr>
            <w:tcW w:w="1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tcBorders>
              <w:left w:val="single" w:sz="8" w:color="auto"/>
            </w:tcBorders>
          </w:tcPr>
          <w:p>
            <w:pPr>
              <w:spacing w:after="0"/>
              <w:rPr>
                <w:sz w:val="17"/>
                <w:szCs w:val="17"/>
                <w:color w:val="auto"/>
              </w:rPr>
            </w:pPr>
          </w:p>
        </w:tc>
        <w:tc>
          <w:tcPr>
            <w:tcW w:w="6340" w:type="dxa"/>
            <w:vAlign w:val="bottom"/>
          </w:tcPr>
          <w:p>
            <w:pPr>
              <w:ind w:left="40"/>
              <w:spacing w:after="0" w:line="202" w:lineRule="exact"/>
              <w:rPr>
                <w:sz w:val="20"/>
                <w:szCs w:val="20"/>
                <w:color w:val="auto"/>
              </w:rPr>
            </w:pPr>
            <w:r>
              <w:rPr>
                <w:rFonts w:ascii="Arial" w:cs="Arial" w:eastAsia="Arial" w:hAnsi="Arial"/>
                <w:sz w:val="18"/>
                <w:szCs w:val="18"/>
                <w:color w:val="auto"/>
              </w:rPr>
              <w:t>as Administrative</w:t>
            </w:r>
          </w:p>
        </w:tc>
        <w:tc>
          <w:tcPr>
            <w:tcW w:w="1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tcBorders>
              <w:left w:val="single" w:sz="8" w:color="auto"/>
            </w:tcBorders>
          </w:tcPr>
          <w:p>
            <w:pPr>
              <w:spacing w:after="0"/>
              <w:rPr>
                <w:sz w:val="17"/>
                <w:szCs w:val="17"/>
                <w:color w:val="auto"/>
              </w:rPr>
            </w:pPr>
          </w:p>
        </w:tc>
        <w:tc>
          <w:tcPr>
            <w:tcW w:w="6340" w:type="dxa"/>
            <w:vAlign w:val="bottom"/>
          </w:tcPr>
          <w:p>
            <w:pPr>
              <w:ind w:left="40"/>
              <w:spacing w:after="0" w:line="202" w:lineRule="exact"/>
              <w:rPr>
                <w:sz w:val="20"/>
                <w:szCs w:val="20"/>
                <w:color w:val="auto"/>
              </w:rPr>
            </w:pPr>
            <w:r>
              <w:rPr>
                <w:rFonts w:ascii="Arial" w:cs="Arial" w:eastAsia="Arial" w:hAnsi="Arial"/>
                <w:sz w:val="18"/>
                <w:szCs w:val="18"/>
                <w:color w:val="auto"/>
              </w:rPr>
              <w:t>Agent, dated as of April 8, 2016</w:t>
            </w:r>
          </w:p>
        </w:tc>
        <w:tc>
          <w:tcPr>
            <w:tcW w:w="1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tcBorders>
              <w:left w:val="single" w:sz="8" w:color="auto"/>
            </w:tcBorders>
          </w:tcPr>
          <w:p>
            <w:pPr>
              <w:ind w:left="40"/>
              <w:spacing w:after="0" w:line="202" w:lineRule="exact"/>
              <w:rPr>
                <w:sz w:val="20"/>
                <w:szCs w:val="20"/>
                <w:color w:val="auto"/>
              </w:rPr>
            </w:pPr>
            <w:r>
              <w:rPr>
                <w:rFonts w:ascii="Arial" w:cs="Arial" w:eastAsia="Arial" w:hAnsi="Arial"/>
                <w:sz w:val="18"/>
                <w:szCs w:val="18"/>
                <w:color w:val="auto"/>
              </w:rPr>
              <w:t>10(k)(xii)</w:t>
            </w:r>
          </w:p>
        </w:tc>
        <w:tc>
          <w:tcPr>
            <w:tcW w:w="766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Amended and Restated Note Agreement and Guaranty, dated as of July 16, 2010, among the</w:t>
            </w:r>
          </w:p>
        </w:tc>
        <w:tc>
          <w:tcPr>
            <w:tcW w:w="1300" w:type="dxa"/>
            <w:vAlign w:val="bottom"/>
          </w:tcPr>
          <w:p>
            <w:pPr>
              <w:jc w:val="center"/>
              <w:spacing w:after="0" w:line="202" w:lineRule="exact"/>
              <w:rPr>
                <w:sz w:val="20"/>
                <w:szCs w:val="20"/>
                <w:color w:val="auto"/>
              </w:rPr>
            </w:pPr>
            <w:r>
              <w:rPr>
                <w:rFonts w:ascii="Arial" w:cs="Arial" w:eastAsia="Arial" w:hAnsi="Arial"/>
                <w:sz w:val="18"/>
                <w:szCs w:val="18"/>
                <w:color w:val="auto"/>
                <w:w w:val="99"/>
              </w:rPr>
              <w:t>8-K</w:t>
            </w:r>
          </w:p>
        </w:tc>
        <w:tc>
          <w:tcPr>
            <w:tcW w:w="880" w:type="dxa"/>
            <w:vAlign w:val="bottom"/>
          </w:tcPr>
          <w:p>
            <w:pPr>
              <w:spacing w:after="0"/>
              <w:rPr>
                <w:sz w:val="17"/>
                <w:szCs w:val="17"/>
                <w:color w:val="auto"/>
              </w:rPr>
            </w:pPr>
          </w:p>
        </w:tc>
        <w:tc>
          <w:tcPr>
            <w:tcW w:w="8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9/23/10</w:t>
            </w:r>
          </w:p>
        </w:tc>
        <w:tc>
          <w:tcPr>
            <w:tcW w:w="0" w:type="dxa"/>
            <w:vAlign w:val="bottom"/>
          </w:tcPr>
          <w:p>
            <w:pPr>
              <w:spacing w:after="0"/>
              <w:rPr>
                <w:sz w:val="1"/>
                <w:szCs w:val="1"/>
                <w:color w:val="auto"/>
              </w:rPr>
            </w:pPr>
          </w:p>
        </w:tc>
      </w:tr>
      <w:tr>
        <w:trPr>
          <w:trHeight w:val="203"/>
        </w:trPr>
        <w:tc>
          <w:tcPr>
            <w:tcW w:w="800" w:type="dxa"/>
            <w:vAlign w:val="bottom"/>
            <w:tcBorders>
              <w:left w:val="single" w:sz="8" w:color="auto"/>
            </w:tcBorders>
          </w:tcPr>
          <w:p>
            <w:pPr>
              <w:spacing w:after="0"/>
              <w:rPr>
                <w:sz w:val="17"/>
                <w:szCs w:val="17"/>
                <w:color w:val="auto"/>
              </w:rPr>
            </w:pPr>
          </w:p>
        </w:tc>
        <w:tc>
          <w:tcPr>
            <w:tcW w:w="766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Company, the Guarantors named therein, and the holders of the Notes from time to time party</w:t>
            </w:r>
          </w:p>
        </w:tc>
        <w:tc>
          <w:tcPr>
            <w:tcW w:w="1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tcBorders>
              <w:left w:val="single" w:sz="8" w:color="auto"/>
            </w:tcBorders>
          </w:tcPr>
          <w:p>
            <w:pPr>
              <w:spacing w:after="0"/>
              <w:rPr>
                <w:sz w:val="17"/>
                <w:szCs w:val="17"/>
                <w:color w:val="auto"/>
              </w:rPr>
            </w:pPr>
          </w:p>
        </w:tc>
        <w:tc>
          <w:tcPr>
            <w:tcW w:w="6340" w:type="dxa"/>
            <w:vAlign w:val="bottom"/>
          </w:tcPr>
          <w:p>
            <w:pPr>
              <w:ind w:left="40"/>
              <w:spacing w:after="0" w:line="202" w:lineRule="exact"/>
              <w:rPr>
                <w:sz w:val="20"/>
                <w:szCs w:val="20"/>
                <w:color w:val="auto"/>
              </w:rPr>
            </w:pPr>
            <w:r>
              <w:rPr>
                <w:rFonts w:ascii="Arial" w:cs="Arial" w:eastAsia="Arial" w:hAnsi="Arial"/>
                <w:sz w:val="18"/>
                <w:szCs w:val="18"/>
                <w:color w:val="auto"/>
              </w:rPr>
              <w:t>thereto ("Amended and Restated Note Agreement")</w:t>
            </w:r>
          </w:p>
        </w:tc>
        <w:tc>
          <w:tcPr>
            <w:tcW w:w="1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60" w:type="dxa"/>
            <w:vAlign w:val="bottom"/>
            <w:tcBorders>
              <w:left w:val="single" w:sz="8" w:color="auto"/>
            </w:tcBorders>
            <w:gridSpan w:val="3"/>
          </w:tcPr>
          <w:p>
            <w:pPr>
              <w:ind w:left="40"/>
              <w:spacing w:after="0" w:line="202" w:lineRule="exact"/>
              <w:rPr>
                <w:sz w:val="20"/>
                <w:szCs w:val="20"/>
                <w:color w:val="auto"/>
              </w:rPr>
            </w:pPr>
            <w:r>
              <w:rPr>
                <w:rFonts w:ascii="Arial" w:cs="Arial" w:eastAsia="Arial" w:hAnsi="Arial"/>
                <w:sz w:val="18"/>
                <w:szCs w:val="18"/>
                <w:color w:val="auto"/>
              </w:rPr>
              <w:t>10(k)(xiii) First Amendment, dated as of February 17, 2012, to Amended and Restated Note Agreement</w:t>
            </w:r>
          </w:p>
        </w:tc>
        <w:tc>
          <w:tcPr>
            <w:tcW w:w="1300" w:type="dxa"/>
            <w:vAlign w:val="bottom"/>
          </w:tcPr>
          <w:p>
            <w:pPr>
              <w:jc w:val="center"/>
              <w:spacing w:after="0" w:line="202" w:lineRule="exact"/>
              <w:rPr>
                <w:sz w:val="20"/>
                <w:szCs w:val="20"/>
                <w:color w:val="auto"/>
              </w:rPr>
            </w:pPr>
            <w:r>
              <w:rPr>
                <w:rFonts w:ascii="Arial" w:cs="Arial" w:eastAsia="Arial" w:hAnsi="Arial"/>
                <w:sz w:val="18"/>
                <w:szCs w:val="18"/>
                <w:color w:val="auto"/>
                <w:w w:val="99"/>
              </w:rPr>
              <w:t>8-K</w:t>
            </w:r>
          </w:p>
        </w:tc>
        <w:tc>
          <w:tcPr>
            <w:tcW w:w="880" w:type="dxa"/>
            <w:vAlign w:val="bottom"/>
          </w:tcPr>
          <w:p>
            <w:pPr>
              <w:spacing w:after="0"/>
              <w:rPr>
                <w:sz w:val="17"/>
                <w:szCs w:val="17"/>
                <w:color w:val="auto"/>
              </w:rPr>
            </w:pPr>
          </w:p>
        </w:tc>
        <w:tc>
          <w:tcPr>
            <w:tcW w:w="8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2/22/12</w:t>
            </w:r>
          </w:p>
        </w:tc>
        <w:tc>
          <w:tcPr>
            <w:tcW w:w="0" w:type="dxa"/>
            <w:vAlign w:val="bottom"/>
          </w:tcPr>
          <w:p>
            <w:pPr>
              <w:spacing w:after="0"/>
              <w:rPr>
                <w:sz w:val="1"/>
                <w:szCs w:val="1"/>
                <w:color w:val="auto"/>
              </w:rPr>
            </w:pPr>
          </w:p>
        </w:tc>
      </w:tr>
      <w:tr>
        <w:trPr>
          <w:trHeight w:val="203"/>
        </w:trPr>
        <w:tc>
          <w:tcPr>
            <w:tcW w:w="800" w:type="dxa"/>
            <w:vAlign w:val="bottom"/>
            <w:tcBorders>
              <w:left w:val="single" w:sz="8" w:color="auto"/>
            </w:tcBorders>
          </w:tcPr>
          <w:p>
            <w:pPr>
              <w:ind w:left="40"/>
              <w:spacing w:after="0" w:line="202" w:lineRule="exact"/>
              <w:rPr>
                <w:sz w:val="20"/>
                <w:szCs w:val="20"/>
                <w:color w:val="auto"/>
              </w:rPr>
            </w:pPr>
            <w:r>
              <w:rPr>
                <w:rFonts w:ascii="Arial" w:cs="Arial" w:eastAsia="Arial" w:hAnsi="Arial"/>
                <w:sz w:val="18"/>
                <w:szCs w:val="18"/>
                <w:color w:val="auto"/>
              </w:rPr>
              <w:t>10(k)(iv)</w:t>
            </w:r>
          </w:p>
        </w:tc>
        <w:tc>
          <w:tcPr>
            <w:tcW w:w="766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Second Amendment, dated as of March 26, 2013, to Amended and Restated Note Agreement</w:t>
            </w:r>
          </w:p>
        </w:tc>
        <w:tc>
          <w:tcPr>
            <w:tcW w:w="1300" w:type="dxa"/>
            <w:vAlign w:val="bottom"/>
          </w:tcPr>
          <w:p>
            <w:pPr>
              <w:jc w:val="center"/>
              <w:spacing w:after="0" w:line="202" w:lineRule="exact"/>
              <w:rPr>
                <w:sz w:val="20"/>
                <w:szCs w:val="20"/>
                <w:color w:val="auto"/>
              </w:rPr>
            </w:pPr>
            <w:r>
              <w:rPr>
                <w:rFonts w:ascii="Arial" w:cs="Arial" w:eastAsia="Arial" w:hAnsi="Arial"/>
                <w:sz w:val="18"/>
                <w:szCs w:val="18"/>
                <w:color w:val="auto"/>
                <w:w w:val="99"/>
              </w:rPr>
              <w:t>8-K</w:t>
            </w:r>
          </w:p>
        </w:tc>
        <w:tc>
          <w:tcPr>
            <w:tcW w:w="880" w:type="dxa"/>
            <w:vAlign w:val="bottom"/>
          </w:tcPr>
          <w:p>
            <w:pPr>
              <w:spacing w:after="0"/>
              <w:rPr>
                <w:sz w:val="17"/>
                <w:szCs w:val="17"/>
                <w:color w:val="auto"/>
              </w:rPr>
            </w:pPr>
          </w:p>
        </w:tc>
        <w:tc>
          <w:tcPr>
            <w:tcW w:w="8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3/28/13</w:t>
            </w:r>
          </w:p>
        </w:tc>
        <w:tc>
          <w:tcPr>
            <w:tcW w:w="0" w:type="dxa"/>
            <w:vAlign w:val="bottom"/>
          </w:tcPr>
          <w:p>
            <w:pPr>
              <w:spacing w:after="0"/>
              <w:rPr>
                <w:sz w:val="1"/>
                <w:szCs w:val="1"/>
                <w:color w:val="auto"/>
              </w:rPr>
            </w:pPr>
          </w:p>
        </w:tc>
      </w:tr>
      <w:tr>
        <w:trPr>
          <w:trHeight w:val="203"/>
        </w:trPr>
        <w:tc>
          <w:tcPr>
            <w:tcW w:w="800" w:type="dxa"/>
            <w:vAlign w:val="bottom"/>
            <w:tcBorders>
              <w:left w:val="single" w:sz="8" w:color="auto"/>
            </w:tcBorders>
          </w:tcPr>
          <w:p>
            <w:pPr>
              <w:ind w:left="40"/>
              <w:spacing w:after="0" w:line="202" w:lineRule="exact"/>
              <w:rPr>
                <w:sz w:val="20"/>
                <w:szCs w:val="20"/>
                <w:color w:val="auto"/>
              </w:rPr>
            </w:pPr>
            <w:r>
              <w:rPr>
                <w:rFonts w:ascii="Arial" w:cs="Arial" w:eastAsia="Arial" w:hAnsi="Arial"/>
                <w:sz w:val="18"/>
                <w:szCs w:val="18"/>
                <w:color w:val="auto"/>
              </w:rPr>
              <w:t>10(k)</w:t>
            </w:r>
          </w:p>
        </w:tc>
        <w:tc>
          <w:tcPr>
            <w:tcW w:w="766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Third Amendment, dated as of June 18, 2015, to Amended and Restated Note Agreement</w:t>
            </w:r>
          </w:p>
        </w:tc>
        <w:tc>
          <w:tcPr>
            <w:tcW w:w="1300" w:type="dxa"/>
            <w:vAlign w:val="bottom"/>
          </w:tcPr>
          <w:p>
            <w:pPr>
              <w:jc w:val="center"/>
              <w:spacing w:after="0" w:line="202" w:lineRule="exact"/>
              <w:rPr>
                <w:sz w:val="20"/>
                <w:szCs w:val="20"/>
                <w:color w:val="auto"/>
              </w:rPr>
            </w:pPr>
            <w:r>
              <w:rPr>
                <w:rFonts w:ascii="Arial" w:cs="Arial" w:eastAsia="Arial" w:hAnsi="Arial"/>
                <w:sz w:val="18"/>
                <w:szCs w:val="18"/>
                <w:color w:val="auto"/>
                <w:w w:val="99"/>
              </w:rPr>
              <w:t>8-K</w:t>
            </w:r>
          </w:p>
        </w:tc>
        <w:tc>
          <w:tcPr>
            <w:tcW w:w="880" w:type="dxa"/>
            <w:vAlign w:val="bottom"/>
          </w:tcPr>
          <w:p>
            <w:pPr>
              <w:spacing w:after="0"/>
              <w:rPr>
                <w:sz w:val="17"/>
                <w:szCs w:val="17"/>
                <w:color w:val="auto"/>
              </w:rPr>
            </w:pPr>
          </w:p>
        </w:tc>
        <w:tc>
          <w:tcPr>
            <w:tcW w:w="8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6/24/15</w:t>
            </w:r>
          </w:p>
        </w:tc>
        <w:tc>
          <w:tcPr>
            <w:tcW w:w="0" w:type="dxa"/>
            <w:vAlign w:val="bottom"/>
          </w:tcPr>
          <w:p>
            <w:pPr>
              <w:spacing w:after="0"/>
              <w:rPr>
                <w:sz w:val="1"/>
                <w:szCs w:val="1"/>
                <w:color w:val="auto"/>
              </w:rPr>
            </w:pPr>
          </w:p>
        </w:tc>
      </w:tr>
      <w:tr>
        <w:trPr>
          <w:trHeight w:val="203"/>
        </w:trPr>
        <w:tc>
          <w:tcPr>
            <w:tcW w:w="800" w:type="dxa"/>
            <w:vAlign w:val="bottom"/>
            <w:tcBorders>
              <w:left w:val="single" w:sz="8" w:color="auto"/>
            </w:tcBorders>
          </w:tcPr>
          <w:p>
            <w:pPr>
              <w:ind w:left="40"/>
              <w:spacing w:after="0" w:line="202" w:lineRule="exact"/>
              <w:rPr>
                <w:sz w:val="20"/>
                <w:szCs w:val="20"/>
                <w:color w:val="auto"/>
              </w:rPr>
            </w:pPr>
            <w:r>
              <w:rPr>
                <w:rFonts w:ascii="Arial" w:cs="Arial" w:eastAsia="Arial" w:hAnsi="Arial"/>
                <w:sz w:val="18"/>
                <w:szCs w:val="18"/>
                <w:color w:val="auto"/>
              </w:rPr>
              <w:t>(xvi)</w:t>
            </w:r>
          </w:p>
        </w:tc>
        <w:tc>
          <w:tcPr>
            <w:tcW w:w="6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tcBorders>
              <w:left w:val="single" w:sz="8" w:color="auto"/>
            </w:tcBorders>
          </w:tcPr>
          <w:p>
            <w:pPr>
              <w:ind w:left="40"/>
              <w:spacing w:after="0" w:line="202" w:lineRule="exact"/>
              <w:rPr>
                <w:sz w:val="20"/>
                <w:szCs w:val="20"/>
                <w:color w:val="auto"/>
              </w:rPr>
            </w:pPr>
            <w:r>
              <w:rPr>
                <w:rFonts w:ascii="Arial" w:cs="Arial" w:eastAsia="Arial" w:hAnsi="Arial"/>
                <w:sz w:val="18"/>
                <w:szCs w:val="18"/>
                <w:color w:val="auto"/>
              </w:rPr>
              <w:t>10(k)</w:t>
            </w:r>
          </w:p>
        </w:tc>
        <w:tc>
          <w:tcPr>
            <w:tcW w:w="766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Fourth Amendment, dated as of April 8, 2016, to Amended and Restated Note Agreement</w:t>
            </w:r>
          </w:p>
        </w:tc>
        <w:tc>
          <w:tcPr>
            <w:tcW w:w="1300" w:type="dxa"/>
            <w:vAlign w:val="bottom"/>
          </w:tcPr>
          <w:p>
            <w:pPr>
              <w:jc w:val="center"/>
              <w:spacing w:after="0" w:line="202" w:lineRule="exact"/>
              <w:rPr>
                <w:sz w:val="20"/>
                <w:szCs w:val="20"/>
                <w:color w:val="auto"/>
              </w:rPr>
            </w:pPr>
            <w:r>
              <w:rPr>
                <w:rFonts w:ascii="Arial" w:cs="Arial" w:eastAsia="Arial" w:hAnsi="Arial"/>
                <w:sz w:val="18"/>
                <w:szCs w:val="18"/>
                <w:color w:val="auto"/>
                <w:w w:val="99"/>
              </w:rPr>
              <w:t>8-K</w:t>
            </w:r>
          </w:p>
        </w:tc>
        <w:tc>
          <w:tcPr>
            <w:tcW w:w="880" w:type="dxa"/>
            <w:vAlign w:val="bottom"/>
          </w:tcPr>
          <w:p>
            <w:pPr>
              <w:spacing w:after="0"/>
              <w:rPr>
                <w:sz w:val="17"/>
                <w:szCs w:val="17"/>
                <w:color w:val="auto"/>
              </w:rPr>
            </w:pPr>
          </w:p>
        </w:tc>
        <w:tc>
          <w:tcPr>
            <w:tcW w:w="8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4/8/16</w:t>
            </w:r>
          </w:p>
        </w:tc>
        <w:tc>
          <w:tcPr>
            <w:tcW w:w="0" w:type="dxa"/>
            <w:vAlign w:val="bottom"/>
          </w:tcPr>
          <w:p>
            <w:pPr>
              <w:spacing w:after="0"/>
              <w:rPr>
                <w:sz w:val="1"/>
                <w:szCs w:val="1"/>
                <w:color w:val="auto"/>
              </w:rPr>
            </w:pPr>
          </w:p>
        </w:tc>
      </w:tr>
      <w:tr>
        <w:trPr>
          <w:trHeight w:val="203"/>
        </w:trPr>
        <w:tc>
          <w:tcPr>
            <w:tcW w:w="800" w:type="dxa"/>
            <w:vAlign w:val="bottom"/>
            <w:tcBorders>
              <w:left w:val="single" w:sz="8" w:color="auto"/>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(xviii)</w:t>
            </w:r>
          </w:p>
        </w:tc>
        <w:tc>
          <w:tcPr>
            <w:tcW w:w="63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140" w:type="dxa"/>
            <w:vAlign w:val="bottom"/>
            <w:tcBorders>
              <w:left w:val="single" w:sz="8" w:color="auto"/>
              <w:bottom w:val="single" w:sz="8" w:color="auto"/>
            </w:tcBorders>
            <w:gridSpan w:val="2"/>
          </w:tcPr>
          <w:p>
            <w:pPr>
              <w:ind w:left="40"/>
              <w:spacing w:after="0" w:line="196" w:lineRule="exact"/>
              <w:rPr>
                <w:sz w:val="20"/>
                <w:szCs w:val="20"/>
                <w:color w:val="auto"/>
              </w:rPr>
            </w:pPr>
            <w:r>
              <w:rPr>
                <w:rFonts w:ascii="Arial" w:cs="Arial" w:eastAsia="Arial" w:hAnsi="Arial"/>
                <w:sz w:val="18"/>
                <w:szCs w:val="18"/>
                <w:b w:val="1"/>
                <w:bCs w:val="1"/>
                <w:color w:val="auto"/>
              </w:rPr>
              <w:t>Restricted Stock Units</w:t>
            </w:r>
          </w:p>
        </w:tc>
        <w:tc>
          <w:tcPr>
            <w:tcW w:w="13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Borders>
              <w:left w:val="single" w:sz="8" w:color="auto"/>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10(l)(viii)</w:t>
            </w:r>
          </w:p>
        </w:tc>
        <w:tc>
          <w:tcPr>
            <w:tcW w:w="634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2011 Performance Phantom Stock Plan as adopted on May 26, 2011 (42)</w:t>
            </w:r>
          </w:p>
        </w:tc>
        <w:tc>
          <w:tcPr>
            <w:tcW w:w="13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10-Q</w:t>
            </w:r>
          </w:p>
        </w:tc>
        <w:tc>
          <w:tcPr>
            <w:tcW w:w="8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6/30/11</w:t>
            </w:r>
          </w:p>
        </w:tc>
        <w:tc>
          <w:tcPr>
            <w:tcW w:w="8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8/9/11</w:t>
            </w:r>
          </w:p>
        </w:tc>
        <w:tc>
          <w:tcPr>
            <w:tcW w:w="0" w:type="dxa"/>
            <w:vAlign w:val="bottom"/>
          </w:tcPr>
          <w:p>
            <w:pPr>
              <w:spacing w:after="0"/>
              <w:rPr>
                <w:sz w:val="1"/>
                <w:szCs w:val="1"/>
                <w:color w:val="auto"/>
              </w:rPr>
            </w:pPr>
          </w:p>
        </w:tc>
      </w:tr>
      <w:tr>
        <w:trPr>
          <w:trHeight w:val="196"/>
        </w:trPr>
        <w:tc>
          <w:tcPr>
            <w:tcW w:w="7140" w:type="dxa"/>
            <w:vAlign w:val="bottom"/>
            <w:tcBorders>
              <w:left w:val="single" w:sz="8" w:color="auto"/>
              <w:bottom w:val="single" w:sz="8" w:color="auto"/>
            </w:tcBorders>
            <w:gridSpan w:val="2"/>
          </w:tcPr>
          <w:p>
            <w:pPr>
              <w:ind w:left="40"/>
              <w:spacing w:after="0" w:line="196" w:lineRule="exact"/>
              <w:rPr>
                <w:sz w:val="20"/>
                <w:szCs w:val="20"/>
                <w:color w:val="auto"/>
              </w:rPr>
            </w:pPr>
            <w:r>
              <w:rPr>
                <w:rFonts w:ascii="Arial" w:cs="Arial" w:eastAsia="Arial" w:hAnsi="Arial"/>
                <w:sz w:val="18"/>
                <w:szCs w:val="18"/>
                <w:b w:val="1"/>
                <w:bCs w:val="1"/>
                <w:color w:val="auto"/>
              </w:rPr>
              <w:t>Stock Options</w:t>
            </w:r>
          </w:p>
        </w:tc>
        <w:tc>
          <w:tcPr>
            <w:tcW w:w="13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00" w:type="dxa"/>
            <w:vAlign w:val="bottom"/>
            <w:tcBorders>
              <w:left w:val="single" w:sz="8" w:color="auto"/>
            </w:tcBorders>
          </w:tcPr>
          <w:p>
            <w:pPr>
              <w:ind w:left="40"/>
              <w:spacing w:after="0" w:line="195" w:lineRule="exact"/>
              <w:rPr>
                <w:sz w:val="20"/>
                <w:szCs w:val="20"/>
                <w:color w:val="auto"/>
              </w:rPr>
            </w:pPr>
            <w:r>
              <w:rPr>
                <w:rFonts w:ascii="Arial" w:cs="Arial" w:eastAsia="Arial" w:hAnsi="Arial"/>
                <w:sz w:val="18"/>
                <w:szCs w:val="18"/>
                <w:color w:val="auto"/>
              </w:rPr>
              <w:t>10(m)(i)</w:t>
            </w:r>
          </w:p>
        </w:tc>
        <w:tc>
          <w:tcPr>
            <w:tcW w:w="6340" w:type="dxa"/>
            <w:vAlign w:val="bottom"/>
          </w:tcPr>
          <w:p>
            <w:pPr>
              <w:ind w:left="40"/>
              <w:spacing w:after="0" w:line="195" w:lineRule="exact"/>
              <w:rPr>
                <w:sz w:val="20"/>
                <w:szCs w:val="20"/>
                <w:color w:val="auto"/>
              </w:rPr>
            </w:pPr>
            <w:r>
              <w:rPr>
                <w:rFonts w:ascii="Arial" w:cs="Arial" w:eastAsia="Arial" w:hAnsi="Arial"/>
                <w:sz w:val="18"/>
                <w:szCs w:val="18"/>
                <w:color w:val="auto"/>
              </w:rPr>
              <w:t>1992 Stock Option Plan</w:t>
            </w:r>
          </w:p>
        </w:tc>
        <w:tc>
          <w:tcPr>
            <w:tcW w:w="1320" w:type="dxa"/>
            <w:vAlign w:val="bottom"/>
          </w:tcPr>
          <w:p>
            <w:pPr>
              <w:spacing w:after="0"/>
              <w:rPr>
                <w:sz w:val="16"/>
                <w:szCs w:val="16"/>
                <w:color w:val="auto"/>
              </w:rPr>
            </w:pPr>
          </w:p>
        </w:tc>
        <w:tc>
          <w:tcPr>
            <w:tcW w:w="1300" w:type="dxa"/>
            <w:vAlign w:val="bottom"/>
          </w:tcPr>
          <w:p>
            <w:pPr>
              <w:jc w:val="center"/>
              <w:spacing w:after="0" w:line="195" w:lineRule="exact"/>
              <w:rPr>
                <w:sz w:val="20"/>
                <w:szCs w:val="20"/>
                <w:color w:val="auto"/>
              </w:rPr>
            </w:pPr>
            <w:r>
              <w:rPr>
                <w:rFonts w:ascii="Arial" w:cs="Arial" w:eastAsia="Arial" w:hAnsi="Arial"/>
                <w:sz w:val="18"/>
                <w:szCs w:val="18"/>
                <w:color w:val="auto"/>
                <w:w w:val="99"/>
              </w:rPr>
              <w:t>8-K</w:t>
            </w:r>
          </w:p>
        </w:tc>
        <w:tc>
          <w:tcPr>
            <w:tcW w:w="880" w:type="dxa"/>
            <w:vAlign w:val="bottom"/>
          </w:tcPr>
          <w:p>
            <w:pPr>
              <w:spacing w:after="0"/>
              <w:rPr>
                <w:sz w:val="16"/>
                <w:szCs w:val="16"/>
                <w:color w:val="auto"/>
              </w:rPr>
            </w:pPr>
          </w:p>
        </w:tc>
        <w:tc>
          <w:tcPr>
            <w:tcW w:w="8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1/18/93</w:t>
            </w:r>
          </w:p>
        </w:tc>
        <w:tc>
          <w:tcPr>
            <w:tcW w:w="0" w:type="dxa"/>
            <w:vAlign w:val="bottom"/>
          </w:tcPr>
          <w:p>
            <w:pPr>
              <w:spacing w:after="0"/>
              <w:rPr>
                <w:sz w:val="1"/>
                <w:szCs w:val="1"/>
                <w:color w:val="auto"/>
              </w:rPr>
            </w:pPr>
          </w:p>
        </w:tc>
      </w:tr>
      <w:tr>
        <w:trPr>
          <w:trHeight w:val="203"/>
        </w:trPr>
        <w:tc>
          <w:tcPr>
            <w:tcW w:w="800" w:type="dxa"/>
            <w:vAlign w:val="bottom"/>
            <w:tcBorders>
              <w:left w:val="single" w:sz="8" w:color="auto"/>
            </w:tcBorders>
          </w:tcPr>
          <w:p>
            <w:pPr>
              <w:ind w:left="40"/>
              <w:spacing w:after="0" w:line="202" w:lineRule="exact"/>
              <w:rPr>
                <w:sz w:val="20"/>
                <w:szCs w:val="20"/>
                <w:color w:val="auto"/>
              </w:rPr>
            </w:pPr>
            <w:r>
              <w:rPr>
                <w:rFonts w:ascii="Arial" w:cs="Arial" w:eastAsia="Arial" w:hAnsi="Arial"/>
                <w:sz w:val="18"/>
                <w:szCs w:val="18"/>
                <w:color w:val="auto"/>
              </w:rPr>
              <w:t>10(m)(ii)</w:t>
            </w:r>
          </w:p>
        </w:tc>
        <w:tc>
          <w:tcPr>
            <w:tcW w:w="6340" w:type="dxa"/>
            <w:vAlign w:val="bottom"/>
          </w:tcPr>
          <w:p>
            <w:pPr>
              <w:ind w:left="40"/>
              <w:spacing w:after="0" w:line="202" w:lineRule="exact"/>
              <w:rPr>
                <w:sz w:val="20"/>
                <w:szCs w:val="20"/>
                <w:color w:val="auto"/>
              </w:rPr>
            </w:pPr>
            <w:r>
              <w:rPr>
                <w:rFonts w:ascii="Arial" w:cs="Arial" w:eastAsia="Arial" w:hAnsi="Arial"/>
                <w:sz w:val="18"/>
                <w:szCs w:val="18"/>
                <w:color w:val="auto"/>
              </w:rPr>
              <w:t>1997 Executive Stock Option Agreement</w:t>
            </w:r>
          </w:p>
        </w:tc>
        <w:tc>
          <w:tcPr>
            <w:tcW w:w="1320" w:type="dxa"/>
            <w:vAlign w:val="bottom"/>
          </w:tcPr>
          <w:p>
            <w:pPr>
              <w:spacing w:after="0"/>
              <w:rPr>
                <w:sz w:val="17"/>
                <w:szCs w:val="17"/>
                <w:color w:val="auto"/>
              </w:rPr>
            </w:pPr>
          </w:p>
        </w:tc>
        <w:tc>
          <w:tcPr>
            <w:tcW w:w="1300" w:type="dxa"/>
            <w:vAlign w:val="bottom"/>
          </w:tcPr>
          <w:p>
            <w:pPr>
              <w:jc w:val="center"/>
              <w:spacing w:after="0" w:line="202" w:lineRule="exact"/>
              <w:rPr>
                <w:sz w:val="20"/>
                <w:szCs w:val="20"/>
                <w:color w:val="auto"/>
              </w:rPr>
            </w:pPr>
            <w:r>
              <w:rPr>
                <w:rFonts w:ascii="Arial" w:cs="Arial" w:eastAsia="Arial" w:hAnsi="Arial"/>
                <w:sz w:val="18"/>
                <w:szCs w:val="18"/>
                <w:color w:val="auto"/>
                <w:w w:val="99"/>
              </w:rPr>
              <w:t>10-K</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12/31/97</w:t>
            </w:r>
          </w:p>
        </w:tc>
        <w:tc>
          <w:tcPr>
            <w:tcW w:w="8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3/16/98</w:t>
            </w:r>
          </w:p>
        </w:tc>
        <w:tc>
          <w:tcPr>
            <w:tcW w:w="0" w:type="dxa"/>
            <w:vAlign w:val="bottom"/>
          </w:tcPr>
          <w:p>
            <w:pPr>
              <w:spacing w:after="0"/>
              <w:rPr>
                <w:sz w:val="1"/>
                <w:szCs w:val="1"/>
                <w:color w:val="auto"/>
              </w:rPr>
            </w:pPr>
          </w:p>
        </w:tc>
      </w:tr>
      <w:tr>
        <w:trPr>
          <w:trHeight w:val="203"/>
        </w:trPr>
        <w:tc>
          <w:tcPr>
            <w:tcW w:w="800" w:type="dxa"/>
            <w:vAlign w:val="bottom"/>
            <w:tcBorders>
              <w:left w:val="single" w:sz="8" w:color="auto"/>
            </w:tcBorders>
          </w:tcPr>
          <w:p>
            <w:pPr>
              <w:ind w:left="40"/>
              <w:spacing w:after="0" w:line="202" w:lineRule="exact"/>
              <w:rPr>
                <w:sz w:val="20"/>
                <w:szCs w:val="20"/>
                <w:color w:val="auto"/>
              </w:rPr>
            </w:pPr>
            <w:r>
              <w:rPr>
                <w:rFonts w:ascii="Arial" w:cs="Arial" w:eastAsia="Arial" w:hAnsi="Arial"/>
                <w:sz w:val="18"/>
                <w:szCs w:val="18"/>
                <w:color w:val="auto"/>
              </w:rPr>
              <w:t>10(m)(iii)</w:t>
            </w:r>
          </w:p>
        </w:tc>
        <w:tc>
          <w:tcPr>
            <w:tcW w:w="6340" w:type="dxa"/>
            <w:vAlign w:val="bottom"/>
          </w:tcPr>
          <w:p>
            <w:pPr>
              <w:ind w:left="40"/>
              <w:spacing w:after="0" w:line="202" w:lineRule="exact"/>
              <w:rPr>
                <w:sz w:val="20"/>
                <w:szCs w:val="20"/>
                <w:color w:val="auto"/>
              </w:rPr>
            </w:pPr>
            <w:r>
              <w:rPr>
                <w:rFonts w:ascii="Arial" w:cs="Arial" w:eastAsia="Arial" w:hAnsi="Arial"/>
                <w:sz w:val="18"/>
                <w:szCs w:val="18"/>
                <w:color w:val="auto"/>
              </w:rPr>
              <w:t>2011 Incentive Plan</w:t>
            </w:r>
          </w:p>
        </w:tc>
        <w:tc>
          <w:tcPr>
            <w:tcW w:w="1320" w:type="dxa"/>
            <w:vAlign w:val="bottom"/>
          </w:tcPr>
          <w:p>
            <w:pPr>
              <w:spacing w:after="0"/>
              <w:rPr>
                <w:sz w:val="17"/>
                <w:szCs w:val="17"/>
                <w:color w:val="auto"/>
              </w:rPr>
            </w:pPr>
          </w:p>
        </w:tc>
        <w:tc>
          <w:tcPr>
            <w:tcW w:w="1300" w:type="dxa"/>
            <w:vAlign w:val="bottom"/>
          </w:tcPr>
          <w:p>
            <w:pPr>
              <w:jc w:val="center"/>
              <w:spacing w:after="0" w:line="202" w:lineRule="exact"/>
              <w:rPr>
                <w:sz w:val="20"/>
                <w:szCs w:val="20"/>
                <w:color w:val="auto"/>
              </w:rPr>
            </w:pPr>
            <w:r>
              <w:rPr>
                <w:rFonts w:ascii="Arial" w:cs="Arial" w:eastAsia="Arial" w:hAnsi="Arial"/>
                <w:sz w:val="18"/>
                <w:szCs w:val="18"/>
                <w:color w:val="auto"/>
                <w:w w:val="99"/>
              </w:rPr>
              <w:t>8-K</w:t>
            </w:r>
          </w:p>
        </w:tc>
        <w:tc>
          <w:tcPr>
            <w:tcW w:w="880" w:type="dxa"/>
            <w:vAlign w:val="bottom"/>
          </w:tcPr>
          <w:p>
            <w:pPr>
              <w:spacing w:after="0"/>
              <w:rPr>
                <w:sz w:val="17"/>
                <w:szCs w:val="17"/>
                <w:color w:val="auto"/>
              </w:rPr>
            </w:pPr>
          </w:p>
        </w:tc>
        <w:tc>
          <w:tcPr>
            <w:tcW w:w="8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6/1/11</w:t>
            </w:r>
          </w:p>
        </w:tc>
        <w:tc>
          <w:tcPr>
            <w:tcW w:w="0" w:type="dxa"/>
            <w:vAlign w:val="bottom"/>
          </w:tcPr>
          <w:p>
            <w:pPr>
              <w:spacing w:after="0"/>
              <w:rPr>
                <w:sz w:val="1"/>
                <w:szCs w:val="1"/>
                <w:color w:val="auto"/>
              </w:rPr>
            </w:pPr>
          </w:p>
        </w:tc>
      </w:tr>
      <w:tr>
        <w:trPr>
          <w:trHeight w:val="203"/>
        </w:trPr>
        <w:tc>
          <w:tcPr>
            <w:tcW w:w="800" w:type="dxa"/>
            <w:vAlign w:val="bottom"/>
            <w:tcBorders>
              <w:left w:val="single" w:sz="8" w:color="auto"/>
            </w:tcBorders>
          </w:tcPr>
          <w:p>
            <w:pPr>
              <w:ind w:left="40"/>
              <w:spacing w:after="0" w:line="202" w:lineRule="exact"/>
              <w:rPr>
                <w:sz w:val="20"/>
                <w:szCs w:val="20"/>
                <w:color w:val="auto"/>
              </w:rPr>
            </w:pPr>
            <w:r>
              <w:rPr>
                <w:rFonts w:ascii="Arial" w:cs="Arial" w:eastAsia="Arial" w:hAnsi="Arial"/>
                <w:sz w:val="18"/>
                <w:szCs w:val="18"/>
                <w:color w:val="auto"/>
              </w:rPr>
              <w:t>10(m)(iv)</w:t>
            </w:r>
          </w:p>
        </w:tc>
        <w:tc>
          <w:tcPr>
            <w:tcW w:w="6340" w:type="dxa"/>
            <w:vAlign w:val="bottom"/>
          </w:tcPr>
          <w:p>
            <w:pPr>
              <w:ind w:left="40"/>
              <w:spacing w:after="0" w:line="202" w:lineRule="exact"/>
              <w:rPr>
                <w:sz w:val="20"/>
                <w:szCs w:val="20"/>
                <w:color w:val="auto"/>
              </w:rPr>
            </w:pPr>
            <w:r>
              <w:rPr>
                <w:rFonts w:ascii="Arial" w:cs="Arial" w:eastAsia="Arial" w:hAnsi="Arial"/>
                <w:sz w:val="18"/>
                <w:szCs w:val="18"/>
                <w:color w:val="auto"/>
              </w:rPr>
              <w:t>Form of 2011 Annual Performance Bonus Agreement</w:t>
            </w:r>
          </w:p>
        </w:tc>
        <w:tc>
          <w:tcPr>
            <w:tcW w:w="1320" w:type="dxa"/>
            <w:vAlign w:val="bottom"/>
          </w:tcPr>
          <w:p>
            <w:pPr>
              <w:spacing w:after="0"/>
              <w:rPr>
                <w:sz w:val="17"/>
                <w:szCs w:val="17"/>
                <w:color w:val="auto"/>
              </w:rPr>
            </w:pPr>
          </w:p>
        </w:tc>
        <w:tc>
          <w:tcPr>
            <w:tcW w:w="1300" w:type="dxa"/>
            <w:vAlign w:val="bottom"/>
          </w:tcPr>
          <w:p>
            <w:pPr>
              <w:jc w:val="center"/>
              <w:spacing w:after="0" w:line="202" w:lineRule="exact"/>
              <w:rPr>
                <w:sz w:val="20"/>
                <w:szCs w:val="20"/>
                <w:color w:val="auto"/>
              </w:rPr>
            </w:pPr>
            <w:r>
              <w:rPr>
                <w:rFonts w:ascii="Arial" w:cs="Arial" w:eastAsia="Arial" w:hAnsi="Arial"/>
                <w:sz w:val="18"/>
                <w:szCs w:val="18"/>
                <w:color w:val="auto"/>
                <w:w w:val="99"/>
              </w:rPr>
              <w:t>8-K</w:t>
            </w:r>
          </w:p>
        </w:tc>
        <w:tc>
          <w:tcPr>
            <w:tcW w:w="880" w:type="dxa"/>
            <w:vAlign w:val="bottom"/>
          </w:tcPr>
          <w:p>
            <w:pPr>
              <w:spacing w:after="0"/>
              <w:rPr>
                <w:sz w:val="17"/>
                <w:szCs w:val="17"/>
                <w:color w:val="auto"/>
              </w:rPr>
            </w:pPr>
          </w:p>
        </w:tc>
        <w:tc>
          <w:tcPr>
            <w:tcW w:w="8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3/29/11</w:t>
            </w:r>
          </w:p>
        </w:tc>
        <w:tc>
          <w:tcPr>
            <w:tcW w:w="0" w:type="dxa"/>
            <w:vAlign w:val="bottom"/>
          </w:tcPr>
          <w:p>
            <w:pPr>
              <w:spacing w:after="0"/>
              <w:rPr>
                <w:sz w:val="1"/>
                <w:szCs w:val="1"/>
                <w:color w:val="auto"/>
              </w:rPr>
            </w:pPr>
          </w:p>
        </w:tc>
      </w:tr>
      <w:tr>
        <w:trPr>
          <w:trHeight w:val="203"/>
        </w:trPr>
        <w:tc>
          <w:tcPr>
            <w:tcW w:w="800" w:type="dxa"/>
            <w:vAlign w:val="bottom"/>
            <w:tcBorders>
              <w:left w:val="single" w:sz="8" w:color="auto"/>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10(m)(v)</w:t>
            </w:r>
          </w:p>
        </w:tc>
        <w:tc>
          <w:tcPr>
            <w:tcW w:w="6340" w:type="dxa"/>
            <w:vAlign w:val="bottom"/>
            <w:tcBorders>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Form of 2011 Multi-Year Performance Bonus Agreement</w:t>
            </w:r>
          </w:p>
        </w:tc>
        <w:tc>
          <w:tcPr>
            <w:tcW w:w="13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w w:val="99"/>
              </w:rPr>
              <w:t>8-K</w:t>
            </w:r>
          </w:p>
        </w:tc>
        <w:tc>
          <w:tcPr>
            <w:tcW w:w="880" w:type="dxa"/>
            <w:vAlign w:val="bottom"/>
            <w:tcBorders>
              <w:bottom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jc w:val="center"/>
              <w:spacing w:after="0" w:line="203" w:lineRule="exact"/>
              <w:rPr>
                <w:sz w:val="20"/>
                <w:szCs w:val="20"/>
                <w:color w:val="auto"/>
              </w:rPr>
            </w:pPr>
            <w:r>
              <w:rPr>
                <w:rFonts w:ascii="Arial" w:cs="Arial" w:eastAsia="Arial" w:hAnsi="Arial"/>
                <w:sz w:val="18"/>
                <w:szCs w:val="18"/>
                <w:color w:val="auto"/>
                <w:w w:val="99"/>
              </w:rPr>
              <w:t>3/29/11</w:t>
            </w:r>
          </w:p>
        </w:tc>
        <w:tc>
          <w:tcPr>
            <w:tcW w:w="0" w:type="dxa"/>
            <w:vAlign w:val="bottom"/>
          </w:tcPr>
          <w:p>
            <w:pPr>
              <w:spacing w:after="0"/>
              <w:rPr>
                <w:sz w:val="1"/>
                <w:szCs w:val="1"/>
                <w:color w:val="auto"/>
              </w:rPr>
            </w:pPr>
          </w:p>
        </w:tc>
      </w:tr>
      <w:tr>
        <w:trPr>
          <w:trHeight w:val="628"/>
        </w:trPr>
        <w:tc>
          <w:tcPr>
            <w:tcW w:w="80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129"/>
        </w:trPr>
        <w:tc>
          <w:tcPr>
            <w:tcW w:w="800" w:type="dxa"/>
            <w:vAlign w:val="bottom"/>
            <w:tcBorders>
              <w:bottom w:val="single" w:sz="8" w:color="auto"/>
            </w:tcBorders>
          </w:tcPr>
          <w:p>
            <w:pPr>
              <w:spacing w:after="0"/>
              <w:rPr>
                <w:sz w:val="11"/>
                <w:szCs w:val="11"/>
                <w:color w:val="auto"/>
              </w:rPr>
            </w:pPr>
          </w:p>
        </w:tc>
        <w:tc>
          <w:tcPr>
            <w:tcW w:w="634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18" w:right="219" w:bottom="1440" w:gutter="0" w:footer="0" w:header="0"/>
        </w:sectPr>
      </w:pPr>
    </w:p>
    <w:bookmarkStart w:id="109" w:name="page110"/>
    <w:bookmarkEnd w:id="10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4"/>
        </w:trPr>
        <w:tc>
          <w:tcPr>
            <w:tcW w:w="10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Exhibit</w:t>
            </w:r>
          </w:p>
        </w:tc>
        <w:tc>
          <w:tcPr>
            <w:tcW w:w="584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Exhibit Description</w:t>
            </w:r>
          </w:p>
        </w:tc>
        <w:tc>
          <w:tcPr>
            <w:tcW w:w="1240" w:type="dxa"/>
            <w:vAlign w:val="bottom"/>
            <w:vMerge w:val="restart"/>
          </w:tcPr>
          <w:p>
            <w:pPr>
              <w:jc w:val="center"/>
              <w:ind w:left="130"/>
              <w:spacing w:after="0"/>
              <w:rPr>
                <w:sz w:val="20"/>
                <w:szCs w:val="20"/>
                <w:color w:val="auto"/>
              </w:rPr>
            </w:pPr>
            <w:r>
              <w:rPr>
                <w:rFonts w:ascii="Arial" w:cs="Arial" w:eastAsia="Arial" w:hAnsi="Arial"/>
                <w:sz w:val="18"/>
                <w:szCs w:val="18"/>
                <w:b w:val="1"/>
                <w:bCs w:val="1"/>
                <w:color w:val="auto"/>
                <w:w w:val="99"/>
              </w:rPr>
              <w:t>Filed</w:t>
            </w:r>
          </w:p>
        </w:tc>
        <w:tc>
          <w:tcPr>
            <w:tcW w:w="3320" w:type="dxa"/>
            <w:vAlign w:val="bottom"/>
            <w:gridSpan w:val="3"/>
          </w:tcPr>
          <w:p>
            <w:pPr>
              <w:ind w:left="520"/>
              <w:spacing w:after="0"/>
              <w:rPr>
                <w:sz w:val="20"/>
                <w:szCs w:val="20"/>
                <w:color w:val="auto"/>
              </w:rPr>
            </w:pPr>
            <w:r>
              <w:rPr>
                <w:rFonts w:ascii="Arial" w:cs="Arial" w:eastAsia="Arial" w:hAnsi="Arial"/>
                <w:sz w:val="18"/>
                <w:szCs w:val="18"/>
                <w:b w:val="1"/>
                <w:bCs w:val="1"/>
                <w:color w:val="auto"/>
              </w:rPr>
              <w:t>Incorporated by Reference</w:t>
            </w:r>
          </w:p>
        </w:tc>
        <w:tc>
          <w:tcPr>
            <w:tcW w:w="0" w:type="dxa"/>
            <w:vAlign w:val="bottom"/>
          </w:tcPr>
          <w:p>
            <w:pPr>
              <w:spacing w:after="0"/>
              <w:rPr>
                <w:sz w:val="1"/>
                <w:szCs w:val="1"/>
                <w:color w:val="auto"/>
              </w:rPr>
            </w:pPr>
          </w:p>
        </w:tc>
      </w:tr>
      <w:tr>
        <w:trPr>
          <w:trHeight w:val="160"/>
        </w:trPr>
        <w:tc>
          <w:tcPr>
            <w:tcW w:w="1040" w:type="dxa"/>
            <w:vAlign w:val="bottom"/>
            <w:vMerge w:val="continue"/>
          </w:tcPr>
          <w:p>
            <w:pPr>
              <w:spacing w:after="0"/>
              <w:rPr>
                <w:sz w:val="13"/>
                <w:szCs w:val="13"/>
                <w:color w:val="auto"/>
              </w:rPr>
            </w:pPr>
          </w:p>
        </w:tc>
        <w:tc>
          <w:tcPr>
            <w:tcW w:w="5840" w:type="dxa"/>
            <w:vAlign w:val="bottom"/>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1100" w:type="dxa"/>
            <w:vAlign w:val="bottom"/>
            <w:tcBorders>
              <w:top w:val="single" w:sz="8" w:color="auto"/>
            </w:tcBorders>
          </w:tcPr>
          <w:p>
            <w:pPr>
              <w:jc w:val="center"/>
              <w:spacing w:after="0" w:line="160" w:lineRule="exact"/>
              <w:rPr>
                <w:sz w:val="20"/>
                <w:szCs w:val="20"/>
                <w:color w:val="auto"/>
              </w:rPr>
            </w:pPr>
            <w:r>
              <w:rPr>
                <w:rFonts w:ascii="Arial" w:cs="Arial" w:eastAsia="Arial" w:hAnsi="Arial"/>
                <w:sz w:val="18"/>
                <w:szCs w:val="18"/>
                <w:b w:val="1"/>
                <w:bCs w:val="1"/>
                <w:color w:val="auto"/>
                <w:w w:val="97"/>
              </w:rPr>
              <w:t>Form</w:t>
            </w:r>
          </w:p>
        </w:tc>
        <w:tc>
          <w:tcPr>
            <w:tcW w:w="960" w:type="dxa"/>
            <w:vAlign w:val="bottom"/>
            <w:tcBorders>
              <w:top w:val="single" w:sz="8" w:color="auto"/>
            </w:tcBorders>
          </w:tcPr>
          <w:p>
            <w:pPr>
              <w:ind w:left="160"/>
              <w:spacing w:after="0" w:line="160" w:lineRule="exact"/>
              <w:rPr>
                <w:sz w:val="20"/>
                <w:szCs w:val="20"/>
                <w:color w:val="auto"/>
              </w:rPr>
            </w:pPr>
            <w:r>
              <w:rPr>
                <w:rFonts w:ascii="Arial" w:cs="Arial" w:eastAsia="Arial" w:hAnsi="Arial"/>
                <w:sz w:val="18"/>
                <w:szCs w:val="18"/>
                <w:b w:val="1"/>
                <w:bCs w:val="1"/>
                <w:color w:val="auto"/>
              </w:rPr>
              <w:t>Period</w:t>
            </w:r>
          </w:p>
        </w:tc>
        <w:tc>
          <w:tcPr>
            <w:tcW w:w="1260" w:type="dxa"/>
            <w:vAlign w:val="bottom"/>
            <w:tcBorders>
              <w:top w:val="single" w:sz="8" w:color="auto"/>
            </w:tcBorders>
          </w:tcPr>
          <w:p>
            <w:pPr>
              <w:ind w:left="160"/>
              <w:spacing w:after="0" w:line="160" w:lineRule="exact"/>
              <w:rPr>
                <w:sz w:val="20"/>
                <w:szCs w:val="20"/>
                <w:color w:val="auto"/>
              </w:rPr>
            </w:pPr>
            <w:r>
              <w:rPr>
                <w:rFonts w:ascii="Arial" w:cs="Arial" w:eastAsia="Arial" w:hAnsi="Arial"/>
                <w:sz w:val="18"/>
                <w:szCs w:val="18"/>
                <w:b w:val="1"/>
                <w:bCs w:val="1"/>
                <w:color w:val="auto"/>
              </w:rPr>
              <w:t>Filing Date</w:t>
            </w:r>
          </w:p>
        </w:tc>
        <w:tc>
          <w:tcPr>
            <w:tcW w:w="0" w:type="dxa"/>
            <w:vAlign w:val="bottom"/>
          </w:tcPr>
          <w:p>
            <w:pPr>
              <w:spacing w:after="0"/>
              <w:rPr>
                <w:sz w:val="1"/>
                <w:szCs w:val="1"/>
                <w:color w:val="auto"/>
              </w:rPr>
            </w:pPr>
          </w:p>
        </w:tc>
      </w:tr>
      <w:tr>
        <w:trPr>
          <w:trHeight w:val="239"/>
        </w:trPr>
        <w:tc>
          <w:tcPr>
            <w:tcW w:w="10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Number</w:t>
            </w:r>
          </w:p>
        </w:tc>
        <w:tc>
          <w:tcPr>
            <w:tcW w:w="58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9"/>
              </w:rPr>
              <w:t>Herewith</w:t>
            </w:r>
          </w:p>
        </w:tc>
        <w:tc>
          <w:tcPr>
            <w:tcW w:w="1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Ending</w:t>
            </w: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6880" w:type="dxa"/>
            <w:vAlign w:val="bottom"/>
            <w:tcBorders>
              <w:left w:val="single" w:sz="8" w:color="auto"/>
            </w:tcBorders>
            <w:gridSpan w:val="2"/>
          </w:tcPr>
          <w:p>
            <w:pPr>
              <w:ind w:left="40"/>
              <w:spacing w:after="0" w:line="195" w:lineRule="exact"/>
              <w:rPr>
                <w:sz w:val="20"/>
                <w:szCs w:val="20"/>
                <w:color w:val="auto"/>
              </w:rPr>
            </w:pPr>
            <w:r>
              <w:rPr>
                <w:rFonts w:ascii="Arial" w:cs="Arial" w:eastAsia="Arial" w:hAnsi="Arial"/>
                <w:sz w:val="18"/>
                <w:szCs w:val="18"/>
                <w:b w:val="1"/>
                <w:bCs w:val="1"/>
                <w:color w:val="auto"/>
              </w:rPr>
              <w:t>Executive Compensation</w:t>
            </w:r>
          </w:p>
        </w:tc>
        <w:tc>
          <w:tcPr>
            <w:tcW w:w="1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40" w:type="dxa"/>
            <w:vAlign w:val="bottom"/>
            <w:tcBorders>
              <w:left w:val="single" w:sz="8" w:color="auto"/>
            </w:tcBorders>
          </w:tcPr>
          <w:p>
            <w:pPr>
              <w:ind w:left="40"/>
              <w:spacing w:after="0" w:line="202" w:lineRule="exact"/>
              <w:rPr>
                <w:sz w:val="20"/>
                <w:szCs w:val="20"/>
                <w:color w:val="auto"/>
              </w:rPr>
            </w:pPr>
            <w:r>
              <w:rPr>
                <w:rFonts w:ascii="Arial" w:cs="Arial" w:eastAsia="Arial" w:hAnsi="Arial"/>
                <w:sz w:val="18"/>
                <w:szCs w:val="18"/>
                <w:color w:val="auto"/>
              </w:rPr>
              <w:t>10(n)(i)</w:t>
            </w:r>
          </w:p>
        </w:tc>
        <w:tc>
          <w:tcPr>
            <w:tcW w:w="708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Supplemental Executive Retirement Plan, adopted as of January 1, 1994, as</w:t>
            </w:r>
          </w:p>
        </w:tc>
        <w:tc>
          <w:tcPr>
            <w:tcW w:w="1100" w:type="dxa"/>
            <w:vAlign w:val="bottom"/>
          </w:tcPr>
          <w:p>
            <w:pPr>
              <w:jc w:val="center"/>
              <w:spacing w:after="0" w:line="202" w:lineRule="exact"/>
              <w:rPr>
                <w:sz w:val="20"/>
                <w:szCs w:val="20"/>
                <w:color w:val="auto"/>
              </w:rPr>
            </w:pPr>
            <w:r>
              <w:rPr>
                <w:rFonts w:ascii="Arial" w:cs="Arial" w:eastAsia="Arial" w:hAnsi="Arial"/>
                <w:sz w:val="18"/>
                <w:szCs w:val="18"/>
                <w:color w:val="auto"/>
                <w:w w:val="99"/>
              </w:rPr>
              <w:t>8-K</w:t>
            </w:r>
          </w:p>
        </w:tc>
        <w:tc>
          <w:tcPr>
            <w:tcW w:w="960" w:type="dxa"/>
            <w:vAlign w:val="bottom"/>
          </w:tcPr>
          <w:p>
            <w:pPr>
              <w:spacing w:after="0"/>
              <w:rPr>
                <w:sz w:val="17"/>
                <w:szCs w:val="17"/>
                <w:color w:val="auto"/>
              </w:rPr>
            </w:pPr>
          </w:p>
        </w:tc>
        <w:tc>
          <w:tcPr>
            <w:tcW w:w="12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1/2/08</w:t>
            </w:r>
          </w:p>
        </w:tc>
        <w:tc>
          <w:tcPr>
            <w:tcW w:w="0" w:type="dxa"/>
            <w:vAlign w:val="bottom"/>
          </w:tcPr>
          <w:p>
            <w:pPr>
              <w:spacing w:after="0"/>
              <w:rPr>
                <w:sz w:val="1"/>
                <w:szCs w:val="1"/>
                <w:color w:val="auto"/>
              </w:rPr>
            </w:pPr>
          </w:p>
        </w:tc>
      </w:tr>
      <w:tr>
        <w:trPr>
          <w:trHeight w:val="203"/>
        </w:trPr>
        <w:tc>
          <w:tcPr>
            <w:tcW w:w="1040" w:type="dxa"/>
            <w:vAlign w:val="bottom"/>
            <w:tcBorders>
              <w:left w:val="single" w:sz="8" w:color="auto"/>
            </w:tcBorders>
          </w:tcPr>
          <w:p>
            <w:pPr>
              <w:spacing w:after="0"/>
              <w:rPr>
                <w:sz w:val="17"/>
                <w:szCs w:val="17"/>
                <w:color w:val="auto"/>
              </w:rPr>
            </w:pPr>
          </w:p>
        </w:tc>
        <w:tc>
          <w:tcPr>
            <w:tcW w:w="5840" w:type="dxa"/>
            <w:vAlign w:val="bottom"/>
          </w:tcPr>
          <w:p>
            <w:pPr>
              <w:ind w:left="260"/>
              <w:spacing w:after="0" w:line="202" w:lineRule="exact"/>
              <w:rPr>
                <w:sz w:val="20"/>
                <w:szCs w:val="20"/>
                <w:color w:val="auto"/>
              </w:rPr>
            </w:pPr>
            <w:r>
              <w:rPr>
                <w:rFonts w:ascii="Arial" w:cs="Arial" w:eastAsia="Arial" w:hAnsi="Arial"/>
                <w:sz w:val="18"/>
                <w:szCs w:val="18"/>
                <w:color w:val="auto"/>
              </w:rPr>
              <w:t>amended and restated as of January 1, 2008</w:t>
            </w:r>
          </w:p>
        </w:tc>
        <w:tc>
          <w:tcPr>
            <w:tcW w:w="1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40" w:type="dxa"/>
            <w:vAlign w:val="bottom"/>
            <w:tcBorders>
              <w:left w:val="single" w:sz="8" w:color="auto"/>
            </w:tcBorders>
          </w:tcPr>
          <w:p>
            <w:pPr>
              <w:ind w:left="40"/>
              <w:spacing w:after="0" w:line="202" w:lineRule="exact"/>
              <w:rPr>
                <w:sz w:val="20"/>
                <w:szCs w:val="20"/>
                <w:color w:val="auto"/>
              </w:rPr>
            </w:pPr>
            <w:r>
              <w:rPr>
                <w:rFonts w:ascii="Arial" w:cs="Arial" w:eastAsia="Arial" w:hAnsi="Arial"/>
                <w:sz w:val="18"/>
                <w:szCs w:val="18"/>
                <w:color w:val="auto"/>
              </w:rPr>
              <w:t>10(n)(ii)</w:t>
            </w:r>
          </w:p>
        </w:tc>
        <w:tc>
          <w:tcPr>
            <w:tcW w:w="5840" w:type="dxa"/>
            <w:vAlign w:val="bottom"/>
          </w:tcPr>
          <w:p>
            <w:pPr>
              <w:ind w:left="260"/>
              <w:spacing w:after="0" w:line="202" w:lineRule="exact"/>
              <w:rPr>
                <w:sz w:val="20"/>
                <w:szCs w:val="20"/>
                <w:color w:val="auto"/>
              </w:rPr>
            </w:pPr>
            <w:r>
              <w:rPr>
                <w:rFonts w:ascii="Arial" w:cs="Arial" w:eastAsia="Arial" w:hAnsi="Arial"/>
                <w:sz w:val="18"/>
                <w:szCs w:val="18"/>
                <w:color w:val="auto"/>
              </w:rPr>
              <w:t>Annual Bonus Program</w:t>
            </w:r>
          </w:p>
        </w:tc>
        <w:tc>
          <w:tcPr>
            <w:tcW w:w="1240" w:type="dxa"/>
            <w:vAlign w:val="bottom"/>
          </w:tcPr>
          <w:p>
            <w:pPr>
              <w:spacing w:after="0"/>
              <w:rPr>
                <w:sz w:val="17"/>
                <w:szCs w:val="17"/>
                <w:color w:val="auto"/>
              </w:rPr>
            </w:pPr>
          </w:p>
        </w:tc>
        <w:tc>
          <w:tcPr>
            <w:tcW w:w="1100" w:type="dxa"/>
            <w:vAlign w:val="bottom"/>
          </w:tcPr>
          <w:p>
            <w:pPr>
              <w:jc w:val="center"/>
              <w:spacing w:after="0" w:line="202" w:lineRule="exact"/>
              <w:rPr>
                <w:sz w:val="20"/>
                <w:szCs w:val="20"/>
                <w:color w:val="auto"/>
              </w:rPr>
            </w:pPr>
            <w:r>
              <w:rPr>
                <w:rFonts w:ascii="Arial" w:cs="Arial" w:eastAsia="Arial" w:hAnsi="Arial"/>
                <w:sz w:val="18"/>
                <w:szCs w:val="18"/>
                <w:color w:val="auto"/>
                <w:w w:val="98"/>
              </w:rPr>
              <w:t>S-1, No. 33-</w:t>
            </w:r>
          </w:p>
        </w:tc>
        <w:tc>
          <w:tcPr>
            <w:tcW w:w="960" w:type="dxa"/>
            <w:vAlign w:val="bottom"/>
          </w:tcPr>
          <w:p>
            <w:pPr>
              <w:spacing w:after="0"/>
              <w:rPr>
                <w:sz w:val="17"/>
                <w:szCs w:val="17"/>
                <w:color w:val="auto"/>
              </w:rPr>
            </w:pPr>
          </w:p>
        </w:tc>
        <w:tc>
          <w:tcPr>
            <w:tcW w:w="12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9/30/87</w:t>
            </w:r>
          </w:p>
        </w:tc>
        <w:tc>
          <w:tcPr>
            <w:tcW w:w="0" w:type="dxa"/>
            <w:vAlign w:val="bottom"/>
          </w:tcPr>
          <w:p>
            <w:pPr>
              <w:spacing w:after="0"/>
              <w:rPr>
                <w:sz w:val="1"/>
                <w:szCs w:val="1"/>
                <w:color w:val="auto"/>
              </w:rPr>
            </w:pPr>
          </w:p>
        </w:tc>
      </w:tr>
      <w:tr>
        <w:trPr>
          <w:trHeight w:val="203"/>
        </w:trPr>
        <w:tc>
          <w:tcPr>
            <w:tcW w:w="1040" w:type="dxa"/>
            <w:vAlign w:val="bottom"/>
            <w:tcBorders>
              <w:left w:val="single" w:sz="8" w:color="auto"/>
            </w:tcBorders>
          </w:tcPr>
          <w:p>
            <w:pPr>
              <w:spacing w:after="0"/>
              <w:rPr>
                <w:sz w:val="17"/>
                <w:szCs w:val="17"/>
                <w:color w:val="auto"/>
              </w:rPr>
            </w:pPr>
          </w:p>
        </w:tc>
        <w:tc>
          <w:tcPr>
            <w:tcW w:w="58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00" w:type="dxa"/>
            <w:vAlign w:val="bottom"/>
          </w:tcPr>
          <w:p>
            <w:pPr>
              <w:jc w:val="center"/>
              <w:spacing w:after="0" w:line="202" w:lineRule="exact"/>
              <w:rPr>
                <w:sz w:val="20"/>
                <w:szCs w:val="20"/>
                <w:color w:val="auto"/>
              </w:rPr>
            </w:pPr>
            <w:r>
              <w:rPr>
                <w:rFonts w:ascii="Arial" w:cs="Arial" w:eastAsia="Arial" w:hAnsi="Arial"/>
                <w:sz w:val="18"/>
                <w:szCs w:val="18"/>
                <w:color w:val="auto"/>
                <w:w w:val="99"/>
              </w:rPr>
              <w:t>16254</w:t>
            </w:r>
          </w:p>
        </w:tc>
        <w:tc>
          <w:tcPr>
            <w:tcW w:w="960" w:type="dxa"/>
            <w:vAlign w:val="bottom"/>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40" w:type="dxa"/>
            <w:vAlign w:val="bottom"/>
            <w:tcBorders>
              <w:left w:val="single" w:sz="8" w:color="auto"/>
            </w:tcBorders>
          </w:tcPr>
          <w:p>
            <w:pPr>
              <w:ind w:left="40"/>
              <w:spacing w:after="0" w:line="202" w:lineRule="exact"/>
              <w:rPr>
                <w:sz w:val="20"/>
                <w:szCs w:val="20"/>
                <w:color w:val="auto"/>
              </w:rPr>
            </w:pPr>
            <w:r>
              <w:rPr>
                <w:rFonts w:ascii="Arial" w:cs="Arial" w:eastAsia="Arial" w:hAnsi="Arial"/>
                <w:sz w:val="18"/>
                <w:szCs w:val="18"/>
                <w:color w:val="auto"/>
              </w:rPr>
              <w:t>10(n)(iii)</w:t>
            </w:r>
          </w:p>
        </w:tc>
        <w:tc>
          <w:tcPr>
            <w:tcW w:w="708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Form of Executive Deferred Compensation Plan adopted September 1, 1985, as</w:t>
            </w:r>
          </w:p>
        </w:tc>
        <w:tc>
          <w:tcPr>
            <w:tcW w:w="1100" w:type="dxa"/>
            <w:vAlign w:val="bottom"/>
          </w:tcPr>
          <w:p>
            <w:pPr>
              <w:jc w:val="center"/>
              <w:spacing w:after="0" w:line="202" w:lineRule="exact"/>
              <w:rPr>
                <w:sz w:val="20"/>
                <w:szCs w:val="20"/>
                <w:color w:val="auto"/>
              </w:rPr>
            </w:pPr>
            <w:r>
              <w:rPr>
                <w:rFonts w:ascii="Arial" w:cs="Arial" w:eastAsia="Arial" w:hAnsi="Arial"/>
                <w:sz w:val="18"/>
                <w:szCs w:val="18"/>
                <w:color w:val="auto"/>
                <w:w w:val="99"/>
              </w:rPr>
              <w:t>10-Q</w:t>
            </w:r>
          </w:p>
        </w:tc>
        <w:tc>
          <w:tcPr>
            <w:tcW w:w="960" w:type="dxa"/>
            <w:vAlign w:val="bottom"/>
          </w:tcPr>
          <w:p>
            <w:pPr>
              <w:jc w:val="center"/>
              <w:spacing w:after="0" w:line="202" w:lineRule="exact"/>
              <w:rPr>
                <w:sz w:val="20"/>
                <w:szCs w:val="20"/>
                <w:color w:val="auto"/>
              </w:rPr>
            </w:pPr>
            <w:r>
              <w:rPr>
                <w:rFonts w:ascii="Arial" w:cs="Arial" w:eastAsia="Arial" w:hAnsi="Arial"/>
                <w:sz w:val="18"/>
                <w:szCs w:val="18"/>
                <w:color w:val="auto"/>
                <w:w w:val="99"/>
              </w:rPr>
              <w:t>9/30/01</w:t>
            </w:r>
          </w:p>
        </w:tc>
        <w:tc>
          <w:tcPr>
            <w:tcW w:w="12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11/12/01</w:t>
            </w:r>
          </w:p>
        </w:tc>
        <w:tc>
          <w:tcPr>
            <w:tcW w:w="0" w:type="dxa"/>
            <w:vAlign w:val="bottom"/>
          </w:tcPr>
          <w:p>
            <w:pPr>
              <w:spacing w:after="0"/>
              <w:rPr>
                <w:sz w:val="1"/>
                <w:szCs w:val="1"/>
                <w:color w:val="auto"/>
              </w:rPr>
            </w:pPr>
          </w:p>
        </w:tc>
      </w:tr>
      <w:tr>
        <w:trPr>
          <w:trHeight w:val="203"/>
        </w:trPr>
        <w:tc>
          <w:tcPr>
            <w:tcW w:w="1040" w:type="dxa"/>
            <w:vAlign w:val="bottom"/>
            <w:tcBorders>
              <w:left w:val="single" w:sz="8" w:color="auto"/>
            </w:tcBorders>
          </w:tcPr>
          <w:p>
            <w:pPr>
              <w:spacing w:after="0"/>
              <w:rPr>
                <w:sz w:val="17"/>
                <w:szCs w:val="17"/>
                <w:color w:val="auto"/>
              </w:rPr>
            </w:pPr>
          </w:p>
        </w:tc>
        <w:tc>
          <w:tcPr>
            <w:tcW w:w="5840" w:type="dxa"/>
            <w:vAlign w:val="bottom"/>
          </w:tcPr>
          <w:p>
            <w:pPr>
              <w:ind w:left="260"/>
              <w:spacing w:after="0" w:line="202" w:lineRule="exact"/>
              <w:rPr>
                <w:sz w:val="20"/>
                <w:szCs w:val="20"/>
                <w:color w:val="auto"/>
              </w:rPr>
            </w:pPr>
            <w:r>
              <w:rPr>
                <w:rFonts w:ascii="Arial" w:cs="Arial" w:eastAsia="Arial" w:hAnsi="Arial"/>
                <w:sz w:val="18"/>
                <w:szCs w:val="18"/>
                <w:color w:val="auto"/>
              </w:rPr>
              <w:t>amended and restated as of August 8, 2001</w:t>
            </w:r>
          </w:p>
        </w:tc>
        <w:tc>
          <w:tcPr>
            <w:tcW w:w="1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40" w:type="dxa"/>
            <w:vAlign w:val="bottom"/>
            <w:tcBorders>
              <w:left w:val="single" w:sz="8" w:color="auto"/>
            </w:tcBorders>
          </w:tcPr>
          <w:p>
            <w:pPr>
              <w:ind w:left="40"/>
              <w:spacing w:after="0" w:line="202" w:lineRule="exact"/>
              <w:rPr>
                <w:sz w:val="20"/>
                <w:szCs w:val="20"/>
                <w:color w:val="auto"/>
              </w:rPr>
            </w:pPr>
            <w:r>
              <w:rPr>
                <w:rFonts w:ascii="Arial" w:cs="Arial" w:eastAsia="Arial" w:hAnsi="Arial"/>
                <w:sz w:val="18"/>
                <w:szCs w:val="18"/>
                <w:color w:val="auto"/>
              </w:rPr>
              <w:t>10(o)(i)</w:t>
            </w:r>
          </w:p>
        </w:tc>
        <w:tc>
          <w:tcPr>
            <w:tcW w:w="708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Form of Directors’ Deferred Compensation Plan adopted September 1, 1985, as</w:t>
            </w:r>
          </w:p>
        </w:tc>
        <w:tc>
          <w:tcPr>
            <w:tcW w:w="1100" w:type="dxa"/>
            <w:vAlign w:val="bottom"/>
          </w:tcPr>
          <w:p>
            <w:pPr>
              <w:jc w:val="center"/>
              <w:spacing w:after="0" w:line="202" w:lineRule="exact"/>
              <w:rPr>
                <w:sz w:val="20"/>
                <w:szCs w:val="20"/>
                <w:color w:val="auto"/>
              </w:rPr>
            </w:pPr>
            <w:r>
              <w:rPr>
                <w:rFonts w:ascii="Arial" w:cs="Arial" w:eastAsia="Arial" w:hAnsi="Arial"/>
                <w:sz w:val="18"/>
                <w:szCs w:val="18"/>
                <w:color w:val="auto"/>
                <w:w w:val="99"/>
              </w:rPr>
              <w:t>10-Q</w:t>
            </w:r>
          </w:p>
        </w:tc>
        <w:tc>
          <w:tcPr>
            <w:tcW w:w="960" w:type="dxa"/>
            <w:vAlign w:val="bottom"/>
          </w:tcPr>
          <w:p>
            <w:pPr>
              <w:jc w:val="center"/>
              <w:spacing w:after="0" w:line="202" w:lineRule="exact"/>
              <w:rPr>
                <w:sz w:val="20"/>
                <w:szCs w:val="20"/>
                <w:color w:val="auto"/>
              </w:rPr>
            </w:pPr>
            <w:r>
              <w:rPr>
                <w:rFonts w:ascii="Arial" w:cs="Arial" w:eastAsia="Arial" w:hAnsi="Arial"/>
                <w:sz w:val="18"/>
                <w:szCs w:val="18"/>
                <w:color w:val="auto"/>
                <w:w w:val="99"/>
              </w:rPr>
              <w:t>9/30/01</w:t>
            </w:r>
          </w:p>
        </w:tc>
        <w:tc>
          <w:tcPr>
            <w:tcW w:w="12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11/12/01</w:t>
            </w:r>
          </w:p>
        </w:tc>
        <w:tc>
          <w:tcPr>
            <w:tcW w:w="0" w:type="dxa"/>
            <w:vAlign w:val="bottom"/>
          </w:tcPr>
          <w:p>
            <w:pPr>
              <w:spacing w:after="0"/>
              <w:rPr>
                <w:sz w:val="1"/>
                <w:szCs w:val="1"/>
                <w:color w:val="auto"/>
              </w:rPr>
            </w:pPr>
          </w:p>
        </w:tc>
      </w:tr>
      <w:tr>
        <w:trPr>
          <w:trHeight w:val="203"/>
        </w:trPr>
        <w:tc>
          <w:tcPr>
            <w:tcW w:w="1040" w:type="dxa"/>
            <w:vAlign w:val="bottom"/>
            <w:tcBorders>
              <w:left w:val="single" w:sz="8" w:color="auto"/>
            </w:tcBorders>
          </w:tcPr>
          <w:p>
            <w:pPr>
              <w:spacing w:after="0"/>
              <w:rPr>
                <w:sz w:val="17"/>
                <w:szCs w:val="17"/>
                <w:color w:val="auto"/>
              </w:rPr>
            </w:pPr>
          </w:p>
        </w:tc>
        <w:tc>
          <w:tcPr>
            <w:tcW w:w="5840" w:type="dxa"/>
            <w:vAlign w:val="bottom"/>
          </w:tcPr>
          <w:p>
            <w:pPr>
              <w:ind w:left="260"/>
              <w:spacing w:after="0" w:line="202" w:lineRule="exact"/>
              <w:rPr>
                <w:sz w:val="20"/>
                <w:szCs w:val="20"/>
                <w:color w:val="auto"/>
              </w:rPr>
            </w:pPr>
            <w:r>
              <w:rPr>
                <w:rFonts w:ascii="Arial" w:cs="Arial" w:eastAsia="Arial" w:hAnsi="Arial"/>
                <w:sz w:val="18"/>
                <w:szCs w:val="18"/>
                <w:color w:val="auto"/>
              </w:rPr>
              <w:t>amended and restated as of August 8, 2001</w:t>
            </w:r>
          </w:p>
        </w:tc>
        <w:tc>
          <w:tcPr>
            <w:tcW w:w="1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40" w:type="dxa"/>
            <w:vAlign w:val="bottom"/>
            <w:tcBorders>
              <w:left w:val="single" w:sz="8" w:color="auto"/>
            </w:tcBorders>
          </w:tcPr>
          <w:p>
            <w:pPr>
              <w:ind w:left="40"/>
              <w:spacing w:after="0" w:line="202" w:lineRule="exact"/>
              <w:rPr>
                <w:sz w:val="20"/>
                <w:szCs w:val="20"/>
                <w:color w:val="auto"/>
              </w:rPr>
            </w:pPr>
            <w:r>
              <w:rPr>
                <w:rFonts w:ascii="Arial" w:cs="Arial" w:eastAsia="Arial" w:hAnsi="Arial"/>
                <w:sz w:val="18"/>
                <w:szCs w:val="18"/>
                <w:color w:val="auto"/>
              </w:rPr>
              <w:t>10(o)(ii)</w:t>
            </w:r>
          </w:p>
        </w:tc>
        <w:tc>
          <w:tcPr>
            <w:tcW w:w="708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Deferred Compensation Plan of Albany International Corp., as amended and restated</w:t>
            </w:r>
          </w:p>
        </w:tc>
        <w:tc>
          <w:tcPr>
            <w:tcW w:w="1100" w:type="dxa"/>
            <w:vAlign w:val="bottom"/>
          </w:tcPr>
          <w:p>
            <w:pPr>
              <w:jc w:val="center"/>
              <w:spacing w:after="0" w:line="202" w:lineRule="exact"/>
              <w:rPr>
                <w:sz w:val="20"/>
                <w:szCs w:val="20"/>
                <w:color w:val="auto"/>
              </w:rPr>
            </w:pPr>
            <w:r>
              <w:rPr>
                <w:rFonts w:ascii="Arial" w:cs="Arial" w:eastAsia="Arial" w:hAnsi="Arial"/>
                <w:sz w:val="18"/>
                <w:szCs w:val="18"/>
                <w:color w:val="auto"/>
                <w:w w:val="99"/>
              </w:rPr>
              <w:t>10-K</w:t>
            </w:r>
          </w:p>
        </w:tc>
        <w:tc>
          <w:tcPr>
            <w:tcW w:w="960" w:type="dxa"/>
            <w:vAlign w:val="bottom"/>
          </w:tcPr>
          <w:p>
            <w:pPr>
              <w:jc w:val="center"/>
              <w:spacing w:after="0" w:line="202" w:lineRule="exact"/>
              <w:rPr>
                <w:sz w:val="20"/>
                <w:szCs w:val="20"/>
                <w:color w:val="auto"/>
              </w:rPr>
            </w:pPr>
            <w:r>
              <w:rPr>
                <w:rFonts w:ascii="Arial" w:cs="Arial" w:eastAsia="Arial" w:hAnsi="Arial"/>
                <w:sz w:val="18"/>
                <w:szCs w:val="18"/>
                <w:color w:val="auto"/>
                <w:w w:val="99"/>
              </w:rPr>
              <w:t>12/31/02</w:t>
            </w:r>
          </w:p>
        </w:tc>
        <w:tc>
          <w:tcPr>
            <w:tcW w:w="12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3/21/03</w:t>
            </w:r>
          </w:p>
        </w:tc>
        <w:tc>
          <w:tcPr>
            <w:tcW w:w="0" w:type="dxa"/>
            <w:vAlign w:val="bottom"/>
          </w:tcPr>
          <w:p>
            <w:pPr>
              <w:spacing w:after="0"/>
              <w:rPr>
                <w:sz w:val="1"/>
                <w:szCs w:val="1"/>
                <w:color w:val="auto"/>
              </w:rPr>
            </w:pPr>
          </w:p>
        </w:tc>
      </w:tr>
      <w:tr>
        <w:trPr>
          <w:trHeight w:val="203"/>
        </w:trPr>
        <w:tc>
          <w:tcPr>
            <w:tcW w:w="1040" w:type="dxa"/>
            <w:vAlign w:val="bottom"/>
            <w:tcBorders>
              <w:left w:val="single" w:sz="8" w:color="auto"/>
            </w:tcBorders>
          </w:tcPr>
          <w:p>
            <w:pPr>
              <w:spacing w:after="0"/>
              <w:rPr>
                <w:sz w:val="17"/>
                <w:szCs w:val="17"/>
                <w:color w:val="auto"/>
              </w:rPr>
            </w:pPr>
          </w:p>
        </w:tc>
        <w:tc>
          <w:tcPr>
            <w:tcW w:w="5840" w:type="dxa"/>
            <w:vAlign w:val="bottom"/>
          </w:tcPr>
          <w:p>
            <w:pPr>
              <w:ind w:left="260"/>
              <w:spacing w:after="0" w:line="202" w:lineRule="exact"/>
              <w:rPr>
                <w:sz w:val="20"/>
                <w:szCs w:val="20"/>
                <w:color w:val="auto"/>
              </w:rPr>
            </w:pPr>
            <w:r>
              <w:rPr>
                <w:rFonts w:ascii="Arial" w:cs="Arial" w:eastAsia="Arial" w:hAnsi="Arial"/>
                <w:sz w:val="18"/>
                <w:szCs w:val="18"/>
                <w:color w:val="auto"/>
              </w:rPr>
              <w:t>as of August 8, 2001</w:t>
            </w:r>
          </w:p>
        </w:tc>
        <w:tc>
          <w:tcPr>
            <w:tcW w:w="1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40" w:type="dxa"/>
            <w:vAlign w:val="bottom"/>
            <w:tcBorders>
              <w:left w:val="single" w:sz="8" w:color="auto"/>
            </w:tcBorders>
          </w:tcPr>
          <w:p>
            <w:pPr>
              <w:ind w:left="40"/>
              <w:spacing w:after="0" w:line="202" w:lineRule="exact"/>
              <w:rPr>
                <w:sz w:val="20"/>
                <w:szCs w:val="20"/>
                <w:color w:val="auto"/>
              </w:rPr>
            </w:pPr>
            <w:r>
              <w:rPr>
                <w:rFonts w:ascii="Arial" w:cs="Arial" w:eastAsia="Arial" w:hAnsi="Arial"/>
                <w:sz w:val="18"/>
                <w:szCs w:val="18"/>
                <w:color w:val="auto"/>
              </w:rPr>
              <w:t>10(o)(iii)</w:t>
            </w:r>
          </w:p>
        </w:tc>
        <w:tc>
          <w:tcPr>
            <w:tcW w:w="708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Centennial Deferred Compensation Plan, as amended and restated as of August 8,</w:t>
            </w:r>
          </w:p>
        </w:tc>
        <w:tc>
          <w:tcPr>
            <w:tcW w:w="1100" w:type="dxa"/>
            <w:vAlign w:val="bottom"/>
          </w:tcPr>
          <w:p>
            <w:pPr>
              <w:jc w:val="center"/>
              <w:spacing w:after="0" w:line="202" w:lineRule="exact"/>
              <w:rPr>
                <w:sz w:val="20"/>
                <w:szCs w:val="20"/>
                <w:color w:val="auto"/>
              </w:rPr>
            </w:pPr>
            <w:r>
              <w:rPr>
                <w:rFonts w:ascii="Arial" w:cs="Arial" w:eastAsia="Arial" w:hAnsi="Arial"/>
                <w:sz w:val="18"/>
                <w:szCs w:val="18"/>
                <w:color w:val="auto"/>
                <w:w w:val="99"/>
              </w:rPr>
              <w:t>10-Q</w:t>
            </w:r>
          </w:p>
        </w:tc>
        <w:tc>
          <w:tcPr>
            <w:tcW w:w="960" w:type="dxa"/>
            <w:vAlign w:val="bottom"/>
          </w:tcPr>
          <w:p>
            <w:pPr>
              <w:jc w:val="center"/>
              <w:spacing w:after="0" w:line="202" w:lineRule="exact"/>
              <w:rPr>
                <w:sz w:val="20"/>
                <w:szCs w:val="20"/>
                <w:color w:val="auto"/>
              </w:rPr>
            </w:pPr>
            <w:r>
              <w:rPr>
                <w:rFonts w:ascii="Arial" w:cs="Arial" w:eastAsia="Arial" w:hAnsi="Arial"/>
                <w:sz w:val="18"/>
                <w:szCs w:val="18"/>
                <w:color w:val="auto"/>
                <w:w w:val="99"/>
              </w:rPr>
              <w:t>9/30/01</w:t>
            </w:r>
          </w:p>
        </w:tc>
        <w:tc>
          <w:tcPr>
            <w:tcW w:w="12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11/12/01</w:t>
            </w:r>
          </w:p>
        </w:tc>
        <w:tc>
          <w:tcPr>
            <w:tcW w:w="0" w:type="dxa"/>
            <w:vAlign w:val="bottom"/>
          </w:tcPr>
          <w:p>
            <w:pPr>
              <w:spacing w:after="0"/>
              <w:rPr>
                <w:sz w:val="1"/>
                <w:szCs w:val="1"/>
                <w:color w:val="auto"/>
              </w:rPr>
            </w:pPr>
          </w:p>
        </w:tc>
      </w:tr>
      <w:tr>
        <w:trPr>
          <w:trHeight w:val="203"/>
        </w:trPr>
        <w:tc>
          <w:tcPr>
            <w:tcW w:w="1040" w:type="dxa"/>
            <w:vAlign w:val="bottom"/>
            <w:tcBorders>
              <w:left w:val="single" w:sz="8" w:color="auto"/>
            </w:tcBorders>
          </w:tcPr>
          <w:p>
            <w:pPr>
              <w:spacing w:after="0"/>
              <w:rPr>
                <w:sz w:val="17"/>
                <w:szCs w:val="17"/>
                <w:color w:val="auto"/>
              </w:rPr>
            </w:pPr>
          </w:p>
        </w:tc>
        <w:tc>
          <w:tcPr>
            <w:tcW w:w="5840" w:type="dxa"/>
            <w:vAlign w:val="bottom"/>
          </w:tcPr>
          <w:p>
            <w:pPr>
              <w:ind w:left="260"/>
              <w:spacing w:after="0" w:line="202" w:lineRule="exact"/>
              <w:rPr>
                <w:sz w:val="20"/>
                <w:szCs w:val="20"/>
                <w:color w:val="auto"/>
              </w:rPr>
            </w:pPr>
            <w:r>
              <w:rPr>
                <w:rFonts w:ascii="Arial" w:cs="Arial" w:eastAsia="Arial" w:hAnsi="Arial"/>
                <w:sz w:val="18"/>
                <w:szCs w:val="18"/>
                <w:color w:val="auto"/>
              </w:rPr>
              <w:t>2001</w:t>
            </w:r>
          </w:p>
        </w:tc>
        <w:tc>
          <w:tcPr>
            <w:tcW w:w="1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40" w:type="dxa"/>
            <w:vAlign w:val="bottom"/>
            <w:tcBorders>
              <w:left w:val="single" w:sz="8" w:color="auto"/>
            </w:tcBorders>
          </w:tcPr>
          <w:p>
            <w:pPr>
              <w:ind w:left="40"/>
              <w:spacing w:after="0" w:line="202" w:lineRule="exact"/>
              <w:rPr>
                <w:sz w:val="20"/>
                <w:szCs w:val="20"/>
                <w:color w:val="auto"/>
              </w:rPr>
            </w:pPr>
            <w:r>
              <w:rPr>
                <w:rFonts w:ascii="Arial" w:cs="Arial" w:eastAsia="Arial" w:hAnsi="Arial"/>
                <w:sz w:val="18"/>
                <w:szCs w:val="18"/>
                <w:color w:val="auto"/>
              </w:rPr>
              <w:t>10(o)(iv)</w:t>
            </w:r>
          </w:p>
        </w:tc>
        <w:tc>
          <w:tcPr>
            <w:tcW w:w="708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Directors’ Annual Retainer Plan, as amended and restated as of December 8, 2009</w:t>
            </w:r>
          </w:p>
        </w:tc>
        <w:tc>
          <w:tcPr>
            <w:tcW w:w="1100" w:type="dxa"/>
            <w:vAlign w:val="bottom"/>
          </w:tcPr>
          <w:p>
            <w:pPr>
              <w:jc w:val="center"/>
              <w:spacing w:after="0" w:line="202" w:lineRule="exact"/>
              <w:rPr>
                <w:sz w:val="20"/>
                <w:szCs w:val="20"/>
                <w:color w:val="auto"/>
              </w:rPr>
            </w:pPr>
            <w:r>
              <w:rPr>
                <w:rFonts w:ascii="Arial" w:cs="Arial" w:eastAsia="Arial" w:hAnsi="Arial"/>
                <w:sz w:val="18"/>
                <w:szCs w:val="18"/>
                <w:color w:val="auto"/>
                <w:w w:val="99"/>
              </w:rPr>
              <w:t>8-K</w:t>
            </w:r>
          </w:p>
        </w:tc>
        <w:tc>
          <w:tcPr>
            <w:tcW w:w="960" w:type="dxa"/>
            <w:vAlign w:val="bottom"/>
          </w:tcPr>
          <w:p>
            <w:pPr>
              <w:spacing w:after="0"/>
              <w:rPr>
                <w:sz w:val="17"/>
                <w:szCs w:val="17"/>
                <w:color w:val="auto"/>
              </w:rPr>
            </w:pPr>
          </w:p>
        </w:tc>
        <w:tc>
          <w:tcPr>
            <w:tcW w:w="12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12/23/09</w:t>
            </w:r>
          </w:p>
        </w:tc>
        <w:tc>
          <w:tcPr>
            <w:tcW w:w="0" w:type="dxa"/>
            <w:vAlign w:val="bottom"/>
          </w:tcPr>
          <w:p>
            <w:pPr>
              <w:spacing w:after="0"/>
              <w:rPr>
                <w:sz w:val="1"/>
                <w:szCs w:val="1"/>
                <w:color w:val="auto"/>
              </w:rPr>
            </w:pPr>
          </w:p>
        </w:tc>
      </w:tr>
      <w:tr>
        <w:trPr>
          <w:trHeight w:val="203"/>
        </w:trPr>
        <w:tc>
          <w:tcPr>
            <w:tcW w:w="1040" w:type="dxa"/>
            <w:vAlign w:val="bottom"/>
            <w:tcBorders>
              <w:left w:val="single" w:sz="8" w:color="auto"/>
            </w:tcBorders>
          </w:tcPr>
          <w:p>
            <w:pPr>
              <w:ind w:left="40"/>
              <w:spacing w:after="0" w:line="202" w:lineRule="exact"/>
              <w:rPr>
                <w:sz w:val="20"/>
                <w:szCs w:val="20"/>
                <w:color w:val="auto"/>
              </w:rPr>
            </w:pPr>
            <w:r>
              <w:rPr>
                <w:rFonts w:ascii="Arial" w:cs="Arial" w:eastAsia="Arial" w:hAnsi="Arial"/>
                <w:sz w:val="18"/>
                <w:szCs w:val="18"/>
                <w:color w:val="auto"/>
              </w:rPr>
              <w:t>10(o)(viii)</w:t>
            </w:r>
          </w:p>
        </w:tc>
        <w:tc>
          <w:tcPr>
            <w:tcW w:w="708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Form of Severance Agreement between Albany International Corp. and certain</w:t>
            </w:r>
          </w:p>
        </w:tc>
        <w:tc>
          <w:tcPr>
            <w:tcW w:w="1100" w:type="dxa"/>
            <w:vAlign w:val="bottom"/>
          </w:tcPr>
          <w:p>
            <w:pPr>
              <w:jc w:val="center"/>
              <w:spacing w:after="0" w:line="202" w:lineRule="exact"/>
              <w:rPr>
                <w:sz w:val="20"/>
                <w:szCs w:val="20"/>
                <w:color w:val="auto"/>
              </w:rPr>
            </w:pPr>
            <w:r>
              <w:rPr>
                <w:rFonts w:ascii="Arial" w:cs="Arial" w:eastAsia="Arial" w:hAnsi="Arial"/>
                <w:sz w:val="18"/>
                <w:szCs w:val="18"/>
                <w:color w:val="auto"/>
                <w:w w:val="99"/>
              </w:rPr>
              <w:t>8-K</w:t>
            </w:r>
          </w:p>
        </w:tc>
        <w:tc>
          <w:tcPr>
            <w:tcW w:w="960" w:type="dxa"/>
            <w:vAlign w:val="bottom"/>
          </w:tcPr>
          <w:p>
            <w:pPr>
              <w:spacing w:after="0"/>
              <w:rPr>
                <w:sz w:val="17"/>
                <w:szCs w:val="17"/>
                <w:color w:val="auto"/>
              </w:rPr>
            </w:pPr>
          </w:p>
        </w:tc>
        <w:tc>
          <w:tcPr>
            <w:tcW w:w="12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1/4/16</w:t>
            </w:r>
          </w:p>
        </w:tc>
        <w:tc>
          <w:tcPr>
            <w:tcW w:w="0" w:type="dxa"/>
            <w:vAlign w:val="bottom"/>
          </w:tcPr>
          <w:p>
            <w:pPr>
              <w:spacing w:after="0"/>
              <w:rPr>
                <w:sz w:val="1"/>
                <w:szCs w:val="1"/>
                <w:color w:val="auto"/>
              </w:rPr>
            </w:pPr>
          </w:p>
        </w:tc>
      </w:tr>
      <w:tr>
        <w:trPr>
          <w:trHeight w:val="203"/>
        </w:trPr>
        <w:tc>
          <w:tcPr>
            <w:tcW w:w="1040" w:type="dxa"/>
            <w:vAlign w:val="bottom"/>
            <w:tcBorders>
              <w:left w:val="single" w:sz="8" w:color="auto"/>
            </w:tcBorders>
          </w:tcPr>
          <w:p>
            <w:pPr>
              <w:spacing w:after="0"/>
              <w:rPr>
                <w:sz w:val="17"/>
                <w:szCs w:val="17"/>
                <w:color w:val="auto"/>
              </w:rPr>
            </w:pPr>
          </w:p>
        </w:tc>
        <w:tc>
          <w:tcPr>
            <w:tcW w:w="5840" w:type="dxa"/>
            <w:vAlign w:val="bottom"/>
          </w:tcPr>
          <w:p>
            <w:pPr>
              <w:ind w:left="260"/>
              <w:spacing w:after="0" w:line="202" w:lineRule="exact"/>
              <w:rPr>
                <w:sz w:val="20"/>
                <w:szCs w:val="20"/>
                <w:color w:val="auto"/>
              </w:rPr>
            </w:pPr>
            <w:r>
              <w:rPr>
                <w:rFonts w:ascii="Arial" w:cs="Arial" w:eastAsia="Arial" w:hAnsi="Arial"/>
                <w:sz w:val="18"/>
                <w:szCs w:val="18"/>
                <w:color w:val="auto"/>
              </w:rPr>
              <w:t>corporate officers or key executives</w:t>
            </w:r>
          </w:p>
        </w:tc>
        <w:tc>
          <w:tcPr>
            <w:tcW w:w="1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40" w:type="dxa"/>
            <w:vAlign w:val="bottom"/>
            <w:tcBorders>
              <w:left w:val="single" w:sz="8" w:color="auto"/>
            </w:tcBorders>
          </w:tcPr>
          <w:p>
            <w:pPr>
              <w:ind w:left="40"/>
              <w:spacing w:after="0" w:line="202" w:lineRule="exact"/>
              <w:rPr>
                <w:sz w:val="20"/>
                <w:szCs w:val="20"/>
                <w:color w:val="auto"/>
              </w:rPr>
            </w:pPr>
            <w:r>
              <w:rPr>
                <w:rFonts w:ascii="Arial" w:cs="Arial" w:eastAsia="Arial" w:hAnsi="Arial"/>
                <w:sz w:val="18"/>
                <w:szCs w:val="18"/>
                <w:color w:val="auto"/>
              </w:rPr>
              <w:t>10(p)</w:t>
            </w:r>
          </w:p>
        </w:tc>
        <w:tc>
          <w:tcPr>
            <w:tcW w:w="5840" w:type="dxa"/>
            <w:vAlign w:val="bottom"/>
          </w:tcPr>
          <w:p>
            <w:pPr>
              <w:ind w:left="260"/>
              <w:spacing w:after="0" w:line="202" w:lineRule="exact"/>
              <w:rPr>
                <w:sz w:val="20"/>
                <w:szCs w:val="20"/>
                <w:color w:val="auto"/>
              </w:rPr>
            </w:pPr>
            <w:r>
              <w:rPr>
                <w:rFonts w:ascii="Arial" w:cs="Arial" w:eastAsia="Arial" w:hAnsi="Arial"/>
                <w:sz w:val="18"/>
                <w:szCs w:val="18"/>
                <w:color w:val="auto"/>
              </w:rPr>
              <w:t>Code of Ethics</w:t>
            </w:r>
          </w:p>
        </w:tc>
        <w:tc>
          <w:tcPr>
            <w:tcW w:w="1240" w:type="dxa"/>
            <w:vAlign w:val="bottom"/>
          </w:tcPr>
          <w:p>
            <w:pPr>
              <w:spacing w:after="0"/>
              <w:rPr>
                <w:sz w:val="17"/>
                <w:szCs w:val="17"/>
                <w:color w:val="auto"/>
              </w:rPr>
            </w:pPr>
          </w:p>
        </w:tc>
        <w:tc>
          <w:tcPr>
            <w:tcW w:w="1100" w:type="dxa"/>
            <w:vAlign w:val="bottom"/>
          </w:tcPr>
          <w:p>
            <w:pPr>
              <w:jc w:val="center"/>
              <w:spacing w:after="0" w:line="202" w:lineRule="exact"/>
              <w:rPr>
                <w:sz w:val="20"/>
                <w:szCs w:val="20"/>
                <w:color w:val="auto"/>
              </w:rPr>
            </w:pPr>
            <w:r>
              <w:rPr>
                <w:rFonts w:ascii="Arial" w:cs="Arial" w:eastAsia="Arial" w:hAnsi="Arial"/>
                <w:sz w:val="18"/>
                <w:szCs w:val="18"/>
                <w:color w:val="auto"/>
                <w:w w:val="99"/>
              </w:rPr>
              <w:t>8-K</w:t>
            </w:r>
          </w:p>
        </w:tc>
        <w:tc>
          <w:tcPr>
            <w:tcW w:w="960" w:type="dxa"/>
            <w:vAlign w:val="bottom"/>
          </w:tcPr>
          <w:p>
            <w:pPr>
              <w:spacing w:after="0"/>
              <w:rPr>
                <w:sz w:val="17"/>
                <w:szCs w:val="17"/>
                <w:color w:val="auto"/>
              </w:rPr>
            </w:pPr>
          </w:p>
        </w:tc>
        <w:tc>
          <w:tcPr>
            <w:tcW w:w="12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1/2/08</w:t>
            </w:r>
          </w:p>
        </w:tc>
        <w:tc>
          <w:tcPr>
            <w:tcW w:w="0" w:type="dxa"/>
            <w:vAlign w:val="bottom"/>
          </w:tcPr>
          <w:p>
            <w:pPr>
              <w:spacing w:after="0"/>
              <w:rPr>
                <w:sz w:val="1"/>
                <w:szCs w:val="1"/>
                <w:color w:val="auto"/>
              </w:rPr>
            </w:pPr>
          </w:p>
        </w:tc>
      </w:tr>
      <w:tr>
        <w:trPr>
          <w:trHeight w:val="203"/>
        </w:trPr>
        <w:tc>
          <w:tcPr>
            <w:tcW w:w="1040" w:type="dxa"/>
            <w:vAlign w:val="bottom"/>
            <w:tcBorders>
              <w:left w:val="single" w:sz="8" w:color="auto"/>
            </w:tcBorders>
          </w:tcPr>
          <w:p>
            <w:pPr>
              <w:ind w:left="40"/>
              <w:spacing w:after="0" w:line="202" w:lineRule="exact"/>
              <w:rPr>
                <w:sz w:val="20"/>
                <w:szCs w:val="20"/>
                <w:color w:val="auto"/>
              </w:rPr>
            </w:pPr>
            <w:r>
              <w:rPr>
                <w:rFonts w:ascii="Arial" w:cs="Arial" w:eastAsia="Arial" w:hAnsi="Arial"/>
                <w:sz w:val="18"/>
                <w:szCs w:val="18"/>
                <w:color w:val="auto"/>
              </w:rPr>
              <w:t>10(q)</w:t>
            </w:r>
          </w:p>
        </w:tc>
        <w:tc>
          <w:tcPr>
            <w:tcW w:w="5840" w:type="dxa"/>
            <w:vAlign w:val="bottom"/>
          </w:tcPr>
          <w:p>
            <w:pPr>
              <w:ind w:left="260"/>
              <w:spacing w:after="0" w:line="202" w:lineRule="exact"/>
              <w:rPr>
                <w:sz w:val="20"/>
                <w:szCs w:val="20"/>
                <w:color w:val="auto"/>
              </w:rPr>
            </w:pPr>
            <w:r>
              <w:rPr>
                <w:rFonts w:ascii="Arial" w:cs="Arial" w:eastAsia="Arial" w:hAnsi="Arial"/>
                <w:sz w:val="18"/>
                <w:szCs w:val="18"/>
                <w:color w:val="auto"/>
              </w:rPr>
              <w:t>Directors Pension Plan, amendment dated as of January 12, 2005</w:t>
            </w:r>
          </w:p>
        </w:tc>
        <w:tc>
          <w:tcPr>
            <w:tcW w:w="1240" w:type="dxa"/>
            <w:vAlign w:val="bottom"/>
          </w:tcPr>
          <w:p>
            <w:pPr>
              <w:spacing w:after="0"/>
              <w:rPr>
                <w:sz w:val="17"/>
                <w:szCs w:val="17"/>
                <w:color w:val="auto"/>
              </w:rPr>
            </w:pPr>
          </w:p>
        </w:tc>
        <w:tc>
          <w:tcPr>
            <w:tcW w:w="1100" w:type="dxa"/>
            <w:vAlign w:val="bottom"/>
          </w:tcPr>
          <w:p>
            <w:pPr>
              <w:jc w:val="center"/>
              <w:spacing w:after="0" w:line="202" w:lineRule="exact"/>
              <w:rPr>
                <w:sz w:val="20"/>
                <w:szCs w:val="20"/>
                <w:color w:val="auto"/>
              </w:rPr>
            </w:pPr>
            <w:r>
              <w:rPr>
                <w:rFonts w:ascii="Arial" w:cs="Arial" w:eastAsia="Arial" w:hAnsi="Arial"/>
                <w:sz w:val="18"/>
                <w:szCs w:val="18"/>
                <w:color w:val="auto"/>
                <w:w w:val="99"/>
              </w:rPr>
              <w:t>8-K</w:t>
            </w:r>
          </w:p>
        </w:tc>
        <w:tc>
          <w:tcPr>
            <w:tcW w:w="960" w:type="dxa"/>
            <w:vAlign w:val="bottom"/>
          </w:tcPr>
          <w:p>
            <w:pPr>
              <w:spacing w:after="0"/>
              <w:rPr>
                <w:sz w:val="17"/>
                <w:szCs w:val="17"/>
                <w:color w:val="auto"/>
              </w:rPr>
            </w:pPr>
          </w:p>
        </w:tc>
        <w:tc>
          <w:tcPr>
            <w:tcW w:w="12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1/13/05</w:t>
            </w:r>
          </w:p>
        </w:tc>
        <w:tc>
          <w:tcPr>
            <w:tcW w:w="0" w:type="dxa"/>
            <w:vAlign w:val="bottom"/>
          </w:tcPr>
          <w:p>
            <w:pPr>
              <w:spacing w:after="0"/>
              <w:rPr>
                <w:sz w:val="1"/>
                <w:szCs w:val="1"/>
                <w:color w:val="auto"/>
              </w:rPr>
            </w:pPr>
          </w:p>
        </w:tc>
      </w:tr>
      <w:tr>
        <w:trPr>
          <w:trHeight w:val="203"/>
        </w:trPr>
        <w:tc>
          <w:tcPr>
            <w:tcW w:w="1040" w:type="dxa"/>
            <w:vAlign w:val="bottom"/>
            <w:tcBorders>
              <w:left w:val="single" w:sz="8" w:color="auto"/>
            </w:tcBorders>
          </w:tcPr>
          <w:p>
            <w:pPr>
              <w:ind w:left="40"/>
              <w:spacing w:after="0" w:line="202" w:lineRule="exact"/>
              <w:rPr>
                <w:sz w:val="20"/>
                <w:szCs w:val="20"/>
                <w:color w:val="auto"/>
              </w:rPr>
            </w:pPr>
            <w:r>
              <w:rPr>
                <w:rFonts w:ascii="Arial" w:cs="Arial" w:eastAsia="Arial" w:hAnsi="Arial"/>
                <w:sz w:val="18"/>
                <w:szCs w:val="18"/>
                <w:color w:val="auto"/>
              </w:rPr>
              <w:t>10(r)</w:t>
            </w:r>
          </w:p>
        </w:tc>
        <w:tc>
          <w:tcPr>
            <w:tcW w:w="708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Employment agreement, dated May 12, 2005, between the Company and Joseph G.</w:t>
            </w:r>
          </w:p>
        </w:tc>
        <w:tc>
          <w:tcPr>
            <w:tcW w:w="1100" w:type="dxa"/>
            <w:vAlign w:val="bottom"/>
          </w:tcPr>
          <w:p>
            <w:pPr>
              <w:jc w:val="center"/>
              <w:spacing w:after="0" w:line="202" w:lineRule="exact"/>
              <w:rPr>
                <w:sz w:val="20"/>
                <w:szCs w:val="20"/>
                <w:color w:val="auto"/>
              </w:rPr>
            </w:pPr>
            <w:r>
              <w:rPr>
                <w:rFonts w:ascii="Arial" w:cs="Arial" w:eastAsia="Arial" w:hAnsi="Arial"/>
                <w:sz w:val="18"/>
                <w:szCs w:val="18"/>
                <w:color w:val="auto"/>
                <w:w w:val="99"/>
              </w:rPr>
              <w:t>8-K</w:t>
            </w:r>
          </w:p>
        </w:tc>
        <w:tc>
          <w:tcPr>
            <w:tcW w:w="960" w:type="dxa"/>
            <w:vAlign w:val="bottom"/>
          </w:tcPr>
          <w:p>
            <w:pPr>
              <w:spacing w:after="0"/>
              <w:rPr>
                <w:sz w:val="17"/>
                <w:szCs w:val="17"/>
                <w:color w:val="auto"/>
              </w:rPr>
            </w:pPr>
          </w:p>
        </w:tc>
        <w:tc>
          <w:tcPr>
            <w:tcW w:w="12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5/18/05</w:t>
            </w:r>
          </w:p>
        </w:tc>
        <w:tc>
          <w:tcPr>
            <w:tcW w:w="0" w:type="dxa"/>
            <w:vAlign w:val="bottom"/>
          </w:tcPr>
          <w:p>
            <w:pPr>
              <w:spacing w:after="0"/>
              <w:rPr>
                <w:sz w:val="1"/>
                <w:szCs w:val="1"/>
                <w:color w:val="auto"/>
              </w:rPr>
            </w:pPr>
          </w:p>
        </w:tc>
      </w:tr>
      <w:tr>
        <w:trPr>
          <w:trHeight w:val="203"/>
        </w:trPr>
        <w:tc>
          <w:tcPr>
            <w:tcW w:w="1040" w:type="dxa"/>
            <w:vAlign w:val="bottom"/>
            <w:tcBorders>
              <w:left w:val="single" w:sz="8" w:color="auto"/>
            </w:tcBorders>
          </w:tcPr>
          <w:p>
            <w:pPr>
              <w:spacing w:after="0"/>
              <w:rPr>
                <w:sz w:val="17"/>
                <w:szCs w:val="17"/>
                <w:color w:val="auto"/>
              </w:rPr>
            </w:pPr>
          </w:p>
        </w:tc>
        <w:tc>
          <w:tcPr>
            <w:tcW w:w="5840" w:type="dxa"/>
            <w:vAlign w:val="bottom"/>
          </w:tcPr>
          <w:p>
            <w:pPr>
              <w:ind w:left="260"/>
              <w:spacing w:after="0" w:line="202" w:lineRule="exact"/>
              <w:rPr>
                <w:sz w:val="20"/>
                <w:szCs w:val="20"/>
                <w:color w:val="auto"/>
              </w:rPr>
            </w:pPr>
            <w:r>
              <w:rPr>
                <w:rFonts w:ascii="Arial" w:cs="Arial" w:eastAsia="Arial" w:hAnsi="Arial"/>
                <w:sz w:val="18"/>
                <w:szCs w:val="18"/>
                <w:color w:val="auto"/>
              </w:rPr>
              <w:t>Morone</w:t>
            </w:r>
          </w:p>
        </w:tc>
        <w:tc>
          <w:tcPr>
            <w:tcW w:w="1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40" w:type="dxa"/>
            <w:vAlign w:val="bottom"/>
            <w:tcBorders>
              <w:left w:val="single" w:sz="8" w:color="auto"/>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10(s)</w:t>
            </w:r>
          </w:p>
        </w:tc>
        <w:tc>
          <w:tcPr>
            <w:tcW w:w="5840" w:type="dxa"/>
            <w:vAlign w:val="bottom"/>
            <w:tcBorders>
              <w:bottom w:val="single" w:sz="8" w:color="auto"/>
            </w:tcBorders>
          </w:tcPr>
          <w:p>
            <w:pPr>
              <w:ind w:left="260"/>
              <w:spacing w:after="0" w:line="203" w:lineRule="exact"/>
              <w:rPr>
                <w:sz w:val="20"/>
                <w:szCs w:val="20"/>
                <w:color w:val="auto"/>
              </w:rPr>
            </w:pPr>
            <w:r>
              <w:rPr>
                <w:rFonts w:ascii="Arial" w:cs="Arial" w:eastAsia="Arial" w:hAnsi="Arial"/>
                <w:sz w:val="18"/>
                <w:szCs w:val="18"/>
                <w:color w:val="auto"/>
              </w:rPr>
              <w:t>Form of Indemnification Agreement</w:t>
            </w:r>
          </w:p>
        </w:tc>
        <w:tc>
          <w:tcPr>
            <w:tcW w:w="1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w w:val="99"/>
              </w:rPr>
              <w:t>8-K</w:t>
            </w:r>
          </w:p>
        </w:tc>
        <w:tc>
          <w:tcPr>
            <w:tcW w:w="96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jc w:val="center"/>
              <w:spacing w:after="0" w:line="203" w:lineRule="exact"/>
              <w:rPr>
                <w:sz w:val="20"/>
                <w:szCs w:val="20"/>
                <w:color w:val="auto"/>
              </w:rPr>
            </w:pPr>
            <w:r>
              <w:rPr>
                <w:rFonts w:ascii="Arial" w:cs="Arial" w:eastAsia="Arial" w:hAnsi="Arial"/>
                <w:sz w:val="18"/>
                <w:szCs w:val="18"/>
                <w:color w:val="auto"/>
                <w:w w:val="99"/>
              </w:rPr>
              <w:t>4/12/06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11120"/>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40"/>
          </w:cols>
          <w:pgMar w:left="240" w:top="118" w:right="21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26"/>
        </w:trPr>
        <w:tc>
          <w:tcPr>
            <w:tcW w:w="9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Exhibit</w:t>
            </w:r>
          </w:p>
        </w:tc>
        <w:tc>
          <w:tcPr>
            <w:tcW w:w="682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Exhibit Description</w:t>
            </w:r>
          </w:p>
        </w:tc>
        <w:tc>
          <w:tcPr>
            <w:tcW w:w="720" w:type="dxa"/>
            <w:vAlign w:val="bottom"/>
            <w:vMerge w:val="restart"/>
          </w:tcPr>
          <w:p>
            <w:pPr>
              <w:jc w:val="center"/>
              <w:ind w:right="130"/>
              <w:spacing w:after="0"/>
              <w:rPr>
                <w:sz w:val="20"/>
                <w:szCs w:val="20"/>
                <w:color w:val="auto"/>
              </w:rPr>
            </w:pPr>
            <w:r>
              <w:rPr>
                <w:rFonts w:ascii="Arial" w:cs="Arial" w:eastAsia="Arial" w:hAnsi="Arial"/>
                <w:sz w:val="18"/>
                <w:szCs w:val="18"/>
                <w:b w:val="1"/>
                <w:bCs w:val="1"/>
                <w:color w:val="auto"/>
                <w:w w:val="99"/>
              </w:rPr>
              <w:t>Filed</w:t>
            </w:r>
          </w:p>
        </w:tc>
        <w:tc>
          <w:tcPr>
            <w:tcW w:w="2960" w:type="dxa"/>
            <w:vAlign w:val="bottom"/>
            <w:gridSpan w:val="4"/>
          </w:tcPr>
          <w:p>
            <w:pPr>
              <w:ind w:left="320"/>
              <w:spacing w:after="0"/>
              <w:rPr>
                <w:sz w:val="20"/>
                <w:szCs w:val="20"/>
                <w:color w:val="auto"/>
              </w:rPr>
            </w:pPr>
            <w:r>
              <w:rPr>
                <w:rFonts w:ascii="Arial" w:cs="Arial" w:eastAsia="Arial" w:hAnsi="Arial"/>
                <w:sz w:val="18"/>
                <w:szCs w:val="18"/>
                <w:b w:val="1"/>
                <w:bCs w:val="1"/>
                <w:color w:val="auto"/>
              </w:rPr>
              <w:t>Incorporated by Reference</w:t>
            </w:r>
          </w:p>
        </w:tc>
        <w:tc>
          <w:tcPr>
            <w:tcW w:w="0" w:type="dxa"/>
            <w:vAlign w:val="bottom"/>
          </w:tcPr>
          <w:p>
            <w:pPr>
              <w:spacing w:after="0"/>
              <w:rPr>
                <w:sz w:val="1"/>
                <w:szCs w:val="1"/>
                <w:color w:val="auto"/>
              </w:rPr>
            </w:pPr>
          </w:p>
        </w:tc>
      </w:tr>
      <w:tr>
        <w:trPr>
          <w:trHeight w:val="160"/>
        </w:trPr>
        <w:tc>
          <w:tcPr>
            <w:tcW w:w="940" w:type="dxa"/>
            <w:vAlign w:val="bottom"/>
            <w:vMerge w:val="continue"/>
          </w:tcPr>
          <w:p>
            <w:pPr>
              <w:spacing w:after="0"/>
              <w:rPr>
                <w:sz w:val="13"/>
                <w:szCs w:val="13"/>
                <w:color w:val="auto"/>
              </w:rPr>
            </w:pPr>
          </w:p>
        </w:tc>
        <w:tc>
          <w:tcPr>
            <w:tcW w:w="682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840" w:type="dxa"/>
            <w:vAlign w:val="bottom"/>
            <w:tcBorders>
              <w:top w:val="single" w:sz="8" w:color="auto"/>
            </w:tcBorders>
          </w:tcPr>
          <w:p>
            <w:pPr>
              <w:jc w:val="center"/>
              <w:spacing w:after="0" w:line="160" w:lineRule="exact"/>
              <w:rPr>
                <w:sz w:val="20"/>
                <w:szCs w:val="20"/>
                <w:color w:val="auto"/>
              </w:rPr>
            </w:pPr>
            <w:r>
              <w:rPr>
                <w:rFonts w:ascii="Arial" w:cs="Arial" w:eastAsia="Arial" w:hAnsi="Arial"/>
                <w:sz w:val="18"/>
                <w:szCs w:val="18"/>
                <w:b w:val="1"/>
                <w:bCs w:val="1"/>
                <w:color w:val="auto"/>
              </w:rPr>
              <w:t>Form</w:t>
            </w:r>
          </w:p>
        </w:tc>
        <w:tc>
          <w:tcPr>
            <w:tcW w:w="960" w:type="dxa"/>
            <w:vAlign w:val="bottom"/>
            <w:tcBorders>
              <w:top w:val="single" w:sz="8" w:color="auto"/>
            </w:tcBorders>
          </w:tcPr>
          <w:p>
            <w:pPr>
              <w:jc w:val="center"/>
              <w:spacing w:after="0" w:line="160" w:lineRule="exact"/>
              <w:rPr>
                <w:sz w:val="20"/>
                <w:szCs w:val="20"/>
                <w:color w:val="auto"/>
              </w:rPr>
            </w:pPr>
            <w:r>
              <w:rPr>
                <w:rFonts w:ascii="Arial" w:cs="Arial" w:eastAsia="Arial" w:hAnsi="Arial"/>
                <w:sz w:val="18"/>
                <w:szCs w:val="18"/>
                <w:b w:val="1"/>
                <w:bCs w:val="1"/>
                <w:color w:val="auto"/>
                <w:w w:val="99"/>
              </w:rPr>
              <w:t>Period</w:t>
            </w:r>
          </w:p>
        </w:tc>
        <w:tc>
          <w:tcPr>
            <w:tcW w:w="1140" w:type="dxa"/>
            <w:vAlign w:val="bottom"/>
            <w:tcBorders>
              <w:top w:val="single" w:sz="8" w:color="auto"/>
            </w:tcBorders>
          </w:tcPr>
          <w:p>
            <w:pPr>
              <w:ind w:left="120"/>
              <w:spacing w:after="0" w:line="160" w:lineRule="exact"/>
              <w:rPr>
                <w:sz w:val="20"/>
                <w:szCs w:val="20"/>
                <w:color w:val="auto"/>
              </w:rPr>
            </w:pPr>
            <w:r>
              <w:rPr>
                <w:rFonts w:ascii="Arial" w:cs="Arial" w:eastAsia="Arial" w:hAnsi="Arial"/>
                <w:sz w:val="18"/>
                <w:szCs w:val="18"/>
                <w:b w:val="1"/>
                <w:bCs w:val="1"/>
                <w:color w:val="auto"/>
              </w:rPr>
              <w:t>Filing Date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9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Number</w:t>
            </w:r>
          </w:p>
        </w:tc>
        <w:tc>
          <w:tcPr>
            <w:tcW w:w="7540" w:type="dxa"/>
            <w:vAlign w:val="bottom"/>
            <w:tcBorders>
              <w:bottom w:val="single" w:sz="8" w:color="auto"/>
            </w:tcBorders>
            <w:gridSpan w:val="2"/>
          </w:tcPr>
          <w:p>
            <w:pPr>
              <w:jc w:val="center"/>
              <w:ind w:left="6530"/>
              <w:spacing w:after="0"/>
              <w:rPr>
                <w:sz w:val="20"/>
                <w:szCs w:val="20"/>
                <w:color w:val="auto"/>
              </w:rPr>
            </w:pPr>
            <w:r>
              <w:rPr>
                <w:rFonts w:ascii="Arial" w:cs="Arial" w:eastAsia="Arial" w:hAnsi="Arial"/>
                <w:sz w:val="18"/>
                <w:szCs w:val="18"/>
                <w:b w:val="1"/>
                <w:bCs w:val="1"/>
                <w:color w:val="auto"/>
                <w:w w:val="99"/>
              </w:rPr>
              <w:t>Herewith</w:t>
            </w:r>
          </w:p>
        </w:tc>
        <w:tc>
          <w:tcPr>
            <w:tcW w:w="8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Ending</w:t>
            </w:r>
          </w:p>
        </w:tc>
        <w:tc>
          <w:tcPr>
            <w:tcW w:w="1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940" w:type="dxa"/>
            <w:vAlign w:val="bottom"/>
          </w:tcPr>
          <w:p>
            <w:pPr>
              <w:ind w:left="40"/>
              <w:spacing w:after="0" w:line="195" w:lineRule="exact"/>
              <w:rPr>
                <w:sz w:val="20"/>
                <w:szCs w:val="20"/>
                <w:color w:val="auto"/>
              </w:rPr>
            </w:pPr>
            <w:r>
              <w:rPr>
                <w:rFonts w:ascii="Arial" w:cs="Arial" w:eastAsia="Arial" w:hAnsi="Arial"/>
                <w:sz w:val="18"/>
                <w:szCs w:val="18"/>
                <w:color w:val="auto"/>
              </w:rPr>
              <w:t>10.1</w:t>
            </w:r>
          </w:p>
        </w:tc>
        <w:tc>
          <w:tcPr>
            <w:tcW w:w="7540" w:type="dxa"/>
            <w:vAlign w:val="bottom"/>
            <w:gridSpan w:val="2"/>
          </w:tcPr>
          <w:p>
            <w:pPr>
              <w:ind w:left="240"/>
              <w:spacing w:after="0" w:line="195" w:lineRule="exact"/>
              <w:rPr>
                <w:sz w:val="20"/>
                <w:szCs w:val="20"/>
                <w:color w:val="auto"/>
              </w:rPr>
            </w:pPr>
            <w:r>
              <w:rPr>
                <w:rFonts w:ascii="Arial" w:cs="Arial" w:eastAsia="Arial" w:hAnsi="Arial"/>
                <w:sz w:val="18"/>
                <w:szCs w:val="18"/>
                <w:color w:val="auto"/>
              </w:rPr>
              <w:t>Stock and Asset Purchase Agreement by and between Albany International Corp. and</w:t>
            </w:r>
          </w:p>
        </w:tc>
        <w:tc>
          <w:tcPr>
            <w:tcW w:w="840" w:type="dxa"/>
            <w:vAlign w:val="bottom"/>
          </w:tcPr>
          <w:p>
            <w:pPr>
              <w:jc w:val="center"/>
              <w:spacing w:after="0" w:line="195" w:lineRule="exact"/>
              <w:rPr>
                <w:sz w:val="20"/>
                <w:szCs w:val="20"/>
                <w:color w:val="auto"/>
              </w:rPr>
            </w:pPr>
            <w:r>
              <w:rPr>
                <w:rFonts w:ascii="Arial" w:cs="Arial" w:eastAsia="Arial" w:hAnsi="Arial"/>
                <w:sz w:val="18"/>
                <w:szCs w:val="18"/>
                <w:color w:val="auto"/>
                <w:w w:val="99"/>
              </w:rPr>
              <w:t>8-K</w:t>
            </w:r>
          </w:p>
        </w:tc>
        <w:tc>
          <w:tcPr>
            <w:tcW w:w="960" w:type="dxa"/>
            <w:vAlign w:val="bottom"/>
          </w:tcPr>
          <w:p>
            <w:pPr>
              <w:spacing w:after="0"/>
              <w:rPr>
                <w:sz w:val="16"/>
                <w:szCs w:val="16"/>
                <w:color w:val="auto"/>
              </w:rPr>
            </w:pPr>
          </w:p>
        </w:tc>
        <w:tc>
          <w:tcPr>
            <w:tcW w:w="1140" w:type="dxa"/>
            <w:vAlign w:val="bottom"/>
          </w:tcPr>
          <w:p>
            <w:pPr>
              <w:jc w:val="center"/>
              <w:spacing w:after="0" w:line="195" w:lineRule="exact"/>
              <w:rPr>
                <w:sz w:val="20"/>
                <w:szCs w:val="20"/>
                <w:color w:val="auto"/>
              </w:rPr>
            </w:pPr>
            <w:r>
              <w:rPr>
                <w:rFonts w:ascii="Arial" w:cs="Arial" w:eastAsia="Arial" w:hAnsi="Arial"/>
                <w:sz w:val="18"/>
                <w:szCs w:val="18"/>
                <w:color w:val="auto"/>
                <w:w w:val="99"/>
              </w:rPr>
              <w:t>11/1/11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940" w:type="dxa"/>
            <w:vAlign w:val="bottom"/>
          </w:tcPr>
          <w:p>
            <w:pPr>
              <w:spacing w:after="0"/>
              <w:rPr>
                <w:sz w:val="17"/>
                <w:szCs w:val="17"/>
                <w:color w:val="auto"/>
              </w:rPr>
            </w:pPr>
          </w:p>
        </w:tc>
        <w:tc>
          <w:tcPr>
            <w:tcW w:w="6820" w:type="dxa"/>
            <w:vAlign w:val="bottom"/>
          </w:tcPr>
          <w:p>
            <w:pPr>
              <w:ind w:left="240"/>
              <w:spacing w:after="0" w:line="202" w:lineRule="exact"/>
              <w:rPr>
                <w:sz w:val="20"/>
                <w:szCs w:val="20"/>
                <w:color w:val="auto"/>
              </w:rPr>
            </w:pPr>
            <w:r>
              <w:rPr>
                <w:rFonts w:ascii="Arial" w:cs="Arial" w:eastAsia="Arial" w:hAnsi="Arial"/>
                <w:sz w:val="18"/>
                <w:szCs w:val="18"/>
                <w:color w:val="auto"/>
              </w:rPr>
              <w:t>ASSA ABLOY AB, dated as of October 27, 2011</w:t>
            </w:r>
          </w:p>
        </w:tc>
        <w:tc>
          <w:tcPr>
            <w:tcW w:w="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0" w:type="dxa"/>
            <w:vAlign w:val="bottom"/>
          </w:tcPr>
          <w:p>
            <w:pPr>
              <w:ind w:left="40"/>
              <w:spacing w:after="0" w:line="202" w:lineRule="exact"/>
              <w:rPr>
                <w:sz w:val="20"/>
                <w:szCs w:val="20"/>
                <w:color w:val="auto"/>
              </w:rPr>
            </w:pPr>
            <w:r>
              <w:rPr>
                <w:rFonts w:ascii="Arial" w:cs="Arial" w:eastAsia="Arial" w:hAnsi="Arial"/>
                <w:sz w:val="18"/>
                <w:szCs w:val="18"/>
                <w:color w:val="auto"/>
              </w:rPr>
              <w:t>10.2</w:t>
            </w:r>
          </w:p>
        </w:tc>
        <w:tc>
          <w:tcPr>
            <w:tcW w:w="754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Amended and restated LLC operating agreement by and between Albany Engineered</w:t>
            </w:r>
          </w:p>
        </w:tc>
        <w:tc>
          <w:tcPr>
            <w:tcW w:w="840" w:type="dxa"/>
            <w:vAlign w:val="bottom"/>
          </w:tcPr>
          <w:p>
            <w:pPr>
              <w:jc w:val="center"/>
              <w:spacing w:after="0" w:line="202" w:lineRule="exact"/>
              <w:rPr>
                <w:sz w:val="20"/>
                <w:szCs w:val="20"/>
                <w:color w:val="auto"/>
              </w:rPr>
            </w:pPr>
            <w:r>
              <w:rPr>
                <w:rFonts w:ascii="Arial" w:cs="Arial" w:eastAsia="Arial" w:hAnsi="Arial"/>
                <w:sz w:val="18"/>
                <w:szCs w:val="18"/>
                <w:color w:val="auto"/>
                <w:w w:val="99"/>
              </w:rPr>
              <w:t>10-K</w:t>
            </w:r>
          </w:p>
        </w:tc>
        <w:tc>
          <w:tcPr>
            <w:tcW w:w="960" w:type="dxa"/>
            <w:vAlign w:val="bottom"/>
          </w:tcPr>
          <w:p>
            <w:pPr>
              <w:jc w:val="center"/>
              <w:spacing w:after="0" w:line="202" w:lineRule="exact"/>
              <w:rPr>
                <w:sz w:val="20"/>
                <w:szCs w:val="20"/>
                <w:color w:val="auto"/>
              </w:rPr>
            </w:pPr>
            <w:r>
              <w:rPr>
                <w:rFonts w:ascii="Arial" w:cs="Arial" w:eastAsia="Arial" w:hAnsi="Arial"/>
                <w:sz w:val="18"/>
                <w:szCs w:val="18"/>
                <w:color w:val="auto"/>
                <w:w w:val="99"/>
              </w:rPr>
              <w:t>12/31/13</w:t>
            </w:r>
          </w:p>
        </w:tc>
        <w:tc>
          <w:tcPr>
            <w:tcW w:w="1140" w:type="dxa"/>
            <w:vAlign w:val="bottom"/>
          </w:tcPr>
          <w:p>
            <w:pPr>
              <w:jc w:val="center"/>
              <w:spacing w:after="0" w:line="202" w:lineRule="exact"/>
              <w:rPr>
                <w:sz w:val="20"/>
                <w:szCs w:val="20"/>
                <w:color w:val="auto"/>
              </w:rPr>
            </w:pPr>
            <w:r>
              <w:rPr>
                <w:rFonts w:ascii="Arial" w:cs="Arial" w:eastAsia="Arial" w:hAnsi="Arial"/>
                <w:sz w:val="18"/>
                <w:szCs w:val="18"/>
                <w:color w:val="auto"/>
                <w:w w:val="99"/>
              </w:rPr>
              <w:t>2/26/14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0" w:type="dxa"/>
            <w:vAlign w:val="bottom"/>
          </w:tcPr>
          <w:p>
            <w:pPr>
              <w:spacing w:after="0"/>
              <w:rPr>
                <w:sz w:val="17"/>
                <w:szCs w:val="17"/>
                <w:color w:val="auto"/>
              </w:rPr>
            </w:pPr>
          </w:p>
        </w:tc>
        <w:tc>
          <w:tcPr>
            <w:tcW w:w="754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Composites and Safran Aerospace Composites, Inc. 10% equity interest in ASC for $28</w:t>
            </w: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0" w:type="dxa"/>
            <w:vAlign w:val="bottom"/>
          </w:tcPr>
          <w:p>
            <w:pPr>
              <w:spacing w:after="0"/>
              <w:rPr>
                <w:sz w:val="17"/>
                <w:szCs w:val="17"/>
                <w:color w:val="auto"/>
              </w:rPr>
            </w:pPr>
          </w:p>
        </w:tc>
        <w:tc>
          <w:tcPr>
            <w:tcW w:w="6820" w:type="dxa"/>
            <w:vAlign w:val="bottom"/>
          </w:tcPr>
          <w:p>
            <w:pPr>
              <w:ind w:left="240"/>
              <w:spacing w:after="0" w:line="202" w:lineRule="exact"/>
              <w:rPr>
                <w:sz w:val="20"/>
                <w:szCs w:val="20"/>
                <w:color w:val="auto"/>
              </w:rPr>
            </w:pPr>
            <w:r>
              <w:rPr>
                <w:rFonts w:ascii="Arial" w:cs="Arial" w:eastAsia="Arial" w:hAnsi="Arial"/>
                <w:sz w:val="18"/>
                <w:szCs w:val="18"/>
                <w:color w:val="auto"/>
              </w:rPr>
              <w:t>million</w:t>
            </w:r>
          </w:p>
        </w:tc>
        <w:tc>
          <w:tcPr>
            <w:tcW w:w="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0" w:type="dxa"/>
            <w:vAlign w:val="bottom"/>
          </w:tcPr>
          <w:p>
            <w:pPr>
              <w:ind w:left="40"/>
              <w:spacing w:after="0" w:line="202" w:lineRule="exact"/>
              <w:rPr>
                <w:sz w:val="20"/>
                <w:szCs w:val="20"/>
                <w:color w:val="auto"/>
              </w:rPr>
            </w:pPr>
            <w:r>
              <w:rPr>
                <w:rFonts w:ascii="Arial" w:cs="Arial" w:eastAsia="Arial" w:hAnsi="Arial"/>
                <w:sz w:val="18"/>
                <w:szCs w:val="18"/>
                <w:color w:val="auto"/>
              </w:rPr>
              <w:t>2.1</w:t>
            </w:r>
          </w:p>
        </w:tc>
        <w:tc>
          <w:tcPr>
            <w:tcW w:w="6820" w:type="dxa"/>
            <w:vAlign w:val="bottom"/>
          </w:tcPr>
          <w:p>
            <w:pPr>
              <w:ind w:left="240"/>
              <w:spacing w:after="0" w:line="202" w:lineRule="exact"/>
              <w:rPr>
                <w:sz w:val="20"/>
                <w:szCs w:val="20"/>
                <w:color w:val="auto"/>
              </w:rPr>
            </w:pPr>
            <w:r>
              <w:rPr>
                <w:rFonts w:ascii="Arial" w:cs="Arial" w:eastAsia="Arial" w:hAnsi="Arial"/>
                <w:sz w:val="18"/>
                <w:szCs w:val="18"/>
                <w:color w:val="auto"/>
              </w:rPr>
              <w:t>Stock Purchase Agreement by and between Albany International Corp. and Harris</w:t>
            </w:r>
          </w:p>
        </w:tc>
        <w:tc>
          <w:tcPr>
            <w:tcW w:w="720" w:type="dxa"/>
            <w:vAlign w:val="bottom"/>
          </w:tcPr>
          <w:p>
            <w:pPr>
              <w:spacing w:after="0"/>
              <w:rPr>
                <w:sz w:val="17"/>
                <w:szCs w:val="17"/>
                <w:color w:val="auto"/>
              </w:rPr>
            </w:pPr>
          </w:p>
        </w:tc>
        <w:tc>
          <w:tcPr>
            <w:tcW w:w="840" w:type="dxa"/>
            <w:vAlign w:val="bottom"/>
          </w:tcPr>
          <w:p>
            <w:pPr>
              <w:jc w:val="center"/>
              <w:spacing w:after="0" w:line="202" w:lineRule="exact"/>
              <w:rPr>
                <w:sz w:val="20"/>
                <w:szCs w:val="20"/>
                <w:color w:val="auto"/>
              </w:rPr>
            </w:pPr>
            <w:r>
              <w:rPr>
                <w:rFonts w:ascii="Arial" w:cs="Arial" w:eastAsia="Arial" w:hAnsi="Arial"/>
                <w:sz w:val="18"/>
                <w:szCs w:val="18"/>
                <w:color w:val="auto"/>
                <w:w w:val="99"/>
              </w:rPr>
              <w:t>8-K</w:t>
            </w:r>
          </w:p>
        </w:tc>
        <w:tc>
          <w:tcPr>
            <w:tcW w:w="960" w:type="dxa"/>
            <w:vAlign w:val="bottom"/>
          </w:tcPr>
          <w:p>
            <w:pPr>
              <w:spacing w:after="0"/>
              <w:rPr>
                <w:sz w:val="17"/>
                <w:szCs w:val="17"/>
                <w:color w:val="auto"/>
              </w:rPr>
            </w:pPr>
          </w:p>
        </w:tc>
        <w:tc>
          <w:tcPr>
            <w:tcW w:w="1140" w:type="dxa"/>
            <w:vAlign w:val="bottom"/>
          </w:tcPr>
          <w:p>
            <w:pPr>
              <w:jc w:val="center"/>
              <w:spacing w:after="0" w:line="202" w:lineRule="exact"/>
              <w:rPr>
                <w:sz w:val="20"/>
                <w:szCs w:val="20"/>
                <w:color w:val="auto"/>
              </w:rPr>
            </w:pPr>
            <w:r>
              <w:rPr>
                <w:rFonts w:ascii="Arial" w:cs="Arial" w:eastAsia="Arial" w:hAnsi="Arial"/>
                <w:sz w:val="18"/>
                <w:szCs w:val="18"/>
                <w:color w:val="auto"/>
                <w:w w:val="99"/>
              </w:rPr>
              <w:t>3/1/16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0" w:type="dxa"/>
            <w:vAlign w:val="bottom"/>
          </w:tcPr>
          <w:p>
            <w:pPr>
              <w:spacing w:after="0"/>
              <w:rPr>
                <w:sz w:val="17"/>
                <w:szCs w:val="17"/>
                <w:color w:val="auto"/>
              </w:rPr>
            </w:pPr>
          </w:p>
        </w:tc>
        <w:tc>
          <w:tcPr>
            <w:tcW w:w="6820" w:type="dxa"/>
            <w:vAlign w:val="bottom"/>
          </w:tcPr>
          <w:p>
            <w:pPr>
              <w:ind w:left="240"/>
              <w:spacing w:after="0" w:line="202" w:lineRule="exact"/>
              <w:rPr>
                <w:sz w:val="20"/>
                <w:szCs w:val="20"/>
                <w:color w:val="auto"/>
              </w:rPr>
            </w:pPr>
            <w:r>
              <w:rPr>
                <w:rFonts w:ascii="Arial" w:cs="Arial" w:eastAsia="Arial" w:hAnsi="Arial"/>
                <w:sz w:val="18"/>
                <w:szCs w:val="18"/>
                <w:color w:val="auto"/>
              </w:rPr>
              <w:t>Corporation, dated as of February 27, 2016</w:t>
            </w:r>
          </w:p>
        </w:tc>
        <w:tc>
          <w:tcPr>
            <w:tcW w:w="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0" w:type="dxa"/>
            <w:vAlign w:val="bottom"/>
          </w:tcPr>
          <w:p>
            <w:pPr>
              <w:ind w:left="40"/>
              <w:spacing w:after="0" w:line="202" w:lineRule="exact"/>
              <w:rPr>
                <w:sz w:val="20"/>
                <w:szCs w:val="20"/>
                <w:color w:val="auto"/>
              </w:rPr>
            </w:pPr>
            <w:r>
              <w:rPr>
                <w:rFonts w:ascii="Arial" w:cs="Arial" w:eastAsia="Arial" w:hAnsi="Arial"/>
                <w:sz w:val="18"/>
                <w:szCs w:val="18"/>
                <w:color w:val="auto"/>
              </w:rPr>
              <w:t>11</w:t>
            </w:r>
          </w:p>
        </w:tc>
        <w:tc>
          <w:tcPr>
            <w:tcW w:w="6820" w:type="dxa"/>
            <w:vAlign w:val="bottom"/>
          </w:tcPr>
          <w:p>
            <w:pPr>
              <w:ind w:left="240"/>
              <w:spacing w:after="0" w:line="202" w:lineRule="exact"/>
              <w:rPr>
                <w:sz w:val="20"/>
                <w:szCs w:val="20"/>
                <w:color w:val="auto"/>
              </w:rPr>
            </w:pPr>
            <w:r>
              <w:rPr>
                <w:rFonts w:ascii="Arial" w:cs="Arial" w:eastAsia="Arial" w:hAnsi="Arial"/>
                <w:sz w:val="18"/>
                <w:szCs w:val="18"/>
                <w:color w:val="auto"/>
              </w:rPr>
              <w:t>Statement of Computation of Earnings per share (provided in Footnote 8 to the</w:t>
            </w:r>
          </w:p>
        </w:tc>
        <w:tc>
          <w:tcPr>
            <w:tcW w:w="720" w:type="dxa"/>
            <w:vAlign w:val="bottom"/>
          </w:tcPr>
          <w:p>
            <w:pPr>
              <w:jc w:val="center"/>
              <w:ind w:right="110"/>
              <w:spacing w:after="0" w:line="202" w:lineRule="exact"/>
              <w:rPr>
                <w:sz w:val="20"/>
                <w:szCs w:val="20"/>
                <w:color w:val="auto"/>
              </w:rPr>
            </w:pPr>
            <w:r>
              <w:rPr>
                <w:rFonts w:ascii="Arial" w:cs="Arial" w:eastAsia="Arial" w:hAnsi="Arial"/>
                <w:sz w:val="18"/>
                <w:szCs w:val="18"/>
                <w:color w:val="auto"/>
                <w:w w:val="99"/>
              </w:rPr>
              <w:t>X</w:t>
            </w: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0" w:type="dxa"/>
            <w:vAlign w:val="bottom"/>
          </w:tcPr>
          <w:p>
            <w:pPr>
              <w:spacing w:after="0"/>
              <w:rPr>
                <w:sz w:val="17"/>
                <w:szCs w:val="17"/>
                <w:color w:val="auto"/>
              </w:rPr>
            </w:pPr>
          </w:p>
        </w:tc>
        <w:tc>
          <w:tcPr>
            <w:tcW w:w="6820" w:type="dxa"/>
            <w:vAlign w:val="bottom"/>
          </w:tcPr>
          <w:p>
            <w:pPr>
              <w:ind w:left="240"/>
              <w:spacing w:after="0" w:line="202" w:lineRule="exact"/>
              <w:rPr>
                <w:sz w:val="20"/>
                <w:szCs w:val="20"/>
                <w:color w:val="auto"/>
              </w:rPr>
            </w:pPr>
            <w:r>
              <w:rPr>
                <w:rFonts w:ascii="Arial" w:cs="Arial" w:eastAsia="Arial" w:hAnsi="Arial"/>
                <w:sz w:val="18"/>
                <w:szCs w:val="18"/>
                <w:color w:val="auto"/>
              </w:rPr>
              <w:t>Consolidated Financial Statements)</w:t>
            </w:r>
          </w:p>
        </w:tc>
        <w:tc>
          <w:tcPr>
            <w:tcW w:w="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0" w:type="dxa"/>
            <w:vAlign w:val="bottom"/>
          </w:tcPr>
          <w:p>
            <w:pPr>
              <w:ind w:left="40"/>
              <w:spacing w:after="0" w:line="202" w:lineRule="exact"/>
              <w:rPr>
                <w:sz w:val="20"/>
                <w:szCs w:val="20"/>
                <w:color w:val="auto"/>
              </w:rPr>
            </w:pPr>
            <w:r>
              <w:rPr>
                <w:rFonts w:ascii="Arial" w:cs="Arial" w:eastAsia="Arial" w:hAnsi="Arial"/>
                <w:sz w:val="18"/>
                <w:szCs w:val="18"/>
                <w:color w:val="auto"/>
              </w:rPr>
              <w:t>21</w:t>
            </w:r>
          </w:p>
        </w:tc>
        <w:tc>
          <w:tcPr>
            <w:tcW w:w="6820" w:type="dxa"/>
            <w:vAlign w:val="bottom"/>
          </w:tcPr>
          <w:p>
            <w:pPr>
              <w:ind w:left="240"/>
              <w:spacing w:after="0" w:line="202" w:lineRule="exact"/>
              <w:rPr>
                <w:sz w:val="20"/>
                <w:szCs w:val="20"/>
                <w:color w:val="auto"/>
              </w:rPr>
            </w:pPr>
            <w:r>
              <w:rPr>
                <w:rFonts w:ascii="Arial" w:cs="Arial" w:eastAsia="Arial" w:hAnsi="Arial"/>
                <w:sz w:val="18"/>
                <w:szCs w:val="18"/>
                <w:color w:val="auto"/>
              </w:rPr>
              <w:t>Subsidiaries of Company</w:t>
            </w:r>
          </w:p>
        </w:tc>
        <w:tc>
          <w:tcPr>
            <w:tcW w:w="720" w:type="dxa"/>
            <w:vAlign w:val="bottom"/>
          </w:tcPr>
          <w:p>
            <w:pPr>
              <w:jc w:val="center"/>
              <w:ind w:right="110"/>
              <w:spacing w:after="0" w:line="202" w:lineRule="exact"/>
              <w:rPr>
                <w:sz w:val="20"/>
                <w:szCs w:val="20"/>
                <w:color w:val="auto"/>
              </w:rPr>
            </w:pPr>
            <w:r>
              <w:rPr>
                <w:rFonts w:ascii="Arial" w:cs="Arial" w:eastAsia="Arial" w:hAnsi="Arial"/>
                <w:sz w:val="18"/>
                <w:szCs w:val="18"/>
                <w:color w:val="auto"/>
                <w:w w:val="99"/>
              </w:rPr>
              <w:t>X</w:t>
            </w: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0" w:type="dxa"/>
            <w:vAlign w:val="bottom"/>
          </w:tcPr>
          <w:p>
            <w:pPr>
              <w:ind w:left="40"/>
              <w:spacing w:after="0" w:line="202" w:lineRule="exact"/>
              <w:rPr>
                <w:sz w:val="20"/>
                <w:szCs w:val="20"/>
                <w:color w:val="auto"/>
              </w:rPr>
            </w:pPr>
            <w:r>
              <w:rPr>
                <w:rFonts w:ascii="Arial" w:cs="Arial" w:eastAsia="Arial" w:hAnsi="Arial"/>
                <w:sz w:val="18"/>
                <w:szCs w:val="18"/>
                <w:color w:val="auto"/>
              </w:rPr>
              <w:t>23</w:t>
            </w:r>
          </w:p>
        </w:tc>
        <w:tc>
          <w:tcPr>
            <w:tcW w:w="6820" w:type="dxa"/>
            <w:vAlign w:val="bottom"/>
          </w:tcPr>
          <w:p>
            <w:pPr>
              <w:ind w:left="240"/>
              <w:spacing w:after="0" w:line="202" w:lineRule="exact"/>
              <w:rPr>
                <w:sz w:val="20"/>
                <w:szCs w:val="20"/>
                <w:color w:val="auto"/>
              </w:rPr>
            </w:pPr>
            <w:r>
              <w:rPr>
                <w:rFonts w:ascii="Arial" w:cs="Arial" w:eastAsia="Arial" w:hAnsi="Arial"/>
                <w:sz w:val="18"/>
                <w:szCs w:val="18"/>
                <w:color w:val="auto"/>
              </w:rPr>
              <w:t>Consent of Independent Registered Public Accounting Firms</w:t>
            </w:r>
          </w:p>
        </w:tc>
        <w:tc>
          <w:tcPr>
            <w:tcW w:w="720" w:type="dxa"/>
            <w:vAlign w:val="bottom"/>
          </w:tcPr>
          <w:p>
            <w:pPr>
              <w:jc w:val="center"/>
              <w:ind w:right="110"/>
              <w:spacing w:after="0" w:line="202" w:lineRule="exact"/>
              <w:rPr>
                <w:sz w:val="20"/>
                <w:szCs w:val="20"/>
                <w:color w:val="auto"/>
              </w:rPr>
            </w:pPr>
            <w:r>
              <w:rPr>
                <w:rFonts w:ascii="Arial" w:cs="Arial" w:eastAsia="Arial" w:hAnsi="Arial"/>
                <w:sz w:val="18"/>
                <w:szCs w:val="18"/>
                <w:color w:val="auto"/>
                <w:w w:val="99"/>
              </w:rPr>
              <w:t>X</w:t>
            </w: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0" w:type="dxa"/>
            <w:vAlign w:val="bottom"/>
          </w:tcPr>
          <w:p>
            <w:pPr>
              <w:ind w:left="40"/>
              <w:spacing w:after="0" w:line="202" w:lineRule="exact"/>
              <w:rPr>
                <w:sz w:val="20"/>
                <w:szCs w:val="20"/>
                <w:color w:val="auto"/>
              </w:rPr>
            </w:pPr>
            <w:r>
              <w:rPr>
                <w:rFonts w:ascii="Arial" w:cs="Arial" w:eastAsia="Arial" w:hAnsi="Arial"/>
                <w:sz w:val="18"/>
                <w:szCs w:val="18"/>
                <w:color w:val="auto"/>
              </w:rPr>
              <w:t>24</w:t>
            </w:r>
          </w:p>
        </w:tc>
        <w:tc>
          <w:tcPr>
            <w:tcW w:w="6820" w:type="dxa"/>
            <w:vAlign w:val="bottom"/>
          </w:tcPr>
          <w:p>
            <w:pPr>
              <w:ind w:left="240"/>
              <w:spacing w:after="0" w:line="202" w:lineRule="exact"/>
              <w:rPr>
                <w:sz w:val="20"/>
                <w:szCs w:val="20"/>
                <w:color w:val="auto"/>
              </w:rPr>
            </w:pPr>
            <w:r>
              <w:rPr>
                <w:rFonts w:ascii="Arial" w:cs="Arial" w:eastAsia="Arial" w:hAnsi="Arial"/>
                <w:sz w:val="18"/>
                <w:szCs w:val="18"/>
                <w:color w:val="auto"/>
              </w:rPr>
              <w:t>Powers of Attorney</w:t>
            </w:r>
          </w:p>
        </w:tc>
        <w:tc>
          <w:tcPr>
            <w:tcW w:w="720" w:type="dxa"/>
            <w:vAlign w:val="bottom"/>
          </w:tcPr>
          <w:p>
            <w:pPr>
              <w:jc w:val="center"/>
              <w:ind w:right="110"/>
              <w:spacing w:after="0" w:line="202" w:lineRule="exact"/>
              <w:rPr>
                <w:sz w:val="20"/>
                <w:szCs w:val="20"/>
                <w:color w:val="auto"/>
              </w:rPr>
            </w:pPr>
            <w:r>
              <w:rPr>
                <w:rFonts w:ascii="Arial" w:cs="Arial" w:eastAsia="Arial" w:hAnsi="Arial"/>
                <w:sz w:val="18"/>
                <w:szCs w:val="18"/>
                <w:color w:val="auto"/>
                <w:w w:val="99"/>
              </w:rPr>
              <w:t>X</w:t>
            </w: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0" w:type="dxa"/>
            <w:vAlign w:val="bottom"/>
          </w:tcPr>
          <w:p>
            <w:pPr>
              <w:ind w:left="40"/>
              <w:spacing w:after="0" w:line="202" w:lineRule="exact"/>
              <w:rPr>
                <w:sz w:val="20"/>
                <w:szCs w:val="20"/>
                <w:color w:val="auto"/>
              </w:rPr>
            </w:pPr>
            <w:r>
              <w:rPr>
                <w:rFonts w:ascii="Arial" w:cs="Arial" w:eastAsia="Arial" w:hAnsi="Arial"/>
                <w:sz w:val="18"/>
                <w:szCs w:val="18"/>
                <w:color w:val="auto"/>
              </w:rPr>
              <w:t>31(a)</w:t>
            </w:r>
          </w:p>
        </w:tc>
        <w:tc>
          <w:tcPr>
            <w:tcW w:w="6820" w:type="dxa"/>
            <w:vAlign w:val="bottom"/>
          </w:tcPr>
          <w:p>
            <w:pPr>
              <w:ind w:left="240"/>
              <w:spacing w:after="0" w:line="202" w:lineRule="exact"/>
              <w:rPr>
                <w:sz w:val="20"/>
                <w:szCs w:val="20"/>
                <w:color w:val="auto"/>
              </w:rPr>
            </w:pPr>
            <w:r>
              <w:rPr>
                <w:rFonts w:ascii="Arial" w:cs="Arial" w:eastAsia="Arial" w:hAnsi="Arial"/>
                <w:sz w:val="18"/>
                <w:szCs w:val="18"/>
                <w:color w:val="auto"/>
              </w:rPr>
              <w:t>Certification of Joseph G. Morone required pursuant to Rule 13a-14(a) or Rule</w:t>
            </w:r>
          </w:p>
        </w:tc>
        <w:tc>
          <w:tcPr>
            <w:tcW w:w="720" w:type="dxa"/>
            <w:vAlign w:val="bottom"/>
          </w:tcPr>
          <w:p>
            <w:pPr>
              <w:jc w:val="center"/>
              <w:ind w:right="110"/>
              <w:spacing w:after="0" w:line="202" w:lineRule="exact"/>
              <w:rPr>
                <w:sz w:val="20"/>
                <w:szCs w:val="20"/>
                <w:color w:val="auto"/>
              </w:rPr>
            </w:pPr>
            <w:r>
              <w:rPr>
                <w:rFonts w:ascii="Arial" w:cs="Arial" w:eastAsia="Arial" w:hAnsi="Arial"/>
                <w:sz w:val="18"/>
                <w:szCs w:val="18"/>
                <w:color w:val="auto"/>
                <w:w w:val="99"/>
              </w:rPr>
              <w:t>X</w:t>
            </w: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0" w:type="dxa"/>
            <w:vAlign w:val="bottom"/>
          </w:tcPr>
          <w:p>
            <w:pPr>
              <w:spacing w:after="0"/>
              <w:rPr>
                <w:sz w:val="17"/>
                <w:szCs w:val="17"/>
                <w:color w:val="auto"/>
              </w:rPr>
            </w:pPr>
          </w:p>
        </w:tc>
        <w:tc>
          <w:tcPr>
            <w:tcW w:w="6820" w:type="dxa"/>
            <w:vAlign w:val="bottom"/>
          </w:tcPr>
          <w:p>
            <w:pPr>
              <w:ind w:left="240"/>
              <w:spacing w:after="0" w:line="202" w:lineRule="exact"/>
              <w:rPr>
                <w:sz w:val="20"/>
                <w:szCs w:val="20"/>
                <w:color w:val="auto"/>
              </w:rPr>
            </w:pPr>
            <w:r>
              <w:rPr>
                <w:rFonts w:ascii="Arial" w:cs="Arial" w:eastAsia="Arial" w:hAnsi="Arial"/>
                <w:sz w:val="18"/>
                <w:szCs w:val="18"/>
                <w:color w:val="auto"/>
              </w:rPr>
              <w:t>15d-14(a)</w:t>
            </w:r>
          </w:p>
        </w:tc>
        <w:tc>
          <w:tcPr>
            <w:tcW w:w="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0" w:type="dxa"/>
            <w:vAlign w:val="bottom"/>
          </w:tcPr>
          <w:p>
            <w:pPr>
              <w:ind w:left="40"/>
              <w:spacing w:after="0" w:line="202" w:lineRule="exact"/>
              <w:rPr>
                <w:sz w:val="20"/>
                <w:szCs w:val="20"/>
                <w:color w:val="auto"/>
              </w:rPr>
            </w:pPr>
            <w:r>
              <w:rPr>
                <w:rFonts w:ascii="Arial" w:cs="Arial" w:eastAsia="Arial" w:hAnsi="Arial"/>
                <w:sz w:val="18"/>
                <w:szCs w:val="18"/>
                <w:color w:val="auto"/>
              </w:rPr>
              <w:t>31(b)</w:t>
            </w:r>
          </w:p>
        </w:tc>
        <w:tc>
          <w:tcPr>
            <w:tcW w:w="6820" w:type="dxa"/>
            <w:vAlign w:val="bottom"/>
          </w:tcPr>
          <w:p>
            <w:pPr>
              <w:ind w:left="240"/>
              <w:spacing w:after="0" w:line="202" w:lineRule="exact"/>
              <w:rPr>
                <w:sz w:val="20"/>
                <w:szCs w:val="20"/>
                <w:color w:val="auto"/>
              </w:rPr>
            </w:pPr>
            <w:r>
              <w:rPr>
                <w:rFonts w:ascii="Arial" w:cs="Arial" w:eastAsia="Arial" w:hAnsi="Arial"/>
                <w:sz w:val="18"/>
                <w:szCs w:val="18"/>
                <w:color w:val="auto"/>
              </w:rPr>
              <w:t>Certification of John B. Cozzolino required pursuant to Rule 13a-14(a) or Rule</w:t>
            </w:r>
          </w:p>
        </w:tc>
        <w:tc>
          <w:tcPr>
            <w:tcW w:w="720" w:type="dxa"/>
            <w:vAlign w:val="bottom"/>
          </w:tcPr>
          <w:p>
            <w:pPr>
              <w:jc w:val="center"/>
              <w:ind w:right="110"/>
              <w:spacing w:after="0" w:line="202" w:lineRule="exact"/>
              <w:rPr>
                <w:sz w:val="20"/>
                <w:szCs w:val="20"/>
                <w:color w:val="auto"/>
              </w:rPr>
            </w:pPr>
            <w:r>
              <w:rPr>
                <w:rFonts w:ascii="Arial" w:cs="Arial" w:eastAsia="Arial" w:hAnsi="Arial"/>
                <w:sz w:val="18"/>
                <w:szCs w:val="18"/>
                <w:color w:val="auto"/>
                <w:w w:val="99"/>
              </w:rPr>
              <w:t>X</w:t>
            </w: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0" w:type="dxa"/>
            <w:vAlign w:val="bottom"/>
          </w:tcPr>
          <w:p>
            <w:pPr>
              <w:spacing w:after="0"/>
              <w:rPr>
                <w:sz w:val="17"/>
                <w:szCs w:val="17"/>
                <w:color w:val="auto"/>
              </w:rPr>
            </w:pPr>
          </w:p>
        </w:tc>
        <w:tc>
          <w:tcPr>
            <w:tcW w:w="6820" w:type="dxa"/>
            <w:vAlign w:val="bottom"/>
          </w:tcPr>
          <w:p>
            <w:pPr>
              <w:ind w:left="240"/>
              <w:spacing w:after="0" w:line="202" w:lineRule="exact"/>
              <w:rPr>
                <w:sz w:val="20"/>
                <w:szCs w:val="20"/>
                <w:color w:val="auto"/>
              </w:rPr>
            </w:pPr>
            <w:r>
              <w:rPr>
                <w:rFonts w:ascii="Arial" w:cs="Arial" w:eastAsia="Arial" w:hAnsi="Arial"/>
                <w:sz w:val="18"/>
                <w:szCs w:val="18"/>
                <w:color w:val="auto"/>
              </w:rPr>
              <w:t>15d-14(a)</w:t>
            </w:r>
          </w:p>
        </w:tc>
        <w:tc>
          <w:tcPr>
            <w:tcW w:w="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0" w:type="dxa"/>
            <w:vAlign w:val="bottom"/>
          </w:tcPr>
          <w:p>
            <w:pPr>
              <w:ind w:left="40"/>
              <w:spacing w:after="0" w:line="202" w:lineRule="exact"/>
              <w:rPr>
                <w:sz w:val="20"/>
                <w:szCs w:val="20"/>
                <w:color w:val="auto"/>
              </w:rPr>
            </w:pPr>
            <w:r>
              <w:rPr>
                <w:rFonts w:ascii="Arial" w:cs="Arial" w:eastAsia="Arial" w:hAnsi="Arial"/>
                <w:sz w:val="18"/>
                <w:szCs w:val="18"/>
                <w:color w:val="auto"/>
              </w:rPr>
              <w:t>32(a)</w:t>
            </w:r>
          </w:p>
        </w:tc>
        <w:tc>
          <w:tcPr>
            <w:tcW w:w="6820" w:type="dxa"/>
            <w:vAlign w:val="bottom"/>
          </w:tcPr>
          <w:p>
            <w:pPr>
              <w:ind w:left="240"/>
              <w:spacing w:after="0" w:line="202" w:lineRule="exact"/>
              <w:rPr>
                <w:sz w:val="20"/>
                <w:szCs w:val="20"/>
                <w:color w:val="auto"/>
              </w:rPr>
            </w:pPr>
            <w:r>
              <w:rPr>
                <w:rFonts w:ascii="Arial" w:cs="Arial" w:eastAsia="Arial" w:hAnsi="Arial"/>
                <w:sz w:val="18"/>
                <w:szCs w:val="18"/>
                <w:color w:val="auto"/>
              </w:rPr>
              <w:t>Certification of Joseph G. Morone and John B. Cozzolino required pursuant to</w:t>
            </w:r>
          </w:p>
        </w:tc>
        <w:tc>
          <w:tcPr>
            <w:tcW w:w="720" w:type="dxa"/>
            <w:vAlign w:val="bottom"/>
          </w:tcPr>
          <w:p>
            <w:pPr>
              <w:jc w:val="center"/>
              <w:ind w:right="110"/>
              <w:spacing w:after="0" w:line="202" w:lineRule="exact"/>
              <w:rPr>
                <w:sz w:val="20"/>
                <w:szCs w:val="20"/>
                <w:color w:val="auto"/>
              </w:rPr>
            </w:pPr>
            <w:r>
              <w:rPr>
                <w:rFonts w:ascii="Arial" w:cs="Arial" w:eastAsia="Arial" w:hAnsi="Arial"/>
                <w:sz w:val="18"/>
                <w:szCs w:val="18"/>
                <w:color w:val="auto"/>
                <w:w w:val="99"/>
              </w:rPr>
              <w:t>X</w:t>
            </w: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0" w:type="dxa"/>
            <w:vAlign w:val="bottom"/>
          </w:tcPr>
          <w:p>
            <w:pPr>
              <w:spacing w:after="0"/>
              <w:rPr>
                <w:sz w:val="17"/>
                <w:szCs w:val="17"/>
                <w:color w:val="auto"/>
              </w:rPr>
            </w:pPr>
          </w:p>
        </w:tc>
        <w:tc>
          <w:tcPr>
            <w:tcW w:w="6820" w:type="dxa"/>
            <w:vAlign w:val="bottom"/>
          </w:tcPr>
          <w:p>
            <w:pPr>
              <w:ind w:left="240"/>
              <w:spacing w:after="0" w:line="202" w:lineRule="exact"/>
              <w:rPr>
                <w:sz w:val="20"/>
                <w:szCs w:val="20"/>
                <w:color w:val="auto"/>
              </w:rPr>
            </w:pPr>
            <w:r>
              <w:rPr>
                <w:rFonts w:ascii="Arial" w:cs="Arial" w:eastAsia="Arial" w:hAnsi="Arial"/>
                <w:sz w:val="18"/>
                <w:szCs w:val="18"/>
                <w:color w:val="auto"/>
              </w:rPr>
              <w:t>Rule 13a-14(b) or Rule 15d-14(b) and Section 1350 of Chapter 63 of Title 18 of</w:t>
            </w:r>
          </w:p>
        </w:tc>
        <w:tc>
          <w:tcPr>
            <w:tcW w:w="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6820" w:type="dxa"/>
            <w:vAlign w:val="bottom"/>
          </w:tcPr>
          <w:p>
            <w:pPr>
              <w:ind w:left="240"/>
              <w:spacing w:after="0"/>
              <w:rPr>
                <w:sz w:val="20"/>
                <w:szCs w:val="20"/>
                <w:color w:val="auto"/>
              </w:rPr>
            </w:pPr>
            <w:r>
              <w:rPr>
                <w:rFonts w:ascii="Arial" w:cs="Arial" w:eastAsia="Arial" w:hAnsi="Arial"/>
                <w:sz w:val="18"/>
                <w:szCs w:val="18"/>
                <w:color w:val="auto"/>
              </w:rPr>
              <w:t>the United States Code</w:t>
            </w: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-2459990</wp:posOffset>
            </wp:positionV>
            <wp:extent cx="7254875" cy="40220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4875" cy="4022090"/>
                    </a:xfrm>
                    <a:prstGeom prst="rect">
                      <a:avLst/>
                    </a:prstGeom>
                    <a:noFill/>
                  </pic:spPr>
                </pic:pic>
              </a:graphicData>
            </a:graphic>
          </wp:anchor>
        </w:drawing>
      </w:r>
    </w:p>
    <w:p>
      <w:pPr>
        <w:ind w:left="40" w:right="420"/>
        <w:spacing w:after="0" w:line="235" w:lineRule="auto"/>
        <w:rPr>
          <w:sz w:val="20"/>
          <w:szCs w:val="20"/>
          <w:color w:val="auto"/>
        </w:rPr>
      </w:pPr>
      <w:r>
        <w:rPr>
          <w:rFonts w:ascii="Arial" w:cs="Arial" w:eastAsia="Arial" w:hAnsi="Arial"/>
          <w:sz w:val="18"/>
          <w:szCs w:val="18"/>
          <w:b w:val="1"/>
          <w:bCs w:val="1"/>
          <w:color w:val="auto"/>
        </w:rPr>
        <w:t>The following information from the Registrant’s Annual Report on Form 10-K for the year ended December 31, 2016, formatted in eXtensible Business Reporting Language (XBRL), filed herewith:</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0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101(i)</w:t>
            </w:r>
          </w:p>
        </w:tc>
        <w:tc>
          <w:tcPr>
            <w:tcW w:w="6800" w:type="dxa"/>
            <w:vAlign w:val="bottom"/>
            <w:tcBorders>
              <w:top w:val="single" w:sz="8" w:color="auto"/>
            </w:tcBorders>
          </w:tcPr>
          <w:p>
            <w:pPr>
              <w:ind w:left="280"/>
              <w:spacing w:after="0" w:line="195" w:lineRule="exact"/>
              <w:rPr>
                <w:sz w:val="20"/>
                <w:szCs w:val="20"/>
                <w:color w:val="auto"/>
              </w:rPr>
            </w:pPr>
            <w:r>
              <w:rPr>
                <w:rFonts w:ascii="Arial" w:cs="Arial" w:eastAsia="Arial" w:hAnsi="Arial"/>
                <w:sz w:val="18"/>
                <w:szCs w:val="18"/>
                <w:color w:val="auto"/>
              </w:rPr>
              <w:t>Consolidated Statements of Income for the years ended December 31, 2016,</w:t>
            </w:r>
          </w:p>
        </w:tc>
        <w:tc>
          <w:tcPr>
            <w:tcW w:w="3740" w:type="dxa"/>
            <w:vAlign w:val="bottom"/>
            <w:tcBorders>
              <w:top w:val="single" w:sz="8" w:color="auto"/>
            </w:tcBorders>
          </w:tcPr>
          <w:p>
            <w:pPr>
              <w:ind w:left="260"/>
              <w:spacing w:after="0" w:line="195" w:lineRule="exact"/>
              <w:rPr>
                <w:sz w:val="20"/>
                <w:szCs w:val="20"/>
                <w:color w:val="auto"/>
              </w:rPr>
            </w:pPr>
            <w:r>
              <w:rPr>
                <w:rFonts w:ascii="Arial" w:cs="Arial" w:eastAsia="Arial" w:hAnsi="Arial"/>
                <w:sz w:val="18"/>
                <w:szCs w:val="18"/>
                <w:color w:val="auto"/>
              </w:rPr>
              <w:t>X</w:t>
            </w:r>
          </w:p>
        </w:tc>
      </w:tr>
      <w:tr>
        <w:trPr>
          <w:trHeight w:val="203"/>
        </w:trPr>
        <w:tc>
          <w:tcPr>
            <w:tcW w:w="900" w:type="dxa"/>
            <w:vAlign w:val="bottom"/>
          </w:tcPr>
          <w:p>
            <w:pPr>
              <w:spacing w:after="0"/>
              <w:rPr>
                <w:sz w:val="17"/>
                <w:szCs w:val="17"/>
                <w:color w:val="auto"/>
              </w:rPr>
            </w:pPr>
          </w:p>
        </w:tc>
        <w:tc>
          <w:tcPr>
            <w:tcW w:w="6800" w:type="dxa"/>
            <w:vAlign w:val="bottom"/>
          </w:tcPr>
          <w:p>
            <w:pPr>
              <w:ind w:left="280"/>
              <w:spacing w:after="0" w:line="202" w:lineRule="exact"/>
              <w:rPr>
                <w:sz w:val="20"/>
                <w:szCs w:val="20"/>
                <w:color w:val="auto"/>
              </w:rPr>
            </w:pPr>
            <w:r>
              <w:rPr>
                <w:rFonts w:ascii="Arial" w:cs="Arial" w:eastAsia="Arial" w:hAnsi="Arial"/>
                <w:sz w:val="18"/>
                <w:szCs w:val="18"/>
                <w:color w:val="auto"/>
              </w:rPr>
              <w:t>2015 and 2014</w:t>
            </w:r>
          </w:p>
        </w:tc>
        <w:tc>
          <w:tcPr>
            <w:tcW w:w="3740" w:type="dxa"/>
            <w:vAlign w:val="bottom"/>
          </w:tcPr>
          <w:p>
            <w:pPr>
              <w:spacing w:after="0"/>
              <w:rPr>
                <w:sz w:val="17"/>
                <w:szCs w:val="17"/>
                <w:color w:val="auto"/>
              </w:rPr>
            </w:pPr>
          </w:p>
        </w:tc>
      </w:tr>
      <w:tr>
        <w:trPr>
          <w:trHeight w:val="203"/>
        </w:trPr>
        <w:tc>
          <w:tcPr>
            <w:tcW w:w="900" w:type="dxa"/>
            <w:vAlign w:val="bottom"/>
          </w:tcPr>
          <w:p>
            <w:pPr>
              <w:ind w:left="40"/>
              <w:spacing w:after="0" w:line="202" w:lineRule="exact"/>
              <w:rPr>
                <w:sz w:val="20"/>
                <w:szCs w:val="20"/>
                <w:color w:val="auto"/>
              </w:rPr>
            </w:pPr>
            <w:r>
              <w:rPr>
                <w:rFonts w:ascii="Arial" w:cs="Arial" w:eastAsia="Arial" w:hAnsi="Arial"/>
                <w:sz w:val="18"/>
                <w:szCs w:val="18"/>
                <w:color w:val="auto"/>
              </w:rPr>
              <w:t>101(ii)</w:t>
            </w:r>
          </w:p>
        </w:tc>
        <w:tc>
          <w:tcPr>
            <w:tcW w:w="6800" w:type="dxa"/>
            <w:vAlign w:val="bottom"/>
          </w:tcPr>
          <w:p>
            <w:pPr>
              <w:ind w:left="280"/>
              <w:spacing w:after="0" w:line="202" w:lineRule="exact"/>
              <w:rPr>
                <w:sz w:val="20"/>
                <w:szCs w:val="20"/>
                <w:color w:val="auto"/>
              </w:rPr>
            </w:pPr>
            <w:r>
              <w:rPr>
                <w:rFonts w:ascii="Arial" w:cs="Arial" w:eastAsia="Arial" w:hAnsi="Arial"/>
                <w:sz w:val="18"/>
                <w:szCs w:val="18"/>
                <w:color w:val="auto"/>
              </w:rPr>
              <w:t>Consolidated Statements of Comprehensive Income/(loss) for the years ended</w:t>
            </w:r>
          </w:p>
        </w:tc>
        <w:tc>
          <w:tcPr>
            <w:tcW w:w="3740" w:type="dxa"/>
            <w:vAlign w:val="bottom"/>
          </w:tcPr>
          <w:p>
            <w:pPr>
              <w:ind w:left="260"/>
              <w:spacing w:after="0" w:line="202" w:lineRule="exact"/>
              <w:rPr>
                <w:sz w:val="20"/>
                <w:szCs w:val="20"/>
                <w:color w:val="auto"/>
              </w:rPr>
            </w:pPr>
            <w:r>
              <w:rPr>
                <w:rFonts w:ascii="Arial" w:cs="Arial" w:eastAsia="Arial" w:hAnsi="Arial"/>
                <w:sz w:val="18"/>
                <w:szCs w:val="18"/>
                <w:color w:val="auto"/>
              </w:rPr>
              <w:t>X</w:t>
            </w:r>
          </w:p>
        </w:tc>
      </w:tr>
      <w:tr>
        <w:trPr>
          <w:trHeight w:val="203"/>
        </w:trPr>
        <w:tc>
          <w:tcPr>
            <w:tcW w:w="900" w:type="dxa"/>
            <w:vAlign w:val="bottom"/>
          </w:tcPr>
          <w:p>
            <w:pPr>
              <w:spacing w:after="0"/>
              <w:rPr>
                <w:sz w:val="17"/>
                <w:szCs w:val="17"/>
                <w:color w:val="auto"/>
              </w:rPr>
            </w:pPr>
          </w:p>
        </w:tc>
        <w:tc>
          <w:tcPr>
            <w:tcW w:w="6800" w:type="dxa"/>
            <w:vAlign w:val="bottom"/>
          </w:tcPr>
          <w:p>
            <w:pPr>
              <w:ind w:left="280"/>
              <w:spacing w:after="0" w:line="202" w:lineRule="exact"/>
              <w:rPr>
                <w:sz w:val="20"/>
                <w:szCs w:val="20"/>
                <w:color w:val="auto"/>
              </w:rPr>
            </w:pPr>
            <w:r>
              <w:rPr>
                <w:rFonts w:ascii="Arial" w:cs="Arial" w:eastAsia="Arial" w:hAnsi="Arial"/>
                <w:sz w:val="18"/>
                <w:szCs w:val="18"/>
                <w:color w:val="auto"/>
              </w:rPr>
              <w:t>December 31, 2016, 2015, and 2014</w:t>
            </w:r>
          </w:p>
        </w:tc>
        <w:tc>
          <w:tcPr>
            <w:tcW w:w="3740" w:type="dxa"/>
            <w:vAlign w:val="bottom"/>
          </w:tcPr>
          <w:p>
            <w:pPr>
              <w:spacing w:after="0"/>
              <w:rPr>
                <w:sz w:val="17"/>
                <w:szCs w:val="17"/>
                <w:color w:val="auto"/>
              </w:rPr>
            </w:pPr>
          </w:p>
        </w:tc>
      </w:tr>
      <w:tr>
        <w:trPr>
          <w:trHeight w:val="203"/>
        </w:trPr>
        <w:tc>
          <w:tcPr>
            <w:tcW w:w="900" w:type="dxa"/>
            <w:vAlign w:val="bottom"/>
          </w:tcPr>
          <w:p>
            <w:pPr>
              <w:ind w:left="40"/>
              <w:spacing w:after="0" w:line="202" w:lineRule="exact"/>
              <w:rPr>
                <w:sz w:val="20"/>
                <w:szCs w:val="20"/>
                <w:color w:val="auto"/>
              </w:rPr>
            </w:pPr>
            <w:r>
              <w:rPr>
                <w:rFonts w:ascii="Arial" w:cs="Arial" w:eastAsia="Arial" w:hAnsi="Arial"/>
                <w:sz w:val="18"/>
                <w:szCs w:val="18"/>
                <w:color w:val="auto"/>
              </w:rPr>
              <w:t>101(iii)</w:t>
            </w:r>
          </w:p>
        </w:tc>
        <w:tc>
          <w:tcPr>
            <w:tcW w:w="6800" w:type="dxa"/>
            <w:vAlign w:val="bottom"/>
          </w:tcPr>
          <w:p>
            <w:pPr>
              <w:ind w:left="280"/>
              <w:spacing w:after="0" w:line="202" w:lineRule="exact"/>
              <w:rPr>
                <w:sz w:val="20"/>
                <w:szCs w:val="20"/>
                <w:color w:val="auto"/>
              </w:rPr>
            </w:pPr>
            <w:r>
              <w:rPr>
                <w:rFonts w:ascii="Arial" w:cs="Arial" w:eastAsia="Arial" w:hAnsi="Arial"/>
                <w:sz w:val="18"/>
                <w:szCs w:val="18"/>
                <w:color w:val="auto"/>
              </w:rPr>
              <w:t>Consolidated Balance Sheets as of December 31, 2016 and 2015</w:t>
            </w:r>
          </w:p>
        </w:tc>
        <w:tc>
          <w:tcPr>
            <w:tcW w:w="3740" w:type="dxa"/>
            <w:vAlign w:val="bottom"/>
          </w:tcPr>
          <w:p>
            <w:pPr>
              <w:ind w:left="260"/>
              <w:spacing w:after="0" w:line="202" w:lineRule="exact"/>
              <w:rPr>
                <w:sz w:val="20"/>
                <w:szCs w:val="20"/>
                <w:color w:val="auto"/>
              </w:rPr>
            </w:pPr>
            <w:r>
              <w:rPr>
                <w:rFonts w:ascii="Arial" w:cs="Arial" w:eastAsia="Arial" w:hAnsi="Arial"/>
                <w:sz w:val="18"/>
                <w:szCs w:val="18"/>
                <w:color w:val="auto"/>
              </w:rPr>
              <w:t>X</w:t>
            </w:r>
          </w:p>
        </w:tc>
      </w:tr>
      <w:tr>
        <w:trPr>
          <w:trHeight w:val="203"/>
        </w:trPr>
        <w:tc>
          <w:tcPr>
            <w:tcW w:w="900" w:type="dxa"/>
            <w:vAlign w:val="bottom"/>
          </w:tcPr>
          <w:p>
            <w:pPr>
              <w:ind w:left="40"/>
              <w:spacing w:after="0" w:line="202" w:lineRule="exact"/>
              <w:rPr>
                <w:sz w:val="20"/>
                <w:szCs w:val="20"/>
                <w:color w:val="auto"/>
              </w:rPr>
            </w:pPr>
            <w:r>
              <w:rPr>
                <w:rFonts w:ascii="Arial" w:cs="Arial" w:eastAsia="Arial" w:hAnsi="Arial"/>
                <w:sz w:val="18"/>
                <w:szCs w:val="18"/>
                <w:color w:val="auto"/>
              </w:rPr>
              <w:t>101(iv)</w:t>
            </w:r>
          </w:p>
        </w:tc>
        <w:tc>
          <w:tcPr>
            <w:tcW w:w="6800" w:type="dxa"/>
            <w:vAlign w:val="bottom"/>
          </w:tcPr>
          <w:p>
            <w:pPr>
              <w:ind w:left="280"/>
              <w:spacing w:after="0" w:line="202" w:lineRule="exact"/>
              <w:rPr>
                <w:sz w:val="20"/>
                <w:szCs w:val="20"/>
                <w:color w:val="auto"/>
              </w:rPr>
            </w:pPr>
            <w:r>
              <w:rPr>
                <w:rFonts w:ascii="Arial" w:cs="Arial" w:eastAsia="Arial" w:hAnsi="Arial"/>
                <w:sz w:val="18"/>
                <w:szCs w:val="18"/>
                <w:color w:val="auto"/>
              </w:rPr>
              <w:t>Consolidated Statements of Cash Flows for the years ended December 31,</w:t>
            </w:r>
          </w:p>
        </w:tc>
        <w:tc>
          <w:tcPr>
            <w:tcW w:w="3740" w:type="dxa"/>
            <w:vAlign w:val="bottom"/>
          </w:tcPr>
          <w:p>
            <w:pPr>
              <w:ind w:left="260"/>
              <w:spacing w:after="0" w:line="202" w:lineRule="exact"/>
              <w:rPr>
                <w:sz w:val="20"/>
                <w:szCs w:val="20"/>
                <w:color w:val="auto"/>
              </w:rPr>
            </w:pPr>
            <w:r>
              <w:rPr>
                <w:rFonts w:ascii="Arial" w:cs="Arial" w:eastAsia="Arial" w:hAnsi="Arial"/>
                <w:sz w:val="18"/>
                <w:szCs w:val="18"/>
                <w:color w:val="auto"/>
              </w:rPr>
              <w:t>X</w:t>
            </w:r>
          </w:p>
        </w:tc>
      </w:tr>
      <w:tr>
        <w:trPr>
          <w:trHeight w:val="203"/>
        </w:trPr>
        <w:tc>
          <w:tcPr>
            <w:tcW w:w="900" w:type="dxa"/>
            <w:vAlign w:val="bottom"/>
          </w:tcPr>
          <w:p>
            <w:pPr>
              <w:spacing w:after="0"/>
              <w:rPr>
                <w:sz w:val="17"/>
                <w:szCs w:val="17"/>
                <w:color w:val="auto"/>
              </w:rPr>
            </w:pPr>
          </w:p>
        </w:tc>
        <w:tc>
          <w:tcPr>
            <w:tcW w:w="6800" w:type="dxa"/>
            <w:vAlign w:val="bottom"/>
          </w:tcPr>
          <w:p>
            <w:pPr>
              <w:ind w:left="280"/>
              <w:spacing w:after="0" w:line="202" w:lineRule="exact"/>
              <w:rPr>
                <w:sz w:val="20"/>
                <w:szCs w:val="20"/>
                <w:color w:val="auto"/>
              </w:rPr>
            </w:pPr>
            <w:r>
              <w:rPr>
                <w:rFonts w:ascii="Arial" w:cs="Arial" w:eastAsia="Arial" w:hAnsi="Arial"/>
                <w:sz w:val="18"/>
                <w:szCs w:val="18"/>
                <w:color w:val="auto"/>
              </w:rPr>
              <w:t>2016, 2015, and 2014</w:t>
            </w:r>
          </w:p>
        </w:tc>
        <w:tc>
          <w:tcPr>
            <w:tcW w:w="3740" w:type="dxa"/>
            <w:vAlign w:val="bottom"/>
          </w:tcPr>
          <w:p>
            <w:pPr>
              <w:spacing w:after="0"/>
              <w:rPr>
                <w:sz w:val="17"/>
                <w:szCs w:val="17"/>
                <w:color w:val="auto"/>
              </w:rPr>
            </w:pPr>
          </w:p>
        </w:tc>
      </w:tr>
      <w:tr>
        <w:trPr>
          <w:trHeight w:val="203"/>
        </w:trPr>
        <w:tc>
          <w:tcPr>
            <w:tcW w:w="900" w:type="dxa"/>
            <w:vAlign w:val="bottom"/>
          </w:tcPr>
          <w:p>
            <w:pPr>
              <w:ind w:left="40"/>
              <w:spacing w:after="0" w:line="202" w:lineRule="exact"/>
              <w:rPr>
                <w:sz w:val="20"/>
                <w:szCs w:val="20"/>
                <w:color w:val="auto"/>
              </w:rPr>
            </w:pPr>
            <w:r>
              <w:rPr>
                <w:rFonts w:ascii="Arial" w:cs="Arial" w:eastAsia="Arial" w:hAnsi="Arial"/>
                <w:sz w:val="18"/>
                <w:szCs w:val="18"/>
                <w:color w:val="auto"/>
              </w:rPr>
              <w:t>101(v)</w:t>
            </w:r>
          </w:p>
        </w:tc>
        <w:tc>
          <w:tcPr>
            <w:tcW w:w="6800" w:type="dxa"/>
            <w:vAlign w:val="bottom"/>
          </w:tcPr>
          <w:p>
            <w:pPr>
              <w:ind w:left="280"/>
              <w:spacing w:after="0" w:line="202" w:lineRule="exact"/>
              <w:rPr>
                <w:sz w:val="20"/>
                <w:szCs w:val="20"/>
                <w:color w:val="auto"/>
              </w:rPr>
            </w:pPr>
            <w:r>
              <w:rPr>
                <w:rFonts w:ascii="Arial" w:cs="Arial" w:eastAsia="Arial" w:hAnsi="Arial"/>
                <w:sz w:val="18"/>
                <w:szCs w:val="18"/>
                <w:color w:val="auto"/>
              </w:rPr>
              <w:t>Notes to Consolidated Financial Statements</w:t>
            </w:r>
          </w:p>
        </w:tc>
        <w:tc>
          <w:tcPr>
            <w:tcW w:w="3740" w:type="dxa"/>
            <w:vAlign w:val="bottom"/>
          </w:tcPr>
          <w:p>
            <w:pPr>
              <w:ind w:left="260"/>
              <w:spacing w:after="0" w:line="202" w:lineRule="exact"/>
              <w:rPr>
                <w:sz w:val="20"/>
                <w:szCs w:val="20"/>
                <w:color w:val="auto"/>
              </w:rPr>
            </w:pPr>
            <w:r>
              <w:rPr>
                <w:rFonts w:ascii="Arial" w:cs="Arial" w:eastAsia="Arial" w:hAnsi="Arial"/>
                <w:sz w:val="18"/>
                <w:szCs w:val="18"/>
                <w:color w:val="auto"/>
              </w:rPr>
              <w:t>X</w:t>
            </w:r>
          </w:p>
        </w:tc>
      </w:tr>
    </w:tbl>
    <w:p>
      <w:pPr>
        <w:ind w:left="40" w:right="140"/>
        <w:spacing w:after="0" w:line="246" w:lineRule="auto"/>
        <w:rPr>
          <w:sz w:val="20"/>
          <w:szCs w:val="20"/>
          <w:color w:val="auto"/>
        </w:rPr>
      </w:pPr>
      <w:r>
        <w:rPr>
          <w:rFonts w:ascii="Arial" w:cs="Arial" w:eastAsia="Arial" w:hAnsi="Arial"/>
          <w:sz w:val="18"/>
          <w:szCs w:val="18"/>
          <w:color w:val="auto"/>
        </w:rPr>
        <w:t>* As provided in Rule 406T of Regulation S-T, this information shall not be deemed “filed” for purposes of Sections 11 and 12 of the Securities Act and Section 18 of the Securities Exchange Act or otherwise subject to liability under those sections.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1120"/>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40"/>
          </w:cols>
          <w:pgMar w:left="240" w:top="115" w:right="21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SIGNATURES</w:t>
      </w:r>
    </w:p>
    <w:p>
      <w:pPr>
        <w:spacing w:after="0" w:line="194" w:lineRule="exact"/>
        <w:rPr>
          <w:sz w:val="20"/>
          <w:szCs w:val="20"/>
          <w:color w:val="auto"/>
        </w:rPr>
      </w:pPr>
    </w:p>
    <w:p>
      <w:pPr>
        <w:ind w:right="140" w:firstLine="648"/>
        <w:spacing w:after="0" w:line="246" w:lineRule="auto"/>
        <w:rPr>
          <w:sz w:val="20"/>
          <w:szCs w:val="20"/>
          <w:color w:val="auto"/>
        </w:rPr>
      </w:pPr>
      <w:r>
        <w:rPr>
          <w:rFonts w:ascii="Arial" w:cs="Arial" w:eastAsia="Arial" w:hAnsi="Arial"/>
          <w:sz w:val="18"/>
          <w:szCs w:val="18"/>
          <w:color w:val="auto"/>
        </w:rPr>
        <w:t>Pursuant to the requirements of Section 13 or 15(d) of the Securities Exchange Act of 1934, the Company has duly caused this report to be signed on its behalf by the undersigned, thereunto duly authorized on the 1st day of March, 2017.</w:t>
      </w:r>
    </w:p>
    <w:p>
      <w:pPr>
        <w:spacing w:after="0" w:line="17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ALBANY INTERNATIONAL CORP.</w:t>
      </w:r>
    </w:p>
    <w:p>
      <w:pPr>
        <w:spacing w:after="0" w:line="167" w:lineRule="exact"/>
        <w:rPr>
          <w:sz w:val="20"/>
          <w:szCs w:val="20"/>
          <w:color w:val="auto"/>
        </w:rPr>
      </w:pPr>
    </w:p>
    <w:p>
      <w:pPr>
        <w:ind w:left="5820"/>
        <w:spacing w:after="0"/>
        <w:rPr>
          <w:sz w:val="20"/>
          <w:szCs w:val="20"/>
          <w:color w:val="auto"/>
        </w:rPr>
      </w:pPr>
      <w:r>
        <w:rPr>
          <w:rFonts w:ascii="Arial" w:cs="Arial" w:eastAsia="Arial" w:hAnsi="Arial"/>
          <w:sz w:val="18"/>
          <w:szCs w:val="18"/>
          <w:u w:val="single" w:color="auto"/>
          <w:color w:val="auto"/>
        </w:rPr>
        <w:t>by /s/ John B. Cozzolino</w:t>
      </w:r>
    </w:p>
    <w:p>
      <w:pPr>
        <w:ind w:left="5820"/>
        <w:spacing w:after="0" w:line="234" w:lineRule="auto"/>
        <w:rPr>
          <w:sz w:val="20"/>
          <w:szCs w:val="20"/>
          <w:color w:val="auto"/>
        </w:rPr>
      </w:pPr>
      <w:r>
        <w:rPr>
          <w:rFonts w:ascii="Arial" w:cs="Arial" w:eastAsia="Arial" w:hAnsi="Arial"/>
          <w:sz w:val="18"/>
          <w:szCs w:val="18"/>
          <w:color w:val="auto"/>
        </w:rPr>
        <w:t>John B. Cozzolino</w:t>
      </w:r>
    </w:p>
    <w:p>
      <w:pPr>
        <w:ind w:left="5820"/>
        <w:spacing w:after="0" w:line="235" w:lineRule="auto"/>
        <w:rPr>
          <w:sz w:val="20"/>
          <w:szCs w:val="20"/>
          <w:color w:val="auto"/>
        </w:rPr>
      </w:pPr>
      <w:r>
        <w:rPr>
          <w:rFonts w:ascii="Arial" w:cs="Arial" w:eastAsia="Arial" w:hAnsi="Arial"/>
          <w:sz w:val="18"/>
          <w:szCs w:val="18"/>
          <w:color w:val="auto"/>
        </w:rPr>
        <w:t>Chief Financial Officer and Treasurer</w:t>
      </w:r>
    </w:p>
    <w:p>
      <w:pPr>
        <w:spacing w:after="0" w:line="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(Principal Financial Officer)</w:t>
      </w:r>
    </w:p>
    <w:p>
      <w:pPr>
        <w:spacing w:after="0" w:line="374" w:lineRule="exact"/>
        <w:rPr>
          <w:sz w:val="20"/>
          <w:szCs w:val="20"/>
          <w:color w:val="auto"/>
        </w:rPr>
      </w:pPr>
    </w:p>
    <w:p>
      <w:pPr>
        <w:ind w:right="40" w:firstLine="648"/>
        <w:spacing w:after="0" w:line="246"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Company and in the capacities and on the dates indicated.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00" w:type="dxa"/>
            <w:vAlign w:val="bottom"/>
            <w:gridSpan w:val="3"/>
          </w:tcPr>
          <w:p>
            <w:pPr>
              <w:ind w:left="40"/>
              <w:spacing w:after="0"/>
              <w:rPr>
                <w:sz w:val="20"/>
                <w:szCs w:val="20"/>
                <w:color w:val="auto"/>
              </w:rPr>
            </w:pPr>
            <w:r>
              <w:rPr>
                <w:rFonts w:ascii="Arial" w:cs="Arial" w:eastAsia="Arial" w:hAnsi="Arial"/>
                <w:sz w:val="18"/>
                <w:szCs w:val="18"/>
                <w:b w:val="1"/>
                <w:bCs w:val="1"/>
                <w:color w:val="auto"/>
              </w:rPr>
              <w:t>Signature</w:t>
            </w:r>
          </w:p>
        </w:tc>
        <w:tc>
          <w:tcPr>
            <w:tcW w:w="260" w:type="dxa"/>
            <w:vAlign w:val="bottom"/>
          </w:tcPr>
          <w:p>
            <w:pPr>
              <w:spacing w:after="0"/>
              <w:rPr>
                <w:sz w:val="17"/>
                <w:szCs w:val="17"/>
                <w:color w:val="auto"/>
              </w:rPr>
            </w:pPr>
          </w:p>
        </w:tc>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c>
          <w:tcPr>
            <w:tcW w:w="2120" w:type="dxa"/>
            <w:vAlign w:val="bottom"/>
            <w:gridSpan w:val="3"/>
          </w:tcPr>
          <w:p>
            <w:pPr>
              <w:ind w:left="960"/>
              <w:spacing w:after="0"/>
              <w:rPr>
                <w:sz w:val="20"/>
                <w:szCs w:val="20"/>
                <w:color w:val="auto"/>
              </w:rPr>
            </w:pPr>
            <w:r>
              <w:rPr>
                <w:rFonts w:ascii="Arial" w:cs="Arial" w:eastAsia="Arial" w:hAnsi="Arial"/>
                <w:sz w:val="18"/>
                <w:szCs w:val="18"/>
                <w:b w:val="1"/>
                <w:bCs w:val="1"/>
                <w:color w:val="auto"/>
              </w:rPr>
              <w:t>Date</w:t>
            </w:r>
          </w:p>
        </w:tc>
      </w:tr>
      <w:tr>
        <w:trPr>
          <w:trHeight w:val="20"/>
        </w:trPr>
        <w:tc>
          <w:tcPr>
            <w:tcW w:w="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9"/>
        </w:trPr>
        <w:tc>
          <w:tcPr>
            <w:tcW w:w="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 and Director</w:t>
            </w:r>
          </w:p>
        </w:tc>
        <w:tc>
          <w:tcPr>
            <w:tcW w:w="2120" w:type="dxa"/>
            <w:vAlign w:val="bottom"/>
            <w:gridSpan w:val="3"/>
          </w:tcPr>
          <w:p>
            <w:pPr>
              <w:ind w:left="960"/>
              <w:spacing w:after="0"/>
              <w:rPr>
                <w:sz w:val="20"/>
                <w:szCs w:val="20"/>
                <w:color w:val="auto"/>
              </w:rPr>
            </w:pPr>
            <w:r>
              <w:rPr>
                <w:rFonts w:ascii="Arial" w:cs="Arial" w:eastAsia="Arial" w:hAnsi="Arial"/>
                <w:sz w:val="18"/>
                <w:szCs w:val="18"/>
                <w:color w:val="auto"/>
                <w:w w:val="99"/>
              </w:rPr>
              <w:t>March 1, 2017</w:t>
            </w:r>
          </w:p>
        </w:tc>
      </w:tr>
      <w:tr>
        <w:trPr>
          <w:trHeight w:val="217"/>
        </w:trPr>
        <w:tc>
          <w:tcPr>
            <w:tcW w:w="3100" w:type="dxa"/>
            <w:vAlign w:val="bottom"/>
            <w:gridSpan w:val="3"/>
          </w:tcPr>
          <w:p>
            <w:pPr>
              <w:ind w:left="40"/>
              <w:spacing w:after="0"/>
              <w:rPr>
                <w:sz w:val="20"/>
                <w:szCs w:val="20"/>
                <w:color w:val="auto"/>
              </w:rPr>
            </w:pPr>
            <w:r>
              <w:rPr>
                <w:rFonts w:ascii="Arial" w:cs="Arial" w:eastAsia="Arial" w:hAnsi="Arial"/>
                <w:sz w:val="18"/>
                <w:szCs w:val="18"/>
                <w:color w:val="auto"/>
              </w:rPr>
              <w:t>Joseph G. Morone</w:t>
            </w:r>
          </w:p>
        </w:tc>
        <w:tc>
          <w:tcPr>
            <w:tcW w:w="260" w:type="dxa"/>
            <w:vAlign w:val="bottom"/>
          </w:tcPr>
          <w:p>
            <w:pPr>
              <w:spacing w:after="0"/>
              <w:rPr>
                <w:sz w:val="18"/>
                <w:szCs w:val="18"/>
                <w:color w:val="auto"/>
              </w:rPr>
            </w:pPr>
          </w:p>
        </w:tc>
        <w:tc>
          <w:tcPr>
            <w:tcW w:w="4980" w:type="dxa"/>
            <w:vAlign w:val="bottom"/>
            <w:gridSpan w:val="2"/>
          </w:tcPr>
          <w:p>
            <w:pPr>
              <w:spacing w:after="0" w:line="202" w:lineRule="exact"/>
              <w:rPr>
                <w:sz w:val="20"/>
                <w:szCs w:val="20"/>
                <w:color w:val="auto"/>
              </w:rPr>
            </w:pPr>
            <w:r>
              <w:rPr>
                <w:rFonts w:ascii="Arial" w:cs="Arial" w:eastAsia="Arial" w:hAnsi="Arial"/>
                <w:sz w:val="18"/>
                <w:szCs w:val="18"/>
                <w:color w:val="auto"/>
              </w:rPr>
              <w:t>(Principal Executive Officer)</w:t>
            </w: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398"/>
        </w:trPr>
        <w:tc>
          <w:tcPr>
            <w:tcW w:w="310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rPr>
              <w:t>/s/ John B. Cozzolino</w:t>
            </w:r>
          </w:p>
        </w:tc>
        <w:tc>
          <w:tcPr>
            <w:tcW w:w="26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Chief Financial Officer and Treasurer</w:t>
            </w:r>
          </w:p>
        </w:tc>
        <w:tc>
          <w:tcPr>
            <w:tcW w:w="2120" w:type="dxa"/>
            <w:vAlign w:val="bottom"/>
            <w:gridSpan w:val="3"/>
          </w:tcPr>
          <w:p>
            <w:pPr>
              <w:ind w:left="960"/>
              <w:spacing w:after="0"/>
              <w:rPr>
                <w:sz w:val="20"/>
                <w:szCs w:val="20"/>
                <w:color w:val="auto"/>
              </w:rPr>
            </w:pPr>
            <w:r>
              <w:rPr>
                <w:rFonts w:ascii="Arial" w:cs="Arial" w:eastAsia="Arial" w:hAnsi="Arial"/>
                <w:sz w:val="18"/>
                <w:szCs w:val="18"/>
                <w:color w:val="auto"/>
                <w:w w:val="99"/>
              </w:rPr>
              <w:t>March 1, 2017</w:t>
            </w:r>
          </w:p>
        </w:tc>
      </w:tr>
      <w:tr>
        <w:trPr>
          <w:trHeight w:val="217"/>
        </w:trPr>
        <w:tc>
          <w:tcPr>
            <w:tcW w:w="3100" w:type="dxa"/>
            <w:vAlign w:val="bottom"/>
            <w:gridSpan w:val="3"/>
          </w:tcPr>
          <w:p>
            <w:pPr>
              <w:ind w:left="40"/>
              <w:spacing w:after="0"/>
              <w:rPr>
                <w:sz w:val="20"/>
                <w:szCs w:val="20"/>
                <w:color w:val="auto"/>
              </w:rPr>
            </w:pPr>
            <w:r>
              <w:rPr>
                <w:rFonts w:ascii="Arial" w:cs="Arial" w:eastAsia="Arial" w:hAnsi="Arial"/>
                <w:sz w:val="18"/>
                <w:szCs w:val="18"/>
                <w:color w:val="auto"/>
              </w:rPr>
              <w:t>John B. Cozzolino</w:t>
            </w:r>
          </w:p>
        </w:tc>
        <w:tc>
          <w:tcPr>
            <w:tcW w:w="260" w:type="dxa"/>
            <w:vAlign w:val="bottom"/>
          </w:tcPr>
          <w:p>
            <w:pPr>
              <w:spacing w:after="0"/>
              <w:rPr>
                <w:sz w:val="18"/>
                <w:szCs w:val="18"/>
                <w:color w:val="auto"/>
              </w:rPr>
            </w:pPr>
          </w:p>
        </w:tc>
        <w:tc>
          <w:tcPr>
            <w:tcW w:w="4980" w:type="dxa"/>
            <w:vAlign w:val="bottom"/>
            <w:gridSpan w:val="2"/>
          </w:tcPr>
          <w:p>
            <w:pPr>
              <w:spacing w:after="0" w:line="202" w:lineRule="exact"/>
              <w:rPr>
                <w:sz w:val="20"/>
                <w:szCs w:val="20"/>
                <w:color w:val="auto"/>
              </w:rPr>
            </w:pPr>
            <w:r>
              <w:rPr>
                <w:rFonts w:ascii="Arial" w:cs="Arial" w:eastAsia="Arial" w:hAnsi="Arial"/>
                <w:sz w:val="18"/>
                <w:szCs w:val="18"/>
                <w:color w:val="auto"/>
              </w:rPr>
              <w:t>(Principal Financial Officer)</w:t>
            </w: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398"/>
        </w:trPr>
        <w:tc>
          <w:tcPr>
            <w:tcW w:w="3100" w:type="dxa"/>
            <w:vAlign w:val="bottom"/>
            <w:tcBorders>
              <w:bottom w:val="single" w:sz="8" w:color="auto"/>
            </w:tcBorders>
            <w:gridSpan w:val="3"/>
          </w:tcPr>
          <w:p>
            <w:pPr>
              <w:ind w:left="1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Vice President–Controller</w:t>
            </w:r>
          </w:p>
        </w:tc>
        <w:tc>
          <w:tcPr>
            <w:tcW w:w="2120" w:type="dxa"/>
            <w:vAlign w:val="bottom"/>
            <w:gridSpan w:val="3"/>
          </w:tcPr>
          <w:p>
            <w:pPr>
              <w:ind w:left="960"/>
              <w:spacing w:after="0"/>
              <w:rPr>
                <w:sz w:val="20"/>
                <w:szCs w:val="20"/>
                <w:color w:val="auto"/>
              </w:rPr>
            </w:pPr>
            <w:r>
              <w:rPr>
                <w:rFonts w:ascii="Arial" w:cs="Arial" w:eastAsia="Arial" w:hAnsi="Arial"/>
                <w:sz w:val="18"/>
                <w:szCs w:val="18"/>
                <w:color w:val="auto"/>
                <w:w w:val="99"/>
              </w:rPr>
              <w:t>March 1, 2017</w:t>
            </w:r>
          </w:p>
        </w:tc>
      </w:tr>
      <w:tr>
        <w:trPr>
          <w:trHeight w:val="217"/>
        </w:trPr>
        <w:tc>
          <w:tcPr>
            <w:tcW w:w="3100" w:type="dxa"/>
            <w:vAlign w:val="bottom"/>
            <w:gridSpan w:val="3"/>
          </w:tcPr>
          <w:p>
            <w:pPr>
              <w:ind w:left="40"/>
              <w:spacing w:after="0"/>
              <w:rPr>
                <w:sz w:val="20"/>
                <w:szCs w:val="20"/>
                <w:color w:val="auto"/>
              </w:rPr>
            </w:pPr>
            <w:r>
              <w:rPr>
                <w:rFonts w:ascii="Arial" w:cs="Arial" w:eastAsia="Arial" w:hAnsi="Arial"/>
                <w:sz w:val="18"/>
                <w:szCs w:val="18"/>
                <w:color w:val="auto"/>
              </w:rPr>
              <w:t>David M. Pawlick</w:t>
            </w:r>
          </w:p>
        </w:tc>
        <w:tc>
          <w:tcPr>
            <w:tcW w:w="260" w:type="dxa"/>
            <w:vAlign w:val="bottom"/>
          </w:tcPr>
          <w:p>
            <w:pPr>
              <w:spacing w:after="0"/>
              <w:rPr>
                <w:sz w:val="18"/>
                <w:szCs w:val="18"/>
                <w:color w:val="auto"/>
              </w:rPr>
            </w:pPr>
          </w:p>
        </w:tc>
        <w:tc>
          <w:tcPr>
            <w:tcW w:w="4980" w:type="dxa"/>
            <w:vAlign w:val="bottom"/>
            <w:gridSpan w:val="2"/>
          </w:tcPr>
          <w:p>
            <w:pPr>
              <w:spacing w:after="0" w:line="202" w:lineRule="exact"/>
              <w:rPr>
                <w:sz w:val="20"/>
                <w:szCs w:val="20"/>
                <w:color w:val="auto"/>
              </w:rPr>
            </w:pPr>
            <w:r>
              <w:rPr>
                <w:rFonts w:ascii="Arial" w:cs="Arial" w:eastAsia="Arial" w:hAnsi="Arial"/>
                <w:sz w:val="18"/>
                <w:szCs w:val="18"/>
                <w:color w:val="auto"/>
              </w:rPr>
              <w:t>(Principal Accounting Officer)</w:t>
            </w: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398"/>
        </w:trPr>
        <w:tc>
          <w:tcPr>
            <w:tcW w:w="3100" w:type="dxa"/>
            <w:vAlign w:val="bottom"/>
            <w:tcBorders>
              <w:bottom w:val="single" w:sz="8" w:color="auto"/>
            </w:tcBorders>
            <w:gridSpan w:val="3"/>
          </w:tcPr>
          <w:p>
            <w:pPr>
              <w:ind w:left="1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Chairman of the Board and Director</w:t>
            </w:r>
          </w:p>
        </w:tc>
        <w:tc>
          <w:tcPr>
            <w:tcW w:w="2120" w:type="dxa"/>
            <w:vAlign w:val="bottom"/>
            <w:gridSpan w:val="3"/>
          </w:tcPr>
          <w:p>
            <w:pPr>
              <w:ind w:left="960"/>
              <w:spacing w:after="0"/>
              <w:rPr>
                <w:sz w:val="20"/>
                <w:szCs w:val="20"/>
                <w:color w:val="auto"/>
              </w:rPr>
            </w:pPr>
            <w:r>
              <w:rPr>
                <w:rFonts w:ascii="Arial" w:cs="Arial" w:eastAsia="Arial" w:hAnsi="Arial"/>
                <w:sz w:val="18"/>
                <w:szCs w:val="18"/>
                <w:color w:val="auto"/>
                <w:w w:val="99"/>
              </w:rPr>
              <w:t>March 1, 2017</w:t>
            </w:r>
          </w:p>
        </w:tc>
      </w:tr>
      <w:tr>
        <w:trPr>
          <w:trHeight w:val="217"/>
        </w:trPr>
        <w:tc>
          <w:tcPr>
            <w:tcW w:w="3100" w:type="dxa"/>
            <w:vAlign w:val="bottom"/>
            <w:gridSpan w:val="3"/>
          </w:tcPr>
          <w:p>
            <w:pPr>
              <w:ind w:left="40"/>
              <w:spacing w:after="0"/>
              <w:rPr>
                <w:sz w:val="20"/>
                <w:szCs w:val="20"/>
                <w:color w:val="auto"/>
              </w:rPr>
            </w:pPr>
            <w:r>
              <w:rPr>
                <w:rFonts w:ascii="Arial" w:cs="Arial" w:eastAsia="Arial" w:hAnsi="Arial"/>
                <w:sz w:val="18"/>
                <w:szCs w:val="18"/>
                <w:color w:val="auto"/>
              </w:rPr>
              <w:t>Erland E. Kailbourne</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398"/>
        </w:trPr>
        <w:tc>
          <w:tcPr>
            <w:tcW w:w="3100" w:type="dxa"/>
            <w:vAlign w:val="bottom"/>
            <w:tcBorders>
              <w:bottom w:val="single" w:sz="8" w:color="auto"/>
            </w:tcBorders>
            <w:gridSpan w:val="3"/>
          </w:tcPr>
          <w:p>
            <w:pPr>
              <w:ind w:left="1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Vice Chairman of the Board and Director</w:t>
            </w:r>
          </w:p>
        </w:tc>
        <w:tc>
          <w:tcPr>
            <w:tcW w:w="2120" w:type="dxa"/>
            <w:vAlign w:val="bottom"/>
            <w:gridSpan w:val="3"/>
          </w:tcPr>
          <w:p>
            <w:pPr>
              <w:ind w:left="960"/>
              <w:spacing w:after="0"/>
              <w:rPr>
                <w:sz w:val="20"/>
                <w:szCs w:val="20"/>
                <w:color w:val="auto"/>
              </w:rPr>
            </w:pPr>
            <w:r>
              <w:rPr>
                <w:rFonts w:ascii="Arial" w:cs="Arial" w:eastAsia="Arial" w:hAnsi="Arial"/>
                <w:sz w:val="18"/>
                <w:szCs w:val="18"/>
                <w:color w:val="auto"/>
                <w:w w:val="99"/>
              </w:rPr>
              <w:t>March 1, 2017</w:t>
            </w:r>
          </w:p>
        </w:tc>
      </w:tr>
      <w:tr>
        <w:trPr>
          <w:trHeight w:val="217"/>
        </w:trPr>
        <w:tc>
          <w:tcPr>
            <w:tcW w:w="3100" w:type="dxa"/>
            <w:vAlign w:val="bottom"/>
            <w:gridSpan w:val="3"/>
          </w:tcPr>
          <w:p>
            <w:pPr>
              <w:ind w:left="40"/>
              <w:spacing w:after="0"/>
              <w:rPr>
                <w:sz w:val="20"/>
                <w:szCs w:val="20"/>
                <w:color w:val="auto"/>
              </w:rPr>
            </w:pPr>
            <w:r>
              <w:rPr>
                <w:rFonts w:ascii="Arial" w:cs="Arial" w:eastAsia="Arial" w:hAnsi="Arial"/>
                <w:sz w:val="18"/>
                <w:szCs w:val="18"/>
                <w:color w:val="auto"/>
              </w:rPr>
              <w:t>John C. Standish</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398"/>
        </w:trPr>
        <w:tc>
          <w:tcPr>
            <w:tcW w:w="3100" w:type="dxa"/>
            <w:vAlign w:val="bottom"/>
            <w:tcBorders>
              <w:bottom w:val="single" w:sz="8" w:color="auto"/>
            </w:tcBorders>
            <w:gridSpan w:val="3"/>
          </w:tcPr>
          <w:p>
            <w:pPr>
              <w:ind w:left="1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120" w:type="dxa"/>
            <w:vAlign w:val="bottom"/>
            <w:gridSpan w:val="3"/>
          </w:tcPr>
          <w:p>
            <w:pPr>
              <w:ind w:left="960"/>
              <w:spacing w:after="0"/>
              <w:rPr>
                <w:sz w:val="20"/>
                <w:szCs w:val="20"/>
                <w:color w:val="auto"/>
              </w:rPr>
            </w:pPr>
            <w:r>
              <w:rPr>
                <w:rFonts w:ascii="Arial" w:cs="Arial" w:eastAsia="Arial" w:hAnsi="Arial"/>
                <w:sz w:val="18"/>
                <w:szCs w:val="18"/>
                <w:color w:val="auto"/>
                <w:w w:val="99"/>
              </w:rPr>
              <w:t>March 1, 2017</w:t>
            </w:r>
          </w:p>
        </w:tc>
      </w:tr>
      <w:tr>
        <w:trPr>
          <w:trHeight w:val="217"/>
        </w:trPr>
        <w:tc>
          <w:tcPr>
            <w:tcW w:w="3100" w:type="dxa"/>
            <w:vAlign w:val="bottom"/>
            <w:gridSpan w:val="3"/>
          </w:tcPr>
          <w:p>
            <w:pPr>
              <w:ind w:left="40"/>
              <w:spacing w:after="0"/>
              <w:rPr>
                <w:sz w:val="20"/>
                <w:szCs w:val="20"/>
                <w:color w:val="auto"/>
              </w:rPr>
            </w:pPr>
            <w:r>
              <w:rPr>
                <w:rFonts w:ascii="Arial" w:cs="Arial" w:eastAsia="Arial" w:hAnsi="Arial"/>
                <w:sz w:val="18"/>
                <w:szCs w:val="18"/>
                <w:color w:val="auto"/>
              </w:rPr>
              <w:t>John F. Cassidy, Jr.</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398"/>
        </w:trPr>
        <w:tc>
          <w:tcPr>
            <w:tcW w:w="3100" w:type="dxa"/>
            <w:vAlign w:val="bottom"/>
            <w:tcBorders>
              <w:bottom w:val="single" w:sz="8" w:color="auto"/>
            </w:tcBorders>
            <w:gridSpan w:val="3"/>
          </w:tcPr>
          <w:p>
            <w:pPr>
              <w:ind w:left="1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120" w:type="dxa"/>
            <w:vAlign w:val="bottom"/>
            <w:gridSpan w:val="3"/>
          </w:tcPr>
          <w:p>
            <w:pPr>
              <w:ind w:left="960"/>
              <w:spacing w:after="0"/>
              <w:rPr>
                <w:sz w:val="20"/>
                <w:szCs w:val="20"/>
                <w:color w:val="auto"/>
              </w:rPr>
            </w:pPr>
            <w:r>
              <w:rPr>
                <w:rFonts w:ascii="Arial" w:cs="Arial" w:eastAsia="Arial" w:hAnsi="Arial"/>
                <w:sz w:val="18"/>
                <w:szCs w:val="18"/>
                <w:color w:val="auto"/>
                <w:w w:val="99"/>
              </w:rPr>
              <w:t>March 1, 2017</w:t>
            </w:r>
          </w:p>
        </w:tc>
      </w:tr>
      <w:tr>
        <w:trPr>
          <w:trHeight w:val="217"/>
        </w:trPr>
        <w:tc>
          <w:tcPr>
            <w:tcW w:w="3100" w:type="dxa"/>
            <w:vAlign w:val="bottom"/>
            <w:gridSpan w:val="3"/>
          </w:tcPr>
          <w:p>
            <w:pPr>
              <w:ind w:left="40"/>
              <w:spacing w:after="0"/>
              <w:rPr>
                <w:sz w:val="20"/>
                <w:szCs w:val="20"/>
                <w:color w:val="auto"/>
              </w:rPr>
            </w:pPr>
            <w:r>
              <w:rPr>
                <w:rFonts w:ascii="Arial" w:cs="Arial" w:eastAsia="Arial" w:hAnsi="Arial"/>
                <w:sz w:val="18"/>
                <w:szCs w:val="18"/>
                <w:color w:val="auto"/>
              </w:rPr>
              <w:t>Katharine Plourde</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398"/>
        </w:trPr>
        <w:tc>
          <w:tcPr>
            <w:tcW w:w="3100" w:type="dxa"/>
            <w:vAlign w:val="bottom"/>
            <w:tcBorders>
              <w:bottom w:val="single" w:sz="8" w:color="auto"/>
            </w:tcBorders>
            <w:gridSpan w:val="3"/>
          </w:tcPr>
          <w:p>
            <w:pPr>
              <w:ind w:left="1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120" w:type="dxa"/>
            <w:vAlign w:val="bottom"/>
            <w:gridSpan w:val="3"/>
          </w:tcPr>
          <w:p>
            <w:pPr>
              <w:ind w:left="960"/>
              <w:spacing w:after="0"/>
              <w:rPr>
                <w:sz w:val="20"/>
                <w:szCs w:val="20"/>
                <w:color w:val="auto"/>
              </w:rPr>
            </w:pPr>
            <w:r>
              <w:rPr>
                <w:rFonts w:ascii="Arial" w:cs="Arial" w:eastAsia="Arial" w:hAnsi="Arial"/>
                <w:sz w:val="18"/>
                <w:szCs w:val="18"/>
                <w:color w:val="auto"/>
                <w:w w:val="99"/>
              </w:rPr>
              <w:t>March 1, 2017</w:t>
            </w:r>
          </w:p>
        </w:tc>
      </w:tr>
      <w:tr>
        <w:trPr>
          <w:trHeight w:val="217"/>
        </w:trPr>
        <w:tc>
          <w:tcPr>
            <w:tcW w:w="3100" w:type="dxa"/>
            <w:vAlign w:val="bottom"/>
            <w:gridSpan w:val="3"/>
          </w:tcPr>
          <w:p>
            <w:pPr>
              <w:ind w:left="40"/>
              <w:spacing w:after="0"/>
              <w:rPr>
                <w:sz w:val="20"/>
                <w:szCs w:val="20"/>
                <w:color w:val="auto"/>
              </w:rPr>
            </w:pPr>
            <w:r>
              <w:rPr>
                <w:rFonts w:ascii="Arial" w:cs="Arial" w:eastAsia="Arial" w:hAnsi="Arial"/>
                <w:sz w:val="18"/>
                <w:szCs w:val="18"/>
                <w:color w:val="auto"/>
              </w:rPr>
              <w:t>Edgar G. Hotard</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398"/>
        </w:trPr>
        <w:tc>
          <w:tcPr>
            <w:tcW w:w="3100" w:type="dxa"/>
            <w:vAlign w:val="bottom"/>
            <w:tcBorders>
              <w:bottom w:val="single" w:sz="8" w:color="auto"/>
            </w:tcBorders>
            <w:gridSpan w:val="3"/>
          </w:tcPr>
          <w:p>
            <w:pPr>
              <w:ind w:left="1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120" w:type="dxa"/>
            <w:vAlign w:val="bottom"/>
            <w:gridSpan w:val="3"/>
          </w:tcPr>
          <w:p>
            <w:pPr>
              <w:ind w:left="960"/>
              <w:spacing w:after="0"/>
              <w:rPr>
                <w:sz w:val="20"/>
                <w:szCs w:val="20"/>
                <w:color w:val="auto"/>
              </w:rPr>
            </w:pPr>
            <w:r>
              <w:rPr>
                <w:rFonts w:ascii="Arial" w:cs="Arial" w:eastAsia="Arial" w:hAnsi="Arial"/>
                <w:sz w:val="18"/>
                <w:szCs w:val="18"/>
                <w:color w:val="auto"/>
                <w:w w:val="99"/>
              </w:rPr>
              <w:t>March 1, 2017</w:t>
            </w:r>
          </w:p>
        </w:tc>
      </w:tr>
      <w:tr>
        <w:trPr>
          <w:trHeight w:val="217"/>
        </w:trPr>
        <w:tc>
          <w:tcPr>
            <w:tcW w:w="3100" w:type="dxa"/>
            <w:vAlign w:val="bottom"/>
            <w:gridSpan w:val="3"/>
          </w:tcPr>
          <w:p>
            <w:pPr>
              <w:ind w:left="40"/>
              <w:spacing w:after="0"/>
              <w:rPr>
                <w:sz w:val="20"/>
                <w:szCs w:val="20"/>
                <w:color w:val="auto"/>
              </w:rPr>
            </w:pPr>
            <w:r>
              <w:rPr>
                <w:rFonts w:ascii="Arial" w:cs="Arial" w:eastAsia="Arial" w:hAnsi="Arial"/>
                <w:sz w:val="18"/>
                <w:szCs w:val="18"/>
                <w:color w:val="auto"/>
              </w:rPr>
              <w:t>John R. Scannell</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398"/>
        </w:trPr>
        <w:tc>
          <w:tcPr>
            <w:tcW w:w="3100" w:type="dxa"/>
            <w:vAlign w:val="bottom"/>
            <w:tcBorders>
              <w:bottom w:val="single" w:sz="8" w:color="auto"/>
            </w:tcBorders>
            <w:gridSpan w:val="3"/>
          </w:tcPr>
          <w:p>
            <w:pPr>
              <w:ind w:left="1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120" w:type="dxa"/>
            <w:vAlign w:val="bottom"/>
            <w:gridSpan w:val="3"/>
          </w:tcPr>
          <w:p>
            <w:pPr>
              <w:ind w:left="960"/>
              <w:spacing w:after="0"/>
              <w:rPr>
                <w:sz w:val="20"/>
                <w:szCs w:val="20"/>
                <w:color w:val="auto"/>
              </w:rPr>
            </w:pPr>
            <w:r>
              <w:rPr>
                <w:rFonts w:ascii="Arial" w:cs="Arial" w:eastAsia="Arial" w:hAnsi="Arial"/>
                <w:sz w:val="18"/>
                <w:szCs w:val="18"/>
                <w:color w:val="auto"/>
                <w:w w:val="99"/>
              </w:rPr>
              <w:t>March 1, 2017</w:t>
            </w:r>
          </w:p>
        </w:tc>
      </w:tr>
      <w:tr>
        <w:trPr>
          <w:trHeight w:val="217"/>
        </w:trPr>
        <w:tc>
          <w:tcPr>
            <w:tcW w:w="3100" w:type="dxa"/>
            <w:vAlign w:val="bottom"/>
            <w:gridSpan w:val="3"/>
          </w:tcPr>
          <w:p>
            <w:pPr>
              <w:ind w:left="40"/>
              <w:spacing w:after="0"/>
              <w:rPr>
                <w:sz w:val="20"/>
                <w:szCs w:val="20"/>
                <w:color w:val="auto"/>
              </w:rPr>
            </w:pPr>
            <w:r>
              <w:rPr>
                <w:rFonts w:ascii="Arial" w:cs="Arial" w:eastAsia="Arial" w:hAnsi="Arial"/>
                <w:sz w:val="18"/>
                <w:szCs w:val="18"/>
                <w:color w:val="auto"/>
              </w:rPr>
              <w:t>Christine L. Standish</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398"/>
        </w:trPr>
        <w:tc>
          <w:tcPr>
            <w:tcW w:w="3100" w:type="dxa"/>
            <w:vAlign w:val="bottom"/>
            <w:tcBorders>
              <w:bottom w:val="single" w:sz="8" w:color="auto"/>
            </w:tcBorders>
            <w:gridSpan w:val="3"/>
          </w:tcPr>
          <w:p>
            <w:pPr>
              <w:ind w:left="1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120" w:type="dxa"/>
            <w:vAlign w:val="bottom"/>
            <w:gridSpan w:val="3"/>
          </w:tcPr>
          <w:p>
            <w:pPr>
              <w:ind w:left="960"/>
              <w:spacing w:after="0"/>
              <w:rPr>
                <w:sz w:val="20"/>
                <w:szCs w:val="20"/>
                <w:color w:val="auto"/>
              </w:rPr>
            </w:pPr>
            <w:r>
              <w:rPr>
                <w:rFonts w:ascii="Arial" w:cs="Arial" w:eastAsia="Arial" w:hAnsi="Arial"/>
                <w:sz w:val="18"/>
                <w:szCs w:val="18"/>
                <w:color w:val="auto"/>
                <w:w w:val="99"/>
              </w:rPr>
              <w:t>March 1, 2017</w:t>
            </w:r>
          </w:p>
        </w:tc>
      </w:tr>
      <w:tr>
        <w:trPr>
          <w:trHeight w:val="217"/>
        </w:trPr>
        <w:tc>
          <w:tcPr>
            <w:tcW w:w="3100" w:type="dxa"/>
            <w:vAlign w:val="bottom"/>
            <w:gridSpan w:val="3"/>
          </w:tcPr>
          <w:p>
            <w:pPr>
              <w:ind w:left="40"/>
              <w:spacing w:after="0"/>
              <w:rPr>
                <w:sz w:val="20"/>
                <w:szCs w:val="20"/>
                <w:color w:val="auto"/>
              </w:rPr>
            </w:pPr>
            <w:r>
              <w:rPr>
                <w:rFonts w:ascii="Arial" w:cs="Arial" w:eastAsia="Arial" w:hAnsi="Arial"/>
                <w:sz w:val="18"/>
                <w:szCs w:val="18"/>
                <w:color w:val="auto"/>
              </w:rPr>
              <w:t>A. William Higgins</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398"/>
        </w:trPr>
        <w:tc>
          <w:tcPr>
            <w:tcW w:w="3100" w:type="dxa"/>
            <w:vAlign w:val="bottom"/>
            <w:tcBorders>
              <w:bottom w:val="single" w:sz="8" w:color="auto"/>
            </w:tcBorders>
            <w:gridSpan w:val="3"/>
          </w:tcPr>
          <w:p>
            <w:pPr>
              <w:ind w:left="1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120" w:type="dxa"/>
            <w:vAlign w:val="bottom"/>
            <w:gridSpan w:val="3"/>
          </w:tcPr>
          <w:p>
            <w:pPr>
              <w:ind w:left="960"/>
              <w:spacing w:after="0"/>
              <w:rPr>
                <w:sz w:val="20"/>
                <w:szCs w:val="20"/>
                <w:color w:val="auto"/>
              </w:rPr>
            </w:pPr>
            <w:r>
              <w:rPr>
                <w:rFonts w:ascii="Arial" w:cs="Arial" w:eastAsia="Arial" w:hAnsi="Arial"/>
                <w:sz w:val="18"/>
                <w:szCs w:val="18"/>
                <w:color w:val="auto"/>
                <w:w w:val="99"/>
              </w:rPr>
              <w:t>March 1, 2017</w:t>
            </w:r>
          </w:p>
        </w:tc>
      </w:tr>
      <w:tr>
        <w:trPr>
          <w:trHeight w:val="217"/>
        </w:trPr>
        <w:tc>
          <w:tcPr>
            <w:tcW w:w="3100" w:type="dxa"/>
            <w:vAlign w:val="bottom"/>
            <w:gridSpan w:val="3"/>
          </w:tcPr>
          <w:p>
            <w:pPr>
              <w:ind w:left="40"/>
              <w:spacing w:after="0"/>
              <w:rPr>
                <w:sz w:val="20"/>
                <w:szCs w:val="20"/>
                <w:color w:val="auto"/>
              </w:rPr>
            </w:pPr>
            <w:r>
              <w:rPr>
                <w:rFonts w:ascii="Arial" w:cs="Arial" w:eastAsia="Arial" w:hAnsi="Arial"/>
                <w:sz w:val="18"/>
                <w:szCs w:val="18"/>
                <w:color w:val="auto"/>
              </w:rPr>
              <w:t>Kenneth W. Krueger</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600"/>
        </w:trPr>
        <w:tc>
          <w:tcPr>
            <w:tcW w:w="310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rPr>
              <w:t>*By /s/ John B. Cozzolino</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2"/>
        </w:trPr>
        <w:tc>
          <w:tcPr>
            <w:tcW w:w="3100" w:type="dxa"/>
            <w:vAlign w:val="bottom"/>
            <w:gridSpan w:val="3"/>
          </w:tcPr>
          <w:p>
            <w:pPr>
              <w:ind w:left="40"/>
              <w:spacing w:after="0" w:line="201" w:lineRule="exact"/>
              <w:rPr>
                <w:sz w:val="20"/>
                <w:szCs w:val="20"/>
                <w:color w:val="auto"/>
              </w:rPr>
            </w:pPr>
            <w:r>
              <w:rPr>
                <w:rFonts w:ascii="Arial" w:cs="Arial" w:eastAsia="Arial" w:hAnsi="Arial"/>
                <w:sz w:val="18"/>
                <w:szCs w:val="18"/>
                <w:color w:val="auto"/>
              </w:rPr>
              <w:t>John B. Cozzolino</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17"/>
        </w:trPr>
        <w:tc>
          <w:tcPr>
            <w:tcW w:w="3100" w:type="dxa"/>
            <w:vAlign w:val="bottom"/>
            <w:gridSpan w:val="3"/>
          </w:tcPr>
          <w:p>
            <w:pPr>
              <w:ind w:left="40"/>
              <w:spacing w:after="0"/>
              <w:rPr>
                <w:sz w:val="20"/>
                <w:szCs w:val="20"/>
                <w:color w:val="auto"/>
              </w:rPr>
            </w:pPr>
            <w:r>
              <w:rPr>
                <w:rFonts w:ascii="Arial" w:cs="Arial" w:eastAsia="Arial" w:hAnsi="Arial"/>
                <w:sz w:val="18"/>
                <w:szCs w:val="18"/>
                <w:color w:val="auto"/>
              </w:rPr>
              <w:t>Attorney-in-fact</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12" w:name="page113"/>
    <w:bookmarkEnd w:id="112"/>
    <w:p>
      <w:pPr>
        <w:ind w:left="5140"/>
        <w:spacing w:after="0"/>
        <w:rPr>
          <w:sz w:val="20"/>
          <w:szCs w:val="20"/>
          <w:color w:val="auto"/>
        </w:rPr>
      </w:pPr>
      <w:r>
        <w:rPr>
          <w:rFonts w:ascii="Arial" w:cs="Arial" w:eastAsia="Arial" w:hAnsi="Arial"/>
          <w:sz w:val="18"/>
          <w:szCs w:val="18"/>
          <w:b w:val="1"/>
          <w:bCs w:val="1"/>
          <w:color w:val="auto"/>
        </w:rPr>
        <w:t>SCHEDULE II</w:t>
      </w:r>
    </w:p>
    <w:p>
      <w:pPr>
        <w:spacing w:after="0" w:line="170"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ALBANY INTERNATIONAL CORP.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35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60" w:type="dxa"/>
            <w:vAlign w:val="bottom"/>
            <w:gridSpan w:val="3"/>
          </w:tcPr>
          <w:p>
            <w:pPr>
              <w:jc w:val="center"/>
              <w:ind w:right="1220"/>
              <w:spacing w:after="0"/>
              <w:rPr>
                <w:sz w:val="20"/>
                <w:szCs w:val="20"/>
                <w:color w:val="auto"/>
              </w:rPr>
            </w:pPr>
            <w:r>
              <w:rPr>
                <w:rFonts w:ascii="Arial" w:cs="Arial" w:eastAsia="Arial" w:hAnsi="Arial"/>
                <w:sz w:val="18"/>
                <w:szCs w:val="18"/>
                <w:b w:val="1"/>
                <w:bCs w:val="1"/>
                <w:color w:val="auto"/>
                <w:w w:val="98"/>
              </w:rPr>
              <w:t>Column A</w:t>
            </w: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gridSpan w:val="4"/>
          </w:tcPr>
          <w:p>
            <w:pPr>
              <w:jc w:val="center"/>
              <w:ind w:right="520"/>
              <w:spacing w:after="0"/>
              <w:rPr>
                <w:sz w:val="20"/>
                <w:szCs w:val="20"/>
                <w:color w:val="auto"/>
              </w:rPr>
            </w:pPr>
            <w:r>
              <w:rPr>
                <w:rFonts w:ascii="Arial" w:cs="Arial" w:eastAsia="Arial" w:hAnsi="Arial"/>
                <w:sz w:val="18"/>
                <w:szCs w:val="18"/>
                <w:b w:val="1"/>
                <w:bCs w:val="1"/>
                <w:color w:val="auto"/>
                <w:w w:val="98"/>
              </w:rPr>
              <w:t>Column B</w:t>
            </w:r>
          </w:p>
        </w:tc>
        <w:tc>
          <w:tcPr>
            <w:tcW w:w="40" w:type="dxa"/>
            <w:vAlign w:val="bottom"/>
          </w:tcPr>
          <w:p>
            <w:pPr>
              <w:spacing w:after="0"/>
              <w:rPr>
                <w:sz w:val="17"/>
                <w:szCs w:val="17"/>
                <w:color w:val="auto"/>
              </w:rPr>
            </w:pPr>
          </w:p>
        </w:tc>
        <w:tc>
          <w:tcPr>
            <w:tcW w:w="186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Column C</w:t>
            </w:r>
          </w:p>
        </w:tc>
        <w:tc>
          <w:tcPr>
            <w:tcW w:w="154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Column D</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99"/>
              </w:rPr>
              <w:t>Column E</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0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700" w:type="dxa"/>
            <w:vAlign w:val="bottom"/>
          </w:tcPr>
          <w:p>
            <w:pPr>
              <w:spacing w:after="0"/>
              <w:rPr>
                <w:sz w:val="24"/>
                <w:szCs w:val="24"/>
                <w:color w:val="auto"/>
              </w:rPr>
            </w:pPr>
          </w:p>
        </w:tc>
        <w:tc>
          <w:tcPr>
            <w:tcW w:w="1000" w:type="dxa"/>
            <w:vAlign w:val="bottom"/>
            <w:gridSpan w:val="3"/>
          </w:tcPr>
          <w:p>
            <w:pPr>
              <w:jc w:val="center"/>
              <w:spacing w:after="0"/>
              <w:rPr>
                <w:sz w:val="20"/>
                <w:szCs w:val="20"/>
                <w:color w:val="auto"/>
              </w:rPr>
            </w:pPr>
            <w:r>
              <w:rPr>
                <w:rFonts w:ascii="Arial" w:cs="Arial" w:eastAsia="Arial" w:hAnsi="Arial"/>
                <w:sz w:val="18"/>
                <w:szCs w:val="18"/>
                <w:b w:val="1"/>
                <w:bCs w:val="1"/>
                <w:color w:val="auto"/>
              </w:rPr>
              <w:t>Description</w:t>
            </w: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80" w:type="dxa"/>
            <w:vAlign w:val="bottom"/>
            <w:gridSpan w:val="6"/>
          </w:tcPr>
          <w:p>
            <w:pPr>
              <w:jc w:val="center"/>
              <w:ind w:right="80"/>
              <w:spacing w:after="0"/>
              <w:rPr>
                <w:sz w:val="20"/>
                <w:szCs w:val="20"/>
                <w:color w:val="auto"/>
              </w:rPr>
            </w:pPr>
            <w:r>
              <w:rPr>
                <w:rFonts w:ascii="Arial" w:cs="Arial" w:eastAsia="Arial" w:hAnsi="Arial"/>
                <w:sz w:val="18"/>
                <w:szCs w:val="18"/>
                <w:b w:val="1"/>
                <w:bCs w:val="1"/>
                <w:color w:val="auto"/>
                <w:w w:val="99"/>
              </w:rPr>
              <w:t>Balance at</w:t>
            </w:r>
          </w:p>
        </w:tc>
        <w:tc>
          <w:tcPr>
            <w:tcW w:w="1900" w:type="dxa"/>
            <w:vAlign w:val="bottom"/>
            <w:gridSpan w:val="5"/>
          </w:tcPr>
          <w:p>
            <w:pPr>
              <w:jc w:val="right"/>
              <w:ind w:right="260"/>
              <w:spacing w:after="0"/>
              <w:rPr>
                <w:sz w:val="20"/>
                <w:szCs w:val="20"/>
                <w:color w:val="auto"/>
              </w:rPr>
            </w:pPr>
            <w:r>
              <w:rPr>
                <w:rFonts w:ascii="Arial" w:cs="Arial" w:eastAsia="Arial" w:hAnsi="Arial"/>
                <w:sz w:val="18"/>
                <w:szCs w:val="18"/>
                <w:b w:val="1"/>
                <w:bCs w:val="1"/>
                <w:color w:val="auto"/>
              </w:rPr>
              <w:t>Charge to expense</w:t>
            </w:r>
          </w:p>
        </w:tc>
        <w:tc>
          <w:tcPr>
            <w:tcW w:w="260" w:type="dxa"/>
            <w:vAlign w:val="bottom"/>
          </w:tcPr>
          <w:p>
            <w:pPr>
              <w:spacing w:after="0"/>
              <w:rPr>
                <w:sz w:val="24"/>
                <w:szCs w:val="24"/>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7"/>
              </w:rPr>
              <w:t>Other (A)</w:t>
            </w:r>
          </w:p>
        </w:tc>
        <w:tc>
          <w:tcPr>
            <w:tcW w:w="1640" w:type="dxa"/>
            <w:vAlign w:val="bottom"/>
            <w:gridSpan w:val="6"/>
          </w:tcPr>
          <w:p>
            <w:pPr>
              <w:jc w:val="center"/>
              <w:ind w:right="20"/>
              <w:spacing w:after="0"/>
              <w:rPr>
                <w:sz w:val="20"/>
                <w:szCs w:val="20"/>
                <w:color w:val="auto"/>
              </w:rPr>
            </w:pPr>
            <w:r>
              <w:rPr>
                <w:rFonts w:ascii="Arial" w:cs="Arial" w:eastAsia="Arial" w:hAnsi="Arial"/>
                <w:sz w:val="18"/>
                <w:szCs w:val="18"/>
                <w:b w:val="1"/>
                <w:bCs w:val="1"/>
                <w:color w:val="auto"/>
              </w:rPr>
              <w:t>Balance at end of</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40" w:type="dxa"/>
            <w:vAlign w:val="bottom"/>
            <w:gridSpan w:val="5"/>
            <w:vMerge w:val="restart"/>
          </w:tcPr>
          <w:p>
            <w:pPr>
              <w:spacing w:after="0"/>
              <w:rPr>
                <w:sz w:val="20"/>
                <w:szCs w:val="20"/>
                <w:color w:val="auto"/>
              </w:rPr>
            </w:pPr>
            <w:r>
              <w:rPr>
                <w:rFonts w:ascii="Arial" w:cs="Arial" w:eastAsia="Arial" w:hAnsi="Arial"/>
                <w:sz w:val="18"/>
                <w:szCs w:val="18"/>
                <w:color w:val="auto"/>
              </w:rPr>
              <w:t>Allowance for doubtful accounts</w:t>
            </w:r>
          </w:p>
        </w:tc>
        <w:tc>
          <w:tcPr>
            <w:tcW w:w="2440" w:type="dxa"/>
            <w:vAlign w:val="bottom"/>
            <w:gridSpan w:val="7"/>
          </w:tcPr>
          <w:p>
            <w:pPr>
              <w:jc w:val="center"/>
              <w:ind w:left="470"/>
              <w:spacing w:after="0" w:line="182" w:lineRule="exact"/>
              <w:rPr>
                <w:sz w:val="20"/>
                <w:szCs w:val="20"/>
                <w:color w:val="auto"/>
              </w:rPr>
            </w:pPr>
            <w:r>
              <w:rPr>
                <w:rFonts w:ascii="Arial" w:cs="Arial" w:eastAsia="Arial" w:hAnsi="Arial"/>
                <w:sz w:val="18"/>
                <w:szCs w:val="18"/>
                <w:b w:val="1"/>
                <w:bCs w:val="1"/>
                <w:color w:val="auto"/>
                <w:w w:val="99"/>
              </w:rPr>
              <w:t>beginning of period</w:t>
            </w: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vMerge w:val="continue"/>
          </w:tcPr>
          <w:p>
            <w:pPr>
              <w:spacing w:after="0"/>
              <w:rPr>
                <w:sz w:val="15"/>
                <w:szCs w:val="15"/>
                <w:color w:val="auto"/>
              </w:rPr>
            </w:pPr>
          </w:p>
        </w:tc>
        <w:tc>
          <w:tcPr>
            <w:tcW w:w="1500" w:type="dxa"/>
            <w:vAlign w:val="bottom"/>
            <w:gridSpan w:val="4"/>
          </w:tcPr>
          <w:p>
            <w:pPr>
              <w:jc w:val="center"/>
              <w:spacing w:after="0" w:line="182" w:lineRule="exact"/>
              <w:rPr>
                <w:sz w:val="20"/>
                <w:szCs w:val="20"/>
                <w:color w:val="auto"/>
              </w:rPr>
            </w:pPr>
            <w:r>
              <w:rPr>
                <w:rFonts w:ascii="Arial" w:cs="Arial" w:eastAsia="Arial" w:hAnsi="Arial"/>
                <w:sz w:val="18"/>
                <w:szCs w:val="18"/>
                <w:b w:val="1"/>
                <w:bCs w:val="1"/>
                <w:color w:val="auto"/>
                <w:w w:val="98"/>
              </w:rPr>
              <w:t>the period</w:t>
            </w:r>
          </w:p>
        </w:tc>
        <w:tc>
          <w:tcPr>
            <w:tcW w:w="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840" w:type="dxa"/>
            <w:vAlign w:val="bottom"/>
            <w:gridSpan w:val="5"/>
            <w:vMerge w:val="continue"/>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840" w:type="dxa"/>
            <w:vAlign w:val="bottom"/>
            <w:gridSpan w:val="5"/>
          </w:tcPr>
          <w:p>
            <w:pPr>
              <w:spacing w:after="0" w:line="202" w:lineRule="exact"/>
              <w:rPr>
                <w:sz w:val="20"/>
                <w:szCs w:val="20"/>
                <w:color w:val="auto"/>
              </w:rPr>
            </w:pPr>
            <w:r>
              <w:rPr>
                <w:rFonts w:ascii="Arial" w:cs="Arial" w:eastAsia="Arial" w:hAnsi="Arial"/>
                <w:sz w:val="18"/>
                <w:szCs w:val="18"/>
                <w:color w:val="auto"/>
              </w:rPr>
              <w:t>Year ended December 31:</w:t>
            </w: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jc w:val="right"/>
              <w:ind w:right="1070"/>
              <w:spacing w:after="0" w:line="202" w:lineRule="exact"/>
              <w:rPr>
                <w:sz w:val="20"/>
                <w:szCs w:val="20"/>
                <w:color w:val="auto"/>
              </w:rPr>
            </w:pPr>
            <w:r>
              <w:rPr>
                <w:rFonts w:ascii="Arial" w:cs="Arial" w:eastAsia="Arial" w:hAnsi="Arial"/>
                <w:sz w:val="18"/>
                <w:szCs w:val="18"/>
                <w:color w:val="auto"/>
              </w:rPr>
              <w:t>2016</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40" w:type="dxa"/>
            <w:vAlign w:val="bottom"/>
            <w:gridSpan w:val="7"/>
          </w:tcPr>
          <w:p>
            <w:pPr>
              <w:jc w:val="right"/>
              <w:ind w:right="40"/>
              <w:spacing w:after="0" w:line="202" w:lineRule="exact"/>
              <w:rPr>
                <w:sz w:val="20"/>
                <w:szCs w:val="20"/>
                <w:color w:val="auto"/>
              </w:rPr>
            </w:pPr>
            <w:r>
              <w:rPr>
                <w:rFonts w:ascii="Arial" w:cs="Arial" w:eastAsia="Arial" w:hAnsi="Arial"/>
                <w:sz w:val="18"/>
                <w:szCs w:val="18"/>
                <w:color w:val="auto"/>
              </w:rPr>
              <w:t>$8,530</w:t>
            </w:r>
          </w:p>
        </w:tc>
        <w:tc>
          <w:tcPr>
            <w:tcW w:w="164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$23</w:t>
            </w:r>
          </w:p>
        </w:tc>
        <w:tc>
          <w:tcPr>
            <w:tcW w:w="260" w:type="dxa"/>
            <w:vAlign w:val="bottom"/>
          </w:tcPr>
          <w:p>
            <w:pPr>
              <w:spacing w:after="0"/>
              <w:rPr>
                <w:sz w:val="17"/>
                <w:szCs w:val="17"/>
                <w:color w:val="auto"/>
              </w:rPr>
            </w:pPr>
          </w:p>
        </w:tc>
        <w:tc>
          <w:tcPr>
            <w:tcW w:w="15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($1,601)</w:t>
            </w:r>
          </w:p>
        </w:tc>
        <w:tc>
          <w:tcPr>
            <w:tcW w:w="1640" w:type="dxa"/>
            <w:vAlign w:val="bottom"/>
            <w:gridSpan w:val="6"/>
          </w:tcPr>
          <w:p>
            <w:pPr>
              <w:jc w:val="right"/>
              <w:spacing w:after="0" w:line="202" w:lineRule="exact"/>
              <w:rPr>
                <w:sz w:val="20"/>
                <w:szCs w:val="20"/>
                <w:color w:val="auto"/>
              </w:rPr>
            </w:pPr>
            <w:r>
              <w:rPr>
                <w:rFonts w:ascii="Arial" w:cs="Arial" w:eastAsia="Arial" w:hAnsi="Arial"/>
                <w:sz w:val="18"/>
                <w:szCs w:val="18"/>
                <w:color w:val="auto"/>
              </w:rPr>
              <w:t>$6,952</w:t>
            </w:r>
          </w:p>
        </w:tc>
        <w:tc>
          <w:tcPr>
            <w:tcW w:w="0" w:type="dxa"/>
            <w:vAlign w:val="bottom"/>
          </w:tcPr>
          <w:p>
            <w:pPr>
              <w:spacing w:after="0"/>
              <w:rPr>
                <w:sz w:val="1"/>
                <w:szCs w:val="1"/>
                <w:color w:val="auto"/>
              </w:rPr>
            </w:pPr>
          </w:p>
        </w:tc>
      </w:tr>
      <w:tr>
        <w:trPr>
          <w:trHeight w:val="203"/>
        </w:trPr>
        <w:tc>
          <w:tcPr>
            <w:tcW w:w="1700" w:type="dxa"/>
            <w:vAlign w:val="bottom"/>
          </w:tcPr>
          <w:p>
            <w:pPr>
              <w:jc w:val="right"/>
              <w:ind w:right="1070"/>
              <w:spacing w:after="0" w:line="202" w:lineRule="exact"/>
              <w:rPr>
                <w:sz w:val="20"/>
                <w:szCs w:val="20"/>
                <w:color w:val="auto"/>
              </w:rPr>
            </w:pPr>
            <w:r>
              <w:rPr>
                <w:rFonts w:ascii="Arial" w:cs="Arial" w:eastAsia="Arial" w:hAnsi="Arial"/>
                <w:sz w:val="18"/>
                <w:szCs w:val="18"/>
                <w:color w:val="auto"/>
              </w:rPr>
              <w:t>2015</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40" w:type="dxa"/>
            <w:vAlign w:val="bottom"/>
            <w:gridSpan w:val="7"/>
          </w:tcPr>
          <w:p>
            <w:pPr>
              <w:jc w:val="right"/>
              <w:ind w:right="40"/>
              <w:spacing w:after="0" w:line="202" w:lineRule="exact"/>
              <w:rPr>
                <w:sz w:val="20"/>
                <w:szCs w:val="20"/>
                <w:color w:val="auto"/>
              </w:rPr>
            </w:pPr>
            <w:r>
              <w:rPr>
                <w:rFonts w:ascii="Arial" w:cs="Arial" w:eastAsia="Arial" w:hAnsi="Arial"/>
                <w:sz w:val="18"/>
                <w:szCs w:val="18"/>
                <w:color w:val="auto"/>
              </w:rPr>
              <w:t>8,713</w:t>
            </w:r>
          </w:p>
        </w:tc>
        <w:tc>
          <w:tcPr>
            <w:tcW w:w="164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744</w:t>
            </w:r>
          </w:p>
        </w:tc>
        <w:tc>
          <w:tcPr>
            <w:tcW w:w="260" w:type="dxa"/>
            <w:vAlign w:val="bottom"/>
          </w:tcPr>
          <w:p>
            <w:pPr>
              <w:spacing w:after="0"/>
              <w:rPr>
                <w:sz w:val="17"/>
                <w:szCs w:val="17"/>
                <w:color w:val="auto"/>
              </w:rPr>
            </w:pPr>
          </w:p>
        </w:tc>
        <w:tc>
          <w:tcPr>
            <w:tcW w:w="15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(927)</w:t>
            </w:r>
          </w:p>
        </w:tc>
        <w:tc>
          <w:tcPr>
            <w:tcW w:w="1640" w:type="dxa"/>
            <w:vAlign w:val="bottom"/>
            <w:gridSpan w:val="6"/>
          </w:tcPr>
          <w:p>
            <w:pPr>
              <w:jc w:val="right"/>
              <w:spacing w:after="0" w:line="202" w:lineRule="exact"/>
              <w:rPr>
                <w:sz w:val="20"/>
                <w:szCs w:val="20"/>
                <w:color w:val="auto"/>
              </w:rPr>
            </w:pPr>
            <w:r>
              <w:rPr>
                <w:rFonts w:ascii="Arial" w:cs="Arial" w:eastAsia="Arial" w:hAnsi="Arial"/>
                <w:sz w:val="18"/>
                <w:szCs w:val="18"/>
                <w:color w:val="auto"/>
              </w:rPr>
              <w:t>8,530</w:t>
            </w:r>
          </w:p>
        </w:tc>
        <w:tc>
          <w:tcPr>
            <w:tcW w:w="0" w:type="dxa"/>
            <w:vAlign w:val="bottom"/>
          </w:tcPr>
          <w:p>
            <w:pPr>
              <w:spacing w:after="0"/>
              <w:rPr>
                <w:sz w:val="1"/>
                <w:szCs w:val="1"/>
                <w:color w:val="auto"/>
              </w:rPr>
            </w:pPr>
          </w:p>
        </w:tc>
      </w:tr>
      <w:tr>
        <w:trPr>
          <w:trHeight w:val="217"/>
        </w:trPr>
        <w:tc>
          <w:tcPr>
            <w:tcW w:w="1700" w:type="dxa"/>
            <w:vAlign w:val="bottom"/>
          </w:tcPr>
          <w:p>
            <w:pPr>
              <w:jc w:val="right"/>
              <w:ind w:right="1070"/>
              <w:spacing w:after="0"/>
              <w:rPr>
                <w:sz w:val="20"/>
                <w:szCs w:val="20"/>
                <w:color w:val="auto"/>
              </w:rPr>
            </w:pPr>
            <w:r>
              <w:rPr>
                <w:rFonts w:ascii="Arial" w:cs="Arial" w:eastAsia="Arial" w:hAnsi="Arial"/>
                <w:sz w:val="18"/>
                <w:szCs w:val="18"/>
                <w:color w:val="auto"/>
              </w:rPr>
              <w:t>2014</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40" w:type="dxa"/>
            <w:vAlign w:val="bottom"/>
            <w:gridSpan w:val="7"/>
          </w:tcPr>
          <w:p>
            <w:pPr>
              <w:jc w:val="right"/>
              <w:ind w:right="40"/>
              <w:spacing w:after="0"/>
              <w:rPr>
                <w:sz w:val="20"/>
                <w:szCs w:val="20"/>
                <w:color w:val="auto"/>
              </w:rPr>
            </w:pPr>
            <w:r>
              <w:rPr>
                <w:rFonts w:ascii="Arial" w:cs="Arial" w:eastAsia="Arial" w:hAnsi="Arial"/>
                <w:sz w:val="18"/>
                <w:szCs w:val="18"/>
                <w:color w:val="auto"/>
              </w:rPr>
              <w:t>11,274</w:t>
            </w:r>
          </w:p>
        </w:tc>
        <w:tc>
          <w:tcPr>
            <w:tcW w:w="1900" w:type="dxa"/>
            <w:vAlign w:val="bottom"/>
            <w:gridSpan w:val="5"/>
          </w:tcPr>
          <w:p>
            <w:pPr>
              <w:jc w:val="right"/>
              <w:ind w:right="240"/>
              <w:spacing w:after="0"/>
              <w:rPr>
                <w:sz w:val="20"/>
                <w:szCs w:val="20"/>
                <w:color w:val="auto"/>
              </w:rPr>
            </w:pPr>
            <w:r>
              <w:rPr>
                <w:rFonts w:ascii="Arial" w:cs="Arial" w:eastAsia="Arial" w:hAnsi="Arial"/>
                <w:sz w:val="18"/>
                <w:szCs w:val="18"/>
                <w:color w:val="auto"/>
              </w:rPr>
              <w:t>(341)</w:t>
            </w:r>
          </w:p>
        </w:tc>
        <w:tc>
          <w:tcPr>
            <w:tcW w:w="1540" w:type="dxa"/>
            <w:vAlign w:val="bottom"/>
            <w:gridSpan w:val="3"/>
          </w:tcPr>
          <w:p>
            <w:pPr>
              <w:jc w:val="right"/>
              <w:ind w:right="60"/>
              <w:spacing w:after="0"/>
              <w:rPr>
                <w:sz w:val="20"/>
                <w:szCs w:val="20"/>
                <w:color w:val="auto"/>
              </w:rPr>
            </w:pPr>
            <w:r>
              <w:rPr>
                <w:rFonts w:ascii="Arial" w:cs="Arial" w:eastAsia="Arial" w:hAnsi="Arial"/>
                <w:sz w:val="18"/>
                <w:szCs w:val="18"/>
                <w:color w:val="auto"/>
              </w:rPr>
              <w:t>(2,220)</w:t>
            </w:r>
          </w:p>
        </w:tc>
        <w:tc>
          <w:tcPr>
            <w:tcW w:w="1640" w:type="dxa"/>
            <w:vAlign w:val="bottom"/>
            <w:gridSpan w:val="6"/>
          </w:tcPr>
          <w:p>
            <w:pPr>
              <w:jc w:val="right"/>
              <w:spacing w:after="0"/>
              <w:rPr>
                <w:sz w:val="20"/>
                <w:szCs w:val="20"/>
                <w:color w:val="auto"/>
              </w:rPr>
            </w:pPr>
            <w:r>
              <w:rPr>
                <w:rFonts w:ascii="Arial" w:cs="Arial" w:eastAsia="Arial" w:hAnsi="Arial"/>
                <w:sz w:val="18"/>
                <w:szCs w:val="18"/>
                <w:color w:val="auto"/>
              </w:rPr>
              <w:t>8,713</w:t>
            </w:r>
          </w:p>
        </w:tc>
        <w:tc>
          <w:tcPr>
            <w:tcW w:w="0" w:type="dxa"/>
            <w:vAlign w:val="bottom"/>
          </w:tcPr>
          <w:p>
            <w:pPr>
              <w:spacing w:after="0"/>
              <w:rPr>
                <w:sz w:val="1"/>
                <w:szCs w:val="1"/>
                <w:color w:val="auto"/>
              </w:rPr>
            </w:pPr>
          </w:p>
        </w:tc>
      </w:tr>
      <w:tr>
        <w:trPr>
          <w:trHeight w:val="391"/>
        </w:trPr>
        <w:tc>
          <w:tcPr>
            <w:tcW w:w="3840" w:type="dxa"/>
            <w:vAlign w:val="bottom"/>
            <w:gridSpan w:val="5"/>
          </w:tcPr>
          <w:p>
            <w:pPr>
              <w:spacing w:after="0"/>
              <w:rPr>
                <w:sz w:val="20"/>
                <w:szCs w:val="20"/>
                <w:color w:val="auto"/>
              </w:rPr>
            </w:pPr>
            <w:r>
              <w:rPr>
                <w:rFonts w:ascii="Arial" w:cs="Arial" w:eastAsia="Arial" w:hAnsi="Arial"/>
                <w:sz w:val="18"/>
                <w:szCs w:val="18"/>
                <w:color w:val="auto"/>
              </w:rPr>
              <w:t>Allowance for sales returns</w:t>
            </w: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840" w:type="dxa"/>
            <w:vAlign w:val="bottom"/>
            <w:gridSpan w:val="5"/>
          </w:tcPr>
          <w:p>
            <w:pPr>
              <w:spacing w:after="0" w:line="202" w:lineRule="exact"/>
              <w:rPr>
                <w:sz w:val="20"/>
                <w:szCs w:val="20"/>
                <w:color w:val="auto"/>
              </w:rPr>
            </w:pPr>
            <w:r>
              <w:rPr>
                <w:rFonts w:ascii="Arial" w:cs="Arial" w:eastAsia="Arial" w:hAnsi="Arial"/>
                <w:sz w:val="18"/>
                <w:szCs w:val="18"/>
                <w:color w:val="auto"/>
              </w:rPr>
              <w:t>Year ended December 31:</w:t>
            </w: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jc w:val="right"/>
              <w:ind w:right="1070"/>
              <w:spacing w:after="0" w:line="202" w:lineRule="exact"/>
              <w:rPr>
                <w:sz w:val="20"/>
                <w:szCs w:val="20"/>
                <w:color w:val="auto"/>
              </w:rPr>
            </w:pPr>
            <w:r>
              <w:rPr>
                <w:rFonts w:ascii="Arial" w:cs="Arial" w:eastAsia="Arial" w:hAnsi="Arial"/>
                <w:sz w:val="18"/>
                <w:szCs w:val="18"/>
                <w:color w:val="auto"/>
              </w:rPr>
              <w:t>2016</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40" w:type="dxa"/>
            <w:vAlign w:val="bottom"/>
            <w:gridSpan w:val="7"/>
          </w:tcPr>
          <w:p>
            <w:pPr>
              <w:jc w:val="right"/>
              <w:ind w:right="40"/>
              <w:spacing w:after="0" w:line="202" w:lineRule="exact"/>
              <w:rPr>
                <w:sz w:val="20"/>
                <w:szCs w:val="20"/>
                <w:color w:val="auto"/>
              </w:rPr>
            </w:pPr>
            <w:r>
              <w:rPr>
                <w:rFonts w:ascii="Arial" w:cs="Arial" w:eastAsia="Arial" w:hAnsi="Arial"/>
                <w:sz w:val="18"/>
                <w:szCs w:val="18"/>
                <w:color w:val="auto"/>
              </w:rPr>
              <w:t>$14,024</w:t>
            </w:r>
          </w:p>
        </w:tc>
        <w:tc>
          <w:tcPr>
            <w:tcW w:w="1900" w:type="dxa"/>
            <w:vAlign w:val="bottom"/>
            <w:gridSpan w:val="5"/>
          </w:tcPr>
          <w:p>
            <w:pPr>
              <w:jc w:val="right"/>
              <w:ind w:right="240"/>
              <w:spacing w:after="0" w:line="202" w:lineRule="exact"/>
              <w:rPr>
                <w:sz w:val="20"/>
                <w:szCs w:val="20"/>
                <w:color w:val="auto"/>
              </w:rPr>
            </w:pPr>
            <w:r>
              <w:rPr>
                <w:rFonts w:ascii="Arial" w:cs="Arial" w:eastAsia="Arial" w:hAnsi="Arial"/>
                <w:sz w:val="18"/>
                <w:szCs w:val="18"/>
                <w:color w:val="auto"/>
              </w:rPr>
              <w:t>$10,851</w:t>
            </w:r>
          </w:p>
        </w:tc>
        <w:tc>
          <w:tcPr>
            <w:tcW w:w="15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($11,161)</w:t>
            </w:r>
          </w:p>
        </w:tc>
        <w:tc>
          <w:tcPr>
            <w:tcW w:w="1640" w:type="dxa"/>
            <w:vAlign w:val="bottom"/>
            <w:gridSpan w:val="6"/>
          </w:tcPr>
          <w:p>
            <w:pPr>
              <w:jc w:val="right"/>
              <w:spacing w:after="0" w:line="202" w:lineRule="exact"/>
              <w:rPr>
                <w:sz w:val="20"/>
                <w:szCs w:val="20"/>
                <w:color w:val="auto"/>
              </w:rPr>
            </w:pPr>
            <w:r>
              <w:rPr>
                <w:rFonts w:ascii="Arial" w:cs="Arial" w:eastAsia="Arial" w:hAnsi="Arial"/>
                <w:sz w:val="18"/>
                <w:szCs w:val="18"/>
                <w:color w:val="auto"/>
              </w:rPr>
              <w:t>$13,714</w:t>
            </w:r>
          </w:p>
        </w:tc>
        <w:tc>
          <w:tcPr>
            <w:tcW w:w="0" w:type="dxa"/>
            <w:vAlign w:val="bottom"/>
          </w:tcPr>
          <w:p>
            <w:pPr>
              <w:spacing w:after="0"/>
              <w:rPr>
                <w:sz w:val="1"/>
                <w:szCs w:val="1"/>
                <w:color w:val="auto"/>
              </w:rPr>
            </w:pPr>
          </w:p>
        </w:tc>
      </w:tr>
      <w:tr>
        <w:trPr>
          <w:trHeight w:val="203"/>
        </w:trPr>
        <w:tc>
          <w:tcPr>
            <w:tcW w:w="1700" w:type="dxa"/>
            <w:vAlign w:val="bottom"/>
          </w:tcPr>
          <w:p>
            <w:pPr>
              <w:jc w:val="right"/>
              <w:ind w:right="1070"/>
              <w:spacing w:after="0" w:line="202" w:lineRule="exact"/>
              <w:rPr>
                <w:sz w:val="20"/>
                <w:szCs w:val="20"/>
                <w:color w:val="auto"/>
              </w:rPr>
            </w:pPr>
            <w:r>
              <w:rPr>
                <w:rFonts w:ascii="Arial" w:cs="Arial" w:eastAsia="Arial" w:hAnsi="Arial"/>
                <w:sz w:val="18"/>
                <w:szCs w:val="18"/>
                <w:color w:val="auto"/>
              </w:rPr>
              <w:t>2015</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40" w:type="dxa"/>
            <w:vAlign w:val="bottom"/>
            <w:gridSpan w:val="7"/>
          </w:tcPr>
          <w:p>
            <w:pPr>
              <w:jc w:val="right"/>
              <w:ind w:right="40"/>
              <w:spacing w:after="0" w:line="202" w:lineRule="exact"/>
              <w:rPr>
                <w:sz w:val="20"/>
                <w:szCs w:val="20"/>
                <w:color w:val="auto"/>
              </w:rPr>
            </w:pPr>
            <w:r>
              <w:rPr>
                <w:rFonts w:ascii="Arial" w:cs="Arial" w:eastAsia="Arial" w:hAnsi="Arial"/>
                <w:sz w:val="18"/>
                <w:szCs w:val="18"/>
                <w:color w:val="auto"/>
              </w:rPr>
              <w:t>17,265</w:t>
            </w:r>
          </w:p>
        </w:tc>
        <w:tc>
          <w:tcPr>
            <w:tcW w:w="1900" w:type="dxa"/>
            <w:vAlign w:val="bottom"/>
            <w:gridSpan w:val="5"/>
          </w:tcPr>
          <w:p>
            <w:pPr>
              <w:jc w:val="right"/>
              <w:ind w:right="240"/>
              <w:spacing w:after="0" w:line="202" w:lineRule="exact"/>
              <w:rPr>
                <w:sz w:val="20"/>
                <w:szCs w:val="20"/>
                <w:color w:val="auto"/>
              </w:rPr>
            </w:pPr>
            <w:r>
              <w:rPr>
                <w:rFonts w:ascii="Arial" w:cs="Arial" w:eastAsia="Arial" w:hAnsi="Arial"/>
                <w:sz w:val="18"/>
                <w:szCs w:val="18"/>
                <w:color w:val="auto"/>
              </w:rPr>
              <w:t>10,640</w:t>
            </w:r>
          </w:p>
        </w:tc>
        <w:tc>
          <w:tcPr>
            <w:tcW w:w="15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(13,881)</w:t>
            </w:r>
          </w:p>
        </w:tc>
        <w:tc>
          <w:tcPr>
            <w:tcW w:w="1640" w:type="dxa"/>
            <w:vAlign w:val="bottom"/>
            <w:gridSpan w:val="6"/>
          </w:tcPr>
          <w:p>
            <w:pPr>
              <w:jc w:val="right"/>
              <w:spacing w:after="0" w:line="202" w:lineRule="exact"/>
              <w:rPr>
                <w:sz w:val="20"/>
                <w:szCs w:val="20"/>
                <w:color w:val="auto"/>
              </w:rPr>
            </w:pPr>
            <w:r>
              <w:rPr>
                <w:rFonts w:ascii="Arial" w:cs="Arial" w:eastAsia="Arial" w:hAnsi="Arial"/>
                <w:sz w:val="18"/>
                <w:szCs w:val="18"/>
                <w:color w:val="auto"/>
              </w:rPr>
              <w:t>14,024</w:t>
            </w:r>
          </w:p>
        </w:tc>
        <w:tc>
          <w:tcPr>
            <w:tcW w:w="0" w:type="dxa"/>
            <w:vAlign w:val="bottom"/>
          </w:tcPr>
          <w:p>
            <w:pPr>
              <w:spacing w:after="0"/>
              <w:rPr>
                <w:sz w:val="1"/>
                <w:szCs w:val="1"/>
                <w:color w:val="auto"/>
              </w:rPr>
            </w:pPr>
          </w:p>
        </w:tc>
      </w:tr>
      <w:tr>
        <w:trPr>
          <w:trHeight w:val="217"/>
        </w:trPr>
        <w:tc>
          <w:tcPr>
            <w:tcW w:w="1700" w:type="dxa"/>
            <w:vAlign w:val="bottom"/>
          </w:tcPr>
          <w:p>
            <w:pPr>
              <w:jc w:val="right"/>
              <w:ind w:right="1070"/>
              <w:spacing w:after="0"/>
              <w:rPr>
                <w:sz w:val="20"/>
                <w:szCs w:val="20"/>
                <w:color w:val="auto"/>
              </w:rPr>
            </w:pPr>
            <w:r>
              <w:rPr>
                <w:rFonts w:ascii="Arial" w:cs="Arial" w:eastAsia="Arial" w:hAnsi="Arial"/>
                <w:sz w:val="18"/>
                <w:szCs w:val="18"/>
                <w:color w:val="auto"/>
              </w:rPr>
              <w:t>2014</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40" w:type="dxa"/>
            <w:vAlign w:val="bottom"/>
            <w:gridSpan w:val="7"/>
          </w:tcPr>
          <w:p>
            <w:pPr>
              <w:jc w:val="right"/>
              <w:ind w:right="40"/>
              <w:spacing w:after="0"/>
              <w:rPr>
                <w:sz w:val="20"/>
                <w:szCs w:val="20"/>
                <w:color w:val="auto"/>
              </w:rPr>
            </w:pPr>
            <w:r>
              <w:rPr>
                <w:rFonts w:ascii="Arial" w:cs="Arial" w:eastAsia="Arial" w:hAnsi="Arial"/>
                <w:sz w:val="18"/>
                <w:szCs w:val="18"/>
                <w:color w:val="auto"/>
              </w:rPr>
              <w:t>22,428</w:t>
            </w:r>
          </w:p>
        </w:tc>
        <w:tc>
          <w:tcPr>
            <w:tcW w:w="1900" w:type="dxa"/>
            <w:vAlign w:val="bottom"/>
            <w:gridSpan w:val="5"/>
          </w:tcPr>
          <w:p>
            <w:pPr>
              <w:jc w:val="right"/>
              <w:ind w:right="240"/>
              <w:spacing w:after="0"/>
              <w:rPr>
                <w:sz w:val="20"/>
                <w:szCs w:val="20"/>
                <w:color w:val="auto"/>
              </w:rPr>
            </w:pPr>
            <w:r>
              <w:rPr>
                <w:rFonts w:ascii="Arial" w:cs="Arial" w:eastAsia="Arial" w:hAnsi="Arial"/>
                <w:sz w:val="18"/>
                <w:szCs w:val="18"/>
                <w:color w:val="auto"/>
              </w:rPr>
              <w:t>13,879</w:t>
            </w:r>
          </w:p>
        </w:tc>
        <w:tc>
          <w:tcPr>
            <w:tcW w:w="1540" w:type="dxa"/>
            <w:vAlign w:val="bottom"/>
            <w:gridSpan w:val="3"/>
          </w:tcPr>
          <w:p>
            <w:pPr>
              <w:jc w:val="right"/>
              <w:ind w:right="60"/>
              <w:spacing w:after="0"/>
              <w:rPr>
                <w:sz w:val="20"/>
                <w:szCs w:val="20"/>
                <w:color w:val="auto"/>
              </w:rPr>
            </w:pPr>
            <w:r>
              <w:rPr>
                <w:rFonts w:ascii="Arial" w:cs="Arial" w:eastAsia="Arial" w:hAnsi="Arial"/>
                <w:sz w:val="18"/>
                <w:szCs w:val="18"/>
                <w:color w:val="auto"/>
              </w:rPr>
              <w:t>(19,042)</w:t>
            </w:r>
          </w:p>
        </w:tc>
        <w:tc>
          <w:tcPr>
            <w:tcW w:w="1640" w:type="dxa"/>
            <w:vAlign w:val="bottom"/>
            <w:gridSpan w:val="6"/>
          </w:tcPr>
          <w:p>
            <w:pPr>
              <w:jc w:val="right"/>
              <w:spacing w:after="0"/>
              <w:rPr>
                <w:sz w:val="20"/>
                <w:szCs w:val="20"/>
                <w:color w:val="auto"/>
              </w:rPr>
            </w:pPr>
            <w:r>
              <w:rPr>
                <w:rFonts w:ascii="Arial" w:cs="Arial" w:eastAsia="Arial" w:hAnsi="Arial"/>
                <w:sz w:val="18"/>
                <w:szCs w:val="18"/>
                <w:color w:val="auto"/>
              </w:rPr>
              <w:t>17,265</w:t>
            </w:r>
          </w:p>
        </w:tc>
        <w:tc>
          <w:tcPr>
            <w:tcW w:w="0" w:type="dxa"/>
            <w:vAlign w:val="bottom"/>
          </w:tcPr>
          <w:p>
            <w:pPr>
              <w:spacing w:after="0"/>
              <w:rPr>
                <w:sz w:val="1"/>
                <w:szCs w:val="1"/>
                <w:color w:val="auto"/>
              </w:rPr>
            </w:pPr>
          </w:p>
        </w:tc>
      </w:tr>
      <w:tr>
        <w:trPr>
          <w:trHeight w:val="391"/>
        </w:trPr>
        <w:tc>
          <w:tcPr>
            <w:tcW w:w="3840" w:type="dxa"/>
            <w:vAlign w:val="bottom"/>
            <w:gridSpan w:val="5"/>
          </w:tcPr>
          <w:p>
            <w:pPr>
              <w:spacing w:after="0"/>
              <w:rPr>
                <w:sz w:val="20"/>
                <w:szCs w:val="20"/>
                <w:color w:val="auto"/>
              </w:rPr>
            </w:pPr>
            <w:r>
              <w:rPr>
                <w:rFonts w:ascii="Arial" w:cs="Arial" w:eastAsia="Arial" w:hAnsi="Arial"/>
                <w:sz w:val="18"/>
                <w:szCs w:val="18"/>
                <w:color w:val="auto"/>
              </w:rPr>
              <w:t>Valuation allowance deferred tax assets</w:t>
            </w: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840" w:type="dxa"/>
            <w:vAlign w:val="bottom"/>
            <w:gridSpan w:val="5"/>
          </w:tcPr>
          <w:p>
            <w:pPr>
              <w:spacing w:after="0" w:line="202" w:lineRule="exact"/>
              <w:rPr>
                <w:sz w:val="20"/>
                <w:szCs w:val="20"/>
                <w:color w:val="auto"/>
              </w:rPr>
            </w:pPr>
            <w:r>
              <w:rPr>
                <w:rFonts w:ascii="Arial" w:cs="Arial" w:eastAsia="Arial" w:hAnsi="Arial"/>
                <w:sz w:val="18"/>
                <w:szCs w:val="18"/>
                <w:color w:val="auto"/>
              </w:rPr>
              <w:t>Year ended December 31:</w:t>
            </w: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jc w:val="right"/>
              <w:ind w:right="1070"/>
              <w:spacing w:after="0" w:line="202" w:lineRule="exact"/>
              <w:rPr>
                <w:sz w:val="20"/>
                <w:szCs w:val="20"/>
                <w:color w:val="auto"/>
              </w:rPr>
            </w:pPr>
            <w:r>
              <w:rPr>
                <w:rFonts w:ascii="Arial" w:cs="Arial" w:eastAsia="Arial" w:hAnsi="Arial"/>
                <w:sz w:val="18"/>
                <w:szCs w:val="18"/>
                <w:color w:val="auto"/>
              </w:rPr>
              <w:t>2016</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40" w:type="dxa"/>
            <w:vAlign w:val="bottom"/>
            <w:gridSpan w:val="7"/>
          </w:tcPr>
          <w:p>
            <w:pPr>
              <w:jc w:val="right"/>
              <w:ind w:right="40"/>
              <w:spacing w:after="0" w:line="202" w:lineRule="exact"/>
              <w:rPr>
                <w:sz w:val="20"/>
                <w:szCs w:val="20"/>
                <w:color w:val="auto"/>
              </w:rPr>
            </w:pPr>
            <w:r>
              <w:rPr>
                <w:rFonts w:ascii="Arial" w:cs="Arial" w:eastAsia="Arial" w:hAnsi="Arial"/>
                <w:sz w:val="18"/>
                <w:szCs w:val="18"/>
                <w:color w:val="auto"/>
              </w:rPr>
              <w:t>$24,439</w:t>
            </w:r>
          </w:p>
        </w:tc>
        <w:tc>
          <w:tcPr>
            <w:tcW w:w="1900" w:type="dxa"/>
            <w:vAlign w:val="bottom"/>
            <w:gridSpan w:val="5"/>
          </w:tcPr>
          <w:p>
            <w:pPr>
              <w:jc w:val="right"/>
              <w:ind w:right="240"/>
              <w:spacing w:after="0" w:line="202" w:lineRule="exact"/>
              <w:rPr>
                <w:sz w:val="20"/>
                <w:szCs w:val="20"/>
                <w:color w:val="auto"/>
              </w:rPr>
            </w:pPr>
            <w:r>
              <w:rPr>
                <w:rFonts w:ascii="Arial" w:cs="Arial" w:eastAsia="Arial" w:hAnsi="Arial"/>
                <w:sz w:val="18"/>
                <w:szCs w:val="18"/>
                <w:color w:val="auto"/>
              </w:rPr>
              <w:t>($88)</w:t>
            </w:r>
          </w:p>
        </w:tc>
        <w:tc>
          <w:tcPr>
            <w:tcW w:w="15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($1,530)</w:t>
            </w:r>
          </w:p>
        </w:tc>
        <w:tc>
          <w:tcPr>
            <w:tcW w:w="1640" w:type="dxa"/>
            <w:vAlign w:val="bottom"/>
            <w:gridSpan w:val="6"/>
          </w:tcPr>
          <w:p>
            <w:pPr>
              <w:jc w:val="right"/>
              <w:spacing w:after="0" w:line="202" w:lineRule="exact"/>
              <w:rPr>
                <w:sz w:val="20"/>
                <w:szCs w:val="20"/>
                <w:color w:val="auto"/>
              </w:rPr>
            </w:pPr>
            <w:r>
              <w:rPr>
                <w:rFonts w:ascii="Arial" w:cs="Arial" w:eastAsia="Arial" w:hAnsi="Arial"/>
                <w:sz w:val="18"/>
                <w:szCs w:val="18"/>
                <w:color w:val="auto"/>
              </w:rPr>
              <w:t>$22,821</w:t>
            </w:r>
          </w:p>
        </w:tc>
        <w:tc>
          <w:tcPr>
            <w:tcW w:w="0" w:type="dxa"/>
            <w:vAlign w:val="bottom"/>
          </w:tcPr>
          <w:p>
            <w:pPr>
              <w:spacing w:after="0"/>
              <w:rPr>
                <w:sz w:val="1"/>
                <w:szCs w:val="1"/>
                <w:color w:val="auto"/>
              </w:rPr>
            </w:pPr>
          </w:p>
        </w:tc>
      </w:tr>
      <w:tr>
        <w:trPr>
          <w:trHeight w:val="203"/>
        </w:trPr>
        <w:tc>
          <w:tcPr>
            <w:tcW w:w="1700" w:type="dxa"/>
            <w:vAlign w:val="bottom"/>
          </w:tcPr>
          <w:p>
            <w:pPr>
              <w:jc w:val="right"/>
              <w:ind w:right="1070"/>
              <w:spacing w:after="0" w:line="202" w:lineRule="exact"/>
              <w:rPr>
                <w:sz w:val="20"/>
                <w:szCs w:val="20"/>
                <w:color w:val="auto"/>
              </w:rPr>
            </w:pPr>
            <w:r>
              <w:rPr>
                <w:rFonts w:ascii="Arial" w:cs="Arial" w:eastAsia="Arial" w:hAnsi="Arial"/>
                <w:sz w:val="18"/>
                <w:szCs w:val="18"/>
                <w:color w:val="auto"/>
              </w:rPr>
              <w:t>2015</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40" w:type="dxa"/>
            <w:vAlign w:val="bottom"/>
            <w:gridSpan w:val="7"/>
          </w:tcPr>
          <w:p>
            <w:pPr>
              <w:jc w:val="right"/>
              <w:ind w:right="40"/>
              <w:spacing w:after="0" w:line="202" w:lineRule="exact"/>
              <w:rPr>
                <w:sz w:val="20"/>
                <w:szCs w:val="20"/>
                <w:color w:val="auto"/>
              </w:rPr>
            </w:pPr>
            <w:r>
              <w:rPr>
                <w:rFonts w:ascii="Arial" w:cs="Arial" w:eastAsia="Arial" w:hAnsi="Arial"/>
                <w:sz w:val="18"/>
                <w:szCs w:val="18"/>
                <w:color w:val="auto"/>
              </w:rPr>
              <w:t>21,860</w:t>
            </w:r>
          </w:p>
        </w:tc>
        <w:tc>
          <w:tcPr>
            <w:tcW w:w="164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75</w:t>
            </w:r>
          </w:p>
        </w:tc>
        <w:tc>
          <w:tcPr>
            <w:tcW w:w="260" w:type="dxa"/>
            <w:vAlign w:val="bottom"/>
          </w:tcPr>
          <w:p>
            <w:pPr>
              <w:spacing w:after="0"/>
              <w:rPr>
                <w:sz w:val="17"/>
                <w:szCs w:val="17"/>
                <w:color w:val="auto"/>
              </w:rPr>
            </w:pPr>
          </w:p>
        </w:tc>
        <w:tc>
          <w:tcPr>
            <w:tcW w:w="154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2,504</w:t>
            </w:r>
          </w:p>
        </w:tc>
        <w:tc>
          <w:tcPr>
            <w:tcW w:w="1640" w:type="dxa"/>
            <w:vAlign w:val="bottom"/>
            <w:gridSpan w:val="6"/>
          </w:tcPr>
          <w:p>
            <w:pPr>
              <w:jc w:val="right"/>
              <w:spacing w:after="0" w:line="202" w:lineRule="exact"/>
              <w:rPr>
                <w:sz w:val="20"/>
                <w:szCs w:val="20"/>
                <w:color w:val="auto"/>
              </w:rPr>
            </w:pPr>
            <w:r>
              <w:rPr>
                <w:rFonts w:ascii="Arial" w:cs="Arial" w:eastAsia="Arial" w:hAnsi="Arial"/>
                <w:sz w:val="18"/>
                <w:szCs w:val="18"/>
                <w:color w:val="auto"/>
              </w:rPr>
              <w:t>24,439</w:t>
            </w:r>
          </w:p>
        </w:tc>
        <w:tc>
          <w:tcPr>
            <w:tcW w:w="0" w:type="dxa"/>
            <w:vAlign w:val="bottom"/>
          </w:tcPr>
          <w:p>
            <w:pPr>
              <w:spacing w:after="0"/>
              <w:rPr>
                <w:sz w:val="1"/>
                <w:szCs w:val="1"/>
                <w:color w:val="auto"/>
              </w:rPr>
            </w:pPr>
          </w:p>
        </w:tc>
      </w:tr>
      <w:tr>
        <w:trPr>
          <w:trHeight w:val="217"/>
        </w:trPr>
        <w:tc>
          <w:tcPr>
            <w:tcW w:w="1700" w:type="dxa"/>
            <w:vAlign w:val="bottom"/>
          </w:tcPr>
          <w:p>
            <w:pPr>
              <w:jc w:val="right"/>
              <w:ind w:right="1070"/>
              <w:spacing w:after="0"/>
              <w:rPr>
                <w:sz w:val="20"/>
                <w:szCs w:val="20"/>
                <w:color w:val="auto"/>
              </w:rPr>
            </w:pPr>
            <w:r>
              <w:rPr>
                <w:rFonts w:ascii="Arial" w:cs="Arial" w:eastAsia="Arial" w:hAnsi="Arial"/>
                <w:sz w:val="18"/>
                <w:szCs w:val="18"/>
                <w:color w:val="auto"/>
              </w:rPr>
              <w:t>2014</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40" w:type="dxa"/>
            <w:vAlign w:val="bottom"/>
            <w:gridSpan w:val="7"/>
          </w:tcPr>
          <w:p>
            <w:pPr>
              <w:jc w:val="right"/>
              <w:ind w:right="40"/>
              <w:spacing w:after="0"/>
              <w:rPr>
                <w:sz w:val="20"/>
                <w:szCs w:val="20"/>
                <w:color w:val="auto"/>
              </w:rPr>
            </w:pPr>
            <w:r>
              <w:rPr>
                <w:rFonts w:ascii="Arial" w:cs="Arial" w:eastAsia="Arial" w:hAnsi="Arial"/>
                <w:sz w:val="18"/>
                <w:szCs w:val="18"/>
                <w:color w:val="auto"/>
              </w:rPr>
              <w:t>49,987</w:t>
            </w:r>
          </w:p>
        </w:tc>
        <w:tc>
          <w:tcPr>
            <w:tcW w:w="1900" w:type="dxa"/>
            <w:vAlign w:val="bottom"/>
            <w:gridSpan w:val="5"/>
          </w:tcPr>
          <w:p>
            <w:pPr>
              <w:jc w:val="right"/>
              <w:ind w:right="240"/>
              <w:spacing w:after="0"/>
              <w:rPr>
                <w:sz w:val="20"/>
                <w:szCs w:val="20"/>
                <w:color w:val="auto"/>
              </w:rPr>
            </w:pPr>
            <w:r>
              <w:rPr>
                <w:rFonts w:ascii="Arial" w:cs="Arial" w:eastAsia="Arial" w:hAnsi="Arial"/>
                <w:sz w:val="18"/>
                <w:szCs w:val="18"/>
                <w:color w:val="auto"/>
              </w:rPr>
              <w:t>(3,347)</w:t>
            </w:r>
          </w:p>
        </w:tc>
        <w:tc>
          <w:tcPr>
            <w:tcW w:w="1540" w:type="dxa"/>
            <w:vAlign w:val="bottom"/>
            <w:gridSpan w:val="3"/>
          </w:tcPr>
          <w:p>
            <w:pPr>
              <w:jc w:val="right"/>
              <w:ind w:right="60"/>
              <w:spacing w:after="0"/>
              <w:rPr>
                <w:sz w:val="20"/>
                <w:szCs w:val="20"/>
                <w:color w:val="auto"/>
              </w:rPr>
            </w:pPr>
            <w:r>
              <w:rPr>
                <w:rFonts w:ascii="Arial" w:cs="Arial" w:eastAsia="Arial" w:hAnsi="Arial"/>
                <w:sz w:val="18"/>
                <w:szCs w:val="18"/>
                <w:color w:val="auto"/>
              </w:rPr>
              <w:t>(24,780)</w:t>
            </w:r>
          </w:p>
        </w:tc>
        <w:tc>
          <w:tcPr>
            <w:tcW w:w="1640" w:type="dxa"/>
            <w:vAlign w:val="bottom"/>
            <w:gridSpan w:val="6"/>
          </w:tcPr>
          <w:p>
            <w:pPr>
              <w:jc w:val="right"/>
              <w:spacing w:after="0"/>
              <w:rPr>
                <w:sz w:val="20"/>
                <w:szCs w:val="20"/>
                <w:color w:val="auto"/>
              </w:rPr>
            </w:pPr>
            <w:r>
              <w:rPr>
                <w:rFonts w:ascii="Arial" w:cs="Arial" w:eastAsia="Arial" w:hAnsi="Arial"/>
                <w:sz w:val="18"/>
                <w:szCs w:val="18"/>
                <w:color w:val="auto"/>
              </w:rPr>
              <w:t>21,860</w:t>
            </w:r>
          </w:p>
        </w:tc>
        <w:tc>
          <w:tcPr>
            <w:tcW w:w="0" w:type="dxa"/>
            <w:vAlign w:val="bottom"/>
          </w:tcPr>
          <w:p>
            <w:pPr>
              <w:spacing w:after="0"/>
              <w:rPr>
                <w:sz w:val="1"/>
                <w:szCs w:val="1"/>
                <w:color w:val="auto"/>
              </w:rPr>
            </w:pPr>
          </w:p>
        </w:tc>
      </w:tr>
    </w:tbl>
    <w:p>
      <w:pPr>
        <w:spacing w:after="0" w:line="364"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Amounts sold, written off, or recovered, and the effect of changes in currency translation rates, are included in Column D.</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color w:val="auto"/>
        </w:rPr>
        <w:t>CORPORATE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Investor Relations Department may be contacted at:</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Investor Relations Department</w:t>
      </w:r>
    </w:p>
    <w:p>
      <w:pPr>
        <w:ind w:left="660"/>
        <w:spacing w:after="0" w:line="234" w:lineRule="auto"/>
        <w:rPr>
          <w:sz w:val="20"/>
          <w:szCs w:val="20"/>
          <w:color w:val="auto"/>
        </w:rPr>
      </w:pPr>
      <w:r>
        <w:rPr>
          <w:rFonts w:ascii="Arial" w:cs="Arial" w:eastAsia="Arial" w:hAnsi="Arial"/>
          <w:sz w:val="18"/>
          <w:szCs w:val="18"/>
          <w:color w:val="auto"/>
        </w:rPr>
        <w:t>Albany International Corp.</w:t>
      </w:r>
    </w:p>
    <w:p>
      <w:pPr>
        <w:ind w:left="660"/>
        <w:spacing w:after="0" w:line="235" w:lineRule="auto"/>
        <w:rPr>
          <w:sz w:val="20"/>
          <w:szCs w:val="20"/>
          <w:color w:val="auto"/>
        </w:rPr>
      </w:pPr>
      <w:r>
        <w:rPr>
          <w:rFonts w:ascii="Arial" w:cs="Arial" w:eastAsia="Arial" w:hAnsi="Arial"/>
          <w:sz w:val="18"/>
          <w:szCs w:val="18"/>
          <w:color w:val="auto"/>
        </w:rPr>
        <w:t>216 Airport Drive</w:t>
      </w:r>
    </w:p>
    <w:p>
      <w:pPr>
        <w:ind w:left="660"/>
        <w:spacing w:after="0" w:line="235" w:lineRule="auto"/>
        <w:rPr>
          <w:sz w:val="20"/>
          <w:szCs w:val="20"/>
          <w:color w:val="auto"/>
        </w:rPr>
      </w:pPr>
      <w:r>
        <w:rPr>
          <w:rFonts w:ascii="Arial" w:cs="Arial" w:eastAsia="Arial" w:hAnsi="Arial"/>
          <w:sz w:val="18"/>
          <w:szCs w:val="18"/>
          <w:color w:val="auto"/>
        </w:rPr>
        <w:t>Rochester, NH 03867</w:t>
      </w:r>
    </w:p>
    <w:p>
      <w:pPr>
        <w:ind w:left="660"/>
        <w:spacing w:after="0" w:line="235" w:lineRule="auto"/>
        <w:rPr>
          <w:sz w:val="20"/>
          <w:szCs w:val="20"/>
          <w:color w:val="auto"/>
        </w:rPr>
      </w:pPr>
      <w:r>
        <w:rPr>
          <w:rFonts w:ascii="Arial" w:cs="Arial" w:eastAsia="Arial" w:hAnsi="Arial"/>
          <w:sz w:val="18"/>
          <w:szCs w:val="18"/>
          <w:color w:val="auto"/>
        </w:rPr>
        <w:t>Telephone: (603) 330-5850</w:t>
      </w:r>
    </w:p>
    <w:p>
      <w:pPr>
        <w:ind w:left="660"/>
        <w:spacing w:after="0" w:line="235" w:lineRule="auto"/>
        <w:rPr>
          <w:sz w:val="20"/>
          <w:szCs w:val="20"/>
          <w:color w:val="auto"/>
        </w:rPr>
      </w:pPr>
      <w:r>
        <w:rPr>
          <w:rFonts w:ascii="Arial" w:cs="Arial" w:eastAsia="Arial" w:hAnsi="Arial"/>
          <w:sz w:val="18"/>
          <w:szCs w:val="18"/>
          <w:color w:val="auto"/>
        </w:rPr>
        <w:t>Fax: (603) 994-3974</w:t>
      </w:r>
    </w:p>
    <w:p>
      <w:pPr>
        <w:ind w:left="660"/>
        <w:spacing w:after="0"/>
        <w:rPr>
          <w:sz w:val="20"/>
          <w:szCs w:val="20"/>
          <w:color w:val="auto"/>
        </w:rPr>
      </w:pPr>
      <w:r>
        <w:rPr>
          <w:rFonts w:ascii="Arial" w:cs="Arial" w:eastAsia="Arial" w:hAnsi="Arial"/>
          <w:sz w:val="18"/>
          <w:szCs w:val="18"/>
          <w:color w:val="auto"/>
        </w:rPr>
        <w:t>E-mail: investor.relations@albint.com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Computershare</w:t>
      </w:r>
    </w:p>
    <w:p>
      <w:pPr>
        <w:ind w:left="660"/>
        <w:spacing w:after="0" w:line="234" w:lineRule="auto"/>
        <w:rPr>
          <w:sz w:val="20"/>
          <w:szCs w:val="20"/>
          <w:color w:val="auto"/>
        </w:rPr>
      </w:pPr>
      <w:r>
        <w:rPr>
          <w:rFonts w:ascii="Arial" w:cs="Arial" w:eastAsia="Arial" w:hAnsi="Arial"/>
          <w:sz w:val="18"/>
          <w:szCs w:val="18"/>
          <w:color w:val="auto"/>
        </w:rPr>
        <w:t>P.O. Box 30170</w:t>
      </w:r>
    </w:p>
    <w:p>
      <w:pPr>
        <w:ind w:left="660"/>
        <w:spacing w:after="0" w:line="235" w:lineRule="auto"/>
        <w:rPr>
          <w:sz w:val="20"/>
          <w:szCs w:val="20"/>
          <w:color w:val="auto"/>
        </w:rPr>
      </w:pPr>
      <w:r>
        <w:rPr>
          <w:rFonts w:ascii="Arial" w:cs="Arial" w:eastAsia="Arial" w:hAnsi="Arial"/>
          <w:sz w:val="18"/>
          <w:szCs w:val="18"/>
          <w:color w:val="auto"/>
        </w:rPr>
        <w:t>College Station, TX 77842-3170</w:t>
      </w:r>
    </w:p>
    <w:p>
      <w:pPr>
        <w:ind w:left="660"/>
        <w:spacing w:after="0" w:line="235" w:lineRule="auto"/>
        <w:rPr>
          <w:sz w:val="20"/>
          <w:szCs w:val="20"/>
          <w:color w:val="auto"/>
        </w:rPr>
      </w:pPr>
      <w:r>
        <w:rPr>
          <w:rFonts w:ascii="Arial" w:cs="Arial" w:eastAsia="Arial" w:hAnsi="Arial"/>
          <w:sz w:val="18"/>
          <w:szCs w:val="18"/>
          <w:color w:val="auto"/>
        </w:rPr>
        <w:t>Telephone (toll-free): 1-877-277-9931</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Web: </w:t>
      </w:r>
      <w:r>
        <w:rPr>
          <w:rFonts w:ascii="Arial" w:cs="Arial" w:eastAsia="Arial" w:hAnsi="Arial"/>
          <w:sz w:val="18"/>
          <w:szCs w:val="18"/>
          <w:u w:val="single" w:color="auto"/>
          <w:color w:val="auto"/>
        </w:rPr>
        <w:t>www.computershare.com/investor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Services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an Albany International shareholder, you are invited to take advantage of our convenient shareholder services.</w:t>
      </w:r>
    </w:p>
    <w:p>
      <w:pPr>
        <w:spacing w:after="0" w:line="171" w:lineRule="exact"/>
        <w:rPr>
          <w:sz w:val="20"/>
          <w:szCs w:val="20"/>
          <w:color w:val="auto"/>
        </w:rPr>
      </w:pPr>
    </w:p>
    <w:p>
      <w:pPr>
        <w:ind w:right="200" w:firstLine="648"/>
        <w:spacing w:after="0" w:line="246" w:lineRule="auto"/>
        <w:rPr>
          <w:sz w:val="20"/>
          <w:szCs w:val="20"/>
          <w:color w:val="auto"/>
        </w:rPr>
      </w:pPr>
      <w:r>
        <w:rPr>
          <w:rFonts w:ascii="Arial" w:cs="Arial" w:eastAsia="Arial" w:hAnsi="Arial"/>
          <w:sz w:val="18"/>
          <w:szCs w:val="18"/>
          <w:color w:val="auto"/>
        </w:rPr>
        <w:t>Computershare maintains the records for our registered shareholders and can help you with a variety of shareholder-related services at no charge, including:</w:t>
      </w:r>
    </w:p>
    <w:p>
      <w:pPr>
        <w:spacing w:after="0" w:line="120" w:lineRule="exact"/>
        <w:rPr>
          <w:sz w:val="20"/>
          <w:szCs w:val="20"/>
          <w:color w:val="auto"/>
        </w:rPr>
      </w:pPr>
    </w:p>
    <w:p>
      <w:pPr>
        <w:ind w:left="900" w:hanging="244"/>
        <w:spacing w:after="0"/>
        <w:tabs>
          <w:tab w:leader="none" w:pos="900" w:val="left"/>
        </w:tabs>
        <w:numPr>
          <w:ilvl w:val="0"/>
          <w:numId w:val="38"/>
        </w:numPr>
        <w:rPr>
          <w:rFonts w:ascii="Arial" w:cs="Arial" w:eastAsia="Arial" w:hAnsi="Arial"/>
          <w:sz w:val="22"/>
          <w:szCs w:val="22"/>
          <w:color w:val="auto"/>
        </w:rPr>
      </w:pPr>
      <w:r>
        <w:rPr>
          <w:rFonts w:ascii="Arial" w:cs="Arial" w:eastAsia="Arial" w:hAnsi="Arial"/>
          <w:sz w:val="18"/>
          <w:szCs w:val="18"/>
          <w:color w:val="auto"/>
        </w:rPr>
        <w:t>Change of name and/or address</w:t>
      </w:r>
    </w:p>
    <w:p>
      <w:pPr>
        <w:spacing w:after="0" w:line="26" w:lineRule="exact"/>
        <w:rPr>
          <w:rFonts w:ascii="Arial" w:cs="Arial" w:eastAsia="Arial" w:hAnsi="Arial"/>
          <w:sz w:val="22"/>
          <w:szCs w:val="22"/>
          <w:color w:val="auto"/>
        </w:rPr>
      </w:pPr>
    </w:p>
    <w:p>
      <w:pPr>
        <w:ind w:left="900" w:hanging="244"/>
        <w:spacing w:after="0" w:line="205" w:lineRule="auto"/>
        <w:tabs>
          <w:tab w:leader="none" w:pos="900" w:val="left"/>
        </w:tabs>
        <w:numPr>
          <w:ilvl w:val="0"/>
          <w:numId w:val="38"/>
        </w:numPr>
        <w:rPr>
          <w:rFonts w:ascii="Arial" w:cs="Arial" w:eastAsia="Arial" w:hAnsi="Arial"/>
          <w:sz w:val="22"/>
          <w:szCs w:val="22"/>
          <w:color w:val="auto"/>
        </w:rPr>
      </w:pPr>
      <w:r>
        <w:rPr>
          <w:rFonts w:ascii="Arial" w:cs="Arial" w:eastAsia="Arial" w:hAnsi="Arial"/>
          <w:sz w:val="18"/>
          <w:szCs w:val="18"/>
          <w:color w:val="auto"/>
        </w:rPr>
        <w:t>Consolidation of accounts</w:t>
      </w:r>
    </w:p>
    <w:p>
      <w:pPr>
        <w:spacing w:after="0" w:line="27" w:lineRule="exact"/>
        <w:rPr>
          <w:rFonts w:ascii="Arial" w:cs="Arial" w:eastAsia="Arial" w:hAnsi="Arial"/>
          <w:sz w:val="22"/>
          <w:szCs w:val="22"/>
          <w:color w:val="auto"/>
        </w:rPr>
      </w:pPr>
    </w:p>
    <w:p>
      <w:pPr>
        <w:ind w:left="900" w:hanging="244"/>
        <w:spacing w:after="0" w:line="205" w:lineRule="auto"/>
        <w:tabs>
          <w:tab w:leader="none" w:pos="900" w:val="left"/>
        </w:tabs>
        <w:numPr>
          <w:ilvl w:val="0"/>
          <w:numId w:val="38"/>
        </w:numPr>
        <w:rPr>
          <w:rFonts w:ascii="Arial" w:cs="Arial" w:eastAsia="Arial" w:hAnsi="Arial"/>
          <w:sz w:val="22"/>
          <w:szCs w:val="22"/>
          <w:color w:val="auto"/>
        </w:rPr>
      </w:pPr>
      <w:r>
        <w:rPr>
          <w:rFonts w:ascii="Arial" w:cs="Arial" w:eastAsia="Arial" w:hAnsi="Arial"/>
          <w:sz w:val="18"/>
          <w:szCs w:val="18"/>
          <w:color w:val="auto"/>
        </w:rPr>
        <w:t>Duplicate mailings</w:t>
      </w:r>
    </w:p>
    <w:p>
      <w:pPr>
        <w:spacing w:after="0" w:line="27" w:lineRule="exact"/>
        <w:rPr>
          <w:rFonts w:ascii="Arial" w:cs="Arial" w:eastAsia="Arial" w:hAnsi="Arial"/>
          <w:sz w:val="22"/>
          <w:szCs w:val="22"/>
          <w:color w:val="auto"/>
        </w:rPr>
      </w:pPr>
    </w:p>
    <w:p>
      <w:pPr>
        <w:ind w:left="900" w:hanging="244"/>
        <w:spacing w:after="0" w:line="205" w:lineRule="auto"/>
        <w:tabs>
          <w:tab w:leader="none" w:pos="900" w:val="left"/>
        </w:tabs>
        <w:numPr>
          <w:ilvl w:val="0"/>
          <w:numId w:val="38"/>
        </w:numPr>
        <w:rPr>
          <w:rFonts w:ascii="Arial" w:cs="Arial" w:eastAsia="Arial" w:hAnsi="Arial"/>
          <w:sz w:val="22"/>
          <w:szCs w:val="22"/>
          <w:color w:val="auto"/>
        </w:rPr>
      </w:pPr>
      <w:r>
        <w:rPr>
          <w:rFonts w:ascii="Arial" w:cs="Arial" w:eastAsia="Arial" w:hAnsi="Arial"/>
          <w:sz w:val="18"/>
          <w:szCs w:val="18"/>
          <w:color w:val="auto"/>
        </w:rPr>
        <w:t>Dividend reinvestment enrollment</w:t>
      </w:r>
    </w:p>
    <w:p>
      <w:pPr>
        <w:spacing w:after="0" w:line="27" w:lineRule="exact"/>
        <w:rPr>
          <w:rFonts w:ascii="Arial" w:cs="Arial" w:eastAsia="Arial" w:hAnsi="Arial"/>
          <w:sz w:val="22"/>
          <w:szCs w:val="22"/>
          <w:color w:val="auto"/>
        </w:rPr>
      </w:pPr>
    </w:p>
    <w:p>
      <w:pPr>
        <w:ind w:left="900" w:hanging="244"/>
        <w:spacing w:after="0" w:line="205" w:lineRule="auto"/>
        <w:tabs>
          <w:tab w:leader="none" w:pos="900" w:val="left"/>
        </w:tabs>
        <w:numPr>
          <w:ilvl w:val="0"/>
          <w:numId w:val="38"/>
        </w:numPr>
        <w:rPr>
          <w:rFonts w:ascii="Arial" w:cs="Arial" w:eastAsia="Arial" w:hAnsi="Arial"/>
          <w:sz w:val="22"/>
          <w:szCs w:val="22"/>
          <w:color w:val="auto"/>
        </w:rPr>
      </w:pPr>
      <w:r>
        <w:rPr>
          <w:rFonts w:ascii="Arial" w:cs="Arial" w:eastAsia="Arial" w:hAnsi="Arial"/>
          <w:sz w:val="18"/>
          <w:szCs w:val="18"/>
          <w:color w:val="auto"/>
        </w:rPr>
        <w:t>Lost stock certificates</w:t>
      </w:r>
    </w:p>
    <w:p>
      <w:pPr>
        <w:spacing w:after="0" w:line="27" w:lineRule="exact"/>
        <w:rPr>
          <w:rFonts w:ascii="Arial" w:cs="Arial" w:eastAsia="Arial" w:hAnsi="Arial"/>
          <w:sz w:val="22"/>
          <w:szCs w:val="22"/>
          <w:color w:val="auto"/>
        </w:rPr>
      </w:pPr>
    </w:p>
    <w:p>
      <w:pPr>
        <w:ind w:left="900" w:hanging="244"/>
        <w:spacing w:after="0" w:line="205" w:lineRule="auto"/>
        <w:tabs>
          <w:tab w:leader="none" w:pos="900" w:val="left"/>
        </w:tabs>
        <w:numPr>
          <w:ilvl w:val="0"/>
          <w:numId w:val="38"/>
        </w:numPr>
        <w:rPr>
          <w:rFonts w:ascii="Arial" w:cs="Arial" w:eastAsia="Arial" w:hAnsi="Arial"/>
          <w:sz w:val="22"/>
          <w:szCs w:val="22"/>
          <w:color w:val="auto"/>
        </w:rPr>
      </w:pPr>
      <w:r>
        <w:rPr>
          <w:rFonts w:ascii="Arial" w:cs="Arial" w:eastAsia="Arial" w:hAnsi="Arial"/>
          <w:sz w:val="18"/>
          <w:szCs w:val="18"/>
          <w:color w:val="auto"/>
        </w:rPr>
        <w:t>Transfer of stock to another person</w:t>
      </w:r>
    </w:p>
    <w:p>
      <w:pPr>
        <w:spacing w:after="0" w:line="27" w:lineRule="exact"/>
        <w:rPr>
          <w:rFonts w:ascii="Arial" w:cs="Arial" w:eastAsia="Arial" w:hAnsi="Arial"/>
          <w:sz w:val="22"/>
          <w:szCs w:val="22"/>
          <w:color w:val="auto"/>
        </w:rPr>
      </w:pPr>
    </w:p>
    <w:p>
      <w:pPr>
        <w:ind w:left="900" w:hanging="244"/>
        <w:spacing w:after="0" w:line="205" w:lineRule="auto"/>
        <w:tabs>
          <w:tab w:leader="none" w:pos="900" w:val="left"/>
        </w:tabs>
        <w:numPr>
          <w:ilvl w:val="0"/>
          <w:numId w:val="38"/>
        </w:numPr>
        <w:rPr>
          <w:rFonts w:ascii="Arial" w:cs="Arial" w:eastAsia="Arial" w:hAnsi="Arial"/>
          <w:sz w:val="22"/>
          <w:szCs w:val="22"/>
          <w:color w:val="auto"/>
        </w:rPr>
      </w:pPr>
      <w:r>
        <w:rPr>
          <w:rFonts w:ascii="Arial" w:cs="Arial" w:eastAsia="Arial" w:hAnsi="Arial"/>
          <w:sz w:val="18"/>
          <w:szCs w:val="18"/>
          <w:color w:val="auto"/>
        </w:rPr>
        <w:t>Additional administrative services</w:t>
      </w:r>
    </w:p>
    <w:p>
      <w:pPr>
        <w:spacing w:after="0" w:line="198" w:lineRule="exact"/>
        <w:rPr>
          <w:sz w:val="20"/>
          <w:szCs w:val="20"/>
          <w:color w:val="auto"/>
        </w:rPr>
      </w:pPr>
    </w:p>
    <w:p>
      <w:pPr>
        <w:ind w:right="1720" w:firstLine="648"/>
        <w:spacing w:after="0" w:line="267" w:lineRule="auto"/>
        <w:rPr>
          <w:sz w:val="20"/>
          <w:szCs w:val="20"/>
          <w:color w:val="auto"/>
        </w:rPr>
      </w:pPr>
      <w:r>
        <w:rPr>
          <w:rFonts w:ascii="Arial" w:cs="Arial" w:eastAsia="Arial" w:hAnsi="Arial"/>
          <w:sz w:val="18"/>
          <w:szCs w:val="18"/>
          <w:i w:val="1"/>
          <w:iCs w:val="1"/>
          <w:color w:val="auto"/>
        </w:rPr>
        <w:t xml:space="preserve">Access your investor statements online 24 hours a day, 7 days a week with MLinkSM. For more information, go to </w:t>
      </w:r>
      <w:r>
        <w:rPr>
          <w:rFonts w:ascii="Arial" w:cs="Arial" w:eastAsia="Arial" w:hAnsi="Arial"/>
          <w:sz w:val="18"/>
          <w:szCs w:val="18"/>
          <w:i w:val="1"/>
          <w:iCs w:val="1"/>
          <w:u w:val="single" w:color="auto"/>
          <w:color w:val="auto"/>
        </w:rPr>
        <w:t>www.computershare.com/investor</w:t>
      </w:r>
      <w:r>
        <w:rPr>
          <w:rFonts w:ascii="Arial" w:cs="Arial" w:eastAsia="Arial" w:hAnsi="Arial"/>
          <w:sz w:val="18"/>
          <w:szCs w:val="18"/>
          <w:i w:val="1"/>
          <w:iCs w:val="1"/>
          <w:color w:val="auto"/>
        </w:rPr>
        <w: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Annual Meeting</w:t>
      </w:r>
    </w:p>
    <w:p>
      <w:pPr>
        <w:spacing w:after="0" w:line="193" w:lineRule="exact"/>
        <w:rPr>
          <w:sz w:val="20"/>
          <w:szCs w:val="20"/>
          <w:color w:val="auto"/>
        </w:rPr>
      </w:pPr>
    </w:p>
    <w:p>
      <w:pPr>
        <w:ind w:right="60" w:firstLine="648"/>
        <w:spacing w:after="0" w:line="246" w:lineRule="auto"/>
        <w:rPr>
          <w:sz w:val="20"/>
          <w:szCs w:val="20"/>
          <w:color w:val="auto"/>
        </w:rPr>
      </w:pPr>
      <w:r>
        <w:rPr>
          <w:rFonts w:ascii="Arial" w:cs="Arial" w:eastAsia="Arial" w:hAnsi="Arial"/>
          <w:sz w:val="18"/>
          <w:szCs w:val="18"/>
          <w:color w:val="auto"/>
        </w:rPr>
        <w:t>The Annual Meeting of the Company’s shareholders is scheduled to be held on Friday, May 12, 2017 at 9:00 a.m. at The One Hundred Club, 100 Market Street, Suite 500, Portsmouth, New Hampshire 03801.</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Listing</w:t>
      </w:r>
    </w:p>
    <w:p>
      <w:pPr>
        <w:spacing w:after="0" w:line="193" w:lineRule="exact"/>
        <w:rPr>
          <w:sz w:val="20"/>
          <w:szCs w:val="20"/>
          <w:color w:val="auto"/>
        </w:rPr>
      </w:pPr>
    </w:p>
    <w:p>
      <w:pPr>
        <w:ind w:right="60" w:firstLine="648"/>
        <w:spacing w:after="0" w:line="246" w:lineRule="auto"/>
        <w:rPr>
          <w:sz w:val="20"/>
          <w:szCs w:val="20"/>
          <w:color w:val="auto"/>
        </w:rPr>
      </w:pPr>
      <w:r>
        <w:rPr>
          <w:rFonts w:ascii="Arial" w:cs="Arial" w:eastAsia="Arial" w:hAnsi="Arial"/>
          <w:sz w:val="18"/>
          <w:szCs w:val="18"/>
          <w:color w:val="auto"/>
        </w:rPr>
        <w:t>Albany International is listed on the New York Stock Exchange (Symbol AIN). Stock tables in newspapers and financial publications list Albany International as “AlbanyInt.”</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t>Equal Employment Opportunity</w:t>
      </w:r>
    </w:p>
    <w:p>
      <w:pPr>
        <w:spacing w:after="0" w:line="192" w:lineRule="exact"/>
        <w:rPr>
          <w:sz w:val="20"/>
          <w:szCs w:val="20"/>
          <w:color w:val="auto"/>
        </w:rPr>
      </w:pPr>
    </w:p>
    <w:p>
      <w:pPr>
        <w:ind w:right="220" w:firstLine="648"/>
        <w:spacing w:after="0" w:line="239" w:lineRule="auto"/>
        <w:rPr>
          <w:sz w:val="20"/>
          <w:szCs w:val="20"/>
          <w:color w:val="auto"/>
        </w:rPr>
      </w:pPr>
      <w:r>
        <w:rPr>
          <w:rFonts w:ascii="Arial" w:cs="Arial" w:eastAsia="Arial" w:hAnsi="Arial"/>
          <w:sz w:val="18"/>
          <w:szCs w:val="18"/>
          <w:color w:val="auto"/>
        </w:rPr>
        <w:t>Albany International, as a matter of policy, does not discriminate against any employee or applicant for employment because of race, color, religion, sex, national origin, age, physical or mental disability, or status as a disabled or Vietnam-era veteran. This policy of nondiscrimination is applicable to matters of hiring, upgrading, promotions, transfers, layoffs, terminations, rates of pay, selection for training, recruitment, and recruitment advertising. The Company maintains affirmative action programs to implement its EEO policy.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and Trade Names</w:t>
      </w:r>
    </w:p>
    <w:p>
      <w:pPr>
        <w:spacing w:after="0" w:line="193" w:lineRule="exact"/>
        <w:rPr>
          <w:sz w:val="20"/>
          <w:szCs w:val="20"/>
          <w:color w:val="auto"/>
        </w:rPr>
      </w:pPr>
    </w:p>
    <w:p>
      <w:pPr>
        <w:jc w:val="both"/>
        <w:ind w:right="100" w:firstLine="648"/>
        <w:spacing w:after="0"/>
        <w:rPr>
          <w:sz w:val="20"/>
          <w:szCs w:val="20"/>
          <w:color w:val="auto"/>
        </w:rPr>
      </w:pPr>
      <w:r>
        <w:rPr>
          <w:rFonts w:ascii="Arial" w:cs="Arial" w:eastAsia="Arial" w:hAnsi="Arial"/>
          <w:sz w:val="18"/>
          <w:szCs w:val="18"/>
          <w:color w:val="auto"/>
        </w:rPr>
        <w:t>INLINE, KRAFTLINE, PRINTLINE, HYDROCROSS, SEAM HYDROCROSS, SEAMPLANE, Seam KMX, SPRING, VENTABELT EVM, VENTABELT XTS, TRANSBELT GX, SPIRALTOP, AEROPULSE, AEROPOINT, DURASPIRAL, TOPSTAT, SUPRASTAT and NOVALACE are all trade names of Albany International Corp.</w:t>
      </w: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38"/>
        </w:trPr>
        <w:tc>
          <w:tcPr>
            <w:tcW w:w="5060" w:type="dxa"/>
            <w:vAlign w:val="bottom"/>
          </w:tcPr>
          <w:p>
            <w:pPr>
              <w:spacing w:after="0"/>
              <w:rPr>
                <w:sz w:val="20"/>
                <w:szCs w:val="20"/>
                <w:color w:val="auto"/>
              </w:rPr>
            </w:pPr>
            <w:r>
              <w:rPr>
                <w:rFonts w:ascii="Arial" w:cs="Arial" w:eastAsia="Arial" w:hAnsi="Arial"/>
                <w:sz w:val="18"/>
                <w:szCs w:val="18"/>
                <w:b w:val="1"/>
                <w:bCs w:val="1"/>
                <w:color w:val="auto"/>
              </w:rPr>
              <w:t>Directors and Officers</w:t>
            </w:r>
          </w:p>
        </w:tc>
        <w:tc>
          <w:tcPr>
            <w:tcW w:w="3980" w:type="dxa"/>
            <w:vAlign w:val="bottom"/>
          </w:tcPr>
          <w:p>
            <w:pPr>
              <w:spacing w:after="0"/>
              <w:rPr>
                <w:sz w:val="20"/>
                <w:szCs w:val="20"/>
                <w:color w:val="auto"/>
              </w:rPr>
            </w:pPr>
          </w:p>
        </w:tc>
      </w:tr>
      <w:tr>
        <w:trPr>
          <w:trHeight w:val="391"/>
        </w:trPr>
        <w:tc>
          <w:tcPr>
            <w:tcW w:w="5060" w:type="dxa"/>
            <w:vAlign w:val="bottom"/>
          </w:tcPr>
          <w:p>
            <w:pPr>
              <w:spacing w:after="0"/>
              <w:rPr>
                <w:sz w:val="20"/>
                <w:szCs w:val="20"/>
                <w:color w:val="auto"/>
              </w:rPr>
            </w:pPr>
            <w:r>
              <w:rPr>
                <w:rFonts w:ascii="Arial" w:cs="Arial" w:eastAsia="Arial" w:hAnsi="Arial"/>
                <w:sz w:val="18"/>
                <w:szCs w:val="18"/>
                <w:b w:val="1"/>
                <w:bCs w:val="1"/>
                <w:color w:val="auto"/>
              </w:rPr>
              <w:t>Directors</w:t>
            </w:r>
          </w:p>
        </w:tc>
        <w:tc>
          <w:tcPr>
            <w:tcW w:w="3980" w:type="dxa"/>
            <w:vAlign w:val="bottom"/>
          </w:tcPr>
          <w:p>
            <w:pPr>
              <w:spacing w:after="0"/>
              <w:rPr>
                <w:sz w:val="24"/>
                <w:szCs w:val="24"/>
                <w:color w:val="auto"/>
              </w:rPr>
            </w:pPr>
          </w:p>
        </w:tc>
      </w:tr>
      <w:tr>
        <w:trPr>
          <w:trHeight w:val="243"/>
        </w:trPr>
        <w:tc>
          <w:tcPr>
            <w:tcW w:w="5060" w:type="dxa"/>
            <w:vAlign w:val="bottom"/>
          </w:tcPr>
          <w:p>
            <w:pPr>
              <w:spacing w:after="0" w:line="243" w:lineRule="exact"/>
              <w:rPr>
                <w:sz w:val="20"/>
                <w:szCs w:val="20"/>
                <w:color w:val="auto"/>
              </w:rPr>
            </w:pPr>
            <w:r>
              <w:rPr>
                <w:rFonts w:ascii="Arial" w:cs="Arial" w:eastAsia="Arial" w:hAnsi="Arial"/>
                <w:sz w:val="17"/>
                <w:szCs w:val="17"/>
                <w:color w:val="auto"/>
              </w:rPr>
              <w:t>Erland E. Kailbourne, Chairman</w:t>
            </w:r>
            <w:r>
              <w:rPr>
                <w:rFonts w:ascii="Arial" w:cs="Arial" w:eastAsia="Arial" w:hAnsi="Arial"/>
                <w:sz w:val="28"/>
                <w:szCs w:val="28"/>
                <w:color w:val="auto"/>
                <w:vertAlign w:val="superscript"/>
              </w:rPr>
              <w:t>1</w:t>
            </w:r>
          </w:p>
        </w:tc>
        <w:tc>
          <w:tcPr>
            <w:tcW w:w="3980" w:type="dxa"/>
            <w:vAlign w:val="bottom"/>
          </w:tcPr>
          <w:p>
            <w:pPr>
              <w:ind w:left="60"/>
              <w:spacing w:after="0" w:line="243" w:lineRule="exact"/>
              <w:rPr>
                <w:sz w:val="20"/>
                <w:szCs w:val="20"/>
                <w:color w:val="auto"/>
              </w:rPr>
            </w:pPr>
            <w:r>
              <w:rPr>
                <w:rFonts w:ascii="Arial" w:cs="Arial" w:eastAsia="Arial" w:hAnsi="Arial"/>
                <w:sz w:val="17"/>
                <w:szCs w:val="17"/>
                <w:color w:val="auto"/>
              </w:rPr>
              <w:t>Edgar G. Hotard</w:t>
            </w:r>
            <w:r>
              <w:rPr>
                <w:rFonts w:ascii="Arial" w:cs="Arial" w:eastAsia="Arial" w:hAnsi="Arial"/>
                <w:sz w:val="28"/>
                <w:szCs w:val="28"/>
                <w:color w:val="auto"/>
                <w:vertAlign w:val="superscript"/>
              </w:rPr>
              <w:t>1</w:t>
            </w:r>
          </w:p>
        </w:tc>
      </w:tr>
      <w:tr>
        <w:trPr>
          <w:trHeight w:val="203"/>
        </w:trPr>
        <w:tc>
          <w:tcPr>
            <w:tcW w:w="5060" w:type="dxa"/>
            <w:vAlign w:val="bottom"/>
          </w:tcPr>
          <w:p>
            <w:pPr>
              <w:spacing w:after="0" w:line="202" w:lineRule="exact"/>
              <w:rPr>
                <w:sz w:val="20"/>
                <w:szCs w:val="20"/>
                <w:color w:val="auto"/>
              </w:rPr>
            </w:pPr>
            <w:r>
              <w:rPr>
                <w:rFonts w:ascii="Arial" w:cs="Arial" w:eastAsia="Arial" w:hAnsi="Arial"/>
                <w:sz w:val="18"/>
                <w:szCs w:val="18"/>
                <w:color w:val="auto"/>
              </w:rPr>
              <w:t>Retired – Chairman and Chief Executive Officer,</w:t>
            </w:r>
          </w:p>
        </w:tc>
        <w:tc>
          <w:tcPr>
            <w:tcW w:w="3980" w:type="dxa"/>
            <w:vAlign w:val="bottom"/>
          </w:tcPr>
          <w:p>
            <w:pPr>
              <w:ind w:left="60"/>
              <w:spacing w:after="0" w:line="202" w:lineRule="exact"/>
              <w:rPr>
                <w:sz w:val="20"/>
                <w:szCs w:val="20"/>
                <w:color w:val="auto"/>
              </w:rPr>
            </w:pPr>
            <w:r>
              <w:rPr>
                <w:rFonts w:ascii="Arial" w:cs="Arial" w:eastAsia="Arial" w:hAnsi="Arial"/>
                <w:sz w:val="18"/>
                <w:szCs w:val="18"/>
                <w:color w:val="auto"/>
              </w:rPr>
              <w:t>Retired- President and COO, Praxair, Inc.</w:t>
            </w:r>
          </w:p>
        </w:tc>
      </w:tr>
      <w:tr>
        <w:trPr>
          <w:trHeight w:val="217"/>
        </w:trPr>
        <w:tc>
          <w:tcPr>
            <w:tcW w:w="5060" w:type="dxa"/>
            <w:vAlign w:val="bottom"/>
          </w:tcPr>
          <w:p>
            <w:pPr>
              <w:spacing w:after="0"/>
              <w:rPr>
                <w:sz w:val="20"/>
                <w:szCs w:val="20"/>
                <w:color w:val="auto"/>
              </w:rPr>
            </w:pPr>
            <w:r>
              <w:rPr>
                <w:rFonts w:ascii="Arial" w:cs="Arial" w:eastAsia="Arial" w:hAnsi="Arial"/>
                <w:sz w:val="18"/>
                <w:szCs w:val="18"/>
                <w:color w:val="auto"/>
              </w:rPr>
              <w:t>Fleet National Bank (New York Region)</w:t>
            </w:r>
          </w:p>
        </w:tc>
        <w:tc>
          <w:tcPr>
            <w:tcW w:w="3980" w:type="dxa"/>
            <w:vAlign w:val="bottom"/>
          </w:tcPr>
          <w:p>
            <w:pPr>
              <w:spacing w:after="0"/>
              <w:rPr>
                <w:sz w:val="18"/>
                <w:szCs w:val="18"/>
                <w:color w:val="auto"/>
              </w:rPr>
            </w:pPr>
          </w:p>
        </w:tc>
      </w:tr>
      <w:tr>
        <w:trPr>
          <w:trHeight w:val="431"/>
        </w:trPr>
        <w:tc>
          <w:tcPr>
            <w:tcW w:w="5060" w:type="dxa"/>
            <w:vAlign w:val="bottom"/>
          </w:tcPr>
          <w:p>
            <w:pPr>
              <w:spacing w:after="0"/>
              <w:rPr>
                <w:sz w:val="20"/>
                <w:szCs w:val="20"/>
                <w:color w:val="auto"/>
              </w:rPr>
            </w:pPr>
            <w:r>
              <w:rPr>
                <w:rFonts w:ascii="Arial" w:cs="Arial" w:eastAsia="Arial" w:hAnsi="Arial"/>
                <w:sz w:val="18"/>
                <w:szCs w:val="18"/>
                <w:color w:val="auto"/>
              </w:rPr>
              <w:t>John C. Standish,</w:t>
            </w:r>
            <w:r>
              <w:rPr>
                <w:rFonts w:ascii="Arial" w:cs="Arial" w:eastAsia="Arial" w:hAnsi="Arial"/>
                <w:sz w:val="30"/>
                <w:szCs w:val="30"/>
                <w:color w:val="auto"/>
                <w:vertAlign w:val="superscript"/>
              </w:rPr>
              <w:t>2</w:t>
            </w:r>
            <w:r>
              <w:rPr>
                <w:rFonts w:ascii="Arial" w:cs="Arial" w:eastAsia="Arial" w:hAnsi="Arial"/>
                <w:sz w:val="18"/>
                <w:szCs w:val="18"/>
                <w:color w:val="auto"/>
              </w:rPr>
              <w:t xml:space="preserve"> Vice Chairman</w:t>
            </w:r>
          </w:p>
        </w:tc>
        <w:tc>
          <w:tcPr>
            <w:tcW w:w="3980" w:type="dxa"/>
            <w:vAlign w:val="bottom"/>
          </w:tcPr>
          <w:p>
            <w:pPr>
              <w:ind w:left="60"/>
              <w:spacing w:after="0"/>
              <w:rPr>
                <w:sz w:val="20"/>
                <w:szCs w:val="20"/>
                <w:color w:val="auto"/>
              </w:rPr>
            </w:pPr>
            <w:r>
              <w:rPr>
                <w:rFonts w:ascii="Arial" w:cs="Arial" w:eastAsia="Arial" w:hAnsi="Arial"/>
                <w:sz w:val="18"/>
                <w:szCs w:val="18"/>
                <w:color w:val="auto"/>
              </w:rPr>
              <w:t>Joseph G. Morone</w:t>
            </w:r>
          </w:p>
        </w:tc>
      </w:tr>
      <w:tr>
        <w:trPr>
          <w:trHeight w:val="217"/>
        </w:trPr>
        <w:tc>
          <w:tcPr>
            <w:tcW w:w="5060" w:type="dxa"/>
            <w:vAlign w:val="bottom"/>
          </w:tcPr>
          <w:p>
            <w:pPr>
              <w:spacing w:after="0"/>
              <w:rPr>
                <w:sz w:val="20"/>
                <w:szCs w:val="20"/>
                <w:color w:val="auto"/>
              </w:rPr>
            </w:pPr>
            <w:r>
              <w:rPr>
                <w:rFonts w:ascii="Arial" w:cs="Arial" w:eastAsia="Arial" w:hAnsi="Arial"/>
                <w:sz w:val="18"/>
                <w:szCs w:val="18"/>
                <w:color w:val="auto"/>
              </w:rPr>
              <w:t>Chairman and Chief Executive Officer, J.S. Standish Company</w:t>
            </w:r>
          </w:p>
        </w:tc>
        <w:tc>
          <w:tcPr>
            <w:tcW w:w="3980" w:type="dxa"/>
            <w:vAlign w:val="bottom"/>
          </w:tcPr>
          <w:p>
            <w:pPr>
              <w:ind w:left="60"/>
              <w:spacing w:after="0"/>
              <w:rPr>
                <w:sz w:val="20"/>
                <w:szCs w:val="20"/>
                <w:color w:val="auto"/>
              </w:rPr>
            </w:pPr>
            <w:r>
              <w:rPr>
                <w:rFonts w:ascii="Arial" w:cs="Arial" w:eastAsia="Arial" w:hAnsi="Arial"/>
                <w:sz w:val="18"/>
                <w:szCs w:val="18"/>
                <w:color w:val="auto"/>
              </w:rPr>
              <w:t>President and Chief Executive Officer</w:t>
            </w:r>
          </w:p>
        </w:tc>
      </w:tr>
      <w:tr>
        <w:trPr>
          <w:trHeight w:val="431"/>
        </w:trPr>
        <w:tc>
          <w:tcPr>
            <w:tcW w:w="5060" w:type="dxa"/>
            <w:vAlign w:val="bottom"/>
          </w:tcPr>
          <w:p>
            <w:pPr>
              <w:spacing w:after="0"/>
              <w:rPr>
                <w:sz w:val="20"/>
                <w:szCs w:val="20"/>
                <w:color w:val="auto"/>
              </w:rPr>
            </w:pPr>
            <w:r>
              <w:rPr>
                <w:rFonts w:ascii="Arial" w:cs="Arial" w:eastAsia="Arial" w:hAnsi="Arial"/>
                <w:sz w:val="18"/>
                <w:szCs w:val="18"/>
                <w:color w:val="auto"/>
              </w:rPr>
              <w:t>John F. Cassidy, Jr.</w:t>
            </w:r>
            <w:r>
              <w:rPr>
                <w:rFonts w:ascii="Arial" w:cs="Arial" w:eastAsia="Arial" w:hAnsi="Arial"/>
                <w:sz w:val="30"/>
                <w:szCs w:val="30"/>
                <w:color w:val="auto"/>
                <w:vertAlign w:val="superscript"/>
              </w:rPr>
              <w:t>2,3</w:t>
            </w:r>
          </w:p>
        </w:tc>
        <w:tc>
          <w:tcPr>
            <w:tcW w:w="3980" w:type="dxa"/>
            <w:vAlign w:val="bottom"/>
          </w:tcPr>
          <w:p>
            <w:pPr>
              <w:ind w:left="60"/>
              <w:spacing w:after="0"/>
              <w:rPr>
                <w:sz w:val="20"/>
                <w:szCs w:val="20"/>
                <w:color w:val="auto"/>
              </w:rPr>
            </w:pPr>
            <w:r>
              <w:rPr>
                <w:rFonts w:ascii="Arial" w:cs="Arial" w:eastAsia="Arial" w:hAnsi="Arial"/>
                <w:sz w:val="18"/>
                <w:szCs w:val="18"/>
                <w:color w:val="auto"/>
              </w:rPr>
              <w:t>Christine L. Standish</w:t>
            </w:r>
            <w:r>
              <w:rPr>
                <w:rFonts w:ascii="Arial" w:cs="Arial" w:eastAsia="Arial" w:hAnsi="Arial"/>
                <w:sz w:val="30"/>
                <w:szCs w:val="30"/>
                <w:color w:val="auto"/>
                <w:vertAlign w:val="superscript"/>
              </w:rPr>
              <w:t>3</w:t>
            </w:r>
          </w:p>
        </w:tc>
      </w:tr>
      <w:tr>
        <w:trPr>
          <w:trHeight w:val="203"/>
        </w:trPr>
        <w:tc>
          <w:tcPr>
            <w:tcW w:w="5060" w:type="dxa"/>
            <w:vAlign w:val="bottom"/>
          </w:tcPr>
          <w:p>
            <w:pPr>
              <w:spacing w:after="0" w:line="202" w:lineRule="exact"/>
              <w:rPr>
                <w:sz w:val="20"/>
                <w:szCs w:val="20"/>
                <w:color w:val="auto"/>
              </w:rPr>
            </w:pPr>
            <w:r>
              <w:rPr>
                <w:rFonts w:ascii="Arial" w:cs="Arial" w:eastAsia="Arial" w:hAnsi="Arial"/>
                <w:sz w:val="18"/>
                <w:szCs w:val="18"/>
                <w:color w:val="auto"/>
              </w:rPr>
              <w:t>Retired – Senior Vice President,</w:t>
            </w:r>
          </w:p>
        </w:tc>
        <w:tc>
          <w:tcPr>
            <w:tcW w:w="3980" w:type="dxa"/>
            <w:vAlign w:val="bottom"/>
          </w:tcPr>
          <w:p>
            <w:pPr>
              <w:ind w:left="60"/>
              <w:spacing w:after="0" w:line="202" w:lineRule="exact"/>
              <w:rPr>
                <w:sz w:val="20"/>
                <w:szCs w:val="20"/>
                <w:color w:val="auto"/>
              </w:rPr>
            </w:pPr>
            <w:r>
              <w:rPr>
                <w:rFonts w:ascii="Arial" w:cs="Arial" w:eastAsia="Arial" w:hAnsi="Arial"/>
                <w:sz w:val="18"/>
                <w:szCs w:val="18"/>
                <w:color w:val="auto"/>
              </w:rPr>
              <w:t>President, J.S. Standish Company</w:t>
            </w:r>
          </w:p>
        </w:tc>
      </w:tr>
      <w:tr>
        <w:trPr>
          <w:trHeight w:val="217"/>
        </w:trPr>
        <w:tc>
          <w:tcPr>
            <w:tcW w:w="5060" w:type="dxa"/>
            <w:vAlign w:val="bottom"/>
          </w:tcPr>
          <w:p>
            <w:pPr>
              <w:spacing w:after="0"/>
              <w:rPr>
                <w:sz w:val="20"/>
                <w:szCs w:val="20"/>
                <w:color w:val="auto"/>
              </w:rPr>
            </w:pPr>
            <w:r>
              <w:rPr>
                <w:rFonts w:ascii="Arial" w:cs="Arial" w:eastAsia="Arial" w:hAnsi="Arial"/>
                <w:sz w:val="18"/>
                <w:szCs w:val="18"/>
                <w:color w:val="auto"/>
              </w:rPr>
              <w:t>Science and Technology, United Technologies Corp.</w:t>
            </w:r>
          </w:p>
        </w:tc>
        <w:tc>
          <w:tcPr>
            <w:tcW w:w="3980" w:type="dxa"/>
            <w:vAlign w:val="bottom"/>
          </w:tcPr>
          <w:p>
            <w:pPr>
              <w:spacing w:after="0"/>
              <w:rPr>
                <w:sz w:val="18"/>
                <w:szCs w:val="18"/>
                <w:color w:val="auto"/>
              </w:rPr>
            </w:pPr>
          </w:p>
        </w:tc>
      </w:tr>
      <w:tr>
        <w:trPr>
          <w:trHeight w:val="431"/>
        </w:trPr>
        <w:tc>
          <w:tcPr>
            <w:tcW w:w="5060" w:type="dxa"/>
            <w:vAlign w:val="bottom"/>
          </w:tcPr>
          <w:p>
            <w:pPr>
              <w:spacing w:after="0"/>
              <w:rPr>
                <w:sz w:val="20"/>
                <w:szCs w:val="20"/>
                <w:color w:val="auto"/>
              </w:rPr>
            </w:pPr>
            <w:r>
              <w:rPr>
                <w:rFonts w:ascii="Arial" w:cs="Arial" w:eastAsia="Arial" w:hAnsi="Arial"/>
                <w:sz w:val="18"/>
                <w:szCs w:val="18"/>
                <w:color w:val="auto"/>
              </w:rPr>
              <w:t>Katharine L. Plourde</w:t>
            </w:r>
            <w:r>
              <w:rPr>
                <w:rFonts w:ascii="Arial" w:cs="Arial" w:eastAsia="Arial" w:hAnsi="Arial"/>
                <w:sz w:val="30"/>
                <w:szCs w:val="30"/>
                <w:color w:val="auto"/>
                <w:vertAlign w:val="superscript"/>
              </w:rPr>
              <w:t>1,3</w:t>
            </w:r>
          </w:p>
        </w:tc>
        <w:tc>
          <w:tcPr>
            <w:tcW w:w="3980" w:type="dxa"/>
            <w:vAlign w:val="bottom"/>
          </w:tcPr>
          <w:p>
            <w:pPr>
              <w:ind w:left="60"/>
              <w:spacing w:after="0"/>
              <w:rPr>
                <w:sz w:val="20"/>
                <w:szCs w:val="20"/>
                <w:color w:val="auto"/>
              </w:rPr>
            </w:pPr>
            <w:r>
              <w:rPr>
                <w:rFonts w:ascii="Arial" w:cs="Arial" w:eastAsia="Arial" w:hAnsi="Arial"/>
                <w:sz w:val="18"/>
                <w:szCs w:val="18"/>
                <w:color w:val="auto"/>
              </w:rPr>
              <w:t>John R. Scannell</w:t>
            </w:r>
            <w:r>
              <w:rPr>
                <w:rFonts w:ascii="Arial" w:cs="Arial" w:eastAsia="Arial" w:hAnsi="Arial"/>
                <w:sz w:val="30"/>
                <w:szCs w:val="30"/>
                <w:color w:val="auto"/>
                <w:vertAlign w:val="superscript"/>
              </w:rPr>
              <w:t>2</w:t>
            </w:r>
          </w:p>
        </w:tc>
      </w:tr>
      <w:tr>
        <w:trPr>
          <w:trHeight w:val="203"/>
        </w:trPr>
        <w:tc>
          <w:tcPr>
            <w:tcW w:w="5060" w:type="dxa"/>
            <w:vAlign w:val="bottom"/>
          </w:tcPr>
          <w:p>
            <w:pPr>
              <w:spacing w:after="0" w:line="202" w:lineRule="exact"/>
              <w:rPr>
                <w:sz w:val="20"/>
                <w:szCs w:val="20"/>
                <w:color w:val="auto"/>
              </w:rPr>
            </w:pPr>
            <w:r>
              <w:rPr>
                <w:rFonts w:ascii="Arial" w:cs="Arial" w:eastAsia="Arial" w:hAnsi="Arial"/>
                <w:sz w:val="18"/>
                <w:szCs w:val="18"/>
                <w:color w:val="auto"/>
              </w:rPr>
              <w:t>Retired- Principal and Analyst,</w:t>
            </w:r>
          </w:p>
        </w:tc>
        <w:tc>
          <w:tcPr>
            <w:tcW w:w="3980" w:type="dxa"/>
            <w:vAlign w:val="bottom"/>
          </w:tcPr>
          <w:p>
            <w:pPr>
              <w:ind w:left="60"/>
              <w:spacing w:after="0" w:line="202" w:lineRule="exact"/>
              <w:rPr>
                <w:sz w:val="20"/>
                <w:szCs w:val="20"/>
                <w:color w:val="auto"/>
              </w:rPr>
            </w:pPr>
            <w:r>
              <w:rPr>
                <w:rFonts w:ascii="Arial" w:cs="Arial" w:eastAsia="Arial" w:hAnsi="Arial"/>
                <w:sz w:val="18"/>
                <w:szCs w:val="18"/>
                <w:color w:val="auto"/>
                <w:w w:val="99"/>
              </w:rPr>
              <w:t>Chairman and Chief Executive Officer, Moog Inc.</w:t>
            </w:r>
          </w:p>
        </w:tc>
      </w:tr>
      <w:tr>
        <w:trPr>
          <w:trHeight w:val="217"/>
        </w:trPr>
        <w:tc>
          <w:tcPr>
            <w:tcW w:w="5060" w:type="dxa"/>
            <w:vAlign w:val="bottom"/>
          </w:tcPr>
          <w:p>
            <w:pPr>
              <w:spacing w:after="0"/>
              <w:rPr>
                <w:sz w:val="20"/>
                <w:szCs w:val="20"/>
                <w:color w:val="auto"/>
              </w:rPr>
            </w:pPr>
            <w:r>
              <w:rPr>
                <w:rFonts w:ascii="Arial" w:cs="Arial" w:eastAsia="Arial" w:hAnsi="Arial"/>
                <w:sz w:val="18"/>
                <w:szCs w:val="18"/>
                <w:color w:val="auto"/>
              </w:rPr>
              <w:t>Donaldson, Lufkin&amp; Jenrette, Inc.</w:t>
            </w:r>
          </w:p>
        </w:tc>
        <w:tc>
          <w:tcPr>
            <w:tcW w:w="3980" w:type="dxa"/>
            <w:vAlign w:val="bottom"/>
          </w:tcPr>
          <w:p>
            <w:pPr>
              <w:spacing w:after="0"/>
              <w:rPr>
                <w:sz w:val="18"/>
                <w:szCs w:val="18"/>
                <w:color w:val="auto"/>
              </w:rPr>
            </w:pPr>
          </w:p>
        </w:tc>
      </w:tr>
      <w:tr>
        <w:trPr>
          <w:trHeight w:val="431"/>
        </w:trPr>
        <w:tc>
          <w:tcPr>
            <w:tcW w:w="5060" w:type="dxa"/>
            <w:vAlign w:val="bottom"/>
          </w:tcPr>
          <w:p>
            <w:pPr>
              <w:spacing w:after="0"/>
              <w:rPr>
                <w:sz w:val="20"/>
                <w:szCs w:val="20"/>
                <w:color w:val="auto"/>
              </w:rPr>
            </w:pPr>
            <w:r>
              <w:rPr>
                <w:rFonts w:ascii="Arial" w:cs="Arial" w:eastAsia="Arial" w:hAnsi="Arial"/>
                <w:sz w:val="18"/>
                <w:szCs w:val="18"/>
                <w:color w:val="auto"/>
              </w:rPr>
              <w:t>A. William Higgins</w:t>
            </w:r>
            <w:r>
              <w:rPr>
                <w:rFonts w:ascii="Arial" w:cs="Arial" w:eastAsia="Arial" w:hAnsi="Arial"/>
                <w:sz w:val="30"/>
                <w:szCs w:val="30"/>
                <w:color w:val="auto"/>
                <w:vertAlign w:val="superscript"/>
              </w:rPr>
              <w:t>2</w:t>
            </w:r>
          </w:p>
        </w:tc>
        <w:tc>
          <w:tcPr>
            <w:tcW w:w="3980" w:type="dxa"/>
            <w:vAlign w:val="bottom"/>
          </w:tcPr>
          <w:p>
            <w:pPr>
              <w:ind w:left="60"/>
              <w:spacing w:after="0"/>
              <w:rPr>
                <w:sz w:val="20"/>
                <w:szCs w:val="20"/>
                <w:color w:val="auto"/>
              </w:rPr>
            </w:pPr>
            <w:r>
              <w:rPr>
                <w:rFonts w:ascii="Arial" w:cs="Arial" w:eastAsia="Arial" w:hAnsi="Arial"/>
                <w:sz w:val="18"/>
                <w:szCs w:val="18"/>
                <w:color w:val="auto"/>
              </w:rPr>
              <w:t>Kenneth Krueger</w:t>
            </w:r>
            <w:r>
              <w:rPr>
                <w:rFonts w:ascii="Arial" w:cs="Arial" w:eastAsia="Arial" w:hAnsi="Arial"/>
                <w:sz w:val="30"/>
                <w:szCs w:val="30"/>
                <w:color w:val="auto"/>
                <w:vertAlign w:val="superscript"/>
              </w:rPr>
              <w:t>1</w:t>
            </w:r>
          </w:p>
        </w:tc>
      </w:tr>
      <w:tr>
        <w:trPr>
          <w:trHeight w:val="217"/>
        </w:trPr>
        <w:tc>
          <w:tcPr>
            <w:tcW w:w="5060" w:type="dxa"/>
            <w:vAlign w:val="bottom"/>
          </w:tcPr>
          <w:p>
            <w:pPr>
              <w:spacing w:after="0"/>
              <w:rPr>
                <w:sz w:val="20"/>
                <w:szCs w:val="20"/>
                <w:color w:val="auto"/>
              </w:rPr>
            </w:pPr>
            <w:r>
              <w:rPr>
                <w:rFonts w:ascii="Arial" w:cs="Arial" w:eastAsia="Arial" w:hAnsi="Arial"/>
                <w:sz w:val="18"/>
                <w:szCs w:val="18"/>
                <w:color w:val="auto"/>
              </w:rPr>
              <w:t>Director, Kaman Corporation and the Bristow Group</w:t>
            </w:r>
          </w:p>
        </w:tc>
        <w:tc>
          <w:tcPr>
            <w:tcW w:w="3980" w:type="dxa"/>
            <w:vAlign w:val="bottom"/>
          </w:tcPr>
          <w:p>
            <w:pPr>
              <w:ind w:left="60"/>
              <w:spacing w:after="0"/>
              <w:rPr>
                <w:sz w:val="20"/>
                <w:szCs w:val="20"/>
                <w:color w:val="auto"/>
              </w:rPr>
            </w:pPr>
            <w:r>
              <w:rPr>
                <w:rFonts w:ascii="Arial" w:cs="Arial" w:eastAsia="Arial" w:hAnsi="Arial"/>
                <w:sz w:val="18"/>
                <w:szCs w:val="18"/>
                <w:color w:val="auto"/>
                <w:w w:val="99"/>
              </w:rPr>
              <w:t>Chairman of the Board, Manitowoc Company Inc.</w:t>
            </w:r>
          </w:p>
        </w:tc>
      </w:tr>
      <w:tr>
        <w:trPr>
          <w:trHeight w:val="391"/>
        </w:trPr>
        <w:tc>
          <w:tcPr>
            <w:tcW w:w="5060" w:type="dxa"/>
            <w:vAlign w:val="bottom"/>
          </w:tcPr>
          <w:p>
            <w:pPr>
              <w:spacing w:after="0"/>
              <w:rPr>
                <w:sz w:val="24"/>
                <w:szCs w:val="24"/>
                <w:color w:val="auto"/>
              </w:rPr>
            </w:pPr>
          </w:p>
        </w:tc>
        <w:tc>
          <w:tcPr>
            <w:tcW w:w="3980" w:type="dxa"/>
            <w:vAlign w:val="bottom"/>
          </w:tcPr>
          <w:p>
            <w:pPr>
              <w:ind w:left="60"/>
              <w:spacing w:after="0"/>
              <w:rPr>
                <w:sz w:val="20"/>
                <w:szCs w:val="20"/>
                <w:color w:val="auto"/>
              </w:rPr>
            </w:pPr>
            <w:r>
              <w:rPr>
                <w:rFonts w:ascii="Arial" w:cs="Arial" w:eastAsia="Arial" w:hAnsi="Arial"/>
                <w:sz w:val="18"/>
                <w:szCs w:val="18"/>
                <w:color w:val="auto"/>
              </w:rPr>
              <w:t>¹ Member, Audit Committee</w:t>
            </w:r>
          </w:p>
        </w:tc>
      </w:tr>
      <w:tr>
        <w:trPr>
          <w:trHeight w:val="203"/>
        </w:trPr>
        <w:tc>
          <w:tcPr>
            <w:tcW w:w="5060" w:type="dxa"/>
            <w:vAlign w:val="bottom"/>
          </w:tcPr>
          <w:p>
            <w:pPr>
              <w:spacing w:after="0"/>
              <w:rPr>
                <w:sz w:val="17"/>
                <w:szCs w:val="17"/>
                <w:color w:val="auto"/>
              </w:rPr>
            </w:pPr>
          </w:p>
        </w:tc>
        <w:tc>
          <w:tcPr>
            <w:tcW w:w="3980" w:type="dxa"/>
            <w:vAlign w:val="bottom"/>
          </w:tcPr>
          <w:p>
            <w:pPr>
              <w:ind w:left="60"/>
              <w:spacing w:after="0" w:line="202" w:lineRule="exact"/>
              <w:rPr>
                <w:sz w:val="20"/>
                <w:szCs w:val="20"/>
                <w:color w:val="auto"/>
              </w:rPr>
            </w:pPr>
            <w:r>
              <w:rPr>
                <w:rFonts w:ascii="Arial" w:cs="Arial" w:eastAsia="Arial" w:hAnsi="Arial"/>
                <w:sz w:val="18"/>
                <w:szCs w:val="18"/>
                <w:color w:val="auto"/>
              </w:rPr>
              <w:t>² Member, Compensation Committee</w:t>
            </w:r>
          </w:p>
        </w:tc>
      </w:tr>
      <w:tr>
        <w:trPr>
          <w:trHeight w:val="217"/>
        </w:trPr>
        <w:tc>
          <w:tcPr>
            <w:tcW w:w="5060" w:type="dxa"/>
            <w:vAlign w:val="bottom"/>
          </w:tcPr>
          <w:p>
            <w:pPr>
              <w:spacing w:after="0"/>
              <w:rPr>
                <w:sz w:val="18"/>
                <w:szCs w:val="18"/>
                <w:color w:val="auto"/>
              </w:rPr>
            </w:pPr>
          </w:p>
        </w:tc>
        <w:tc>
          <w:tcPr>
            <w:tcW w:w="3980" w:type="dxa"/>
            <w:vAlign w:val="bottom"/>
          </w:tcPr>
          <w:p>
            <w:pPr>
              <w:ind w:left="60"/>
              <w:spacing w:after="0"/>
              <w:rPr>
                <w:sz w:val="20"/>
                <w:szCs w:val="20"/>
                <w:color w:val="auto"/>
              </w:rPr>
            </w:pPr>
            <w:r>
              <w:rPr>
                <w:rFonts w:ascii="Arial" w:cs="Arial" w:eastAsia="Arial" w:hAnsi="Arial"/>
                <w:sz w:val="18"/>
                <w:szCs w:val="18"/>
                <w:color w:val="auto"/>
              </w:rPr>
              <w:t>³ Member, Governance Committee</w:t>
            </w:r>
          </w:p>
        </w:tc>
      </w:tr>
      <w:tr>
        <w:trPr>
          <w:trHeight w:val="391"/>
        </w:trPr>
        <w:tc>
          <w:tcPr>
            <w:tcW w:w="5060" w:type="dxa"/>
            <w:vAlign w:val="bottom"/>
          </w:tcPr>
          <w:p>
            <w:pPr>
              <w:spacing w:after="0"/>
              <w:rPr>
                <w:sz w:val="20"/>
                <w:szCs w:val="20"/>
                <w:color w:val="auto"/>
              </w:rPr>
            </w:pPr>
            <w:r>
              <w:rPr>
                <w:rFonts w:ascii="Arial" w:cs="Arial" w:eastAsia="Arial" w:hAnsi="Arial"/>
                <w:sz w:val="18"/>
                <w:szCs w:val="18"/>
                <w:b w:val="1"/>
                <w:bCs w:val="1"/>
                <w:color w:val="auto"/>
              </w:rPr>
              <w:t>Officers</w:t>
            </w:r>
          </w:p>
        </w:tc>
        <w:tc>
          <w:tcPr>
            <w:tcW w:w="3980" w:type="dxa"/>
            <w:vAlign w:val="bottom"/>
          </w:tcPr>
          <w:p>
            <w:pPr>
              <w:spacing w:after="0"/>
              <w:rPr>
                <w:sz w:val="24"/>
                <w:szCs w:val="24"/>
                <w:color w:val="auto"/>
              </w:rPr>
            </w:pPr>
          </w:p>
        </w:tc>
      </w:tr>
      <w:tr>
        <w:trPr>
          <w:trHeight w:val="203"/>
        </w:trPr>
        <w:tc>
          <w:tcPr>
            <w:tcW w:w="5060" w:type="dxa"/>
            <w:vAlign w:val="bottom"/>
          </w:tcPr>
          <w:p>
            <w:pPr>
              <w:spacing w:after="0" w:line="202" w:lineRule="exact"/>
              <w:rPr>
                <w:sz w:val="20"/>
                <w:szCs w:val="20"/>
                <w:color w:val="auto"/>
              </w:rPr>
            </w:pPr>
            <w:r>
              <w:rPr>
                <w:rFonts w:ascii="Arial" w:cs="Arial" w:eastAsia="Arial" w:hAnsi="Arial"/>
                <w:sz w:val="18"/>
                <w:szCs w:val="18"/>
                <w:color w:val="auto"/>
              </w:rPr>
              <w:t>Joseph G. Morone</w:t>
            </w:r>
          </w:p>
        </w:tc>
        <w:tc>
          <w:tcPr>
            <w:tcW w:w="3980" w:type="dxa"/>
            <w:vAlign w:val="bottom"/>
          </w:tcPr>
          <w:p>
            <w:pPr>
              <w:ind w:left="60"/>
              <w:spacing w:after="0" w:line="202" w:lineRule="exact"/>
              <w:rPr>
                <w:sz w:val="20"/>
                <w:szCs w:val="20"/>
                <w:color w:val="auto"/>
              </w:rPr>
            </w:pPr>
            <w:r>
              <w:rPr>
                <w:rFonts w:ascii="Arial" w:cs="Arial" w:eastAsia="Arial" w:hAnsi="Arial"/>
                <w:sz w:val="18"/>
                <w:szCs w:val="18"/>
                <w:color w:val="auto"/>
              </w:rPr>
              <w:t>John B. Cozzolino</w:t>
            </w:r>
          </w:p>
        </w:tc>
      </w:tr>
      <w:tr>
        <w:trPr>
          <w:trHeight w:val="217"/>
        </w:trPr>
        <w:tc>
          <w:tcPr>
            <w:tcW w:w="50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3980" w:type="dxa"/>
            <w:vAlign w:val="bottom"/>
          </w:tcPr>
          <w:p>
            <w:pPr>
              <w:ind w:left="60"/>
              <w:spacing w:after="0"/>
              <w:rPr>
                <w:sz w:val="20"/>
                <w:szCs w:val="20"/>
                <w:color w:val="auto"/>
              </w:rPr>
            </w:pPr>
            <w:r>
              <w:rPr>
                <w:rFonts w:ascii="Arial" w:cs="Arial" w:eastAsia="Arial" w:hAnsi="Arial"/>
                <w:sz w:val="18"/>
                <w:szCs w:val="18"/>
                <w:color w:val="auto"/>
              </w:rPr>
              <w:t>Chief Financial Officer and Treasurer</w:t>
            </w:r>
          </w:p>
        </w:tc>
      </w:tr>
      <w:tr>
        <w:trPr>
          <w:trHeight w:val="391"/>
        </w:trPr>
        <w:tc>
          <w:tcPr>
            <w:tcW w:w="5060" w:type="dxa"/>
            <w:vAlign w:val="bottom"/>
          </w:tcPr>
          <w:p>
            <w:pPr>
              <w:spacing w:after="0"/>
              <w:rPr>
                <w:sz w:val="20"/>
                <w:szCs w:val="20"/>
                <w:color w:val="auto"/>
              </w:rPr>
            </w:pPr>
            <w:r>
              <w:rPr>
                <w:rFonts w:ascii="Arial" w:cs="Arial" w:eastAsia="Arial" w:hAnsi="Arial"/>
                <w:sz w:val="18"/>
                <w:szCs w:val="18"/>
                <w:color w:val="auto"/>
              </w:rPr>
              <w:t>Diane M. Loudon</w:t>
            </w:r>
          </w:p>
        </w:tc>
        <w:tc>
          <w:tcPr>
            <w:tcW w:w="3980" w:type="dxa"/>
            <w:vAlign w:val="bottom"/>
          </w:tcPr>
          <w:p>
            <w:pPr>
              <w:ind w:left="60"/>
              <w:spacing w:after="0"/>
              <w:rPr>
                <w:sz w:val="20"/>
                <w:szCs w:val="20"/>
                <w:color w:val="auto"/>
              </w:rPr>
            </w:pPr>
            <w:r>
              <w:rPr>
                <w:rFonts w:ascii="Arial" w:cs="Arial" w:eastAsia="Arial" w:hAnsi="Arial"/>
                <w:sz w:val="18"/>
                <w:szCs w:val="18"/>
                <w:color w:val="auto"/>
              </w:rPr>
              <w:t>David M. Pawlick</w:t>
            </w:r>
          </w:p>
        </w:tc>
      </w:tr>
      <w:tr>
        <w:trPr>
          <w:trHeight w:val="217"/>
        </w:trPr>
        <w:tc>
          <w:tcPr>
            <w:tcW w:w="5060" w:type="dxa"/>
            <w:vAlign w:val="bottom"/>
          </w:tcPr>
          <w:p>
            <w:pPr>
              <w:spacing w:after="0"/>
              <w:rPr>
                <w:sz w:val="20"/>
                <w:szCs w:val="20"/>
                <w:color w:val="auto"/>
              </w:rPr>
            </w:pPr>
            <w:r>
              <w:rPr>
                <w:rFonts w:ascii="Arial" w:cs="Arial" w:eastAsia="Arial" w:hAnsi="Arial"/>
                <w:sz w:val="18"/>
                <w:szCs w:val="18"/>
                <w:color w:val="auto"/>
              </w:rPr>
              <w:t>President – Albany Engineered Composites</w:t>
            </w:r>
          </w:p>
        </w:tc>
        <w:tc>
          <w:tcPr>
            <w:tcW w:w="3980" w:type="dxa"/>
            <w:vAlign w:val="bottom"/>
          </w:tcPr>
          <w:p>
            <w:pPr>
              <w:ind w:left="60"/>
              <w:spacing w:after="0"/>
              <w:rPr>
                <w:sz w:val="20"/>
                <w:szCs w:val="20"/>
                <w:color w:val="auto"/>
              </w:rPr>
            </w:pPr>
            <w:r>
              <w:rPr>
                <w:rFonts w:ascii="Arial" w:cs="Arial" w:eastAsia="Arial" w:hAnsi="Arial"/>
                <w:sz w:val="18"/>
                <w:szCs w:val="18"/>
                <w:color w:val="auto"/>
              </w:rPr>
              <w:t>Vice President – Controller</w:t>
            </w:r>
          </w:p>
        </w:tc>
      </w:tr>
      <w:tr>
        <w:trPr>
          <w:trHeight w:val="391"/>
        </w:trPr>
        <w:tc>
          <w:tcPr>
            <w:tcW w:w="5060" w:type="dxa"/>
            <w:vAlign w:val="bottom"/>
          </w:tcPr>
          <w:p>
            <w:pPr>
              <w:spacing w:after="0"/>
              <w:rPr>
                <w:sz w:val="20"/>
                <w:szCs w:val="20"/>
                <w:color w:val="auto"/>
              </w:rPr>
            </w:pPr>
            <w:r>
              <w:rPr>
                <w:rFonts w:ascii="Arial" w:cs="Arial" w:eastAsia="Arial" w:hAnsi="Arial"/>
                <w:sz w:val="18"/>
                <w:szCs w:val="18"/>
                <w:color w:val="auto"/>
              </w:rPr>
              <w:t>Daniel A. Halftermeyer</w:t>
            </w:r>
          </w:p>
        </w:tc>
        <w:tc>
          <w:tcPr>
            <w:tcW w:w="3980" w:type="dxa"/>
            <w:vAlign w:val="bottom"/>
          </w:tcPr>
          <w:p>
            <w:pPr>
              <w:ind w:left="60"/>
              <w:spacing w:after="0"/>
              <w:rPr>
                <w:sz w:val="20"/>
                <w:szCs w:val="20"/>
                <w:color w:val="auto"/>
              </w:rPr>
            </w:pPr>
            <w:r>
              <w:rPr>
                <w:rFonts w:ascii="Arial" w:cs="Arial" w:eastAsia="Arial" w:hAnsi="Arial"/>
                <w:sz w:val="18"/>
                <w:szCs w:val="18"/>
                <w:color w:val="auto"/>
              </w:rPr>
              <w:t>Charles J. Silva, Jr.</w:t>
            </w:r>
          </w:p>
        </w:tc>
      </w:tr>
      <w:tr>
        <w:trPr>
          <w:trHeight w:val="217"/>
        </w:trPr>
        <w:tc>
          <w:tcPr>
            <w:tcW w:w="5060" w:type="dxa"/>
            <w:vAlign w:val="bottom"/>
          </w:tcPr>
          <w:p>
            <w:pPr>
              <w:spacing w:after="0"/>
              <w:rPr>
                <w:sz w:val="20"/>
                <w:szCs w:val="20"/>
                <w:color w:val="auto"/>
              </w:rPr>
            </w:pPr>
            <w:r>
              <w:rPr>
                <w:rFonts w:ascii="Arial" w:cs="Arial" w:eastAsia="Arial" w:hAnsi="Arial"/>
                <w:sz w:val="18"/>
                <w:szCs w:val="18"/>
                <w:color w:val="auto"/>
              </w:rPr>
              <w:t>President – Machine Clothing</w:t>
            </w:r>
          </w:p>
        </w:tc>
        <w:tc>
          <w:tcPr>
            <w:tcW w:w="3980" w:type="dxa"/>
            <w:vAlign w:val="bottom"/>
          </w:tcPr>
          <w:p>
            <w:pPr>
              <w:ind w:left="60"/>
              <w:spacing w:after="0"/>
              <w:rPr>
                <w:sz w:val="20"/>
                <w:szCs w:val="20"/>
                <w:color w:val="auto"/>
              </w:rPr>
            </w:pPr>
            <w:r>
              <w:rPr>
                <w:rFonts w:ascii="Arial" w:cs="Arial" w:eastAsia="Arial" w:hAnsi="Arial"/>
                <w:sz w:val="18"/>
                <w:szCs w:val="18"/>
                <w:color w:val="auto"/>
              </w:rPr>
              <w:t>Vice President – General Counsel and Secretary</w:t>
            </w:r>
          </w:p>
        </w:tc>
      </w:tr>
      <w:tr>
        <w:trPr>
          <w:trHeight w:val="391"/>
        </w:trPr>
        <w:tc>
          <w:tcPr>
            <w:tcW w:w="5060" w:type="dxa"/>
            <w:vAlign w:val="bottom"/>
          </w:tcPr>
          <w:p>
            <w:pPr>
              <w:spacing w:after="0"/>
              <w:rPr>
                <w:sz w:val="20"/>
                <w:szCs w:val="20"/>
                <w:color w:val="auto"/>
              </w:rPr>
            </w:pPr>
            <w:r>
              <w:rPr>
                <w:rFonts w:ascii="Arial" w:cs="Arial" w:eastAsia="Arial" w:hAnsi="Arial"/>
                <w:sz w:val="18"/>
                <w:szCs w:val="18"/>
                <w:color w:val="auto"/>
              </w:rPr>
              <w:t>Robert A. Hansen</w:t>
            </w:r>
          </w:p>
        </w:tc>
        <w:tc>
          <w:tcPr>
            <w:tcW w:w="3980" w:type="dxa"/>
            <w:vAlign w:val="bottom"/>
          </w:tcPr>
          <w:p>
            <w:pPr>
              <w:ind w:left="60"/>
              <w:spacing w:after="0"/>
              <w:rPr>
                <w:sz w:val="20"/>
                <w:szCs w:val="20"/>
                <w:color w:val="auto"/>
              </w:rPr>
            </w:pPr>
            <w:r>
              <w:rPr>
                <w:rFonts w:ascii="Arial" w:cs="Arial" w:eastAsia="Arial" w:hAnsi="Arial"/>
                <w:sz w:val="18"/>
                <w:szCs w:val="18"/>
                <w:color w:val="auto"/>
              </w:rPr>
              <w:t>Dawne H. Wimbrow</w:t>
            </w:r>
          </w:p>
        </w:tc>
      </w:tr>
      <w:tr>
        <w:trPr>
          <w:trHeight w:val="203"/>
        </w:trPr>
        <w:tc>
          <w:tcPr>
            <w:tcW w:w="5060" w:type="dxa"/>
            <w:vAlign w:val="bottom"/>
          </w:tcPr>
          <w:p>
            <w:pPr>
              <w:spacing w:after="0" w:line="202" w:lineRule="exact"/>
              <w:rPr>
                <w:sz w:val="20"/>
                <w:szCs w:val="20"/>
                <w:color w:val="auto"/>
              </w:rPr>
            </w:pPr>
            <w:r>
              <w:rPr>
                <w:rFonts w:ascii="Arial" w:cs="Arial" w:eastAsia="Arial" w:hAnsi="Arial"/>
                <w:sz w:val="18"/>
                <w:szCs w:val="18"/>
                <w:color w:val="auto"/>
              </w:rPr>
              <w:t>Senior Vice President and Chief Technology Officer</w:t>
            </w:r>
          </w:p>
        </w:tc>
        <w:tc>
          <w:tcPr>
            <w:tcW w:w="3980" w:type="dxa"/>
            <w:vAlign w:val="bottom"/>
          </w:tcPr>
          <w:p>
            <w:pPr>
              <w:ind w:left="60"/>
              <w:spacing w:after="0" w:line="202" w:lineRule="exact"/>
              <w:rPr>
                <w:sz w:val="20"/>
                <w:szCs w:val="20"/>
                <w:color w:val="auto"/>
              </w:rPr>
            </w:pPr>
            <w:r>
              <w:rPr>
                <w:rFonts w:ascii="Arial" w:cs="Arial" w:eastAsia="Arial" w:hAnsi="Arial"/>
                <w:sz w:val="18"/>
                <w:szCs w:val="18"/>
                <w:color w:val="auto"/>
                <w:w w:val="99"/>
              </w:rPr>
              <w:t>Vice President – Global Information Services and</w:t>
            </w:r>
          </w:p>
        </w:tc>
      </w:tr>
      <w:tr>
        <w:trPr>
          <w:trHeight w:val="217"/>
        </w:trPr>
        <w:tc>
          <w:tcPr>
            <w:tcW w:w="5060" w:type="dxa"/>
            <w:vAlign w:val="bottom"/>
          </w:tcPr>
          <w:p>
            <w:pPr>
              <w:spacing w:after="0"/>
              <w:rPr>
                <w:sz w:val="18"/>
                <w:szCs w:val="18"/>
                <w:color w:val="auto"/>
              </w:rPr>
            </w:pPr>
          </w:p>
        </w:tc>
        <w:tc>
          <w:tcPr>
            <w:tcW w:w="3980" w:type="dxa"/>
            <w:vAlign w:val="bottom"/>
          </w:tcPr>
          <w:p>
            <w:pPr>
              <w:ind w:left="60"/>
              <w:spacing w:after="0"/>
              <w:rPr>
                <w:sz w:val="20"/>
                <w:szCs w:val="20"/>
                <w:color w:val="auto"/>
              </w:rPr>
            </w:pPr>
            <w:r>
              <w:rPr>
                <w:rFonts w:ascii="Arial" w:cs="Arial" w:eastAsia="Arial" w:hAnsi="Arial"/>
                <w:sz w:val="18"/>
                <w:szCs w:val="18"/>
                <w:color w:val="auto"/>
              </w:rPr>
              <w:t>Chief Information Officer</w:t>
            </w:r>
          </w:p>
        </w:tc>
      </w:tr>
      <w:tr>
        <w:trPr>
          <w:trHeight w:val="391"/>
        </w:trPr>
        <w:tc>
          <w:tcPr>
            <w:tcW w:w="5060" w:type="dxa"/>
            <w:vAlign w:val="bottom"/>
          </w:tcPr>
          <w:p>
            <w:pPr>
              <w:spacing w:after="0"/>
              <w:rPr>
                <w:sz w:val="20"/>
                <w:szCs w:val="20"/>
                <w:color w:val="auto"/>
              </w:rPr>
            </w:pPr>
            <w:r>
              <w:rPr>
                <w:rFonts w:ascii="Arial" w:cs="Arial" w:eastAsia="Arial" w:hAnsi="Arial"/>
                <w:sz w:val="18"/>
                <w:szCs w:val="18"/>
                <w:color w:val="auto"/>
              </w:rPr>
              <w:t>Joseph M. Gaug</w:t>
            </w:r>
          </w:p>
        </w:tc>
        <w:tc>
          <w:tcPr>
            <w:tcW w:w="3980" w:type="dxa"/>
            <w:vAlign w:val="bottom"/>
          </w:tcPr>
          <w:p>
            <w:pPr>
              <w:spacing w:after="0"/>
              <w:rPr>
                <w:sz w:val="24"/>
                <w:szCs w:val="24"/>
                <w:color w:val="auto"/>
              </w:rPr>
            </w:pPr>
          </w:p>
        </w:tc>
      </w:tr>
      <w:tr>
        <w:trPr>
          <w:trHeight w:val="217"/>
        </w:trPr>
        <w:tc>
          <w:tcPr>
            <w:tcW w:w="5060" w:type="dxa"/>
            <w:vAlign w:val="bottom"/>
          </w:tcPr>
          <w:p>
            <w:pPr>
              <w:spacing w:after="0"/>
              <w:rPr>
                <w:sz w:val="20"/>
                <w:szCs w:val="20"/>
                <w:color w:val="auto"/>
              </w:rPr>
            </w:pPr>
            <w:r>
              <w:rPr>
                <w:rFonts w:ascii="Arial" w:cs="Arial" w:eastAsia="Arial" w:hAnsi="Arial"/>
                <w:sz w:val="18"/>
                <w:szCs w:val="18"/>
                <w:color w:val="auto"/>
              </w:rPr>
              <w:t>Associate General Counsel and Assistant Secretary</w:t>
            </w:r>
          </w:p>
        </w:tc>
        <w:tc>
          <w:tcPr>
            <w:tcW w:w="3980" w:type="dxa"/>
            <w:vAlign w:val="bottom"/>
          </w:tcPr>
          <w:p>
            <w:pPr>
              <w:spacing w:after="0"/>
              <w:rPr>
                <w:sz w:val="18"/>
                <w:szCs w:val="18"/>
                <w:color w:val="auto"/>
              </w:rPr>
            </w:pPr>
          </w:p>
        </w:tc>
      </w:tr>
    </w:tbl>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38"/>
        </w:trPr>
        <w:tc>
          <w:tcPr>
            <w:tcW w:w="5460" w:type="dxa"/>
            <w:vAlign w:val="bottom"/>
          </w:tcPr>
          <w:p>
            <w:pPr>
              <w:ind w:left="40"/>
              <w:spacing w:after="0"/>
              <w:rPr>
                <w:sz w:val="20"/>
                <w:szCs w:val="20"/>
                <w:color w:val="auto"/>
              </w:rPr>
            </w:pPr>
            <w:r>
              <w:rPr>
                <w:rFonts w:ascii="Arial" w:cs="Arial" w:eastAsia="Arial" w:hAnsi="Arial"/>
                <w:sz w:val="18"/>
                <w:szCs w:val="18"/>
                <w:b w:val="1"/>
                <w:bCs w:val="1"/>
                <w:color w:val="auto"/>
              </w:rPr>
              <w:t>SUBSIDIARIES OF REGISTRANT</w:t>
            </w:r>
          </w:p>
        </w:tc>
        <w:tc>
          <w:tcPr>
            <w:tcW w:w="16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980" w:type="dxa"/>
            <w:vAlign w:val="bottom"/>
          </w:tcPr>
          <w:p>
            <w:pPr>
              <w:ind w:left="160"/>
              <w:spacing w:after="0"/>
              <w:rPr>
                <w:sz w:val="20"/>
                <w:szCs w:val="20"/>
                <w:color w:val="auto"/>
              </w:rPr>
            </w:pPr>
            <w:r>
              <w:rPr>
                <w:rFonts w:ascii="Arial" w:cs="Arial" w:eastAsia="Arial" w:hAnsi="Arial"/>
                <w:sz w:val="18"/>
                <w:szCs w:val="18"/>
                <w:b w:val="1"/>
                <w:bCs w:val="1"/>
                <w:color w:val="auto"/>
              </w:rPr>
              <w:t>Exhibit 21</w:t>
            </w:r>
          </w:p>
        </w:tc>
      </w:tr>
      <w:tr>
        <w:trPr>
          <w:trHeight w:val="571"/>
        </w:trPr>
        <w:tc>
          <w:tcPr>
            <w:tcW w:w="5460" w:type="dxa"/>
            <w:vAlign w:val="bottom"/>
          </w:tcPr>
          <w:p>
            <w:pPr>
              <w:spacing w:after="0"/>
              <w:rPr>
                <w:sz w:val="24"/>
                <w:szCs w:val="24"/>
                <w:color w:val="auto"/>
              </w:rPr>
            </w:pPr>
          </w:p>
        </w:tc>
        <w:tc>
          <w:tcPr>
            <w:tcW w:w="1660" w:type="dxa"/>
            <w:vAlign w:val="bottom"/>
          </w:tcPr>
          <w:p>
            <w:pPr>
              <w:jc w:val="center"/>
              <w:ind w:left="110"/>
              <w:spacing w:after="0"/>
              <w:rPr>
                <w:sz w:val="20"/>
                <w:szCs w:val="20"/>
                <w:color w:val="auto"/>
              </w:rPr>
            </w:pPr>
            <w:r>
              <w:rPr>
                <w:rFonts w:ascii="Arial" w:cs="Arial" w:eastAsia="Arial" w:hAnsi="Arial"/>
                <w:sz w:val="18"/>
                <w:szCs w:val="18"/>
                <w:b w:val="1"/>
                <w:bCs w:val="1"/>
                <w:color w:val="auto"/>
                <w:w w:val="99"/>
              </w:rPr>
              <w:t>Percent</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9"/>
              </w:rPr>
              <w:t>Percent</w:t>
            </w:r>
          </w:p>
        </w:tc>
        <w:tc>
          <w:tcPr>
            <w:tcW w:w="2980" w:type="dxa"/>
            <w:vAlign w:val="bottom"/>
          </w:tcPr>
          <w:p>
            <w:pPr>
              <w:spacing w:after="0"/>
              <w:rPr>
                <w:sz w:val="24"/>
                <w:szCs w:val="24"/>
                <w:color w:val="auto"/>
              </w:rPr>
            </w:pPr>
          </w:p>
        </w:tc>
      </w:tr>
      <w:tr>
        <w:trPr>
          <w:trHeight w:val="225"/>
        </w:trPr>
        <w:tc>
          <w:tcPr>
            <w:tcW w:w="5460" w:type="dxa"/>
            <w:vAlign w:val="bottom"/>
            <w:tcBorders>
              <w:bottom w:val="single" w:sz="8" w:color="auto"/>
            </w:tcBorders>
          </w:tcPr>
          <w:p>
            <w:pPr>
              <w:ind w:left="2540"/>
              <w:spacing w:after="0"/>
              <w:rPr>
                <w:sz w:val="20"/>
                <w:szCs w:val="20"/>
                <w:color w:val="auto"/>
              </w:rPr>
            </w:pPr>
            <w:r>
              <w:rPr>
                <w:rFonts w:ascii="Arial" w:cs="Arial" w:eastAsia="Arial" w:hAnsi="Arial"/>
                <w:sz w:val="18"/>
                <w:szCs w:val="18"/>
                <w:b w:val="1"/>
                <w:bCs w:val="1"/>
                <w:color w:val="auto"/>
              </w:rPr>
              <w:t>Affiliate</w:t>
            </w:r>
          </w:p>
        </w:tc>
        <w:tc>
          <w:tcPr>
            <w:tcW w:w="166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b w:val="1"/>
                <w:bCs w:val="1"/>
                <w:color w:val="auto"/>
              </w:rPr>
              <w:t>Ownership</w:t>
            </w:r>
          </w:p>
        </w:tc>
        <w:tc>
          <w:tcPr>
            <w:tcW w:w="132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rPr>
              <w:t>Ownership</w:t>
            </w:r>
          </w:p>
        </w:tc>
        <w:tc>
          <w:tcPr>
            <w:tcW w:w="298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rPr>
              <w:t>Country of Incorporation</w:t>
            </w:r>
          </w:p>
        </w:tc>
      </w:tr>
      <w:tr>
        <w:trPr>
          <w:trHeight w:val="232"/>
        </w:trPr>
        <w:tc>
          <w:tcPr>
            <w:tcW w:w="5460" w:type="dxa"/>
            <w:vAlign w:val="bottom"/>
          </w:tcPr>
          <w:p>
            <w:pPr>
              <w:spacing w:after="0"/>
              <w:rPr>
                <w:sz w:val="20"/>
                <w:szCs w:val="20"/>
                <w:color w:val="auto"/>
              </w:rPr>
            </w:pPr>
          </w:p>
        </w:tc>
        <w:tc>
          <w:tcPr>
            <w:tcW w:w="1660" w:type="dxa"/>
            <w:vAlign w:val="bottom"/>
          </w:tcPr>
          <w:p>
            <w:pPr>
              <w:jc w:val="center"/>
              <w:ind w:left="150"/>
              <w:spacing w:after="0"/>
              <w:rPr>
                <w:sz w:val="20"/>
                <w:szCs w:val="20"/>
                <w:color w:val="auto"/>
              </w:rPr>
            </w:pPr>
            <w:r>
              <w:rPr>
                <w:rFonts w:ascii="Arial" w:cs="Arial" w:eastAsia="Arial" w:hAnsi="Arial"/>
                <w:sz w:val="18"/>
                <w:szCs w:val="18"/>
                <w:b w:val="1"/>
                <w:bCs w:val="1"/>
                <w:color w:val="auto"/>
                <w:w w:val="97"/>
              </w:rPr>
              <w:t>Direct</w:t>
            </w:r>
          </w:p>
        </w:tc>
        <w:tc>
          <w:tcPr>
            <w:tcW w:w="1320" w:type="dxa"/>
            <w:vAlign w:val="bottom"/>
          </w:tcPr>
          <w:p>
            <w:pPr>
              <w:jc w:val="center"/>
              <w:ind w:left="10"/>
              <w:spacing w:after="0"/>
              <w:rPr>
                <w:sz w:val="20"/>
                <w:szCs w:val="20"/>
                <w:color w:val="auto"/>
              </w:rPr>
            </w:pPr>
            <w:r>
              <w:rPr>
                <w:rFonts w:ascii="Arial" w:cs="Arial" w:eastAsia="Arial" w:hAnsi="Arial"/>
                <w:sz w:val="18"/>
                <w:szCs w:val="18"/>
                <w:b w:val="1"/>
                <w:bCs w:val="1"/>
                <w:color w:val="auto"/>
              </w:rPr>
              <w:t>Indirect</w:t>
            </w:r>
          </w:p>
        </w:tc>
        <w:tc>
          <w:tcPr>
            <w:tcW w:w="2980" w:type="dxa"/>
            <w:vAlign w:val="bottom"/>
          </w:tcPr>
          <w:p>
            <w:pPr>
              <w:spacing w:after="0"/>
              <w:rPr>
                <w:sz w:val="20"/>
                <w:szCs w:val="20"/>
                <w:color w:val="auto"/>
              </w:rPr>
            </w:pPr>
          </w:p>
        </w:tc>
      </w:tr>
      <w:tr>
        <w:trPr>
          <w:trHeight w:val="368"/>
        </w:trPr>
        <w:tc>
          <w:tcPr>
            <w:tcW w:w="5460" w:type="dxa"/>
            <w:vAlign w:val="bottom"/>
          </w:tcPr>
          <w:p>
            <w:pPr>
              <w:ind w:left="40"/>
              <w:spacing w:after="0"/>
              <w:rPr>
                <w:sz w:val="20"/>
                <w:szCs w:val="20"/>
                <w:color w:val="auto"/>
              </w:rPr>
            </w:pPr>
            <w:r>
              <w:rPr>
                <w:rFonts w:ascii="Arial" w:cs="Arial" w:eastAsia="Arial" w:hAnsi="Arial"/>
                <w:sz w:val="18"/>
                <w:szCs w:val="18"/>
                <w:color w:val="auto"/>
              </w:rPr>
              <w:t>Albany International Corp.</w:t>
            </w:r>
          </w:p>
        </w:tc>
        <w:tc>
          <w:tcPr>
            <w:tcW w:w="16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980" w:type="dxa"/>
            <w:vAlign w:val="bottom"/>
          </w:tcPr>
          <w:p>
            <w:pPr>
              <w:ind w:left="160"/>
              <w:spacing w:after="0"/>
              <w:rPr>
                <w:sz w:val="20"/>
                <w:szCs w:val="20"/>
                <w:color w:val="auto"/>
              </w:rPr>
            </w:pPr>
            <w:r>
              <w:rPr>
                <w:rFonts w:ascii="Arial" w:cs="Arial" w:eastAsia="Arial" w:hAnsi="Arial"/>
                <w:sz w:val="18"/>
                <w:szCs w:val="18"/>
                <w:color w:val="auto"/>
              </w:rPr>
              <w:t>United States</w:t>
            </w:r>
          </w:p>
        </w:tc>
      </w:tr>
      <w:tr>
        <w:trPr>
          <w:trHeight w:val="203"/>
        </w:trPr>
        <w:tc>
          <w:tcPr>
            <w:tcW w:w="5460" w:type="dxa"/>
            <w:vAlign w:val="bottom"/>
          </w:tcPr>
          <w:p>
            <w:pPr>
              <w:ind w:left="40"/>
              <w:spacing w:after="0" w:line="202" w:lineRule="exact"/>
              <w:rPr>
                <w:sz w:val="20"/>
                <w:szCs w:val="20"/>
                <w:color w:val="auto"/>
              </w:rPr>
            </w:pPr>
            <w:r>
              <w:rPr>
                <w:rFonts w:ascii="Arial" w:cs="Arial" w:eastAsia="Arial" w:hAnsi="Arial"/>
                <w:sz w:val="18"/>
                <w:szCs w:val="18"/>
                <w:color w:val="auto"/>
              </w:rPr>
              <w:t>Albany International Holdings Two, Inc.</w:t>
            </w:r>
          </w:p>
        </w:tc>
        <w:tc>
          <w:tcPr>
            <w:tcW w:w="1660" w:type="dxa"/>
            <w:vAlign w:val="bottom"/>
          </w:tcPr>
          <w:p>
            <w:pPr>
              <w:jc w:val="center"/>
              <w:ind w:left="150"/>
              <w:spacing w:after="0" w:line="202" w:lineRule="exact"/>
              <w:rPr>
                <w:sz w:val="20"/>
                <w:szCs w:val="20"/>
                <w:color w:val="auto"/>
              </w:rPr>
            </w:pPr>
            <w:r>
              <w:rPr>
                <w:rFonts w:ascii="Arial" w:cs="Arial" w:eastAsia="Arial" w:hAnsi="Arial"/>
                <w:sz w:val="18"/>
                <w:szCs w:val="18"/>
                <w:color w:val="auto"/>
                <w:w w:val="99"/>
              </w:rPr>
              <w:t>100%</w:t>
            </w:r>
          </w:p>
        </w:tc>
        <w:tc>
          <w:tcPr>
            <w:tcW w:w="1320" w:type="dxa"/>
            <w:vAlign w:val="bottom"/>
          </w:tcPr>
          <w:p>
            <w:pPr>
              <w:spacing w:after="0"/>
              <w:rPr>
                <w:sz w:val="17"/>
                <w:szCs w:val="17"/>
                <w:color w:val="auto"/>
              </w:rPr>
            </w:pPr>
          </w:p>
        </w:tc>
        <w:tc>
          <w:tcPr>
            <w:tcW w:w="2980" w:type="dxa"/>
            <w:vAlign w:val="bottom"/>
          </w:tcPr>
          <w:p>
            <w:pPr>
              <w:ind w:left="160"/>
              <w:spacing w:after="0" w:line="202" w:lineRule="exact"/>
              <w:rPr>
                <w:sz w:val="20"/>
                <w:szCs w:val="20"/>
                <w:color w:val="auto"/>
              </w:rPr>
            </w:pPr>
            <w:r>
              <w:rPr>
                <w:rFonts w:ascii="Arial" w:cs="Arial" w:eastAsia="Arial" w:hAnsi="Arial"/>
                <w:sz w:val="18"/>
                <w:szCs w:val="18"/>
                <w:color w:val="auto"/>
              </w:rPr>
              <w:t>United States</w:t>
            </w:r>
          </w:p>
        </w:tc>
      </w:tr>
      <w:tr>
        <w:trPr>
          <w:trHeight w:val="203"/>
        </w:trPr>
        <w:tc>
          <w:tcPr>
            <w:tcW w:w="5460" w:type="dxa"/>
            <w:vAlign w:val="bottom"/>
          </w:tcPr>
          <w:p>
            <w:pPr>
              <w:ind w:left="40"/>
              <w:spacing w:after="0" w:line="202" w:lineRule="exact"/>
              <w:rPr>
                <w:sz w:val="20"/>
                <w:szCs w:val="20"/>
                <w:color w:val="auto"/>
              </w:rPr>
            </w:pPr>
            <w:r>
              <w:rPr>
                <w:rFonts w:ascii="Arial" w:cs="Arial" w:eastAsia="Arial" w:hAnsi="Arial"/>
                <w:sz w:val="18"/>
                <w:szCs w:val="18"/>
                <w:color w:val="auto"/>
              </w:rPr>
              <w:t>Albany International Research Co.</w:t>
            </w:r>
          </w:p>
        </w:tc>
        <w:tc>
          <w:tcPr>
            <w:tcW w:w="1660" w:type="dxa"/>
            <w:vAlign w:val="bottom"/>
          </w:tcPr>
          <w:p>
            <w:pPr>
              <w:jc w:val="center"/>
              <w:ind w:left="150"/>
              <w:spacing w:after="0" w:line="202" w:lineRule="exact"/>
              <w:rPr>
                <w:sz w:val="20"/>
                <w:szCs w:val="20"/>
                <w:color w:val="auto"/>
              </w:rPr>
            </w:pPr>
            <w:r>
              <w:rPr>
                <w:rFonts w:ascii="Arial" w:cs="Arial" w:eastAsia="Arial" w:hAnsi="Arial"/>
                <w:sz w:val="18"/>
                <w:szCs w:val="18"/>
                <w:color w:val="auto"/>
                <w:w w:val="99"/>
              </w:rPr>
              <w:t>100%</w:t>
            </w:r>
          </w:p>
        </w:tc>
        <w:tc>
          <w:tcPr>
            <w:tcW w:w="1320" w:type="dxa"/>
            <w:vAlign w:val="bottom"/>
          </w:tcPr>
          <w:p>
            <w:pPr>
              <w:spacing w:after="0"/>
              <w:rPr>
                <w:sz w:val="17"/>
                <w:szCs w:val="17"/>
                <w:color w:val="auto"/>
              </w:rPr>
            </w:pPr>
          </w:p>
        </w:tc>
        <w:tc>
          <w:tcPr>
            <w:tcW w:w="2980" w:type="dxa"/>
            <w:vAlign w:val="bottom"/>
          </w:tcPr>
          <w:p>
            <w:pPr>
              <w:ind w:left="160"/>
              <w:spacing w:after="0" w:line="202" w:lineRule="exact"/>
              <w:rPr>
                <w:sz w:val="20"/>
                <w:szCs w:val="20"/>
                <w:color w:val="auto"/>
              </w:rPr>
            </w:pPr>
            <w:r>
              <w:rPr>
                <w:rFonts w:ascii="Arial" w:cs="Arial" w:eastAsia="Arial" w:hAnsi="Arial"/>
                <w:sz w:val="18"/>
                <w:szCs w:val="18"/>
                <w:color w:val="auto"/>
              </w:rPr>
              <w:t>United States</w:t>
            </w:r>
          </w:p>
        </w:tc>
      </w:tr>
      <w:tr>
        <w:trPr>
          <w:trHeight w:val="203"/>
        </w:trPr>
        <w:tc>
          <w:tcPr>
            <w:tcW w:w="5460" w:type="dxa"/>
            <w:vAlign w:val="bottom"/>
          </w:tcPr>
          <w:p>
            <w:pPr>
              <w:ind w:left="40"/>
              <w:spacing w:after="0" w:line="202" w:lineRule="exact"/>
              <w:rPr>
                <w:sz w:val="20"/>
                <w:szCs w:val="20"/>
                <w:color w:val="auto"/>
              </w:rPr>
            </w:pPr>
            <w:r>
              <w:rPr>
                <w:rFonts w:ascii="Arial" w:cs="Arial" w:eastAsia="Arial" w:hAnsi="Arial"/>
                <w:sz w:val="18"/>
                <w:szCs w:val="18"/>
                <w:color w:val="auto"/>
              </w:rPr>
              <w:t>Albany Engineered Composites, Inc.</w:t>
            </w:r>
          </w:p>
        </w:tc>
        <w:tc>
          <w:tcPr>
            <w:tcW w:w="1660" w:type="dxa"/>
            <w:vAlign w:val="bottom"/>
          </w:tcPr>
          <w:p>
            <w:pPr>
              <w:jc w:val="center"/>
              <w:ind w:left="150"/>
              <w:spacing w:after="0" w:line="202" w:lineRule="exact"/>
              <w:rPr>
                <w:sz w:val="20"/>
                <w:szCs w:val="20"/>
                <w:color w:val="auto"/>
              </w:rPr>
            </w:pPr>
            <w:r>
              <w:rPr>
                <w:rFonts w:ascii="Arial" w:cs="Arial" w:eastAsia="Arial" w:hAnsi="Arial"/>
                <w:sz w:val="18"/>
                <w:szCs w:val="18"/>
                <w:color w:val="auto"/>
                <w:w w:val="99"/>
              </w:rPr>
              <w:t>100%</w:t>
            </w:r>
          </w:p>
        </w:tc>
        <w:tc>
          <w:tcPr>
            <w:tcW w:w="1320" w:type="dxa"/>
            <w:vAlign w:val="bottom"/>
          </w:tcPr>
          <w:p>
            <w:pPr>
              <w:spacing w:after="0"/>
              <w:rPr>
                <w:sz w:val="17"/>
                <w:szCs w:val="17"/>
                <w:color w:val="auto"/>
              </w:rPr>
            </w:pPr>
          </w:p>
        </w:tc>
        <w:tc>
          <w:tcPr>
            <w:tcW w:w="2980" w:type="dxa"/>
            <w:vAlign w:val="bottom"/>
          </w:tcPr>
          <w:p>
            <w:pPr>
              <w:ind w:left="160"/>
              <w:spacing w:after="0" w:line="202" w:lineRule="exact"/>
              <w:rPr>
                <w:sz w:val="20"/>
                <w:szCs w:val="20"/>
                <w:color w:val="auto"/>
              </w:rPr>
            </w:pPr>
            <w:r>
              <w:rPr>
                <w:rFonts w:ascii="Arial" w:cs="Arial" w:eastAsia="Arial" w:hAnsi="Arial"/>
                <w:sz w:val="18"/>
                <w:szCs w:val="18"/>
                <w:color w:val="auto"/>
              </w:rPr>
              <w:t>United States</w:t>
            </w:r>
          </w:p>
        </w:tc>
      </w:tr>
      <w:tr>
        <w:trPr>
          <w:trHeight w:val="203"/>
        </w:trPr>
        <w:tc>
          <w:tcPr>
            <w:tcW w:w="5460" w:type="dxa"/>
            <w:vAlign w:val="bottom"/>
          </w:tcPr>
          <w:p>
            <w:pPr>
              <w:ind w:left="40"/>
              <w:spacing w:after="0" w:line="202" w:lineRule="exact"/>
              <w:rPr>
                <w:sz w:val="20"/>
                <w:szCs w:val="20"/>
                <w:color w:val="auto"/>
              </w:rPr>
            </w:pPr>
            <w:r>
              <w:rPr>
                <w:rFonts w:ascii="Arial" w:cs="Arial" w:eastAsia="Arial" w:hAnsi="Arial"/>
                <w:sz w:val="18"/>
                <w:szCs w:val="18"/>
                <w:color w:val="auto"/>
              </w:rPr>
              <w:t>Albany Safran Composites, LLC</w:t>
            </w:r>
          </w:p>
        </w:tc>
        <w:tc>
          <w:tcPr>
            <w:tcW w:w="1660" w:type="dxa"/>
            <w:vAlign w:val="bottom"/>
          </w:tcPr>
          <w:p>
            <w:pPr>
              <w:spacing w:after="0"/>
              <w:rPr>
                <w:sz w:val="17"/>
                <w:szCs w:val="17"/>
                <w:color w:val="auto"/>
              </w:rPr>
            </w:pPr>
          </w:p>
        </w:tc>
        <w:tc>
          <w:tcPr>
            <w:tcW w:w="1320" w:type="dxa"/>
            <w:vAlign w:val="bottom"/>
          </w:tcPr>
          <w:p>
            <w:pPr>
              <w:jc w:val="center"/>
              <w:ind w:left="30"/>
              <w:spacing w:after="0" w:line="202" w:lineRule="exact"/>
              <w:rPr>
                <w:sz w:val="20"/>
                <w:szCs w:val="20"/>
                <w:color w:val="auto"/>
              </w:rPr>
            </w:pPr>
            <w:r>
              <w:rPr>
                <w:rFonts w:ascii="Arial" w:cs="Arial" w:eastAsia="Arial" w:hAnsi="Arial"/>
                <w:sz w:val="18"/>
                <w:szCs w:val="18"/>
                <w:color w:val="auto"/>
                <w:w w:val="99"/>
              </w:rPr>
              <w:t>90%</w:t>
            </w:r>
          </w:p>
        </w:tc>
        <w:tc>
          <w:tcPr>
            <w:tcW w:w="2980" w:type="dxa"/>
            <w:vAlign w:val="bottom"/>
          </w:tcPr>
          <w:p>
            <w:pPr>
              <w:ind w:left="160"/>
              <w:spacing w:after="0" w:line="202" w:lineRule="exact"/>
              <w:rPr>
                <w:sz w:val="20"/>
                <w:szCs w:val="20"/>
                <w:color w:val="auto"/>
              </w:rPr>
            </w:pPr>
            <w:r>
              <w:rPr>
                <w:rFonts w:ascii="Arial" w:cs="Arial" w:eastAsia="Arial" w:hAnsi="Arial"/>
                <w:sz w:val="18"/>
                <w:szCs w:val="18"/>
                <w:color w:val="auto"/>
              </w:rPr>
              <w:t>United States</w:t>
            </w:r>
          </w:p>
        </w:tc>
      </w:tr>
      <w:tr>
        <w:trPr>
          <w:trHeight w:val="203"/>
        </w:trPr>
        <w:tc>
          <w:tcPr>
            <w:tcW w:w="5460" w:type="dxa"/>
            <w:vAlign w:val="bottom"/>
          </w:tcPr>
          <w:p>
            <w:pPr>
              <w:ind w:left="40"/>
              <w:spacing w:after="0" w:line="202" w:lineRule="exact"/>
              <w:rPr>
                <w:sz w:val="20"/>
                <w:szCs w:val="20"/>
                <w:color w:val="auto"/>
              </w:rPr>
            </w:pPr>
            <w:r>
              <w:rPr>
                <w:rFonts w:ascii="Arial" w:cs="Arial" w:eastAsia="Arial" w:hAnsi="Arial"/>
                <w:sz w:val="18"/>
                <w:szCs w:val="18"/>
                <w:color w:val="auto"/>
              </w:rPr>
              <w:t>Geschmay Corp.</w:t>
            </w:r>
          </w:p>
        </w:tc>
        <w:tc>
          <w:tcPr>
            <w:tcW w:w="1660" w:type="dxa"/>
            <w:vAlign w:val="bottom"/>
          </w:tcPr>
          <w:p>
            <w:pPr>
              <w:jc w:val="center"/>
              <w:ind w:left="150"/>
              <w:spacing w:after="0" w:line="202" w:lineRule="exact"/>
              <w:rPr>
                <w:sz w:val="20"/>
                <w:szCs w:val="20"/>
                <w:color w:val="auto"/>
              </w:rPr>
            </w:pPr>
            <w:r>
              <w:rPr>
                <w:rFonts w:ascii="Arial" w:cs="Arial" w:eastAsia="Arial" w:hAnsi="Arial"/>
                <w:sz w:val="18"/>
                <w:szCs w:val="18"/>
                <w:color w:val="auto"/>
                <w:w w:val="99"/>
              </w:rPr>
              <w:t>100%</w:t>
            </w:r>
          </w:p>
        </w:tc>
        <w:tc>
          <w:tcPr>
            <w:tcW w:w="1320" w:type="dxa"/>
            <w:vAlign w:val="bottom"/>
          </w:tcPr>
          <w:p>
            <w:pPr>
              <w:spacing w:after="0"/>
              <w:rPr>
                <w:sz w:val="17"/>
                <w:szCs w:val="17"/>
                <w:color w:val="auto"/>
              </w:rPr>
            </w:pPr>
          </w:p>
        </w:tc>
        <w:tc>
          <w:tcPr>
            <w:tcW w:w="2980" w:type="dxa"/>
            <w:vAlign w:val="bottom"/>
          </w:tcPr>
          <w:p>
            <w:pPr>
              <w:ind w:left="160"/>
              <w:spacing w:after="0" w:line="202" w:lineRule="exact"/>
              <w:rPr>
                <w:sz w:val="20"/>
                <w:szCs w:val="20"/>
                <w:color w:val="auto"/>
              </w:rPr>
            </w:pPr>
            <w:r>
              <w:rPr>
                <w:rFonts w:ascii="Arial" w:cs="Arial" w:eastAsia="Arial" w:hAnsi="Arial"/>
                <w:sz w:val="18"/>
                <w:szCs w:val="18"/>
                <w:color w:val="auto"/>
              </w:rPr>
              <w:t>United States</w:t>
            </w:r>
          </w:p>
        </w:tc>
      </w:tr>
      <w:tr>
        <w:trPr>
          <w:trHeight w:val="203"/>
        </w:trPr>
        <w:tc>
          <w:tcPr>
            <w:tcW w:w="5460" w:type="dxa"/>
            <w:vAlign w:val="bottom"/>
          </w:tcPr>
          <w:p>
            <w:pPr>
              <w:ind w:left="40"/>
              <w:spacing w:after="0" w:line="202" w:lineRule="exact"/>
              <w:rPr>
                <w:sz w:val="20"/>
                <w:szCs w:val="20"/>
                <w:color w:val="auto"/>
              </w:rPr>
            </w:pPr>
            <w:r>
              <w:rPr>
                <w:rFonts w:ascii="Arial" w:cs="Arial" w:eastAsia="Arial" w:hAnsi="Arial"/>
                <w:sz w:val="18"/>
                <w:szCs w:val="18"/>
                <w:color w:val="auto"/>
              </w:rPr>
              <w:t>Transglobal Enterprises, Inc.</w:t>
            </w:r>
          </w:p>
        </w:tc>
        <w:tc>
          <w:tcPr>
            <w:tcW w:w="1660" w:type="dxa"/>
            <w:vAlign w:val="bottom"/>
          </w:tcPr>
          <w:p>
            <w:pPr>
              <w:jc w:val="center"/>
              <w:ind w:left="150"/>
              <w:spacing w:after="0" w:line="202" w:lineRule="exact"/>
              <w:rPr>
                <w:sz w:val="20"/>
                <w:szCs w:val="20"/>
                <w:color w:val="auto"/>
              </w:rPr>
            </w:pPr>
            <w:r>
              <w:rPr>
                <w:rFonts w:ascii="Arial" w:cs="Arial" w:eastAsia="Arial" w:hAnsi="Arial"/>
                <w:sz w:val="18"/>
                <w:szCs w:val="18"/>
                <w:color w:val="auto"/>
                <w:w w:val="99"/>
              </w:rPr>
              <w:t>100%</w:t>
            </w:r>
          </w:p>
        </w:tc>
        <w:tc>
          <w:tcPr>
            <w:tcW w:w="1320" w:type="dxa"/>
            <w:vAlign w:val="bottom"/>
          </w:tcPr>
          <w:p>
            <w:pPr>
              <w:spacing w:after="0"/>
              <w:rPr>
                <w:sz w:val="17"/>
                <w:szCs w:val="17"/>
                <w:color w:val="auto"/>
              </w:rPr>
            </w:pPr>
          </w:p>
        </w:tc>
        <w:tc>
          <w:tcPr>
            <w:tcW w:w="2980" w:type="dxa"/>
            <w:vAlign w:val="bottom"/>
          </w:tcPr>
          <w:p>
            <w:pPr>
              <w:ind w:left="160"/>
              <w:spacing w:after="0" w:line="202" w:lineRule="exact"/>
              <w:rPr>
                <w:sz w:val="20"/>
                <w:szCs w:val="20"/>
                <w:color w:val="auto"/>
              </w:rPr>
            </w:pPr>
            <w:r>
              <w:rPr>
                <w:rFonts w:ascii="Arial" w:cs="Arial" w:eastAsia="Arial" w:hAnsi="Arial"/>
                <w:sz w:val="18"/>
                <w:szCs w:val="18"/>
                <w:color w:val="auto"/>
              </w:rPr>
              <w:t>United States</w:t>
            </w:r>
          </w:p>
        </w:tc>
      </w:tr>
      <w:tr>
        <w:trPr>
          <w:trHeight w:val="203"/>
        </w:trPr>
        <w:tc>
          <w:tcPr>
            <w:tcW w:w="5460" w:type="dxa"/>
            <w:vAlign w:val="bottom"/>
          </w:tcPr>
          <w:p>
            <w:pPr>
              <w:ind w:left="40"/>
              <w:spacing w:after="0" w:line="202" w:lineRule="exact"/>
              <w:rPr>
                <w:sz w:val="20"/>
                <w:szCs w:val="20"/>
                <w:color w:val="auto"/>
              </w:rPr>
            </w:pPr>
            <w:r>
              <w:rPr>
                <w:rFonts w:ascii="Arial" w:cs="Arial" w:eastAsia="Arial" w:hAnsi="Arial"/>
                <w:sz w:val="18"/>
                <w:szCs w:val="18"/>
                <w:color w:val="auto"/>
              </w:rPr>
              <w:t>Brandon Drying Fabrics, Inc.</w:t>
            </w:r>
          </w:p>
        </w:tc>
        <w:tc>
          <w:tcPr>
            <w:tcW w:w="1660" w:type="dxa"/>
            <w:vAlign w:val="bottom"/>
          </w:tcPr>
          <w:p>
            <w:pPr>
              <w:spacing w:after="0"/>
              <w:rPr>
                <w:sz w:val="17"/>
                <w:szCs w:val="17"/>
                <w:color w:val="auto"/>
              </w:rPr>
            </w:pPr>
          </w:p>
        </w:tc>
        <w:tc>
          <w:tcPr>
            <w:tcW w:w="1320" w:type="dxa"/>
            <w:vAlign w:val="bottom"/>
          </w:tcPr>
          <w:p>
            <w:pPr>
              <w:jc w:val="center"/>
              <w:ind w:left="10"/>
              <w:spacing w:after="0" w:line="202" w:lineRule="exact"/>
              <w:rPr>
                <w:sz w:val="20"/>
                <w:szCs w:val="20"/>
                <w:color w:val="auto"/>
              </w:rPr>
            </w:pPr>
            <w:r>
              <w:rPr>
                <w:rFonts w:ascii="Arial" w:cs="Arial" w:eastAsia="Arial" w:hAnsi="Arial"/>
                <w:sz w:val="18"/>
                <w:szCs w:val="18"/>
                <w:color w:val="auto"/>
                <w:w w:val="99"/>
              </w:rPr>
              <w:t>100%</w:t>
            </w:r>
          </w:p>
        </w:tc>
        <w:tc>
          <w:tcPr>
            <w:tcW w:w="2980" w:type="dxa"/>
            <w:vAlign w:val="bottom"/>
          </w:tcPr>
          <w:p>
            <w:pPr>
              <w:ind w:left="160"/>
              <w:spacing w:after="0" w:line="202" w:lineRule="exact"/>
              <w:rPr>
                <w:sz w:val="20"/>
                <w:szCs w:val="20"/>
                <w:color w:val="auto"/>
              </w:rPr>
            </w:pPr>
            <w:r>
              <w:rPr>
                <w:rFonts w:ascii="Arial" w:cs="Arial" w:eastAsia="Arial" w:hAnsi="Arial"/>
                <w:sz w:val="18"/>
                <w:szCs w:val="18"/>
                <w:color w:val="auto"/>
              </w:rPr>
              <w:t>United States</w:t>
            </w:r>
          </w:p>
        </w:tc>
      </w:tr>
      <w:tr>
        <w:trPr>
          <w:trHeight w:val="203"/>
        </w:trPr>
        <w:tc>
          <w:tcPr>
            <w:tcW w:w="5460" w:type="dxa"/>
            <w:vAlign w:val="bottom"/>
          </w:tcPr>
          <w:p>
            <w:pPr>
              <w:ind w:left="40"/>
              <w:spacing w:after="0" w:line="202" w:lineRule="exact"/>
              <w:rPr>
                <w:sz w:val="20"/>
                <w:szCs w:val="20"/>
                <w:color w:val="auto"/>
              </w:rPr>
            </w:pPr>
            <w:r>
              <w:rPr>
                <w:rFonts w:ascii="Arial" w:cs="Arial" w:eastAsia="Arial" w:hAnsi="Arial"/>
                <w:sz w:val="18"/>
                <w:szCs w:val="18"/>
                <w:color w:val="auto"/>
              </w:rPr>
              <w:t>Geschmay Forming Fabrics Corp.</w:t>
            </w:r>
          </w:p>
        </w:tc>
        <w:tc>
          <w:tcPr>
            <w:tcW w:w="1660" w:type="dxa"/>
            <w:vAlign w:val="bottom"/>
          </w:tcPr>
          <w:p>
            <w:pPr>
              <w:spacing w:after="0"/>
              <w:rPr>
                <w:sz w:val="17"/>
                <w:szCs w:val="17"/>
                <w:color w:val="auto"/>
              </w:rPr>
            </w:pPr>
          </w:p>
        </w:tc>
        <w:tc>
          <w:tcPr>
            <w:tcW w:w="1320" w:type="dxa"/>
            <w:vAlign w:val="bottom"/>
          </w:tcPr>
          <w:p>
            <w:pPr>
              <w:jc w:val="center"/>
              <w:ind w:left="10"/>
              <w:spacing w:after="0" w:line="202" w:lineRule="exact"/>
              <w:rPr>
                <w:sz w:val="20"/>
                <w:szCs w:val="20"/>
                <w:color w:val="auto"/>
              </w:rPr>
            </w:pPr>
            <w:r>
              <w:rPr>
                <w:rFonts w:ascii="Arial" w:cs="Arial" w:eastAsia="Arial" w:hAnsi="Arial"/>
                <w:sz w:val="18"/>
                <w:szCs w:val="18"/>
                <w:color w:val="auto"/>
                <w:w w:val="99"/>
              </w:rPr>
              <w:t>100%</w:t>
            </w:r>
          </w:p>
        </w:tc>
        <w:tc>
          <w:tcPr>
            <w:tcW w:w="2980" w:type="dxa"/>
            <w:vAlign w:val="bottom"/>
          </w:tcPr>
          <w:p>
            <w:pPr>
              <w:ind w:left="160"/>
              <w:spacing w:after="0" w:line="202" w:lineRule="exact"/>
              <w:rPr>
                <w:sz w:val="20"/>
                <w:szCs w:val="20"/>
                <w:color w:val="auto"/>
              </w:rPr>
            </w:pPr>
            <w:r>
              <w:rPr>
                <w:rFonts w:ascii="Arial" w:cs="Arial" w:eastAsia="Arial" w:hAnsi="Arial"/>
                <w:sz w:val="18"/>
                <w:szCs w:val="18"/>
                <w:color w:val="auto"/>
              </w:rPr>
              <w:t>United States</w:t>
            </w:r>
          </w:p>
        </w:tc>
      </w:tr>
      <w:tr>
        <w:trPr>
          <w:trHeight w:val="203"/>
        </w:trPr>
        <w:tc>
          <w:tcPr>
            <w:tcW w:w="5460" w:type="dxa"/>
            <w:vAlign w:val="bottom"/>
          </w:tcPr>
          <w:p>
            <w:pPr>
              <w:ind w:left="40"/>
              <w:spacing w:after="0" w:line="202" w:lineRule="exact"/>
              <w:rPr>
                <w:sz w:val="20"/>
                <w:szCs w:val="20"/>
                <w:color w:val="auto"/>
              </w:rPr>
            </w:pPr>
            <w:r>
              <w:rPr>
                <w:rFonts w:ascii="Arial" w:cs="Arial" w:eastAsia="Arial" w:hAnsi="Arial"/>
                <w:sz w:val="18"/>
                <w:szCs w:val="18"/>
                <w:color w:val="auto"/>
              </w:rPr>
              <w:t>Geschmay Wet Felts, Inc.</w:t>
            </w:r>
          </w:p>
        </w:tc>
        <w:tc>
          <w:tcPr>
            <w:tcW w:w="1660" w:type="dxa"/>
            <w:vAlign w:val="bottom"/>
          </w:tcPr>
          <w:p>
            <w:pPr>
              <w:spacing w:after="0"/>
              <w:rPr>
                <w:sz w:val="17"/>
                <w:szCs w:val="17"/>
                <w:color w:val="auto"/>
              </w:rPr>
            </w:pPr>
          </w:p>
        </w:tc>
        <w:tc>
          <w:tcPr>
            <w:tcW w:w="1320" w:type="dxa"/>
            <w:vAlign w:val="bottom"/>
          </w:tcPr>
          <w:p>
            <w:pPr>
              <w:jc w:val="center"/>
              <w:ind w:left="10"/>
              <w:spacing w:after="0" w:line="202" w:lineRule="exact"/>
              <w:rPr>
                <w:sz w:val="20"/>
                <w:szCs w:val="20"/>
                <w:color w:val="auto"/>
              </w:rPr>
            </w:pPr>
            <w:r>
              <w:rPr>
                <w:rFonts w:ascii="Arial" w:cs="Arial" w:eastAsia="Arial" w:hAnsi="Arial"/>
                <w:sz w:val="18"/>
                <w:szCs w:val="18"/>
                <w:color w:val="auto"/>
                <w:w w:val="99"/>
              </w:rPr>
              <w:t>100%</w:t>
            </w:r>
          </w:p>
        </w:tc>
        <w:tc>
          <w:tcPr>
            <w:tcW w:w="2980" w:type="dxa"/>
            <w:vAlign w:val="bottom"/>
          </w:tcPr>
          <w:p>
            <w:pPr>
              <w:ind w:left="160"/>
              <w:spacing w:after="0" w:line="202" w:lineRule="exact"/>
              <w:rPr>
                <w:sz w:val="20"/>
                <w:szCs w:val="20"/>
                <w:color w:val="auto"/>
              </w:rPr>
            </w:pPr>
            <w:r>
              <w:rPr>
                <w:rFonts w:ascii="Arial" w:cs="Arial" w:eastAsia="Arial" w:hAnsi="Arial"/>
                <w:sz w:val="18"/>
                <w:szCs w:val="18"/>
                <w:color w:val="auto"/>
              </w:rPr>
              <w:t>United States</w:t>
            </w:r>
          </w:p>
        </w:tc>
      </w:tr>
      <w:tr>
        <w:trPr>
          <w:trHeight w:val="203"/>
        </w:trPr>
        <w:tc>
          <w:tcPr>
            <w:tcW w:w="5460" w:type="dxa"/>
            <w:vAlign w:val="bottom"/>
          </w:tcPr>
          <w:p>
            <w:pPr>
              <w:ind w:left="40"/>
              <w:spacing w:after="0" w:line="202" w:lineRule="exact"/>
              <w:rPr>
                <w:sz w:val="20"/>
                <w:szCs w:val="20"/>
                <w:color w:val="auto"/>
              </w:rPr>
            </w:pPr>
            <w:r>
              <w:rPr>
                <w:rFonts w:ascii="Arial" w:cs="Arial" w:eastAsia="Arial" w:hAnsi="Arial"/>
                <w:sz w:val="18"/>
                <w:szCs w:val="18"/>
                <w:color w:val="auto"/>
              </w:rPr>
              <w:t>Albany Aerostructures Composites, LLC</w:t>
            </w:r>
          </w:p>
        </w:tc>
        <w:tc>
          <w:tcPr>
            <w:tcW w:w="1660" w:type="dxa"/>
            <w:vAlign w:val="bottom"/>
          </w:tcPr>
          <w:p>
            <w:pPr>
              <w:spacing w:after="0"/>
              <w:rPr>
                <w:sz w:val="17"/>
                <w:szCs w:val="17"/>
                <w:color w:val="auto"/>
              </w:rPr>
            </w:pPr>
          </w:p>
        </w:tc>
        <w:tc>
          <w:tcPr>
            <w:tcW w:w="1320" w:type="dxa"/>
            <w:vAlign w:val="bottom"/>
          </w:tcPr>
          <w:p>
            <w:pPr>
              <w:jc w:val="center"/>
              <w:ind w:left="10"/>
              <w:spacing w:after="0" w:line="202" w:lineRule="exact"/>
              <w:rPr>
                <w:sz w:val="20"/>
                <w:szCs w:val="20"/>
                <w:color w:val="auto"/>
              </w:rPr>
            </w:pPr>
            <w:r>
              <w:rPr>
                <w:rFonts w:ascii="Arial" w:cs="Arial" w:eastAsia="Arial" w:hAnsi="Arial"/>
                <w:sz w:val="18"/>
                <w:szCs w:val="18"/>
                <w:color w:val="auto"/>
                <w:w w:val="99"/>
              </w:rPr>
              <w:t>100%</w:t>
            </w:r>
          </w:p>
        </w:tc>
        <w:tc>
          <w:tcPr>
            <w:tcW w:w="2980" w:type="dxa"/>
            <w:vAlign w:val="bottom"/>
          </w:tcPr>
          <w:p>
            <w:pPr>
              <w:ind w:left="160"/>
              <w:spacing w:after="0" w:line="202" w:lineRule="exact"/>
              <w:rPr>
                <w:sz w:val="20"/>
                <w:szCs w:val="20"/>
                <w:color w:val="auto"/>
              </w:rPr>
            </w:pPr>
            <w:r>
              <w:rPr>
                <w:rFonts w:ascii="Arial" w:cs="Arial" w:eastAsia="Arial" w:hAnsi="Arial"/>
                <w:sz w:val="18"/>
                <w:szCs w:val="18"/>
                <w:color w:val="auto"/>
              </w:rPr>
              <w:t>United States</w:t>
            </w:r>
          </w:p>
        </w:tc>
      </w:tr>
      <w:tr>
        <w:trPr>
          <w:trHeight w:val="203"/>
        </w:trPr>
        <w:tc>
          <w:tcPr>
            <w:tcW w:w="5460" w:type="dxa"/>
            <w:vAlign w:val="bottom"/>
          </w:tcPr>
          <w:p>
            <w:pPr>
              <w:ind w:left="40"/>
              <w:spacing w:after="0" w:line="202" w:lineRule="exact"/>
              <w:rPr>
                <w:sz w:val="20"/>
                <w:szCs w:val="20"/>
                <w:color w:val="auto"/>
              </w:rPr>
            </w:pPr>
            <w:r>
              <w:rPr>
                <w:rFonts w:ascii="Arial" w:cs="Arial" w:eastAsia="Arial" w:hAnsi="Arial"/>
                <w:sz w:val="18"/>
                <w:szCs w:val="18"/>
                <w:color w:val="auto"/>
              </w:rPr>
              <w:t>Albany International Pty., Ltd.</w:t>
            </w:r>
          </w:p>
        </w:tc>
        <w:tc>
          <w:tcPr>
            <w:tcW w:w="1660" w:type="dxa"/>
            <w:vAlign w:val="bottom"/>
          </w:tcPr>
          <w:p>
            <w:pPr>
              <w:spacing w:after="0"/>
              <w:rPr>
                <w:sz w:val="17"/>
                <w:szCs w:val="17"/>
                <w:color w:val="auto"/>
              </w:rPr>
            </w:pPr>
          </w:p>
        </w:tc>
        <w:tc>
          <w:tcPr>
            <w:tcW w:w="1320" w:type="dxa"/>
            <w:vAlign w:val="bottom"/>
          </w:tcPr>
          <w:p>
            <w:pPr>
              <w:jc w:val="center"/>
              <w:ind w:left="10"/>
              <w:spacing w:after="0" w:line="202" w:lineRule="exact"/>
              <w:rPr>
                <w:sz w:val="20"/>
                <w:szCs w:val="20"/>
                <w:color w:val="auto"/>
              </w:rPr>
            </w:pPr>
            <w:r>
              <w:rPr>
                <w:rFonts w:ascii="Arial" w:cs="Arial" w:eastAsia="Arial" w:hAnsi="Arial"/>
                <w:sz w:val="18"/>
                <w:szCs w:val="18"/>
                <w:color w:val="auto"/>
                <w:w w:val="99"/>
              </w:rPr>
              <w:t>100%</w:t>
            </w:r>
          </w:p>
        </w:tc>
        <w:tc>
          <w:tcPr>
            <w:tcW w:w="2980" w:type="dxa"/>
            <w:vAlign w:val="bottom"/>
          </w:tcPr>
          <w:p>
            <w:pPr>
              <w:ind w:left="160"/>
              <w:spacing w:after="0" w:line="202" w:lineRule="exact"/>
              <w:rPr>
                <w:sz w:val="20"/>
                <w:szCs w:val="20"/>
                <w:color w:val="auto"/>
              </w:rPr>
            </w:pPr>
            <w:r>
              <w:rPr>
                <w:rFonts w:ascii="Arial" w:cs="Arial" w:eastAsia="Arial" w:hAnsi="Arial"/>
                <w:sz w:val="18"/>
                <w:szCs w:val="18"/>
                <w:color w:val="auto"/>
              </w:rPr>
              <w:t>Australia</w:t>
            </w:r>
          </w:p>
        </w:tc>
      </w:tr>
      <w:tr>
        <w:trPr>
          <w:trHeight w:val="203"/>
        </w:trPr>
        <w:tc>
          <w:tcPr>
            <w:tcW w:w="5460" w:type="dxa"/>
            <w:vAlign w:val="bottom"/>
          </w:tcPr>
          <w:p>
            <w:pPr>
              <w:ind w:left="40"/>
              <w:spacing w:after="0" w:line="202" w:lineRule="exact"/>
              <w:rPr>
                <w:sz w:val="20"/>
                <w:szCs w:val="20"/>
                <w:color w:val="auto"/>
              </w:rPr>
            </w:pPr>
            <w:r>
              <w:rPr>
                <w:rFonts w:ascii="Arial" w:cs="Arial" w:eastAsia="Arial" w:hAnsi="Arial"/>
                <w:sz w:val="18"/>
                <w:szCs w:val="18"/>
                <w:color w:val="auto"/>
              </w:rPr>
              <w:t>Albany International Tecidos Tecnicos Ltda.</w:t>
            </w:r>
          </w:p>
        </w:tc>
        <w:tc>
          <w:tcPr>
            <w:tcW w:w="1660" w:type="dxa"/>
            <w:vAlign w:val="bottom"/>
          </w:tcPr>
          <w:p>
            <w:pPr>
              <w:spacing w:after="0"/>
              <w:rPr>
                <w:sz w:val="17"/>
                <w:szCs w:val="17"/>
                <w:color w:val="auto"/>
              </w:rPr>
            </w:pPr>
          </w:p>
        </w:tc>
        <w:tc>
          <w:tcPr>
            <w:tcW w:w="1320" w:type="dxa"/>
            <w:vAlign w:val="bottom"/>
          </w:tcPr>
          <w:p>
            <w:pPr>
              <w:jc w:val="center"/>
              <w:ind w:left="10"/>
              <w:spacing w:after="0" w:line="202" w:lineRule="exact"/>
              <w:rPr>
                <w:sz w:val="20"/>
                <w:szCs w:val="20"/>
                <w:color w:val="auto"/>
              </w:rPr>
            </w:pPr>
            <w:r>
              <w:rPr>
                <w:rFonts w:ascii="Arial" w:cs="Arial" w:eastAsia="Arial" w:hAnsi="Arial"/>
                <w:sz w:val="18"/>
                <w:szCs w:val="18"/>
                <w:color w:val="auto"/>
                <w:w w:val="99"/>
              </w:rPr>
              <w:t>100%</w:t>
            </w:r>
          </w:p>
        </w:tc>
        <w:tc>
          <w:tcPr>
            <w:tcW w:w="2980" w:type="dxa"/>
            <w:vAlign w:val="bottom"/>
          </w:tcPr>
          <w:p>
            <w:pPr>
              <w:ind w:left="160"/>
              <w:spacing w:after="0" w:line="202" w:lineRule="exact"/>
              <w:rPr>
                <w:sz w:val="20"/>
                <w:szCs w:val="20"/>
                <w:color w:val="auto"/>
              </w:rPr>
            </w:pPr>
            <w:r>
              <w:rPr>
                <w:rFonts w:ascii="Arial" w:cs="Arial" w:eastAsia="Arial" w:hAnsi="Arial"/>
                <w:sz w:val="18"/>
                <w:szCs w:val="18"/>
                <w:color w:val="auto"/>
              </w:rPr>
              <w:t>Brazil</w:t>
            </w:r>
          </w:p>
        </w:tc>
      </w:tr>
      <w:tr>
        <w:trPr>
          <w:trHeight w:val="203"/>
        </w:trPr>
        <w:tc>
          <w:tcPr>
            <w:tcW w:w="5460" w:type="dxa"/>
            <w:vAlign w:val="bottom"/>
          </w:tcPr>
          <w:p>
            <w:pPr>
              <w:ind w:left="40"/>
              <w:spacing w:after="0" w:line="202" w:lineRule="exact"/>
              <w:rPr>
                <w:sz w:val="20"/>
                <w:szCs w:val="20"/>
                <w:color w:val="auto"/>
              </w:rPr>
            </w:pPr>
            <w:r>
              <w:rPr>
                <w:rFonts w:ascii="Arial" w:cs="Arial" w:eastAsia="Arial" w:hAnsi="Arial"/>
                <w:sz w:val="18"/>
                <w:szCs w:val="18"/>
                <w:color w:val="auto"/>
              </w:rPr>
              <w:t>Albany International Canada Corp.</w:t>
            </w:r>
          </w:p>
        </w:tc>
        <w:tc>
          <w:tcPr>
            <w:tcW w:w="1660" w:type="dxa"/>
            <w:vAlign w:val="bottom"/>
          </w:tcPr>
          <w:p>
            <w:pPr>
              <w:spacing w:after="0"/>
              <w:rPr>
                <w:sz w:val="17"/>
                <w:szCs w:val="17"/>
                <w:color w:val="auto"/>
              </w:rPr>
            </w:pPr>
          </w:p>
        </w:tc>
        <w:tc>
          <w:tcPr>
            <w:tcW w:w="1320" w:type="dxa"/>
            <w:vAlign w:val="bottom"/>
          </w:tcPr>
          <w:p>
            <w:pPr>
              <w:jc w:val="center"/>
              <w:ind w:left="10"/>
              <w:spacing w:after="0" w:line="202" w:lineRule="exact"/>
              <w:rPr>
                <w:sz w:val="20"/>
                <w:szCs w:val="20"/>
                <w:color w:val="auto"/>
              </w:rPr>
            </w:pPr>
            <w:r>
              <w:rPr>
                <w:rFonts w:ascii="Arial" w:cs="Arial" w:eastAsia="Arial" w:hAnsi="Arial"/>
                <w:sz w:val="18"/>
                <w:szCs w:val="18"/>
                <w:color w:val="auto"/>
                <w:w w:val="99"/>
              </w:rPr>
              <w:t>100%</w:t>
            </w:r>
          </w:p>
        </w:tc>
        <w:tc>
          <w:tcPr>
            <w:tcW w:w="2980" w:type="dxa"/>
            <w:vAlign w:val="bottom"/>
          </w:tcPr>
          <w:p>
            <w:pPr>
              <w:ind w:left="160"/>
              <w:spacing w:after="0" w:line="202" w:lineRule="exact"/>
              <w:rPr>
                <w:sz w:val="20"/>
                <w:szCs w:val="20"/>
                <w:color w:val="auto"/>
              </w:rPr>
            </w:pPr>
            <w:r>
              <w:rPr>
                <w:rFonts w:ascii="Arial" w:cs="Arial" w:eastAsia="Arial" w:hAnsi="Arial"/>
                <w:sz w:val="18"/>
                <w:szCs w:val="18"/>
                <w:color w:val="auto"/>
              </w:rPr>
              <w:t>Canada</w:t>
            </w:r>
          </w:p>
        </w:tc>
      </w:tr>
      <w:tr>
        <w:trPr>
          <w:trHeight w:val="203"/>
        </w:trPr>
        <w:tc>
          <w:tcPr>
            <w:tcW w:w="5460" w:type="dxa"/>
            <w:vAlign w:val="bottom"/>
          </w:tcPr>
          <w:p>
            <w:pPr>
              <w:ind w:left="40"/>
              <w:spacing w:after="0" w:line="202" w:lineRule="exact"/>
              <w:rPr>
                <w:sz w:val="20"/>
                <w:szCs w:val="20"/>
                <w:color w:val="auto"/>
              </w:rPr>
            </w:pPr>
            <w:r>
              <w:rPr>
                <w:rFonts w:ascii="Arial" w:cs="Arial" w:eastAsia="Arial" w:hAnsi="Arial"/>
                <w:sz w:val="18"/>
                <w:szCs w:val="18"/>
                <w:color w:val="auto"/>
              </w:rPr>
              <w:t>Albany International (China) Co., Ltd.</w:t>
            </w:r>
          </w:p>
        </w:tc>
        <w:tc>
          <w:tcPr>
            <w:tcW w:w="1660" w:type="dxa"/>
            <w:vAlign w:val="bottom"/>
          </w:tcPr>
          <w:p>
            <w:pPr>
              <w:spacing w:after="0"/>
              <w:rPr>
                <w:sz w:val="17"/>
                <w:szCs w:val="17"/>
                <w:color w:val="auto"/>
              </w:rPr>
            </w:pPr>
          </w:p>
        </w:tc>
        <w:tc>
          <w:tcPr>
            <w:tcW w:w="1320" w:type="dxa"/>
            <w:vAlign w:val="bottom"/>
          </w:tcPr>
          <w:p>
            <w:pPr>
              <w:jc w:val="center"/>
              <w:ind w:left="10"/>
              <w:spacing w:after="0" w:line="202" w:lineRule="exact"/>
              <w:rPr>
                <w:sz w:val="20"/>
                <w:szCs w:val="20"/>
                <w:color w:val="auto"/>
              </w:rPr>
            </w:pPr>
            <w:r>
              <w:rPr>
                <w:rFonts w:ascii="Arial" w:cs="Arial" w:eastAsia="Arial" w:hAnsi="Arial"/>
                <w:sz w:val="18"/>
                <w:szCs w:val="18"/>
                <w:color w:val="auto"/>
                <w:w w:val="99"/>
              </w:rPr>
              <w:t>100%</w:t>
            </w:r>
          </w:p>
        </w:tc>
        <w:tc>
          <w:tcPr>
            <w:tcW w:w="2980" w:type="dxa"/>
            <w:vAlign w:val="bottom"/>
          </w:tcPr>
          <w:p>
            <w:pPr>
              <w:ind w:left="160"/>
              <w:spacing w:after="0" w:line="202" w:lineRule="exact"/>
              <w:rPr>
                <w:sz w:val="20"/>
                <w:szCs w:val="20"/>
                <w:color w:val="auto"/>
              </w:rPr>
            </w:pPr>
            <w:r>
              <w:rPr>
                <w:rFonts w:ascii="Arial" w:cs="Arial" w:eastAsia="Arial" w:hAnsi="Arial"/>
                <w:sz w:val="18"/>
                <w:szCs w:val="18"/>
                <w:color w:val="auto"/>
              </w:rPr>
              <w:t>China</w:t>
            </w:r>
          </w:p>
        </w:tc>
      </w:tr>
      <w:tr>
        <w:trPr>
          <w:trHeight w:val="203"/>
        </w:trPr>
        <w:tc>
          <w:tcPr>
            <w:tcW w:w="5460" w:type="dxa"/>
            <w:vAlign w:val="bottom"/>
          </w:tcPr>
          <w:p>
            <w:pPr>
              <w:ind w:left="40"/>
              <w:spacing w:after="0" w:line="202" w:lineRule="exact"/>
              <w:rPr>
                <w:sz w:val="20"/>
                <w:szCs w:val="20"/>
                <w:color w:val="auto"/>
              </w:rPr>
            </w:pPr>
            <w:r>
              <w:rPr>
                <w:rFonts w:ascii="Arial" w:cs="Arial" w:eastAsia="Arial" w:hAnsi="Arial"/>
                <w:sz w:val="18"/>
                <w:szCs w:val="18"/>
                <w:color w:val="auto"/>
              </w:rPr>
              <w:t>Albany International Engineered Textiles (Hangzhou) Co., Ltd.</w:t>
            </w:r>
          </w:p>
        </w:tc>
        <w:tc>
          <w:tcPr>
            <w:tcW w:w="1660" w:type="dxa"/>
            <w:vAlign w:val="bottom"/>
          </w:tcPr>
          <w:p>
            <w:pPr>
              <w:spacing w:after="0"/>
              <w:rPr>
                <w:sz w:val="17"/>
                <w:szCs w:val="17"/>
                <w:color w:val="auto"/>
              </w:rPr>
            </w:pPr>
          </w:p>
        </w:tc>
        <w:tc>
          <w:tcPr>
            <w:tcW w:w="1320" w:type="dxa"/>
            <w:vAlign w:val="bottom"/>
          </w:tcPr>
          <w:p>
            <w:pPr>
              <w:jc w:val="center"/>
              <w:ind w:left="10"/>
              <w:spacing w:after="0" w:line="202" w:lineRule="exact"/>
              <w:rPr>
                <w:sz w:val="20"/>
                <w:szCs w:val="20"/>
                <w:color w:val="auto"/>
              </w:rPr>
            </w:pPr>
            <w:r>
              <w:rPr>
                <w:rFonts w:ascii="Arial" w:cs="Arial" w:eastAsia="Arial" w:hAnsi="Arial"/>
                <w:sz w:val="18"/>
                <w:szCs w:val="18"/>
                <w:color w:val="auto"/>
                <w:w w:val="99"/>
              </w:rPr>
              <w:t>100%</w:t>
            </w:r>
          </w:p>
        </w:tc>
        <w:tc>
          <w:tcPr>
            <w:tcW w:w="2980" w:type="dxa"/>
            <w:vAlign w:val="bottom"/>
          </w:tcPr>
          <w:p>
            <w:pPr>
              <w:ind w:left="160"/>
              <w:spacing w:after="0" w:line="202" w:lineRule="exact"/>
              <w:rPr>
                <w:sz w:val="20"/>
                <w:szCs w:val="20"/>
                <w:color w:val="auto"/>
              </w:rPr>
            </w:pPr>
            <w:r>
              <w:rPr>
                <w:rFonts w:ascii="Arial" w:cs="Arial" w:eastAsia="Arial" w:hAnsi="Arial"/>
                <w:sz w:val="18"/>
                <w:szCs w:val="18"/>
                <w:color w:val="auto"/>
              </w:rPr>
              <w:t>China</w:t>
            </w:r>
          </w:p>
        </w:tc>
      </w:tr>
      <w:tr>
        <w:trPr>
          <w:trHeight w:val="203"/>
        </w:trPr>
        <w:tc>
          <w:tcPr>
            <w:tcW w:w="5460" w:type="dxa"/>
            <w:vAlign w:val="bottom"/>
          </w:tcPr>
          <w:p>
            <w:pPr>
              <w:ind w:left="40"/>
              <w:spacing w:after="0" w:line="202" w:lineRule="exact"/>
              <w:rPr>
                <w:sz w:val="20"/>
                <w:szCs w:val="20"/>
                <w:color w:val="auto"/>
              </w:rPr>
            </w:pPr>
            <w:r>
              <w:rPr>
                <w:rFonts w:ascii="Arial" w:cs="Arial" w:eastAsia="Arial" w:hAnsi="Arial"/>
                <w:sz w:val="18"/>
                <w:szCs w:val="18"/>
                <w:color w:val="auto"/>
              </w:rPr>
              <w:t>Albany International OY</w:t>
            </w:r>
          </w:p>
        </w:tc>
        <w:tc>
          <w:tcPr>
            <w:tcW w:w="1660" w:type="dxa"/>
            <w:vAlign w:val="bottom"/>
          </w:tcPr>
          <w:p>
            <w:pPr>
              <w:spacing w:after="0"/>
              <w:rPr>
                <w:sz w:val="17"/>
                <w:szCs w:val="17"/>
                <w:color w:val="auto"/>
              </w:rPr>
            </w:pPr>
          </w:p>
        </w:tc>
        <w:tc>
          <w:tcPr>
            <w:tcW w:w="1320" w:type="dxa"/>
            <w:vAlign w:val="bottom"/>
          </w:tcPr>
          <w:p>
            <w:pPr>
              <w:jc w:val="center"/>
              <w:ind w:left="10"/>
              <w:spacing w:after="0" w:line="202" w:lineRule="exact"/>
              <w:rPr>
                <w:sz w:val="20"/>
                <w:szCs w:val="20"/>
                <w:color w:val="auto"/>
              </w:rPr>
            </w:pPr>
            <w:r>
              <w:rPr>
                <w:rFonts w:ascii="Arial" w:cs="Arial" w:eastAsia="Arial" w:hAnsi="Arial"/>
                <w:sz w:val="18"/>
                <w:szCs w:val="18"/>
                <w:color w:val="auto"/>
                <w:w w:val="99"/>
              </w:rPr>
              <w:t>100%</w:t>
            </w:r>
          </w:p>
        </w:tc>
        <w:tc>
          <w:tcPr>
            <w:tcW w:w="2980" w:type="dxa"/>
            <w:vAlign w:val="bottom"/>
          </w:tcPr>
          <w:p>
            <w:pPr>
              <w:ind w:left="160"/>
              <w:spacing w:after="0" w:line="202" w:lineRule="exact"/>
              <w:rPr>
                <w:sz w:val="20"/>
                <w:szCs w:val="20"/>
                <w:color w:val="auto"/>
              </w:rPr>
            </w:pPr>
            <w:r>
              <w:rPr>
                <w:rFonts w:ascii="Arial" w:cs="Arial" w:eastAsia="Arial" w:hAnsi="Arial"/>
                <w:sz w:val="18"/>
                <w:szCs w:val="18"/>
                <w:color w:val="auto"/>
              </w:rPr>
              <w:t>Finland</w:t>
            </w:r>
          </w:p>
        </w:tc>
      </w:tr>
      <w:tr>
        <w:trPr>
          <w:trHeight w:val="203"/>
        </w:trPr>
        <w:tc>
          <w:tcPr>
            <w:tcW w:w="5460" w:type="dxa"/>
            <w:vAlign w:val="bottom"/>
          </w:tcPr>
          <w:p>
            <w:pPr>
              <w:ind w:left="40"/>
              <w:spacing w:after="0" w:line="202" w:lineRule="exact"/>
              <w:rPr>
                <w:sz w:val="20"/>
                <w:szCs w:val="20"/>
                <w:color w:val="auto"/>
              </w:rPr>
            </w:pPr>
            <w:r>
              <w:rPr>
                <w:rFonts w:ascii="Arial" w:cs="Arial" w:eastAsia="Arial" w:hAnsi="Arial"/>
                <w:sz w:val="18"/>
                <w:szCs w:val="18"/>
                <w:color w:val="auto"/>
              </w:rPr>
              <w:t>Albany International France, S.A.S.</w:t>
            </w:r>
          </w:p>
        </w:tc>
        <w:tc>
          <w:tcPr>
            <w:tcW w:w="1660" w:type="dxa"/>
            <w:vAlign w:val="bottom"/>
          </w:tcPr>
          <w:p>
            <w:pPr>
              <w:spacing w:after="0"/>
              <w:rPr>
                <w:sz w:val="17"/>
                <w:szCs w:val="17"/>
                <w:color w:val="auto"/>
              </w:rPr>
            </w:pPr>
          </w:p>
        </w:tc>
        <w:tc>
          <w:tcPr>
            <w:tcW w:w="1320" w:type="dxa"/>
            <w:vAlign w:val="bottom"/>
          </w:tcPr>
          <w:p>
            <w:pPr>
              <w:jc w:val="center"/>
              <w:ind w:left="10"/>
              <w:spacing w:after="0" w:line="202" w:lineRule="exact"/>
              <w:rPr>
                <w:sz w:val="20"/>
                <w:szCs w:val="20"/>
                <w:color w:val="auto"/>
              </w:rPr>
            </w:pPr>
            <w:r>
              <w:rPr>
                <w:rFonts w:ascii="Arial" w:cs="Arial" w:eastAsia="Arial" w:hAnsi="Arial"/>
                <w:sz w:val="18"/>
                <w:szCs w:val="18"/>
                <w:color w:val="auto"/>
                <w:w w:val="99"/>
              </w:rPr>
              <w:t>100%</w:t>
            </w:r>
          </w:p>
        </w:tc>
        <w:tc>
          <w:tcPr>
            <w:tcW w:w="2980" w:type="dxa"/>
            <w:vAlign w:val="bottom"/>
          </w:tcPr>
          <w:p>
            <w:pPr>
              <w:ind w:left="160"/>
              <w:spacing w:after="0" w:line="202" w:lineRule="exact"/>
              <w:rPr>
                <w:sz w:val="20"/>
                <w:szCs w:val="20"/>
                <w:color w:val="auto"/>
              </w:rPr>
            </w:pPr>
            <w:r>
              <w:rPr>
                <w:rFonts w:ascii="Arial" w:cs="Arial" w:eastAsia="Arial" w:hAnsi="Arial"/>
                <w:sz w:val="18"/>
                <w:szCs w:val="18"/>
                <w:color w:val="auto"/>
              </w:rPr>
              <w:t>France</w:t>
            </w:r>
          </w:p>
        </w:tc>
      </w:tr>
      <w:tr>
        <w:trPr>
          <w:trHeight w:val="203"/>
        </w:trPr>
        <w:tc>
          <w:tcPr>
            <w:tcW w:w="5460" w:type="dxa"/>
            <w:vAlign w:val="bottom"/>
          </w:tcPr>
          <w:p>
            <w:pPr>
              <w:ind w:left="40"/>
              <w:spacing w:after="0" w:line="202" w:lineRule="exact"/>
              <w:rPr>
                <w:sz w:val="20"/>
                <w:szCs w:val="20"/>
                <w:color w:val="auto"/>
              </w:rPr>
            </w:pPr>
            <w:r>
              <w:rPr>
                <w:rFonts w:ascii="Arial" w:cs="Arial" w:eastAsia="Arial" w:hAnsi="Arial"/>
                <w:sz w:val="18"/>
                <w:szCs w:val="18"/>
                <w:color w:val="auto"/>
              </w:rPr>
              <w:t>Albany Safran Composites, S.A.S</w:t>
            </w:r>
          </w:p>
        </w:tc>
        <w:tc>
          <w:tcPr>
            <w:tcW w:w="1660" w:type="dxa"/>
            <w:vAlign w:val="bottom"/>
          </w:tcPr>
          <w:p>
            <w:pPr>
              <w:spacing w:after="0"/>
              <w:rPr>
                <w:sz w:val="17"/>
                <w:szCs w:val="17"/>
                <w:color w:val="auto"/>
              </w:rPr>
            </w:pPr>
          </w:p>
        </w:tc>
        <w:tc>
          <w:tcPr>
            <w:tcW w:w="1320" w:type="dxa"/>
            <w:vAlign w:val="bottom"/>
          </w:tcPr>
          <w:p>
            <w:pPr>
              <w:jc w:val="center"/>
              <w:ind w:left="30"/>
              <w:spacing w:after="0" w:line="202" w:lineRule="exact"/>
              <w:rPr>
                <w:sz w:val="20"/>
                <w:szCs w:val="20"/>
                <w:color w:val="auto"/>
              </w:rPr>
            </w:pPr>
            <w:r>
              <w:rPr>
                <w:rFonts w:ascii="Arial" w:cs="Arial" w:eastAsia="Arial" w:hAnsi="Arial"/>
                <w:sz w:val="18"/>
                <w:szCs w:val="18"/>
                <w:color w:val="auto"/>
                <w:w w:val="99"/>
              </w:rPr>
              <w:t>90%</w:t>
            </w:r>
          </w:p>
        </w:tc>
        <w:tc>
          <w:tcPr>
            <w:tcW w:w="2980" w:type="dxa"/>
            <w:vAlign w:val="bottom"/>
          </w:tcPr>
          <w:p>
            <w:pPr>
              <w:ind w:left="160"/>
              <w:spacing w:after="0" w:line="202" w:lineRule="exact"/>
              <w:rPr>
                <w:sz w:val="20"/>
                <w:szCs w:val="20"/>
                <w:color w:val="auto"/>
              </w:rPr>
            </w:pPr>
            <w:r>
              <w:rPr>
                <w:rFonts w:ascii="Arial" w:cs="Arial" w:eastAsia="Arial" w:hAnsi="Arial"/>
                <w:sz w:val="18"/>
                <w:szCs w:val="18"/>
                <w:color w:val="auto"/>
              </w:rPr>
              <w:t>France</w:t>
            </w:r>
          </w:p>
        </w:tc>
      </w:tr>
      <w:tr>
        <w:trPr>
          <w:trHeight w:val="203"/>
        </w:trPr>
        <w:tc>
          <w:tcPr>
            <w:tcW w:w="5460" w:type="dxa"/>
            <w:vAlign w:val="bottom"/>
          </w:tcPr>
          <w:p>
            <w:pPr>
              <w:ind w:left="40"/>
              <w:spacing w:after="0" w:line="202" w:lineRule="exact"/>
              <w:rPr>
                <w:sz w:val="20"/>
                <w:szCs w:val="20"/>
                <w:color w:val="auto"/>
              </w:rPr>
            </w:pPr>
            <w:r>
              <w:rPr>
                <w:rFonts w:ascii="Arial" w:cs="Arial" w:eastAsia="Arial" w:hAnsi="Arial"/>
                <w:sz w:val="18"/>
                <w:szCs w:val="18"/>
                <w:color w:val="auto"/>
              </w:rPr>
              <w:t>Albany International Germany GmbH</w:t>
            </w:r>
          </w:p>
        </w:tc>
        <w:tc>
          <w:tcPr>
            <w:tcW w:w="1660" w:type="dxa"/>
            <w:vAlign w:val="bottom"/>
          </w:tcPr>
          <w:p>
            <w:pPr>
              <w:spacing w:after="0"/>
              <w:rPr>
                <w:sz w:val="17"/>
                <w:szCs w:val="17"/>
                <w:color w:val="auto"/>
              </w:rPr>
            </w:pPr>
          </w:p>
        </w:tc>
        <w:tc>
          <w:tcPr>
            <w:tcW w:w="1320" w:type="dxa"/>
            <w:vAlign w:val="bottom"/>
          </w:tcPr>
          <w:p>
            <w:pPr>
              <w:jc w:val="center"/>
              <w:ind w:left="10"/>
              <w:spacing w:after="0" w:line="202" w:lineRule="exact"/>
              <w:rPr>
                <w:sz w:val="20"/>
                <w:szCs w:val="20"/>
                <w:color w:val="auto"/>
              </w:rPr>
            </w:pPr>
            <w:r>
              <w:rPr>
                <w:rFonts w:ascii="Arial" w:cs="Arial" w:eastAsia="Arial" w:hAnsi="Arial"/>
                <w:sz w:val="18"/>
                <w:szCs w:val="18"/>
                <w:color w:val="auto"/>
                <w:w w:val="99"/>
              </w:rPr>
              <w:t>100%</w:t>
            </w:r>
          </w:p>
        </w:tc>
        <w:tc>
          <w:tcPr>
            <w:tcW w:w="2980" w:type="dxa"/>
            <w:vAlign w:val="bottom"/>
          </w:tcPr>
          <w:p>
            <w:pPr>
              <w:ind w:left="160"/>
              <w:spacing w:after="0" w:line="202" w:lineRule="exact"/>
              <w:rPr>
                <w:sz w:val="20"/>
                <w:szCs w:val="20"/>
                <w:color w:val="auto"/>
              </w:rPr>
            </w:pPr>
            <w:r>
              <w:rPr>
                <w:rFonts w:ascii="Arial" w:cs="Arial" w:eastAsia="Arial" w:hAnsi="Arial"/>
                <w:sz w:val="18"/>
                <w:szCs w:val="18"/>
                <w:color w:val="auto"/>
              </w:rPr>
              <w:t>Germany</w:t>
            </w:r>
          </w:p>
        </w:tc>
      </w:tr>
      <w:tr>
        <w:trPr>
          <w:trHeight w:val="203"/>
        </w:trPr>
        <w:tc>
          <w:tcPr>
            <w:tcW w:w="5460" w:type="dxa"/>
            <w:vAlign w:val="bottom"/>
          </w:tcPr>
          <w:p>
            <w:pPr>
              <w:ind w:left="40"/>
              <w:spacing w:after="0" w:line="202" w:lineRule="exact"/>
              <w:rPr>
                <w:sz w:val="20"/>
                <w:szCs w:val="20"/>
                <w:color w:val="auto"/>
              </w:rPr>
            </w:pPr>
            <w:r>
              <w:rPr>
                <w:rFonts w:ascii="Arial" w:cs="Arial" w:eastAsia="Arial" w:hAnsi="Arial"/>
                <w:sz w:val="18"/>
                <w:szCs w:val="18"/>
                <w:color w:val="auto"/>
              </w:rPr>
              <w:t>Albany International Italia S.r.l.</w:t>
            </w:r>
          </w:p>
        </w:tc>
        <w:tc>
          <w:tcPr>
            <w:tcW w:w="1660" w:type="dxa"/>
            <w:vAlign w:val="bottom"/>
          </w:tcPr>
          <w:p>
            <w:pPr>
              <w:spacing w:after="0"/>
              <w:rPr>
                <w:sz w:val="17"/>
                <w:szCs w:val="17"/>
                <w:color w:val="auto"/>
              </w:rPr>
            </w:pPr>
          </w:p>
        </w:tc>
        <w:tc>
          <w:tcPr>
            <w:tcW w:w="1320" w:type="dxa"/>
            <w:vAlign w:val="bottom"/>
          </w:tcPr>
          <w:p>
            <w:pPr>
              <w:jc w:val="center"/>
              <w:ind w:left="10"/>
              <w:spacing w:after="0" w:line="202" w:lineRule="exact"/>
              <w:rPr>
                <w:sz w:val="20"/>
                <w:szCs w:val="20"/>
                <w:color w:val="auto"/>
              </w:rPr>
            </w:pPr>
            <w:r>
              <w:rPr>
                <w:rFonts w:ascii="Arial" w:cs="Arial" w:eastAsia="Arial" w:hAnsi="Arial"/>
                <w:sz w:val="18"/>
                <w:szCs w:val="18"/>
                <w:color w:val="auto"/>
                <w:w w:val="99"/>
              </w:rPr>
              <w:t>100%</w:t>
            </w:r>
          </w:p>
        </w:tc>
        <w:tc>
          <w:tcPr>
            <w:tcW w:w="2980" w:type="dxa"/>
            <w:vAlign w:val="bottom"/>
          </w:tcPr>
          <w:p>
            <w:pPr>
              <w:ind w:left="160"/>
              <w:spacing w:after="0" w:line="202" w:lineRule="exact"/>
              <w:rPr>
                <w:sz w:val="20"/>
                <w:szCs w:val="20"/>
                <w:color w:val="auto"/>
              </w:rPr>
            </w:pPr>
            <w:r>
              <w:rPr>
                <w:rFonts w:ascii="Arial" w:cs="Arial" w:eastAsia="Arial" w:hAnsi="Arial"/>
                <w:sz w:val="18"/>
                <w:szCs w:val="18"/>
                <w:color w:val="auto"/>
              </w:rPr>
              <w:t>Italy</w:t>
            </w:r>
          </w:p>
        </w:tc>
      </w:tr>
      <w:tr>
        <w:trPr>
          <w:trHeight w:val="203"/>
        </w:trPr>
        <w:tc>
          <w:tcPr>
            <w:tcW w:w="5460" w:type="dxa"/>
            <w:vAlign w:val="bottom"/>
          </w:tcPr>
          <w:p>
            <w:pPr>
              <w:ind w:left="40"/>
              <w:spacing w:after="0" w:line="202" w:lineRule="exact"/>
              <w:rPr>
                <w:sz w:val="20"/>
                <w:szCs w:val="20"/>
                <w:color w:val="auto"/>
              </w:rPr>
            </w:pPr>
            <w:r>
              <w:rPr>
                <w:rFonts w:ascii="Arial" w:cs="Arial" w:eastAsia="Arial" w:hAnsi="Arial"/>
                <w:sz w:val="18"/>
                <w:szCs w:val="18"/>
                <w:color w:val="auto"/>
              </w:rPr>
              <w:t>Albany International Japan Kabushiki Kaisha</w:t>
            </w:r>
          </w:p>
        </w:tc>
        <w:tc>
          <w:tcPr>
            <w:tcW w:w="1660" w:type="dxa"/>
            <w:vAlign w:val="bottom"/>
          </w:tcPr>
          <w:p>
            <w:pPr>
              <w:spacing w:after="0"/>
              <w:rPr>
                <w:sz w:val="17"/>
                <w:szCs w:val="17"/>
                <w:color w:val="auto"/>
              </w:rPr>
            </w:pPr>
          </w:p>
        </w:tc>
        <w:tc>
          <w:tcPr>
            <w:tcW w:w="1320" w:type="dxa"/>
            <w:vAlign w:val="bottom"/>
          </w:tcPr>
          <w:p>
            <w:pPr>
              <w:jc w:val="center"/>
              <w:ind w:left="10"/>
              <w:spacing w:after="0" w:line="202" w:lineRule="exact"/>
              <w:rPr>
                <w:sz w:val="20"/>
                <w:szCs w:val="20"/>
                <w:color w:val="auto"/>
              </w:rPr>
            </w:pPr>
            <w:r>
              <w:rPr>
                <w:rFonts w:ascii="Arial" w:cs="Arial" w:eastAsia="Arial" w:hAnsi="Arial"/>
                <w:sz w:val="18"/>
                <w:szCs w:val="18"/>
                <w:color w:val="auto"/>
                <w:w w:val="99"/>
              </w:rPr>
              <w:t>100%</w:t>
            </w:r>
          </w:p>
        </w:tc>
        <w:tc>
          <w:tcPr>
            <w:tcW w:w="2980" w:type="dxa"/>
            <w:vAlign w:val="bottom"/>
          </w:tcPr>
          <w:p>
            <w:pPr>
              <w:ind w:left="160"/>
              <w:spacing w:after="0" w:line="202" w:lineRule="exact"/>
              <w:rPr>
                <w:sz w:val="20"/>
                <w:szCs w:val="20"/>
                <w:color w:val="auto"/>
              </w:rPr>
            </w:pPr>
            <w:r>
              <w:rPr>
                <w:rFonts w:ascii="Arial" w:cs="Arial" w:eastAsia="Arial" w:hAnsi="Arial"/>
                <w:sz w:val="18"/>
                <w:szCs w:val="18"/>
                <w:color w:val="auto"/>
              </w:rPr>
              <w:t>Japan</w:t>
            </w:r>
          </w:p>
        </w:tc>
      </w:tr>
      <w:tr>
        <w:trPr>
          <w:trHeight w:val="203"/>
        </w:trPr>
        <w:tc>
          <w:tcPr>
            <w:tcW w:w="5460" w:type="dxa"/>
            <w:vAlign w:val="bottom"/>
          </w:tcPr>
          <w:p>
            <w:pPr>
              <w:ind w:left="40"/>
              <w:spacing w:after="0" w:line="202" w:lineRule="exact"/>
              <w:rPr>
                <w:sz w:val="20"/>
                <w:szCs w:val="20"/>
                <w:color w:val="auto"/>
              </w:rPr>
            </w:pPr>
            <w:r>
              <w:rPr>
                <w:rFonts w:ascii="Arial" w:cs="Arial" w:eastAsia="Arial" w:hAnsi="Arial"/>
                <w:sz w:val="18"/>
                <w:szCs w:val="18"/>
                <w:color w:val="auto"/>
              </w:rPr>
              <w:t>Albany International Korea, Inc.</w:t>
            </w:r>
          </w:p>
        </w:tc>
        <w:tc>
          <w:tcPr>
            <w:tcW w:w="1660" w:type="dxa"/>
            <w:vAlign w:val="bottom"/>
          </w:tcPr>
          <w:p>
            <w:pPr>
              <w:spacing w:after="0"/>
              <w:rPr>
                <w:sz w:val="17"/>
                <w:szCs w:val="17"/>
                <w:color w:val="auto"/>
              </w:rPr>
            </w:pPr>
          </w:p>
        </w:tc>
        <w:tc>
          <w:tcPr>
            <w:tcW w:w="1320" w:type="dxa"/>
            <w:vAlign w:val="bottom"/>
          </w:tcPr>
          <w:p>
            <w:pPr>
              <w:jc w:val="center"/>
              <w:ind w:left="10"/>
              <w:spacing w:after="0" w:line="202" w:lineRule="exact"/>
              <w:rPr>
                <w:sz w:val="20"/>
                <w:szCs w:val="20"/>
                <w:color w:val="auto"/>
              </w:rPr>
            </w:pPr>
            <w:r>
              <w:rPr>
                <w:rFonts w:ascii="Arial" w:cs="Arial" w:eastAsia="Arial" w:hAnsi="Arial"/>
                <w:sz w:val="18"/>
                <w:szCs w:val="18"/>
                <w:color w:val="auto"/>
                <w:w w:val="99"/>
              </w:rPr>
              <w:t>100%</w:t>
            </w:r>
          </w:p>
        </w:tc>
        <w:tc>
          <w:tcPr>
            <w:tcW w:w="2980" w:type="dxa"/>
            <w:vAlign w:val="bottom"/>
          </w:tcPr>
          <w:p>
            <w:pPr>
              <w:ind w:left="160"/>
              <w:spacing w:after="0" w:line="202" w:lineRule="exact"/>
              <w:rPr>
                <w:sz w:val="20"/>
                <w:szCs w:val="20"/>
                <w:color w:val="auto"/>
              </w:rPr>
            </w:pPr>
            <w:r>
              <w:rPr>
                <w:rFonts w:ascii="Arial" w:cs="Arial" w:eastAsia="Arial" w:hAnsi="Arial"/>
                <w:sz w:val="18"/>
                <w:szCs w:val="18"/>
                <w:color w:val="auto"/>
              </w:rPr>
              <w:t>Korea</w:t>
            </w:r>
          </w:p>
        </w:tc>
      </w:tr>
      <w:tr>
        <w:trPr>
          <w:trHeight w:val="203"/>
        </w:trPr>
        <w:tc>
          <w:tcPr>
            <w:tcW w:w="5460" w:type="dxa"/>
            <w:vAlign w:val="bottom"/>
          </w:tcPr>
          <w:p>
            <w:pPr>
              <w:ind w:left="40"/>
              <w:spacing w:after="0" w:line="202" w:lineRule="exact"/>
              <w:rPr>
                <w:sz w:val="20"/>
                <w:szCs w:val="20"/>
                <w:color w:val="auto"/>
              </w:rPr>
            </w:pPr>
            <w:r>
              <w:rPr>
                <w:rFonts w:ascii="Arial" w:cs="Arial" w:eastAsia="Arial" w:hAnsi="Arial"/>
                <w:sz w:val="18"/>
                <w:szCs w:val="18"/>
                <w:color w:val="auto"/>
              </w:rPr>
              <w:t>Albany International de Mexico S.A. de C.V.</w:t>
            </w:r>
          </w:p>
        </w:tc>
        <w:tc>
          <w:tcPr>
            <w:tcW w:w="1660" w:type="dxa"/>
            <w:vAlign w:val="bottom"/>
          </w:tcPr>
          <w:p>
            <w:pPr>
              <w:jc w:val="center"/>
              <w:ind w:left="150"/>
              <w:spacing w:after="0" w:line="202" w:lineRule="exact"/>
              <w:rPr>
                <w:sz w:val="20"/>
                <w:szCs w:val="20"/>
                <w:color w:val="auto"/>
              </w:rPr>
            </w:pPr>
            <w:r>
              <w:rPr>
                <w:rFonts w:ascii="Arial" w:cs="Arial" w:eastAsia="Arial" w:hAnsi="Arial"/>
                <w:sz w:val="18"/>
                <w:szCs w:val="18"/>
                <w:color w:val="auto"/>
                <w:w w:val="99"/>
              </w:rPr>
              <w:t>100%</w:t>
            </w:r>
          </w:p>
        </w:tc>
        <w:tc>
          <w:tcPr>
            <w:tcW w:w="1320" w:type="dxa"/>
            <w:vAlign w:val="bottom"/>
          </w:tcPr>
          <w:p>
            <w:pPr>
              <w:spacing w:after="0"/>
              <w:rPr>
                <w:sz w:val="17"/>
                <w:szCs w:val="17"/>
                <w:color w:val="auto"/>
              </w:rPr>
            </w:pPr>
          </w:p>
        </w:tc>
        <w:tc>
          <w:tcPr>
            <w:tcW w:w="2980" w:type="dxa"/>
            <w:vAlign w:val="bottom"/>
          </w:tcPr>
          <w:p>
            <w:pPr>
              <w:ind w:left="160"/>
              <w:spacing w:after="0" w:line="202" w:lineRule="exact"/>
              <w:rPr>
                <w:sz w:val="20"/>
                <w:szCs w:val="20"/>
                <w:color w:val="auto"/>
              </w:rPr>
            </w:pPr>
            <w:r>
              <w:rPr>
                <w:rFonts w:ascii="Arial" w:cs="Arial" w:eastAsia="Arial" w:hAnsi="Arial"/>
                <w:sz w:val="18"/>
                <w:szCs w:val="18"/>
                <w:color w:val="auto"/>
              </w:rPr>
              <w:t>Mexico</w:t>
            </w:r>
          </w:p>
        </w:tc>
      </w:tr>
      <w:tr>
        <w:trPr>
          <w:trHeight w:val="203"/>
        </w:trPr>
        <w:tc>
          <w:tcPr>
            <w:tcW w:w="5460" w:type="dxa"/>
            <w:vAlign w:val="bottom"/>
          </w:tcPr>
          <w:p>
            <w:pPr>
              <w:ind w:left="40"/>
              <w:spacing w:after="0" w:line="202" w:lineRule="exact"/>
              <w:rPr>
                <w:sz w:val="20"/>
                <w:szCs w:val="20"/>
                <w:color w:val="auto"/>
              </w:rPr>
            </w:pPr>
            <w:r>
              <w:rPr>
                <w:rFonts w:ascii="Arial" w:cs="Arial" w:eastAsia="Arial" w:hAnsi="Arial"/>
                <w:sz w:val="18"/>
                <w:szCs w:val="18"/>
                <w:color w:val="auto"/>
              </w:rPr>
              <w:t>Albany Safran Composites Mexico, S. de R.I. de C.V.</w:t>
            </w:r>
          </w:p>
        </w:tc>
        <w:tc>
          <w:tcPr>
            <w:tcW w:w="1660" w:type="dxa"/>
            <w:vAlign w:val="bottom"/>
          </w:tcPr>
          <w:p>
            <w:pPr>
              <w:spacing w:after="0"/>
              <w:rPr>
                <w:sz w:val="17"/>
                <w:szCs w:val="17"/>
                <w:color w:val="auto"/>
              </w:rPr>
            </w:pPr>
          </w:p>
        </w:tc>
        <w:tc>
          <w:tcPr>
            <w:tcW w:w="1320" w:type="dxa"/>
            <w:vAlign w:val="bottom"/>
          </w:tcPr>
          <w:p>
            <w:pPr>
              <w:jc w:val="center"/>
              <w:ind w:left="30"/>
              <w:spacing w:after="0" w:line="202" w:lineRule="exact"/>
              <w:rPr>
                <w:sz w:val="20"/>
                <w:szCs w:val="20"/>
                <w:color w:val="auto"/>
              </w:rPr>
            </w:pPr>
            <w:r>
              <w:rPr>
                <w:rFonts w:ascii="Arial" w:cs="Arial" w:eastAsia="Arial" w:hAnsi="Arial"/>
                <w:sz w:val="18"/>
                <w:szCs w:val="18"/>
                <w:color w:val="auto"/>
                <w:w w:val="99"/>
              </w:rPr>
              <w:t>90%</w:t>
            </w:r>
          </w:p>
        </w:tc>
        <w:tc>
          <w:tcPr>
            <w:tcW w:w="2980" w:type="dxa"/>
            <w:vAlign w:val="bottom"/>
          </w:tcPr>
          <w:p>
            <w:pPr>
              <w:ind w:left="160"/>
              <w:spacing w:after="0" w:line="202" w:lineRule="exact"/>
              <w:rPr>
                <w:sz w:val="20"/>
                <w:szCs w:val="20"/>
                <w:color w:val="auto"/>
              </w:rPr>
            </w:pPr>
            <w:r>
              <w:rPr>
                <w:rFonts w:ascii="Arial" w:cs="Arial" w:eastAsia="Arial" w:hAnsi="Arial"/>
                <w:sz w:val="18"/>
                <w:szCs w:val="18"/>
                <w:color w:val="auto"/>
              </w:rPr>
              <w:t>Mexico</w:t>
            </w:r>
          </w:p>
        </w:tc>
      </w:tr>
      <w:tr>
        <w:trPr>
          <w:trHeight w:val="203"/>
        </w:trPr>
        <w:tc>
          <w:tcPr>
            <w:tcW w:w="5460" w:type="dxa"/>
            <w:vAlign w:val="bottom"/>
          </w:tcPr>
          <w:p>
            <w:pPr>
              <w:ind w:left="40"/>
              <w:spacing w:after="0" w:line="202" w:lineRule="exact"/>
              <w:rPr>
                <w:sz w:val="20"/>
                <w:szCs w:val="20"/>
                <w:color w:val="auto"/>
              </w:rPr>
            </w:pPr>
            <w:r>
              <w:rPr>
                <w:rFonts w:ascii="Arial" w:cs="Arial" w:eastAsia="Arial" w:hAnsi="Arial"/>
                <w:sz w:val="18"/>
                <w:szCs w:val="18"/>
                <w:color w:val="auto"/>
              </w:rPr>
              <w:t>Albany Mexico Services, S. de R.I. de C.V.</w:t>
            </w:r>
          </w:p>
        </w:tc>
        <w:tc>
          <w:tcPr>
            <w:tcW w:w="1660" w:type="dxa"/>
            <w:vAlign w:val="bottom"/>
          </w:tcPr>
          <w:p>
            <w:pPr>
              <w:jc w:val="center"/>
              <w:ind w:left="150"/>
              <w:spacing w:after="0" w:line="202" w:lineRule="exact"/>
              <w:rPr>
                <w:sz w:val="20"/>
                <w:szCs w:val="20"/>
                <w:color w:val="auto"/>
              </w:rPr>
            </w:pPr>
            <w:r>
              <w:rPr>
                <w:rFonts w:ascii="Arial" w:cs="Arial" w:eastAsia="Arial" w:hAnsi="Arial"/>
                <w:sz w:val="18"/>
                <w:szCs w:val="18"/>
                <w:color w:val="auto"/>
                <w:w w:val="99"/>
              </w:rPr>
              <w:t>100%</w:t>
            </w:r>
          </w:p>
        </w:tc>
        <w:tc>
          <w:tcPr>
            <w:tcW w:w="1320" w:type="dxa"/>
            <w:vAlign w:val="bottom"/>
          </w:tcPr>
          <w:p>
            <w:pPr>
              <w:spacing w:after="0"/>
              <w:rPr>
                <w:sz w:val="17"/>
                <w:szCs w:val="17"/>
                <w:color w:val="auto"/>
              </w:rPr>
            </w:pPr>
          </w:p>
        </w:tc>
        <w:tc>
          <w:tcPr>
            <w:tcW w:w="2980" w:type="dxa"/>
            <w:vAlign w:val="bottom"/>
          </w:tcPr>
          <w:p>
            <w:pPr>
              <w:ind w:left="160"/>
              <w:spacing w:after="0" w:line="202" w:lineRule="exact"/>
              <w:rPr>
                <w:sz w:val="20"/>
                <w:szCs w:val="20"/>
                <w:color w:val="auto"/>
              </w:rPr>
            </w:pPr>
            <w:r>
              <w:rPr>
                <w:rFonts w:ascii="Arial" w:cs="Arial" w:eastAsia="Arial" w:hAnsi="Arial"/>
                <w:sz w:val="18"/>
                <w:szCs w:val="18"/>
                <w:color w:val="auto"/>
              </w:rPr>
              <w:t>Mexico</w:t>
            </w:r>
          </w:p>
        </w:tc>
      </w:tr>
      <w:tr>
        <w:trPr>
          <w:trHeight w:val="203"/>
        </w:trPr>
        <w:tc>
          <w:tcPr>
            <w:tcW w:w="5460" w:type="dxa"/>
            <w:vAlign w:val="bottom"/>
          </w:tcPr>
          <w:p>
            <w:pPr>
              <w:ind w:left="40"/>
              <w:spacing w:after="0" w:line="202" w:lineRule="exact"/>
              <w:rPr>
                <w:sz w:val="20"/>
                <w:szCs w:val="20"/>
                <w:color w:val="auto"/>
              </w:rPr>
            </w:pPr>
            <w:r>
              <w:rPr>
                <w:rFonts w:ascii="Arial" w:cs="Arial" w:eastAsia="Arial" w:hAnsi="Arial"/>
                <w:sz w:val="18"/>
                <w:szCs w:val="18"/>
                <w:color w:val="auto"/>
              </w:rPr>
              <w:t>Albany International B.V.</w:t>
            </w:r>
          </w:p>
        </w:tc>
        <w:tc>
          <w:tcPr>
            <w:tcW w:w="1660" w:type="dxa"/>
            <w:vAlign w:val="bottom"/>
          </w:tcPr>
          <w:p>
            <w:pPr>
              <w:spacing w:after="0"/>
              <w:rPr>
                <w:sz w:val="17"/>
                <w:szCs w:val="17"/>
                <w:color w:val="auto"/>
              </w:rPr>
            </w:pPr>
          </w:p>
        </w:tc>
        <w:tc>
          <w:tcPr>
            <w:tcW w:w="1320" w:type="dxa"/>
            <w:vAlign w:val="bottom"/>
          </w:tcPr>
          <w:p>
            <w:pPr>
              <w:jc w:val="center"/>
              <w:ind w:left="10"/>
              <w:spacing w:after="0" w:line="202" w:lineRule="exact"/>
              <w:rPr>
                <w:sz w:val="20"/>
                <w:szCs w:val="20"/>
                <w:color w:val="auto"/>
              </w:rPr>
            </w:pPr>
            <w:r>
              <w:rPr>
                <w:rFonts w:ascii="Arial" w:cs="Arial" w:eastAsia="Arial" w:hAnsi="Arial"/>
                <w:sz w:val="18"/>
                <w:szCs w:val="18"/>
                <w:color w:val="auto"/>
                <w:w w:val="99"/>
              </w:rPr>
              <w:t>100%</w:t>
            </w:r>
          </w:p>
        </w:tc>
        <w:tc>
          <w:tcPr>
            <w:tcW w:w="2980" w:type="dxa"/>
            <w:vAlign w:val="bottom"/>
          </w:tcPr>
          <w:p>
            <w:pPr>
              <w:ind w:left="160"/>
              <w:spacing w:after="0" w:line="202" w:lineRule="exact"/>
              <w:rPr>
                <w:sz w:val="20"/>
                <w:szCs w:val="20"/>
                <w:color w:val="auto"/>
              </w:rPr>
            </w:pPr>
            <w:r>
              <w:rPr>
                <w:rFonts w:ascii="Arial" w:cs="Arial" w:eastAsia="Arial" w:hAnsi="Arial"/>
                <w:sz w:val="18"/>
                <w:szCs w:val="18"/>
                <w:color w:val="auto"/>
              </w:rPr>
              <w:t>Netherlands</w:t>
            </w:r>
          </w:p>
        </w:tc>
      </w:tr>
      <w:tr>
        <w:trPr>
          <w:trHeight w:val="203"/>
        </w:trPr>
        <w:tc>
          <w:tcPr>
            <w:tcW w:w="5460" w:type="dxa"/>
            <w:vAlign w:val="bottom"/>
          </w:tcPr>
          <w:p>
            <w:pPr>
              <w:ind w:left="40"/>
              <w:spacing w:after="0" w:line="202" w:lineRule="exact"/>
              <w:rPr>
                <w:sz w:val="20"/>
                <w:szCs w:val="20"/>
                <w:color w:val="auto"/>
              </w:rPr>
            </w:pPr>
            <w:r>
              <w:rPr>
                <w:rFonts w:ascii="Arial" w:cs="Arial" w:eastAsia="Arial" w:hAnsi="Arial"/>
                <w:sz w:val="18"/>
                <w:szCs w:val="18"/>
                <w:color w:val="auto"/>
              </w:rPr>
              <w:t>Nevo-Cloth Ltd.</w:t>
            </w:r>
          </w:p>
        </w:tc>
        <w:tc>
          <w:tcPr>
            <w:tcW w:w="1660" w:type="dxa"/>
            <w:vAlign w:val="bottom"/>
          </w:tcPr>
          <w:p>
            <w:pPr>
              <w:spacing w:after="0"/>
              <w:rPr>
                <w:sz w:val="17"/>
                <w:szCs w:val="17"/>
                <w:color w:val="auto"/>
              </w:rPr>
            </w:pPr>
          </w:p>
        </w:tc>
        <w:tc>
          <w:tcPr>
            <w:tcW w:w="1320" w:type="dxa"/>
            <w:vAlign w:val="bottom"/>
          </w:tcPr>
          <w:p>
            <w:pPr>
              <w:jc w:val="center"/>
              <w:ind w:left="30"/>
              <w:spacing w:after="0" w:line="202" w:lineRule="exact"/>
              <w:rPr>
                <w:sz w:val="20"/>
                <w:szCs w:val="20"/>
                <w:color w:val="auto"/>
              </w:rPr>
            </w:pPr>
            <w:r>
              <w:rPr>
                <w:rFonts w:ascii="Arial" w:cs="Arial" w:eastAsia="Arial" w:hAnsi="Arial"/>
                <w:sz w:val="18"/>
                <w:szCs w:val="18"/>
                <w:color w:val="auto"/>
                <w:w w:val="99"/>
              </w:rPr>
              <w:t>50%</w:t>
            </w:r>
          </w:p>
        </w:tc>
        <w:tc>
          <w:tcPr>
            <w:tcW w:w="2980" w:type="dxa"/>
            <w:vAlign w:val="bottom"/>
          </w:tcPr>
          <w:p>
            <w:pPr>
              <w:ind w:left="160"/>
              <w:spacing w:after="0" w:line="202" w:lineRule="exact"/>
              <w:rPr>
                <w:sz w:val="20"/>
                <w:szCs w:val="20"/>
                <w:color w:val="auto"/>
              </w:rPr>
            </w:pPr>
            <w:r>
              <w:rPr>
                <w:rFonts w:ascii="Arial" w:cs="Arial" w:eastAsia="Arial" w:hAnsi="Arial"/>
                <w:sz w:val="18"/>
                <w:szCs w:val="18"/>
                <w:color w:val="auto"/>
              </w:rPr>
              <w:t>Russia</w:t>
            </w:r>
          </w:p>
        </w:tc>
      </w:tr>
      <w:tr>
        <w:trPr>
          <w:trHeight w:val="203"/>
        </w:trPr>
        <w:tc>
          <w:tcPr>
            <w:tcW w:w="5460" w:type="dxa"/>
            <w:vAlign w:val="bottom"/>
          </w:tcPr>
          <w:p>
            <w:pPr>
              <w:ind w:left="40"/>
              <w:spacing w:after="0" w:line="202" w:lineRule="exact"/>
              <w:rPr>
                <w:sz w:val="20"/>
                <w:szCs w:val="20"/>
                <w:color w:val="auto"/>
              </w:rPr>
            </w:pPr>
            <w:r>
              <w:rPr>
                <w:rFonts w:ascii="Arial" w:cs="Arial" w:eastAsia="Arial" w:hAnsi="Arial"/>
                <w:sz w:val="18"/>
                <w:szCs w:val="18"/>
                <w:color w:val="auto"/>
              </w:rPr>
              <w:t>Albany International S.A. Pty. Ltd.</w:t>
            </w:r>
          </w:p>
        </w:tc>
        <w:tc>
          <w:tcPr>
            <w:tcW w:w="1660" w:type="dxa"/>
            <w:vAlign w:val="bottom"/>
          </w:tcPr>
          <w:p>
            <w:pPr>
              <w:spacing w:after="0"/>
              <w:rPr>
                <w:sz w:val="17"/>
                <w:szCs w:val="17"/>
                <w:color w:val="auto"/>
              </w:rPr>
            </w:pPr>
          </w:p>
        </w:tc>
        <w:tc>
          <w:tcPr>
            <w:tcW w:w="1320" w:type="dxa"/>
            <w:vAlign w:val="bottom"/>
          </w:tcPr>
          <w:p>
            <w:pPr>
              <w:jc w:val="center"/>
              <w:ind w:left="10"/>
              <w:spacing w:after="0" w:line="202" w:lineRule="exact"/>
              <w:rPr>
                <w:sz w:val="20"/>
                <w:szCs w:val="20"/>
                <w:color w:val="auto"/>
              </w:rPr>
            </w:pPr>
            <w:r>
              <w:rPr>
                <w:rFonts w:ascii="Arial" w:cs="Arial" w:eastAsia="Arial" w:hAnsi="Arial"/>
                <w:sz w:val="18"/>
                <w:szCs w:val="18"/>
                <w:color w:val="auto"/>
                <w:w w:val="99"/>
              </w:rPr>
              <w:t>100%</w:t>
            </w:r>
          </w:p>
        </w:tc>
        <w:tc>
          <w:tcPr>
            <w:tcW w:w="2980" w:type="dxa"/>
            <w:vAlign w:val="bottom"/>
          </w:tcPr>
          <w:p>
            <w:pPr>
              <w:ind w:left="160"/>
              <w:spacing w:after="0" w:line="202" w:lineRule="exact"/>
              <w:rPr>
                <w:sz w:val="20"/>
                <w:szCs w:val="20"/>
                <w:color w:val="auto"/>
              </w:rPr>
            </w:pPr>
            <w:r>
              <w:rPr>
                <w:rFonts w:ascii="Arial" w:cs="Arial" w:eastAsia="Arial" w:hAnsi="Arial"/>
                <w:sz w:val="18"/>
                <w:szCs w:val="18"/>
                <w:color w:val="auto"/>
              </w:rPr>
              <w:t>South Africa</w:t>
            </w:r>
          </w:p>
        </w:tc>
      </w:tr>
      <w:tr>
        <w:trPr>
          <w:trHeight w:val="203"/>
        </w:trPr>
        <w:tc>
          <w:tcPr>
            <w:tcW w:w="5460" w:type="dxa"/>
            <w:vAlign w:val="bottom"/>
          </w:tcPr>
          <w:p>
            <w:pPr>
              <w:ind w:left="40"/>
              <w:spacing w:after="0" w:line="202" w:lineRule="exact"/>
              <w:rPr>
                <w:sz w:val="20"/>
                <w:szCs w:val="20"/>
                <w:color w:val="auto"/>
              </w:rPr>
            </w:pPr>
            <w:r>
              <w:rPr>
                <w:rFonts w:ascii="Arial" w:cs="Arial" w:eastAsia="Arial" w:hAnsi="Arial"/>
                <w:sz w:val="18"/>
                <w:szCs w:val="18"/>
                <w:color w:val="auto"/>
              </w:rPr>
              <w:t>Albany International AB</w:t>
            </w:r>
          </w:p>
        </w:tc>
        <w:tc>
          <w:tcPr>
            <w:tcW w:w="1660" w:type="dxa"/>
            <w:vAlign w:val="bottom"/>
          </w:tcPr>
          <w:p>
            <w:pPr>
              <w:spacing w:after="0"/>
              <w:rPr>
                <w:sz w:val="17"/>
                <w:szCs w:val="17"/>
                <w:color w:val="auto"/>
              </w:rPr>
            </w:pPr>
          </w:p>
        </w:tc>
        <w:tc>
          <w:tcPr>
            <w:tcW w:w="1320" w:type="dxa"/>
            <w:vAlign w:val="bottom"/>
          </w:tcPr>
          <w:p>
            <w:pPr>
              <w:jc w:val="center"/>
              <w:ind w:left="10"/>
              <w:spacing w:after="0" w:line="202" w:lineRule="exact"/>
              <w:rPr>
                <w:sz w:val="20"/>
                <w:szCs w:val="20"/>
                <w:color w:val="auto"/>
              </w:rPr>
            </w:pPr>
            <w:r>
              <w:rPr>
                <w:rFonts w:ascii="Arial" w:cs="Arial" w:eastAsia="Arial" w:hAnsi="Arial"/>
                <w:sz w:val="18"/>
                <w:szCs w:val="18"/>
                <w:color w:val="auto"/>
                <w:w w:val="99"/>
              </w:rPr>
              <w:t>100%</w:t>
            </w:r>
          </w:p>
        </w:tc>
        <w:tc>
          <w:tcPr>
            <w:tcW w:w="2980" w:type="dxa"/>
            <w:vAlign w:val="bottom"/>
          </w:tcPr>
          <w:p>
            <w:pPr>
              <w:ind w:left="160"/>
              <w:spacing w:after="0" w:line="202" w:lineRule="exact"/>
              <w:rPr>
                <w:sz w:val="20"/>
                <w:szCs w:val="20"/>
                <w:color w:val="auto"/>
              </w:rPr>
            </w:pPr>
            <w:r>
              <w:rPr>
                <w:rFonts w:ascii="Arial" w:cs="Arial" w:eastAsia="Arial" w:hAnsi="Arial"/>
                <w:sz w:val="18"/>
                <w:szCs w:val="18"/>
                <w:color w:val="auto"/>
              </w:rPr>
              <w:t>Sweden</w:t>
            </w:r>
          </w:p>
        </w:tc>
      </w:tr>
      <w:tr>
        <w:trPr>
          <w:trHeight w:val="203"/>
        </w:trPr>
        <w:tc>
          <w:tcPr>
            <w:tcW w:w="5460" w:type="dxa"/>
            <w:vAlign w:val="bottom"/>
          </w:tcPr>
          <w:p>
            <w:pPr>
              <w:ind w:left="40"/>
              <w:spacing w:after="0" w:line="202" w:lineRule="exact"/>
              <w:rPr>
                <w:sz w:val="20"/>
                <w:szCs w:val="20"/>
                <w:color w:val="auto"/>
              </w:rPr>
            </w:pPr>
            <w:r>
              <w:rPr>
                <w:rFonts w:ascii="Arial" w:cs="Arial" w:eastAsia="Arial" w:hAnsi="Arial"/>
                <w:sz w:val="18"/>
                <w:szCs w:val="18"/>
                <w:color w:val="auto"/>
              </w:rPr>
              <w:t>Albany International Holding AB</w:t>
            </w:r>
          </w:p>
        </w:tc>
        <w:tc>
          <w:tcPr>
            <w:tcW w:w="1660" w:type="dxa"/>
            <w:vAlign w:val="bottom"/>
          </w:tcPr>
          <w:p>
            <w:pPr>
              <w:spacing w:after="0"/>
              <w:rPr>
                <w:sz w:val="17"/>
                <w:szCs w:val="17"/>
                <w:color w:val="auto"/>
              </w:rPr>
            </w:pPr>
          </w:p>
        </w:tc>
        <w:tc>
          <w:tcPr>
            <w:tcW w:w="1320" w:type="dxa"/>
            <w:vAlign w:val="bottom"/>
          </w:tcPr>
          <w:p>
            <w:pPr>
              <w:jc w:val="center"/>
              <w:ind w:left="10"/>
              <w:spacing w:after="0" w:line="202" w:lineRule="exact"/>
              <w:rPr>
                <w:sz w:val="20"/>
                <w:szCs w:val="20"/>
                <w:color w:val="auto"/>
              </w:rPr>
            </w:pPr>
            <w:r>
              <w:rPr>
                <w:rFonts w:ascii="Arial" w:cs="Arial" w:eastAsia="Arial" w:hAnsi="Arial"/>
                <w:sz w:val="18"/>
                <w:szCs w:val="18"/>
                <w:color w:val="auto"/>
                <w:w w:val="99"/>
              </w:rPr>
              <w:t>100%</w:t>
            </w:r>
          </w:p>
        </w:tc>
        <w:tc>
          <w:tcPr>
            <w:tcW w:w="2980" w:type="dxa"/>
            <w:vAlign w:val="bottom"/>
          </w:tcPr>
          <w:p>
            <w:pPr>
              <w:ind w:left="160"/>
              <w:spacing w:after="0" w:line="202" w:lineRule="exact"/>
              <w:rPr>
                <w:sz w:val="20"/>
                <w:szCs w:val="20"/>
                <w:color w:val="auto"/>
              </w:rPr>
            </w:pPr>
            <w:r>
              <w:rPr>
                <w:rFonts w:ascii="Arial" w:cs="Arial" w:eastAsia="Arial" w:hAnsi="Arial"/>
                <w:sz w:val="18"/>
                <w:szCs w:val="18"/>
                <w:color w:val="auto"/>
              </w:rPr>
              <w:t>Sweden</w:t>
            </w:r>
          </w:p>
        </w:tc>
      </w:tr>
      <w:tr>
        <w:trPr>
          <w:trHeight w:val="203"/>
        </w:trPr>
        <w:tc>
          <w:tcPr>
            <w:tcW w:w="5460" w:type="dxa"/>
            <w:vAlign w:val="bottom"/>
          </w:tcPr>
          <w:p>
            <w:pPr>
              <w:ind w:left="40"/>
              <w:spacing w:after="0" w:line="202" w:lineRule="exact"/>
              <w:rPr>
                <w:sz w:val="20"/>
                <w:szCs w:val="20"/>
                <w:color w:val="auto"/>
              </w:rPr>
            </w:pPr>
            <w:r>
              <w:rPr>
                <w:rFonts w:ascii="Arial" w:cs="Arial" w:eastAsia="Arial" w:hAnsi="Arial"/>
                <w:sz w:val="18"/>
                <w:szCs w:val="18"/>
                <w:color w:val="auto"/>
              </w:rPr>
              <w:t>AI (Switzerland) GmbH</w:t>
            </w:r>
          </w:p>
        </w:tc>
        <w:tc>
          <w:tcPr>
            <w:tcW w:w="1660" w:type="dxa"/>
            <w:vAlign w:val="bottom"/>
          </w:tcPr>
          <w:p>
            <w:pPr>
              <w:spacing w:after="0"/>
              <w:rPr>
                <w:sz w:val="17"/>
                <w:szCs w:val="17"/>
                <w:color w:val="auto"/>
              </w:rPr>
            </w:pPr>
          </w:p>
        </w:tc>
        <w:tc>
          <w:tcPr>
            <w:tcW w:w="1320" w:type="dxa"/>
            <w:vAlign w:val="bottom"/>
          </w:tcPr>
          <w:p>
            <w:pPr>
              <w:jc w:val="center"/>
              <w:ind w:left="10"/>
              <w:spacing w:after="0" w:line="202" w:lineRule="exact"/>
              <w:rPr>
                <w:sz w:val="20"/>
                <w:szCs w:val="20"/>
                <w:color w:val="auto"/>
              </w:rPr>
            </w:pPr>
            <w:r>
              <w:rPr>
                <w:rFonts w:ascii="Arial" w:cs="Arial" w:eastAsia="Arial" w:hAnsi="Arial"/>
                <w:sz w:val="18"/>
                <w:szCs w:val="18"/>
                <w:color w:val="auto"/>
                <w:w w:val="99"/>
              </w:rPr>
              <w:t>100%</w:t>
            </w:r>
          </w:p>
        </w:tc>
        <w:tc>
          <w:tcPr>
            <w:tcW w:w="2980" w:type="dxa"/>
            <w:vAlign w:val="bottom"/>
          </w:tcPr>
          <w:p>
            <w:pPr>
              <w:ind w:left="160"/>
              <w:spacing w:after="0" w:line="202" w:lineRule="exact"/>
              <w:rPr>
                <w:sz w:val="20"/>
                <w:szCs w:val="20"/>
                <w:color w:val="auto"/>
              </w:rPr>
            </w:pPr>
            <w:r>
              <w:rPr>
                <w:rFonts w:ascii="Arial" w:cs="Arial" w:eastAsia="Arial" w:hAnsi="Arial"/>
                <w:sz w:val="18"/>
                <w:szCs w:val="18"/>
                <w:color w:val="auto"/>
              </w:rPr>
              <w:t>Switzerland</w:t>
            </w:r>
          </w:p>
        </w:tc>
      </w:tr>
      <w:tr>
        <w:trPr>
          <w:trHeight w:val="203"/>
        </w:trPr>
        <w:tc>
          <w:tcPr>
            <w:tcW w:w="5460" w:type="dxa"/>
            <w:vAlign w:val="bottom"/>
          </w:tcPr>
          <w:p>
            <w:pPr>
              <w:ind w:left="40"/>
              <w:spacing w:after="0" w:line="202" w:lineRule="exact"/>
              <w:rPr>
                <w:sz w:val="20"/>
                <w:szCs w:val="20"/>
                <w:color w:val="auto"/>
              </w:rPr>
            </w:pPr>
            <w:r>
              <w:rPr>
                <w:rFonts w:ascii="Arial" w:cs="Arial" w:eastAsia="Arial" w:hAnsi="Arial"/>
                <w:sz w:val="18"/>
                <w:szCs w:val="18"/>
                <w:color w:val="auto"/>
              </w:rPr>
              <w:t>Albany International Holding (Switzerland) AG</w:t>
            </w:r>
          </w:p>
        </w:tc>
        <w:tc>
          <w:tcPr>
            <w:tcW w:w="1660" w:type="dxa"/>
            <w:vAlign w:val="bottom"/>
          </w:tcPr>
          <w:p>
            <w:pPr>
              <w:spacing w:after="0"/>
              <w:rPr>
                <w:sz w:val="17"/>
                <w:szCs w:val="17"/>
                <w:color w:val="auto"/>
              </w:rPr>
            </w:pPr>
          </w:p>
        </w:tc>
        <w:tc>
          <w:tcPr>
            <w:tcW w:w="1320" w:type="dxa"/>
            <w:vAlign w:val="bottom"/>
          </w:tcPr>
          <w:p>
            <w:pPr>
              <w:jc w:val="center"/>
              <w:ind w:left="10"/>
              <w:spacing w:after="0" w:line="202" w:lineRule="exact"/>
              <w:rPr>
                <w:sz w:val="20"/>
                <w:szCs w:val="20"/>
                <w:color w:val="auto"/>
              </w:rPr>
            </w:pPr>
            <w:r>
              <w:rPr>
                <w:rFonts w:ascii="Arial" w:cs="Arial" w:eastAsia="Arial" w:hAnsi="Arial"/>
                <w:sz w:val="18"/>
                <w:szCs w:val="18"/>
                <w:color w:val="auto"/>
                <w:w w:val="99"/>
              </w:rPr>
              <w:t>100%</w:t>
            </w:r>
          </w:p>
        </w:tc>
        <w:tc>
          <w:tcPr>
            <w:tcW w:w="2980" w:type="dxa"/>
            <w:vAlign w:val="bottom"/>
          </w:tcPr>
          <w:p>
            <w:pPr>
              <w:ind w:left="160"/>
              <w:spacing w:after="0" w:line="202" w:lineRule="exact"/>
              <w:rPr>
                <w:sz w:val="20"/>
                <w:szCs w:val="20"/>
                <w:color w:val="auto"/>
              </w:rPr>
            </w:pPr>
            <w:r>
              <w:rPr>
                <w:rFonts w:ascii="Arial" w:cs="Arial" w:eastAsia="Arial" w:hAnsi="Arial"/>
                <w:sz w:val="18"/>
                <w:szCs w:val="18"/>
                <w:color w:val="auto"/>
              </w:rPr>
              <w:t>Switzerland</w:t>
            </w:r>
          </w:p>
        </w:tc>
      </w:tr>
      <w:tr>
        <w:trPr>
          <w:trHeight w:val="203"/>
        </w:trPr>
        <w:tc>
          <w:tcPr>
            <w:tcW w:w="5460" w:type="dxa"/>
            <w:vAlign w:val="bottom"/>
          </w:tcPr>
          <w:p>
            <w:pPr>
              <w:ind w:left="40"/>
              <w:spacing w:after="0" w:line="202" w:lineRule="exact"/>
              <w:rPr>
                <w:sz w:val="20"/>
                <w:szCs w:val="20"/>
                <w:color w:val="auto"/>
              </w:rPr>
            </w:pPr>
            <w:r>
              <w:rPr>
                <w:rFonts w:ascii="Arial" w:cs="Arial" w:eastAsia="Arial" w:hAnsi="Arial"/>
                <w:sz w:val="18"/>
                <w:szCs w:val="18"/>
                <w:color w:val="auto"/>
              </w:rPr>
              <w:t>Albany International Europe GmbH</w:t>
            </w:r>
          </w:p>
        </w:tc>
        <w:tc>
          <w:tcPr>
            <w:tcW w:w="1660" w:type="dxa"/>
            <w:vAlign w:val="bottom"/>
          </w:tcPr>
          <w:p>
            <w:pPr>
              <w:spacing w:after="0"/>
              <w:rPr>
                <w:sz w:val="17"/>
                <w:szCs w:val="17"/>
                <w:color w:val="auto"/>
              </w:rPr>
            </w:pPr>
          </w:p>
        </w:tc>
        <w:tc>
          <w:tcPr>
            <w:tcW w:w="1320" w:type="dxa"/>
            <w:vAlign w:val="bottom"/>
          </w:tcPr>
          <w:p>
            <w:pPr>
              <w:jc w:val="center"/>
              <w:ind w:left="10"/>
              <w:spacing w:after="0" w:line="202" w:lineRule="exact"/>
              <w:rPr>
                <w:sz w:val="20"/>
                <w:szCs w:val="20"/>
                <w:color w:val="auto"/>
              </w:rPr>
            </w:pPr>
            <w:r>
              <w:rPr>
                <w:rFonts w:ascii="Arial" w:cs="Arial" w:eastAsia="Arial" w:hAnsi="Arial"/>
                <w:sz w:val="18"/>
                <w:szCs w:val="18"/>
                <w:color w:val="auto"/>
                <w:w w:val="99"/>
              </w:rPr>
              <w:t>100%</w:t>
            </w:r>
          </w:p>
        </w:tc>
        <w:tc>
          <w:tcPr>
            <w:tcW w:w="2980" w:type="dxa"/>
            <w:vAlign w:val="bottom"/>
          </w:tcPr>
          <w:p>
            <w:pPr>
              <w:ind w:left="160"/>
              <w:spacing w:after="0" w:line="202" w:lineRule="exact"/>
              <w:rPr>
                <w:sz w:val="20"/>
                <w:szCs w:val="20"/>
                <w:color w:val="auto"/>
              </w:rPr>
            </w:pPr>
            <w:r>
              <w:rPr>
                <w:rFonts w:ascii="Arial" w:cs="Arial" w:eastAsia="Arial" w:hAnsi="Arial"/>
                <w:sz w:val="18"/>
                <w:szCs w:val="18"/>
                <w:color w:val="auto"/>
              </w:rPr>
              <w:t>Switzerland</w:t>
            </w:r>
          </w:p>
        </w:tc>
      </w:tr>
      <w:tr>
        <w:trPr>
          <w:trHeight w:val="217"/>
        </w:trPr>
        <w:tc>
          <w:tcPr>
            <w:tcW w:w="5460" w:type="dxa"/>
            <w:vAlign w:val="bottom"/>
          </w:tcPr>
          <w:p>
            <w:pPr>
              <w:ind w:left="40"/>
              <w:spacing w:after="0"/>
              <w:rPr>
                <w:sz w:val="20"/>
                <w:szCs w:val="20"/>
                <w:color w:val="auto"/>
              </w:rPr>
            </w:pPr>
            <w:r>
              <w:rPr>
                <w:rFonts w:ascii="Arial" w:cs="Arial" w:eastAsia="Arial" w:hAnsi="Arial"/>
                <w:sz w:val="18"/>
                <w:szCs w:val="18"/>
                <w:color w:val="auto"/>
              </w:rPr>
              <w:t>Albany International Ltd.</w:t>
            </w:r>
          </w:p>
        </w:tc>
        <w:tc>
          <w:tcPr>
            <w:tcW w:w="1660" w:type="dxa"/>
            <w:vAlign w:val="bottom"/>
          </w:tcPr>
          <w:p>
            <w:pPr>
              <w:spacing w:after="0"/>
              <w:rPr>
                <w:sz w:val="18"/>
                <w:szCs w:val="18"/>
                <w:color w:val="auto"/>
              </w:rPr>
            </w:pPr>
          </w:p>
        </w:tc>
        <w:tc>
          <w:tcPr>
            <w:tcW w:w="1320" w:type="dxa"/>
            <w:vAlign w:val="bottom"/>
          </w:tcPr>
          <w:p>
            <w:pPr>
              <w:jc w:val="center"/>
              <w:ind w:left="10"/>
              <w:spacing w:after="0"/>
              <w:rPr>
                <w:sz w:val="20"/>
                <w:szCs w:val="20"/>
                <w:color w:val="auto"/>
              </w:rPr>
            </w:pPr>
            <w:r>
              <w:rPr>
                <w:rFonts w:ascii="Arial" w:cs="Arial" w:eastAsia="Arial" w:hAnsi="Arial"/>
                <w:sz w:val="18"/>
                <w:szCs w:val="18"/>
                <w:color w:val="auto"/>
                <w:w w:val="99"/>
              </w:rPr>
              <w:t>100%</w:t>
            </w:r>
          </w:p>
        </w:tc>
        <w:tc>
          <w:tcPr>
            <w:tcW w:w="2980" w:type="dxa"/>
            <w:vAlign w:val="bottom"/>
          </w:tcPr>
          <w:p>
            <w:pPr>
              <w:ind w:left="160"/>
              <w:spacing w:after="0"/>
              <w:rPr>
                <w:sz w:val="20"/>
                <w:szCs w:val="20"/>
                <w:color w:val="auto"/>
              </w:rPr>
            </w:pPr>
            <w:r>
              <w:rPr>
                <w:rFonts w:ascii="Arial" w:cs="Arial" w:eastAsia="Arial" w:hAnsi="Arial"/>
                <w:sz w:val="18"/>
                <w:szCs w:val="18"/>
                <w:color w:val="auto"/>
              </w:rPr>
              <w:t>United Kingdom</w:t>
            </w:r>
          </w:p>
        </w:tc>
      </w:tr>
      <w:tr>
        <w:trPr>
          <w:trHeight w:val="547"/>
        </w:trPr>
        <w:tc>
          <w:tcPr>
            <w:tcW w:w="54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23</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color w:val="auto"/>
        </w:rPr>
        <w:t>The Board of Directo</w:t>
      </w:r>
      <w:r>
        <w:rPr>
          <w:rFonts w:ascii="Arial" w:cs="Arial" w:eastAsia="Arial" w:hAnsi="Arial"/>
          <w:sz w:val="20"/>
          <w:szCs w:val="20"/>
          <w:b w:val="1"/>
          <w:bCs w:val="1"/>
          <w:color w:val="auto"/>
        </w:rPr>
        <w:t>r</w:t>
      </w:r>
      <w:r>
        <w:rPr>
          <w:rFonts w:ascii="Arial" w:cs="Arial" w:eastAsia="Arial" w:hAnsi="Arial"/>
          <w:sz w:val="20"/>
          <w:szCs w:val="20"/>
          <w:color w:val="auto"/>
        </w:rPr>
        <w:t>s</w:t>
      </w:r>
    </w:p>
    <w:p>
      <w:pPr>
        <w:spacing w:after="0" w:line="19" w:lineRule="exact"/>
        <w:rPr>
          <w:sz w:val="20"/>
          <w:szCs w:val="20"/>
          <w:color w:val="auto"/>
        </w:rPr>
      </w:pPr>
    </w:p>
    <w:p>
      <w:pPr>
        <w:spacing w:after="0"/>
        <w:rPr>
          <w:sz w:val="20"/>
          <w:szCs w:val="20"/>
          <w:color w:val="auto"/>
        </w:rPr>
      </w:pPr>
      <w:r>
        <w:rPr>
          <w:rFonts w:ascii="Arial" w:cs="Arial" w:eastAsia="Arial" w:hAnsi="Arial"/>
          <w:sz w:val="22"/>
          <w:szCs w:val="22"/>
          <w:color w:val="auto"/>
        </w:rPr>
        <w:t>Albany International Corp.:</w:t>
      </w:r>
    </w:p>
    <w:p>
      <w:pPr>
        <w:spacing w:after="0" w:line="20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We consent to the incorporation by reference in the registration statements (Nos. 333-195269, 333-140995, 333-76078, 333-90069, 033-60767, 333-190774) on Form S-8 of Albany International Corp. and subsidiaries (Albany International Corp.) of our reports dated March 1, 2017, with respect to the consolidated balance sheets of Albany International Corp. as of December 31, 2016 and 2015, and the related consolidated statements of income, comprehensive income/(loss), and cash flows for each of the years in the three-year period ended December 31, 2016, and the related financial statement schedule, and the effectiveness of internal control over financial reporting as of December 31, 2016, which reports appear in the December 31, 2016 annual report on Form 10-K of Albany International Corp.</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Our report dated March 1, 2017, on the effectiveness of internal control over financial reporting as of December 31, 2016, expresses our opinion that Albany International Corp. did not maintain effective internal control over financial reporting as of December 31, 2016 because of the effect of material weaknesses on the achievement of the objectives of the control criteria and contains an explanatory paragraph that states that material weaknesses have been identified and included in management’s assessment. The material weaknesses related to ineffective controls associated with the establishment of reporting lines, appropriate authorities, responsibilities and monitoring activities for financial reporting processes and internal controls at a foreign sales location and certain other foreign locations; ineffective controls associated with the assignment of banking signatory authorities, limits and responsibilities at a foreign sales location and certain other foreign locations; a lack of effective written entity and process level controls over initiation, authorization, processing and recording of transactions and safeguarding of assets managed by a third party service provider at a foreign sales location; and ineffective management review controls over the assessment of a potential reserve for a loss contract due to a failure to understand and document the design requirements and operation of an effective management review control.</w:t>
      </w:r>
    </w:p>
    <w:p>
      <w:pPr>
        <w:spacing w:after="0" w:line="202"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Our report dated March 1, 2017, on the effectiveness of internal control over financial reporting as of December 31, 2016 also contains an explanatory paragraph that states management excluded from its assessment of Albany International Corp.’s effectiveness of internal control over financial reporting as of December 31, 2016, the internal controls over financial reporting related to the acquired business of Albany Aerostructures Composites, LLC associated with total assets of $252.5 million (of which $137.5 million represents goodwill and intangibles included within the scope of the assessment) and total revenues of $67.0 million included in the consolidated financial statements of Albany International Corp. as of and for the year ended December 31, 2016, and that our audit of internal control over financial reporting of Albany International Corp. also excluded an evaluation of the internal control over financial reporting of Albany Aerostructures Composites, LLC.</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KPMG LLP</w:t>
      </w:r>
    </w:p>
    <w:p>
      <w:pPr>
        <w:spacing w:after="0"/>
        <w:rPr>
          <w:sz w:val="20"/>
          <w:szCs w:val="20"/>
          <w:color w:val="auto"/>
        </w:rPr>
      </w:pPr>
      <w:r>
        <w:rPr>
          <w:rFonts w:ascii="Arial" w:cs="Arial" w:eastAsia="Arial" w:hAnsi="Arial"/>
          <w:sz w:val="20"/>
          <w:szCs w:val="20"/>
          <w:color w:val="auto"/>
        </w:rPr>
        <w:t>Albany, New York</w:t>
      </w:r>
    </w:p>
    <w:p>
      <w:pPr>
        <w:spacing w:after="0"/>
        <w:rPr>
          <w:sz w:val="20"/>
          <w:szCs w:val="20"/>
          <w:color w:val="auto"/>
        </w:rPr>
      </w:pPr>
      <w:r>
        <w:rPr>
          <w:rFonts w:ascii="Arial" w:cs="Arial" w:eastAsia="Arial" w:hAnsi="Arial"/>
          <w:sz w:val="20"/>
          <w:szCs w:val="20"/>
          <w:color w:val="auto"/>
        </w:rPr>
        <w:t>March 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246620" cy="342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24</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Powers of Attorney</w:t>
      </w:r>
    </w:p>
    <w:p>
      <w:pPr>
        <w:spacing w:after="0" w:line="207" w:lineRule="exact"/>
        <w:rPr>
          <w:sz w:val="20"/>
          <w:szCs w:val="20"/>
          <w:color w:val="auto"/>
        </w:rPr>
      </w:pPr>
    </w:p>
    <w:p>
      <w:pPr>
        <w:ind w:right="40" w:firstLine="648"/>
        <w:spacing w:after="0" w:line="236" w:lineRule="auto"/>
        <w:rPr>
          <w:sz w:val="20"/>
          <w:szCs w:val="20"/>
          <w:color w:val="auto"/>
        </w:rPr>
      </w:pPr>
      <w:r>
        <w:rPr>
          <w:rFonts w:ascii="Arial" w:cs="Arial" w:eastAsia="Arial" w:hAnsi="Arial"/>
          <w:sz w:val="18"/>
          <w:szCs w:val="18"/>
          <w:color w:val="auto"/>
        </w:rPr>
        <w:t>KNOW ALL MEN BY THESE PRESENTS, that each of the undersigned directors and officers of Albany International Corp., a Delaware corporation (“the Registrant”), which contemplates that it will file with the Securities and Exchange Commission (“the SEC”) under, or in connection with, the provisions of the Securities Exchange Act of 1934, as amended, or rules and regulations promulgated thereunder, an Annual Report on Form 10-K for the year ended December 31, 2016 (such report, together with any amendments, supplements, and exhibits thereto, is collectively hereinafter referred to as “Form 10-K”), hereby constitutes and appoints Joseph G. Morone, David M. Pawlick, Charles J. Silva Jr., John B. Cozzolino, and Joseph M. Gaug, and each of them with full power to act without the others, his or her true and lawful attorneys-in-fact and agents, with full and several power of substitution, for him or her in his or her name, place, and stead, in any and all capacities, to sign the Form 10-K and any or all other documents relating thereto, with power where appropriate to affix the corporate seal of the Registrant thereto and to attest said seal, and to file the Form 10-K, together with any and all other information and documents in connection therewith, with the SEC, hereby granting unto said attorneys-in-fact and agents, and each of them, full power and authority to do and perform any and all acts and things requisite and necessary to be done in and about the premises, as fully to all intents and purposes as the undersigned might or could do in person, hereby ratifying and confirming all that said attorneys-in-fact and agents, or any of them, or their or his or her substitute or substitutes, may lawfully do or cause to be done by virtue hereof.</w:t>
      </w:r>
    </w:p>
    <w:p>
      <w:pPr>
        <w:spacing w:after="0" w:line="163"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The appointment of any attorney-in-fact and agent hereunder shall automatically terminate at such time as such attorney-in-fact and agent ceases to be an officer of the Registrant. Any of the undersigned may terminate the appointment of any of his or her attorneys-in-fact and agents hereunder by delivering written notice thereof to the Registrant.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have duly executed this Power of Attorney this 1st day of March, 2017.</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20" w:type="dxa"/>
            <w:vAlign w:val="bottom"/>
            <w:gridSpan w:val="7"/>
          </w:tcPr>
          <w:p>
            <w:pPr>
              <w:spacing w:after="0"/>
              <w:rPr>
                <w:sz w:val="20"/>
                <w:szCs w:val="20"/>
                <w:color w:val="auto"/>
              </w:rPr>
            </w:pPr>
            <w:r>
              <w:rPr>
                <w:rFonts w:ascii="Arial" w:cs="Arial" w:eastAsia="Arial" w:hAnsi="Arial"/>
                <w:sz w:val="18"/>
                <w:szCs w:val="18"/>
                <w:color w:val="auto"/>
              </w:rPr>
              <w:t>/s/ Erland E. Kailbourne</w:t>
            </w:r>
          </w:p>
        </w:tc>
        <w:tc>
          <w:tcPr>
            <w:tcW w:w="5700" w:type="dxa"/>
            <w:vAlign w:val="bottom"/>
            <w:gridSpan w:val="7"/>
          </w:tcPr>
          <w:p>
            <w:pPr>
              <w:spacing w:after="0"/>
              <w:rPr>
                <w:sz w:val="20"/>
                <w:szCs w:val="20"/>
                <w:color w:val="auto"/>
              </w:rPr>
            </w:pPr>
            <w:r>
              <w:rPr>
                <w:rFonts w:ascii="Arial" w:cs="Arial" w:eastAsia="Arial" w:hAnsi="Arial"/>
                <w:sz w:val="18"/>
                <w:szCs w:val="18"/>
                <w:color w:val="auto"/>
              </w:rPr>
              <w:t>/s/ Joseph G. Morone</w:t>
            </w:r>
          </w:p>
        </w:tc>
      </w:tr>
      <w:tr>
        <w:trPr>
          <w:trHeight w:val="209"/>
        </w:trPr>
        <w:tc>
          <w:tcPr>
            <w:tcW w:w="5720" w:type="dxa"/>
            <w:vAlign w:val="bottom"/>
            <w:tcBorders>
              <w:top w:val="single" w:sz="8" w:color="auto"/>
            </w:tcBorders>
            <w:gridSpan w:val="7"/>
          </w:tcPr>
          <w:p>
            <w:pPr>
              <w:spacing w:after="0"/>
              <w:rPr>
                <w:sz w:val="20"/>
                <w:szCs w:val="20"/>
                <w:color w:val="auto"/>
              </w:rPr>
            </w:pPr>
            <w:r>
              <w:rPr>
                <w:rFonts w:ascii="Arial" w:cs="Arial" w:eastAsia="Arial" w:hAnsi="Arial"/>
                <w:sz w:val="18"/>
                <w:szCs w:val="18"/>
                <w:color w:val="auto"/>
              </w:rPr>
              <w:t>Erland E. Kailbourne</w:t>
            </w:r>
          </w:p>
        </w:tc>
        <w:tc>
          <w:tcPr>
            <w:tcW w:w="17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Joseph G. Morone</w:t>
            </w:r>
          </w:p>
        </w:tc>
        <w:tc>
          <w:tcPr>
            <w:tcW w:w="3980" w:type="dxa"/>
            <w:vAlign w:val="bottom"/>
            <w:gridSpan w:val="4"/>
          </w:tcPr>
          <w:p>
            <w:pPr>
              <w:spacing w:after="0"/>
              <w:rPr>
                <w:sz w:val="18"/>
                <w:szCs w:val="18"/>
                <w:color w:val="auto"/>
              </w:rPr>
            </w:pPr>
          </w:p>
        </w:tc>
      </w:tr>
      <w:tr>
        <w:trPr>
          <w:trHeight w:val="203"/>
        </w:trPr>
        <w:tc>
          <w:tcPr>
            <w:tcW w:w="5720" w:type="dxa"/>
            <w:vAlign w:val="bottom"/>
            <w:gridSpan w:val="7"/>
          </w:tcPr>
          <w:p>
            <w:pPr>
              <w:spacing w:after="0" w:line="202" w:lineRule="exact"/>
              <w:rPr>
                <w:sz w:val="20"/>
                <w:szCs w:val="20"/>
                <w:color w:val="auto"/>
              </w:rPr>
            </w:pPr>
            <w:r>
              <w:rPr>
                <w:rFonts w:ascii="Arial" w:cs="Arial" w:eastAsia="Arial" w:hAnsi="Arial"/>
                <w:sz w:val="18"/>
                <w:szCs w:val="18"/>
                <w:color w:val="auto"/>
              </w:rPr>
              <w:t>Chairman of the Board and Director</w:t>
            </w:r>
          </w:p>
        </w:tc>
        <w:tc>
          <w:tcPr>
            <w:tcW w:w="5700" w:type="dxa"/>
            <w:vAlign w:val="bottom"/>
            <w:gridSpan w:val="7"/>
          </w:tcPr>
          <w:p>
            <w:pPr>
              <w:spacing w:after="0" w:line="202" w:lineRule="exact"/>
              <w:rPr>
                <w:sz w:val="20"/>
                <w:szCs w:val="20"/>
                <w:color w:val="auto"/>
              </w:rPr>
            </w:pPr>
            <w:r>
              <w:rPr>
                <w:rFonts w:ascii="Arial" w:cs="Arial" w:eastAsia="Arial" w:hAnsi="Arial"/>
                <w:sz w:val="18"/>
                <w:szCs w:val="18"/>
                <w:color w:val="auto"/>
              </w:rPr>
              <w:t>President and Chief Executive</w:t>
            </w:r>
          </w:p>
        </w:tc>
      </w:tr>
      <w:tr>
        <w:trPr>
          <w:trHeight w:val="203"/>
        </w:trPr>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5700" w:type="dxa"/>
            <w:vAlign w:val="bottom"/>
            <w:gridSpan w:val="7"/>
          </w:tcPr>
          <w:p>
            <w:pPr>
              <w:spacing w:after="0" w:line="202" w:lineRule="exact"/>
              <w:rPr>
                <w:sz w:val="20"/>
                <w:szCs w:val="20"/>
                <w:color w:val="auto"/>
              </w:rPr>
            </w:pPr>
            <w:r>
              <w:rPr>
                <w:rFonts w:ascii="Arial" w:cs="Arial" w:eastAsia="Arial" w:hAnsi="Arial"/>
                <w:sz w:val="18"/>
                <w:szCs w:val="18"/>
                <w:color w:val="auto"/>
              </w:rPr>
              <w:t>Officer and Director</w:t>
            </w:r>
          </w:p>
        </w:tc>
      </w:tr>
      <w:tr>
        <w:trPr>
          <w:trHeight w:val="217"/>
        </w:trPr>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5700" w:type="dxa"/>
            <w:vAlign w:val="bottom"/>
            <w:gridSpan w:val="7"/>
          </w:tcPr>
          <w:p>
            <w:pPr>
              <w:spacing w:after="0"/>
              <w:rPr>
                <w:sz w:val="20"/>
                <w:szCs w:val="20"/>
                <w:color w:val="auto"/>
              </w:rPr>
            </w:pPr>
            <w:r>
              <w:rPr>
                <w:rFonts w:ascii="Arial" w:cs="Arial" w:eastAsia="Arial" w:hAnsi="Arial"/>
                <w:sz w:val="18"/>
                <w:szCs w:val="18"/>
                <w:color w:val="auto"/>
              </w:rPr>
              <w:t>(Principal Executive Officer)</w:t>
            </w:r>
          </w:p>
        </w:tc>
      </w:tr>
      <w:tr>
        <w:trPr>
          <w:trHeight w:val="365"/>
        </w:trPr>
        <w:tc>
          <w:tcPr>
            <w:tcW w:w="17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9"/>
              </w:rPr>
              <w:t>/s/ John B. Cozzolino</w:t>
            </w:r>
          </w:p>
        </w:tc>
        <w:tc>
          <w:tcPr>
            <w:tcW w:w="4020" w:type="dxa"/>
            <w:vAlign w:val="bottom"/>
            <w:gridSpan w:val="4"/>
          </w:tcPr>
          <w:p>
            <w:pPr>
              <w:spacing w:after="0"/>
              <w:rPr>
                <w:sz w:val="24"/>
                <w:szCs w:val="24"/>
                <w:color w:val="auto"/>
              </w:rPr>
            </w:pPr>
          </w:p>
        </w:tc>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/s/ David M. Pawlick</w:t>
            </w:r>
          </w:p>
        </w:tc>
        <w:tc>
          <w:tcPr>
            <w:tcW w:w="4080" w:type="dxa"/>
            <w:vAlign w:val="bottom"/>
            <w:gridSpan w:val="5"/>
          </w:tcPr>
          <w:p>
            <w:pPr>
              <w:spacing w:after="0"/>
              <w:rPr>
                <w:sz w:val="24"/>
                <w:szCs w:val="24"/>
                <w:color w:val="auto"/>
              </w:rPr>
            </w:pPr>
          </w:p>
        </w:tc>
      </w:tr>
      <w:tr>
        <w:trPr>
          <w:trHeight w:val="209"/>
        </w:trPr>
        <w:tc>
          <w:tcPr>
            <w:tcW w:w="5720" w:type="dxa"/>
            <w:vAlign w:val="bottom"/>
            <w:gridSpan w:val="7"/>
          </w:tcPr>
          <w:p>
            <w:pPr>
              <w:spacing w:after="0"/>
              <w:rPr>
                <w:sz w:val="20"/>
                <w:szCs w:val="20"/>
                <w:color w:val="auto"/>
              </w:rPr>
            </w:pPr>
            <w:r>
              <w:rPr>
                <w:rFonts w:ascii="Arial" w:cs="Arial" w:eastAsia="Arial" w:hAnsi="Arial"/>
                <w:sz w:val="18"/>
                <w:szCs w:val="18"/>
                <w:color w:val="auto"/>
              </w:rPr>
              <w:t>John B. Cozzolino</w:t>
            </w:r>
          </w:p>
        </w:tc>
        <w:tc>
          <w:tcPr>
            <w:tcW w:w="5700" w:type="dxa"/>
            <w:vAlign w:val="bottom"/>
            <w:gridSpan w:val="7"/>
          </w:tcPr>
          <w:p>
            <w:pPr>
              <w:spacing w:after="0"/>
              <w:rPr>
                <w:sz w:val="20"/>
                <w:szCs w:val="20"/>
                <w:color w:val="auto"/>
              </w:rPr>
            </w:pPr>
            <w:r>
              <w:rPr>
                <w:rFonts w:ascii="Arial" w:cs="Arial" w:eastAsia="Arial" w:hAnsi="Arial"/>
                <w:sz w:val="18"/>
                <w:szCs w:val="18"/>
                <w:color w:val="auto"/>
              </w:rPr>
              <w:t>David M. Pawlick</w:t>
            </w:r>
          </w:p>
        </w:tc>
      </w:tr>
      <w:tr>
        <w:trPr>
          <w:trHeight w:val="203"/>
        </w:trPr>
        <w:tc>
          <w:tcPr>
            <w:tcW w:w="5720" w:type="dxa"/>
            <w:vAlign w:val="bottom"/>
            <w:gridSpan w:val="7"/>
          </w:tcPr>
          <w:p>
            <w:pPr>
              <w:spacing w:after="0" w:line="202" w:lineRule="exact"/>
              <w:rPr>
                <w:sz w:val="20"/>
                <w:szCs w:val="20"/>
                <w:color w:val="auto"/>
              </w:rPr>
            </w:pPr>
            <w:r>
              <w:rPr>
                <w:rFonts w:ascii="Arial" w:cs="Arial" w:eastAsia="Arial" w:hAnsi="Arial"/>
                <w:sz w:val="18"/>
                <w:szCs w:val="18"/>
                <w:color w:val="auto"/>
              </w:rPr>
              <w:t>Chief Financial Officer and Treasurer</w:t>
            </w:r>
          </w:p>
        </w:tc>
        <w:tc>
          <w:tcPr>
            <w:tcW w:w="5700" w:type="dxa"/>
            <w:vAlign w:val="bottom"/>
            <w:gridSpan w:val="7"/>
          </w:tcPr>
          <w:p>
            <w:pPr>
              <w:spacing w:after="0" w:line="202" w:lineRule="exact"/>
              <w:rPr>
                <w:sz w:val="20"/>
                <w:szCs w:val="20"/>
                <w:color w:val="auto"/>
              </w:rPr>
            </w:pPr>
            <w:r>
              <w:rPr>
                <w:rFonts w:ascii="Arial" w:cs="Arial" w:eastAsia="Arial" w:hAnsi="Arial"/>
                <w:sz w:val="18"/>
                <w:szCs w:val="18"/>
                <w:color w:val="auto"/>
              </w:rPr>
              <w:t>Vice President - Controller</w:t>
            </w:r>
          </w:p>
        </w:tc>
      </w:tr>
      <w:tr>
        <w:trPr>
          <w:trHeight w:val="217"/>
        </w:trPr>
        <w:tc>
          <w:tcPr>
            <w:tcW w:w="5720" w:type="dxa"/>
            <w:vAlign w:val="bottom"/>
            <w:gridSpan w:val="7"/>
          </w:tcPr>
          <w:p>
            <w:pPr>
              <w:spacing w:after="0"/>
              <w:rPr>
                <w:sz w:val="20"/>
                <w:szCs w:val="20"/>
                <w:color w:val="auto"/>
              </w:rPr>
            </w:pPr>
            <w:r>
              <w:rPr>
                <w:rFonts w:ascii="Arial" w:cs="Arial" w:eastAsia="Arial" w:hAnsi="Arial"/>
                <w:sz w:val="18"/>
                <w:szCs w:val="18"/>
                <w:color w:val="auto"/>
              </w:rPr>
              <w:t>(Principal Financial Officer)</w:t>
            </w:r>
          </w:p>
        </w:tc>
        <w:tc>
          <w:tcPr>
            <w:tcW w:w="5700" w:type="dxa"/>
            <w:vAlign w:val="bottom"/>
            <w:gridSpan w:val="7"/>
          </w:tcPr>
          <w:p>
            <w:pPr>
              <w:spacing w:after="0"/>
              <w:rPr>
                <w:sz w:val="20"/>
                <w:szCs w:val="20"/>
                <w:color w:val="auto"/>
              </w:rPr>
            </w:pPr>
            <w:r>
              <w:rPr>
                <w:rFonts w:ascii="Arial" w:cs="Arial" w:eastAsia="Arial" w:hAnsi="Arial"/>
                <w:sz w:val="18"/>
                <w:szCs w:val="18"/>
                <w:color w:val="auto"/>
              </w:rPr>
              <w:t>(Principal Accounting Officer)</w:t>
            </w:r>
          </w:p>
        </w:tc>
      </w:tr>
      <w:tr>
        <w:trPr>
          <w:trHeight w:val="365"/>
        </w:trPr>
        <w:tc>
          <w:tcPr>
            <w:tcW w:w="1620" w:type="dxa"/>
            <w:vAlign w:val="bottom"/>
            <w:gridSpan w:val="2"/>
          </w:tcPr>
          <w:p>
            <w:pPr>
              <w:spacing w:after="0"/>
              <w:rPr>
                <w:sz w:val="20"/>
                <w:szCs w:val="20"/>
                <w:color w:val="auto"/>
              </w:rPr>
            </w:pPr>
            <w:r>
              <w:rPr>
                <w:rFonts w:ascii="Arial" w:cs="Arial" w:eastAsia="Arial" w:hAnsi="Arial"/>
                <w:sz w:val="18"/>
                <w:szCs w:val="18"/>
                <w:color w:val="auto"/>
                <w:w w:val="99"/>
              </w:rPr>
              <w:t>/s/ John C. Standish</w:t>
            </w:r>
          </w:p>
        </w:tc>
        <w:tc>
          <w:tcPr>
            <w:tcW w:w="4100" w:type="dxa"/>
            <w:vAlign w:val="bottom"/>
            <w:gridSpan w:val="5"/>
          </w:tcPr>
          <w:p>
            <w:pPr>
              <w:spacing w:after="0"/>
              <w:rPr>
                <w:sz w:val="24"/>
                <w:szCs w:val="24"/>
                <w:color w:val="auto"/>
              </w:rPr>
            </w:pPr>
          </w:p>
        </w:tc>
        <w:tc>
          <w:tcPr>
            <w:tcW w:w="5700" w:type="dxa"/>
            <w:vAlign w:val="bottom"/>
            <w:gridSpan w:val="7"/>
          </w:tcPr>
          <w:p>
            <w:pPr>
              <w:spacing w:after="0"/>
              <w:rPr>
                <w:sz w:val="20"/>
                <w:szCs w:val="20"/>
                <w:color w:val="auto"/>
              </w:rPr>
            </w:pPr>
            <w:r>
              <w:rPr>
                <w:rFonts w:ascii="Arial" w:cs="Arial" w:eastAsia="Arial" w:hAnsi="Arial"/>
                <w:sz w:val="18"/>
                <w:szCs w:val="18"/>
                <w:color w:val="auto"/>
              </w:rPr>
              <w:t>/s/ Christine L. Standish</w:t>
            </w:r>
          </w:p>
        </w:tc>
      </w:tr>
      <w:tr>
        <w:trPr>
          <w:trHeight w:val="209"/>
        </w:trPr>
        <w:tc>
          <w:tcPr>
            <w:tcW w:w="16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John C. Standish</w:t>
            </w:r>
          </w:p>
        </w:tc>
        <w:tc>
          <w:tcPr>
            <w:tcW w:w="4100" w:type="dxa"/>
            <w:vAlign w:val="bottom"/>
            <w:gridSpan w:val="5"/>
          </w:tcPr>
          <w:p>
            <w:pPr>
              <w:spacing w:after="0"/>
              <w:rPr>
                <w:sz w:val="18"/>
                <w:szCs w:val="18"/>
                <w:color w:val="auto"/>
              </w:rPr>
            </w:pPr>
          </w:p>
        </w:tc>
        <w:tc>
          <w:tcPr>
            <w:tcW w:w="190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rPr>
              <w:t>Christine L. Standish</w:t>
            </w:r>
          </w:p>
        </w:tc>
        <w:tc>
          <w:tcPr>
            <w:tcW w:w="3800" w:type="dxa"/>
            <w:vAlign w:val="bottom"/>
          </w:tcPr>
          <w:p>
            <w:pPr>
              <w:spacing w:after="0"/>
              <w:rPr>
                <w:sz w:val="18"/>
                <w:szCs w:val="18"/>
                <w:color w:val="auto"/>
              </w:rPr>
            </w:pPr>
          </w:p>
        </w:tc>
      </w:tr>
      <w:tr>
        <w:trPr>
          <w:trHeight w:val="217"/>
        </w:trPr>
        <w:tc>
          <w:tcPr>
            <w:tcW w:w="5720" w:type="dxa"/>
            <w:vAlign w:val="bottom"/>
            <w:gridSpan w:val="7"/>
          </w:tcPr>
          <w:p>
            <w:pPr>
              <w:spacing w:after="0"/>
              <w:rPr>
                <w:sz w:val="20"/>
                <w:szCs w:val="20"/>
                <w:color w:val="auto"/>
              </w:rPr>
            </w:pPr>
            <w:r>
              <w:rPr>
                <w:rFonts w:ascii="Arial" w:cs="Arial" w:eastAsia="Arial" w:hAnsi="Arial"/>
                <w:sz w:val="18"/>
                <w:szCs w:val="18"/>
                <w:color w:val="auto"/>
              </w:rPr>
              <w:t>Vice Chairman of the Board and Director</w:t>
            </w:r>
          </w:p>
        </w:tc>
        <w:tc>
          <w:tcPr>
            <w:tcW w:w="5700" w:type="dxa"/>
            <w:vAlign w:val="bottom"/>
            <w:gridSpan w:val="7"/>
          </w:tcPr>
          <w:p>
            <w:pPr>
              <w:spacing w:after="0"/>
              <w:rPr>
                <w:sz w:val="20"/>
                <w:szCs w:val="20"/>
                <w:color w:val="auto"/>
              </w:rPr>
            </w:pPr>
            <w:r>
              <w:rPr>
                <w:rFonts w:ascii="Arial" w:cs="Arial" w:eastAsia="Arial" w:hAnsi="Arial"/>
                <w:sz w:val="18"/>
                <w:szCs w:val="18"/>
                <w:color w:val="auto"/>
              </w:rPr>
              <w:t>Director</w:t>
            </w:r>
          </w:p>
        </w:tc>
      </w:tr>
      <w:tr>
        <w:trPr>
          <w:trHeight w:val="365"/>
        </w:trPr>
        <w:tc>
          <w:tcPr>
            <w:tcW w:w="5720" w:type="dxa"/>
            <w:vAlign w:val="bottom"/>
            <w:gridSpan w:val="7"/>
          </w:tcPr>
          <w:p>
            <w:pPr>
              <w:spacing w:after="0"/>
              <w:rPr>
                <w:sz w:val="20"/>
                <w:szCs w:val="20"/>
                <w:color w:val="auto"/>
              </w:rPr>
            </w:pPr>
            <w:r>
              <w:rPr>
                <w:rFonts w:ascii="Arial" w:cs="Arial" w:eastAsia="Arial" w:hAnsi="Arial"/>
                <w:sz w:val="18"/>
                <w:szCs w:val="18"/>
                <w:color w:val="auto"/>
              </w:rPr>
              <w:t>/s/ John R. Scannell</w:t>
            </w:r>
          </w:p>
        </w:tc>
        <w:tc>
          <w:tcPr>
            <w:tcW w:w="5700" w:type="dxa"/>
            <w:vAlign w:val="bottom"/>
            <w:gridSpan w:val="7"/>
          </w:tcPr>
          <w:p>
            <w:pPr>
              <w:spacing w:after="0"/>
              <w:rPr>
                <w:sz w:val="20"/>
                <w:szCs w:val="20"/>
                <w:color w:val="auto"/>
              </w:rPr>
            </w:pPr>
            <w:r>
              <w:rPr>
                <w:rFonts w:ascii="Arial" w:cs="Arial" w:eastAsia="Arial" w:hAnsi="Arial"/>
                <w:sz w:val="18"/>
                <w:szCs w:val="18"/>
                <w:color w:val="auto"/>
              </w:rPr>
              <w:t>/s/ Katharine L. Plourde</w:t>
            </w:r>
          </w:p>
        </w:tc>
      </w:tr>
      <w:tr>
        <w:trPr>
          <w:trHeight w:val="209"/>
        </w:trPr>
        <w:tc>
          <w:tcPr>
            <w:tcW w:w="1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John R. Scannell</w:t>
            </w:r>
          </w:p>
        </w:tc>
        <w:tc>
          <w:tcPr>
            <w:tcW w:w="4120" w:type="dxa"/>
            <w:vAlign w:val="bottom"/>
            <w:gridSpan w:val="6"/>
          </w:tcPr>
          <w:p>
            <w:pPr>
              <w:spacing w:after="0"/>
              <w:rPr>
                <w:sz w:val="18"/>
                <w:szCs w:val="18"/>
                <w:color w:val="auto"/>
              </w:rPr>
            </w:pPr>
          </w:p>
        </w:tc>
        <w:tc>
          <w:tcPr>
            <w:tcW w:w="188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Katharine L. Plourde</w:t>
            </w:r>
          </w:p>
        </w:tc>
        <w:tc>
          <w:tcPr>
            <w:tcW w:w="3820" w:type="dxa"/>
            <w:vAlign w:val="bottom"/>
            <w:gridSpan w:val="2"/>
          </w:tcPr>
          <w:p>
            <w:pPr>
              <w:spacing w:after="0"/>
              <w:rPr>
                <w:sz w:val="18"/>
                <w:szCs w:val="18"/>
                <w:color w:val="auto"/>
              </w:rPr>
            </w:pPr>
          </w:p>
        </w:tc>
      </w:tr>
      <w:tr>
        <w:trPr>
          <w:trHeight w:val="217"/>
        </w:trPr>
        <w:tc>
          <w:tcPr>
            <w:tcW w:w="5720" w:type="dxa"/>
            <w:vAlign w:val="bottom"/>
            <w:gridSpan w:val="7"/>
          </w:tcPr>
          <w:p>
            <w:pPr>
              <w:spacing w:after="0"/>
              <w:rPr>
                <w:sz w:val="20"/>
                <w:szCs w:val="20"/>
                <w:color w:val="auto"/>
              </w:rPr>
            </w:pPr>
            <w:r>
              <w:rPr>
                <w:rFonts w:ascii="Arial" w:cs="Arial" w:eastAsia="Arial" w:hAnsi="Arial"/>
                <w:sz w:val="18"/>
                <w:szCs w:val="18"/>
                <w:color w:val="auto"/>
              </w:rPr>
              <w:t>Director</w:t>
            </w:r>
          </w:p>
        </w:tc>
        <w:tc>
          <w:tcPr>
            <w:tcW w:w="5700" w:type="dxa"/>
            <w:vAlign w:val="bottom"/>
            <w:gridSpan w:val="7"/>
          </w:tcPr>
          <w:p>
            <w:pPr>
              <w:spacing w:after="0"/>
              <w:rPr>
                <w:sz w:val="20"/>
                <w:szCs w:val="20"/>
                <w:color w:val="auto"/>
              </w:rPr>
            </w:pPr>
            <w:r>
              <w:rPr>
                <w:rFonts w:ascii="Arial" w:cs="Arial" w:eastAsia="Arial" w:hAnsi="Arial"/>
                <w:sz w:val="18"/>
                <w:szCs w:val="18"/>
                <w:color w:val="auto"/>
              </w:rPr>
              <w:t>Director</w:t>
            </w:r>
          </w:p>
        </w:tc>
      </w:tr>
      <w:tr>
        <w:trPr>
          <w:trHeight w:val="365"/>
        </w:trPr>
        <w:tc>
          <w:tcPr>
            <w:tcW w:w="180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7"/>
              </w:rPr>
              <w:t>/s/ John F. Cassidy, Jr.</w:t>
            </w:r>
          </w:p>
        </w:tc>
        <w:tc>
          <w:tcPr>
            <w:tcW w:w="3920" w:type="dxa"/>
            <w:vAlign w:val="bottom"/>
            <w:gridSpan w:val="2"/>
          </w:tcPr>
          <w:p>
            <w:pPr>
              <w:spacing w:after="0"/>
              <w:rPr>
                <w:sz w:val="24"/>
                <w:szCs w:val="24"/>
                <w:color w:val="auto"/>
              </w:rPr>
            </w:pPr>
          </w:p>
        </w:tc>
        <w:tc>
          <w:tcPr>
            <w:tcW w:w="1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/s/ Edgar G. Hotard</w:t>
            </w:r>
          </w:p>
        </w:tc>
        <w:tc>
          <w:tcPr>
            <w:tcW w:w="4140" w:type="dxa"/>
            <w:vAlign w:val="bottom"/>
            <w:gridSpan w:val="6"/>
          </w:tcPr>
          <w:p>
            <w:pPr>
              <w:spacing w:after="0"/>
              <w:rPr>
                <w:sz w:val="24"/>
                <w:szCs w:val="24"/>
                <w:color w:val="auto"/>
              </w:rPr>
            </w:pPr>
          </w:p>
        </w:tc>
      </w:tr>
      <w:tr>
        <w:trPr>
          <w:trHeight w:val="209"/>
        </w:trPr>
        <w:tc>
          <w:tcPr>
            <w:tcW w:w="5720" w:type="dxa"/>
            <w:vAlign w:val="bottom"/>
            <w:gridSpan w:val="7"/>
          </w:tcPr>
          <w:p>
            <w:pPr>
              <w:spacing w:after="0"/>
              <w:rPr>
                <w:sz w:val="20"/>
                <w:szCs w:val="20"/>
                <w:color w:val="auto"/>
              </w:rPr>
            </w:pPr>
            <w:r>
              <w:rPr>
                <w:rFonts w:ascii="Arial" w:cs="Arial" w:eastAsia="Arial" w:hAnsi="Arial"/>
                <w:sz w:val="18"/>
                <w:szCs w:val="18"/>
                <w:color w:val="auto"/>
              </w:rPr>
              <w:t>John F. Cassidy, Jr.</w:t>
            </w:r>
          </w:p>
        </w:tc>
        <w:tc>
          <w:tcPr>
            <w:tcW w:w="5700" w:type="dxa"/>
            <w:vAlign w:val="bottom"/>
            <w:gridSpan w:val="7"/>
          </w:tcPr>
          <w:p>
            <w:pPr>
              <w:spacing w:after="0"/>
              <w:rPr>
                <w:sz w:val="20"/>
                <w:szCs w:val="20"/>
                <w:color w:val="auto"/>
              </w:rPr>
            </w:pPr>
            <w:r>
              <w:rPr>
                <w:rFonts w:ascii="Arial" w:cs="Arial" w:eastAsia="Arial" w:hAnsi="Arial"/>
                <w:sz w:val="18"/>
                <w:szCs w:val="18"/>
                <w:color w:val="auto"/>
              </w:rPr>
              <w:t>Edgar G. Hotard</w:t>
            </w:r>
          </w:p>
        </w:tc>
      </w:tr>
      <w:tr>
        <w:trPr>
          <w:trHeight w:val="217"/>
        </w:trPr>
        <w:tc>
          <w:tcPr>
            <w:tcW w:w="5720" w:type="dxa"/>
            <w:vAlign w:val="bottom"/>
            <w:gridSpan w:val="7"/>
          </w:tcPr>
          <w:p>
            <w:pPr>
              <w:spacing w:after="0"/>
              <w:rPr>
                <w:sz w:val="20"/>
                <w:szCs w:val="20"/>
                <w:color w:val="auto"/>
              </w:rPr>
            </w:pPr>
            <w:r>
              <w:rPr>
                <w:rFonts w:ascii="Arial" w:cs="Arial" w:eastAsia="Arial" w:hAnsi="Arial"/>
                <w:sz w:val="18"/>
                <w:szCs w:val="18"/>
                <w:color w:val="auto"/>
              </w:rPr>
              <w:t>Director</w:t>
            </w:r>
          </w:p>
        </w:tc>
        <w:tc>
          <w:tcPr>
            <w:tcW w:w="5700" w:type="dxa"/>
            <w:vAlign w:val="bottom"/>
            <w:gridSpan w:val="7"/>
          </w:tcPr>
          <w:p>
            <w:pPr>
              <w:spacing w:after="0"/>
              <w:rPr>
                <w:sz w:val="20"/>
                <w:szCs w:val="20"/>
                <w:color w:val="auto"/>
              </w:rPr>
            </w:pPr>
            <w:r>
              <w:rPr>
                <w:rFonts w:ascii="Arial" w:cs="Arial" w:eastAsia="Arial" w:hAnsi="Arial"/>
                <w:sz w:val="18"/>
                <w:szCs w:val="18"/>
                <w:color w:val="auto"/>
              </w:rPr>
              <w:t>Director</w:t>
            </w:r>
          </w:p>
        </w:tc>
      </w:tr>
      <w:tr>
        <w:trPr>
          <w:trHeight w:val="365"/>
        </w:trPr>
        <w:tc>
          <w:tcPr>
            <w:tcW w:w="5720" w:type="dxa"/>
            <w:vAlign w:val="bottom"/>
            <w:gridSpan w:val="7"/>
          </w:tcPr>
          <w:p>
            <w:pPr>
              <w:spacing w:after="0"/>
              <w:rPr>
                <w:sz w:val="20"/>
                <w:szCs w:val="20"/>
                <w:color w:val="auto"/>
              </w:rPr>
            </w:pPr>
            <w:r>
              <w:rPr>
                <w:rFonts w:ascii="Arial" w:cs="Arial" w:eastAsia="Arial" w:hAnsi="Arial"/>
                <w:sz w:val="18"/>
                <w:szCs w:val="18"/>
                <w:color w:val="auto"/>
              </w:rPr>
              <w:t>/s/ A. William Higgins.</w:t>
            </w:r>
          </w:p>
        </w:tc>
        <w:tc>
          <w:tcPr>
            <w:tcW w:w="5700" w:type="dxa"/>
            <w:vAlign w:val="bottom"/>
            <w:gridSpan w:val="7"/>
          </w:tcPr>
          <w:p>
            <w:pPr>
              <w:spacing w:after="0"/>
              <w:rPr>
                <w:sz w:val="20"/>
                <w:szCs w:val="20"/>
                <w:color w:val="auto"/>
              </w:rPr>
            </w:pPr>
            <w:r>
              <w:rPr>
                <w:rFonts w:ascii="Arial" w:cs="Arial" w:eastAsia="Arial" w:hAnsi="Arial"/>
                <w:sz w:val="18"/>
                <w:szCs w:val="18"/>
                <w:color w:val="auto"/>
              </w:rPr>
              <w:t>/s/ Kenneth W. Krueger</w:t>
            </w:r>
          </w:p>
        </w:tc>
      </w:tr>
      <w:tr>
        <w:trPr>
          <w:trHeight w:val="209"/>
        </w:trPr>
        <w:tc>
          <w:tcPr>
            <w:tcW w:w="174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A. William Higgins</w:t>
            </w:r>
          </w:p>
        </w:tc>
        <w:tc>
          <w:tcPr>
            <w:tcW w:w="3980" w:type="dxa"/>
            <w:vAlign w:val="bottom"/>
            <w:gridSpan w:val="3"/>
          </w:tcPr>
          <w:p>
            <w:pPr>
              <w:spacing w:after="0"/>
              <w:rPr>
                <w:sz w:val="18"/>
                <w:szCs w:val="18"/>
                <w:color w:val="auto"/>
              </w:rPr>
            </w:pPr>
          </w:p>
        </w:tc>
        <w:tc>
          <w:tcPr>
            <w:tcW w:w="186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Kenneth W. Krueger</w:t>
            </w:r>
          </w:p>
        </w:tc>
        <w:tc>
          <w:tcPr>
            <w:tcW w:w="3840" w:type="dxa"/>
            <w:vAlign w:val="bottom"/>
            <w:gridSpan w:val="3"/>
          </w:tcPr>
          <w:p>
            <w:pPr>
              <w:spacing w:after="0"/>
              <w:rPr>
                <w:sz w:val="18"/>
                <w:szCs w:val="18"/>
                <w:color w:val="auto"/>
              </w:rPr>
            </w:pPr>
          </w:p>
        </w:tc>
      </w:tr>
      <w:tr>
        <w:trPr>
          <w:trHeight w:val="217"/>
        </w:trPr>
        <w:tc>
          <w:tcPr>
            <w:tcW w:w="5720" w:type="dxa"/>
            <w:vAlign w:val="bottom"/>
            <w:gridSpan w:val="7"/>
          </w:tcPr>
          <w:p>
            <w:pPr>
              <w:spacing w:after="0"/>
              <w:rPr>
                <w:sz w:val="20"/>
                <w:szCs w:val="20"/>
                <w:color w:val="auto"/>
              </w:rPr>
            </w:pPr>
            <w:r>
              <w:rPr>
                <w:rFonts w:ascii="Arial" w:cs="Arial" w:eastAsia="Arial" w:hAnsi="Arial"/>
                <w:sz w:val="18"/>
                <w:szCs w:val="18"/>
                <w:color w:val="auto"/>
              </w:rPr>
              <w:t>Director</w:t>
            </w:r>
          </w:p>
        </w:tc>
        <w:tc>
          <w:tcPr>
            <w:tcW w:w="5700" w:type="dxa"/>
            <w:vAlign w:val="bottom"/>
            <w:gridSpan w:val="7"/>
          </w:tcPr>
          <w:p>
            <w:pPr>
              <w:spacing w:after="0"/>
              <w:rPr>
                <w:sz w:val="20"/>
                <w:szCs w:val="20"/>
                <w:color w:val="auto"/>
              </w:rPr>
            </w:pPr>
            <w:r>
              <w:rPr>
                <w:rFonts w:ascii="Arial" w:cs="Arial" w:eastAsia="Arial" w:hAnsi="Arial"/>
                <w:sz w:val="18"/>
                <w:szCs w:val="18"/>
                <w:color w:val="auto"/>
              </w:rPr>
              <w:t>Director</w:t>
            </w:r>
          </w:p>
        </w:tc>
      </w:tr>
      <w:tr>
        <w:trPr>
          <w:trHeight w:val="723"/>
        </w:trPr>
        <w:tc>
          <w:tcPr>
            <w:tcW w:w="1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31(a)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Joseph G. Morone, certify that:</w:t>
      </w:r>
    </w:p>
    <w:p>
      <w:pPr>
        <w:spacing w:after="0" w:line="171" w:lineRule="exact"/>
        <w:rPr>
          <w:sz w:val="20"/>
          <w:szCs w:val="20"/>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report on Form 10-K of Albany International Corp.;</w:t>
      </w:r>
    </w:p>
    <w:p>
      <w:pPr>
        <w:spacing w:after="0" w:line="171" w:lineRule="exact"/>
        <w:rPr>
          <w:rFonts w:ascii="Arial" w:cs="Arial" w:eastAsia="Arial" w:hAnsi="Arial"/>
          <w:sz w:val="18"/>
          <w:szCs w:val="18"/>
          <w:color w:val="auto"/>
        </w:rPr>
      </w:pPr>
    </w:p>
    <w:p>
      <w:pPr>
        <w:ind w:left="1300" w:right="34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Arial" w:cs="Arial" w:eastAsia="Arial" w:hAnsi="Arial"/>
          <w:sz w:val="18"/>
          <w:szCs w:val="18"/>
          <w:color w:val="auto"/>
        </w:rPr>
      </w:pPr>
    </w:p>
    <w:p>
      <w:pPr>
        <w:ind w:left="1300" w:right="34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Arial" w:cs="Arial" w:eastAsia="Arial" w:hAnsi="Arial"/>
          <w:sz w:val="18"/>
          <w:szCs w:val="18"/>
          <w:color w:val="auto"/>
        </w:rPr>
      </w:pPr>
    </w:p>
    <w:p>
      <w:pPr>
        <w:ind w:left="1300" w:right="5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Arial" w:cs="Arial" w:eastAsia="Arial" w:hAnsi="Arial"/>
          <w:sz w:val="18"/>
          <w:szCs w:val="18"/>
          <w:color w:val="auto"/>
        </w:rPr>
      </w:pPr>
    </w:p>
    <w:p>
      <w:pPr>
        <w:ind w:left="1620" w:right="140" w:hanging="315"/>
        <w:spacing w:after="0"/>
        <w:tabs>
          <w:tab w:leader="none" w:pos="16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Arial" w:cs="Arial" w:eastAsia="Arial" w:hAnsi="Arial"/>
          <w:sz w:val="18"/>
          <w:szCs w:val="18"/>
          <w:color w:val="auto"/>
        </w:rPr>
      </w:pPr>
    </w:p>
    <w:p>
      <w:pPr>
        <w:ind w:left="1620" w:right="380" w:hanging="315"/>
        <w:spacing w:after="0"/>
        <w:tabs>
          <w:tab w:leader="none" w:pos="16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8"/>
          <w:szCs w:val="18"/>
          <w:color w:val="auto"/>
        </w:rPr>
      </w:pPr>
    </w:p>
    <w:p>
      <w:pPr>
        <w:ind w:left="1620" w:right="160" w:hanging="315"/>
        <w:spacing w:after="0"/>
        <w:tabs>
          <w:tab w:leader="none" w:pos="16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Arial" w:cs="Arial" w:eastAsia="Arial" w:hAnsi="Arial"/>
          <w:sz w:val="18"/>
          <w:szCs w:val="18"/>
          <w:color w:val="auto"/>
        </w:rPr>
      </w:pPr>
    </w:p>
    <w:p>
      <w:pPr>
        <w:ind w:left="1620" w:right="220" w:hanging="315"/>
        <w:spacing w:after="0"/>
        <w:tabs>
          <w:tab w:leader="none" w:pos="16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Arial" w:cs="Arial" w:eastAsia="Arial" w:hAnsi="Arial"/>
          <w:sz w:val="18"/>
          <w:szCs w:val="18"/>
          <w:color w:val="auto"/>
        </w:rPr>
      </w:pPr>
    </w:p>
    <w:p>
      <w:pPr>
        <w:ind w:left="1300" w:right="36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Arial" w:cs="Arial" w:eastAsia="Arial" w:hAnsi="Arial"/>
          <w:sz w:val="18"/>
          <w:szCs w:val="18"/>
          <w:color w:val="auto"/>
        </w:rPr>
      </w:pPr>
    </w:p>
    <w:p>
      <w:pPr>
        <w:jc w:val="both"/>
        <w:ind w:left="1620" w:right="280" w:hanging="315"/>
        <w:spacing w:after="0"/>
        <w:tabs>
          <w:tab w:leader="none" w:pos="16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Arial" w:cs="Arial" w:eastAsia="Arial" w:hAnsi="Arial"/>
          <w:sz w:val="18"/>
          <w:szCs w:val="18"/>
          <w:color w:val="auto"/>
        </w:rPr>
      </w:pPr>
    </w:p>
    <w:p>
      <w:pPr>
        <w:ind w:left="1620" w:right="620" w:hanging="315"/>
        <w:spacing w:after="0" w:line="246" w:lineRule="auto"/>
        <w:tabs>
          <w:tab w:leader="none" w:pos="16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100"/>
        <w:spacing w:after="0"/>
        <w:tabs>
          <w:tab w:leader="none" w:pos="9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1, 2017</w:t>
      </w: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60" w:type="dxa"/>
            <w:vAlign w:val="bottom"/>
          </w:tcPr>
          <w:p>
            <w:pPr>
              <w:ind w:left="6960"/>
              <w:spacing w:after="0"/>
              <w:rPr>
                <w:sz w:val="20"/>
                <w:szCs w:val="20"/>
                <w:color w:val="auto"/>
              </w:rPr>
            </w:pPr>
            <w:r>
              <w:rPr>
                <w:rFonts w:ascii="Arial" w:cs="Arial" w:eastAsia="Arial" w:hAnsi="Arial"/>
                <w:sz w:val="18"/>
                <w:szCs w:val="18"/>
                <w:color w:val="auto"/>
              </w:rPr>
              <w:t>By</w:t>
            </w:r>
          </w:p>
        </w:tc>
        <w:tc>
          <w:tcPr>
            <w:tcW w:w="3660" w:type="dxa"/>
            <w:vAlign w:val="bottom"/>
            <w:gridSpan w:val="2"/>
          </w:tcPr>
          <w:p>
            <w:pPr>
              <w:spacing w:after="0"/>
              <w:rPr>
                <w:sz w:val="20"/>
                <w:szCs w:val="20"/>
                <w:color w:val="auto"/>
              </w:rPr>
            </w:pPr>
            <w:r>
              <w:rPr>
                <w:rFonts w:ascii="Arial" w:cs="Arial" w:eastAsia="Arial" w:hAnsi="Arial"/>
                <w:sz w:val="18"/>
                <w:szCs w:val="18"/>
                <w:color w:val="auto"/>
              </w:rPr>
              <w:t>/s/ Joseph G. Morone</w:t>
            </w:r>
          </w:p>
        </w:tc>
      </w:tr>
      <w:tr>
        <w:trPr>
          <w:trHeight w:val="209"/>
        </w:trPr>
        <w:tc>
          <w:tcPr>
            <w:tcW w:w="7760" w:type="dxa"/>
            <w:vAlign w:val="bottom"/>
          </w:tcPr>
          <w:p>
            <w:pPr>
              <w:spacing w:after="0"/>
              <w:rPr>
                <w:sz w:val="18"/>
                <w:szCs w:val="18"/>
                <w:color w:val="auto"/>
              </w:rPr>
            </w:pPr>
          </w:p>
        </w:tc>
        <w:tc>
          <w:tcPr>
            <w:tcW w:w="1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Joseph G. Morone</w:t>
            </w:r>
          </w:p>
        </w:tc>
        <w:tc>
          <w:tcPr>
            <w:tcW w:w="1940" w:type="dxa"/>
            <w:vAlign w:val="bottom"/>
          </w:tcPr>
          <w:p>
            <w:pPr>
              <w:spacing w:after="0"/>
              <w:rPr>
                <w:sz w:val="18"/>
                <w:szCs w:val="18"/>
                <w:color w:val="auto"/>
              </w:rPr>
            </w:pPr>
          </w:p>
        </w:tc>
      </w:tr>
      <w:tr>
        <w:trPr>
          <w:trHeight w:val="203"/>
        </w:trPr>
        <w:tc>
          <w:tcPr>
            <w:tcW w:w="7760" w:type="dxa"/>
            <w:vAlign w:val="bottom"/>
          </w:tcPr>
          <w:p>
            <w:pPr>
              <w:spacing w:after="0"/>
              <w:rPr>
                <w:sz w:val="17"/>
                <w:szCs w:val="17"/>
                <w:color w:val="auto"/>
              </w:rPr>
            </w:pPr>
          </w:p>
        </w:tc>
        <w:tc>
          <w:tcPr>
            <w:tcW w:w="3660" w:type="dxa"/>
            <w:vAlign w:val="bottom"/>
            <w:gridSpan w:val="2"/>
          </w:tcPr>
          <w:p>
            <w:pPr>
              <w:spacing w:after="0" w:line="202" w:lineRule="exact"/>
              <w:rPr>
                <w:sz w:val="20"/>
                <w:szCs w:val="20"/>
                <w:color w:val="auto"/>
              </w:rPr>
            </w:pPr>
            <w:r>
              <w:rPr>
                <w:rFonts w:ascii="Arial" w:cs="Arial" w:eastAsia="Arial" w:hAnsi="Arial"/>
                <w:sz w:val="18"/>
                <w:szCs w:val="18"/>
                <w:color w:val="auto"/>
              </w:rPr>
              <w:t>President and Chief Executive Officer</w:t>
            </w:r>
          </w:p>
        </w:tc>
      </w:tr>
      <w:tr>
        <w:trPr>
          <w:trHeight w:val="217"/>
        </w:trPr>
        <w:tc>
          <w:tcPr>
            <w:tcW w:w="776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r>
        <w:trPr>
          <w:trHeight w:val="750"/>
        </w:trPr>
        <w:tc>
          <w:tcPr>
            <w:tcW w:w="7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31(b)</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 John B. Cozzolino, certify that:</w:t>
      </w:r>
    </w:p>
    <w:p>
      <w:pPr>
        <w:spacing w:after="0" w:line="171" w:lineRule="exact"/>
        <w:rPr>
          <w:sz w:val="20"/>
          <w:szCs w:val="20"/>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report on Form 10-K of Albany International Corp.;</w:t>
      </w:r>
    </w:p>
    <w:p>
      <w:pPr>
        <w:spacing w:after="0" w:line="184" w:lineRule="exact"/>
        <w:rPr>
          <w:rFonts w:ascii="Arial" w:cs="Arial" w:eastAsia="Arial" w:hAnsi="Arial"/>
          <w:sz w:val="18"/>
          <w:szCs w:val="18"/>
          <w:color w:val="auto"/>
        </w:rPr>
      </w:pPr>
    </w:p>
    <w:p>
      <w:pPr>
        <w:ind w:left="1300" w:right="34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Arial" w:cs="Arial" w:eastAsia="Arial" w:hAnsi="Arial"/>
          <w:sz w:val="18"/>
          <w:szCs w:val="18"/>
          <w:color w:val="auto"/>
        </w:rPr>
      </w:pPr>
    </w:p>
    <w:p>
      <w:pPr>
        <w:ind w:left="1300" w:right="34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Arial" w:cs="Arial" w:eastAsia="Arial" w:hAnsi="Arial"/>
          <w:sz w:val="18"/>
          <w:szCs w:val="18"/>
          <w:color w:val="auto"/>
        </w:rPr>
      </w:pPr>
    </w:p>
    <w:p>
      <w:pPr>
        <w:ind w:left="1300" w:right="5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Arial" w:cs="Arial" w:eastAsia="Arial" w:hAnsi="Arial"/>
          <w:sz w:val="18"/>
          <w:szCs w:val="18"/>
          <w:color w:val="auto"/>
        </w:rPr>
      </w:pPr>
    </w:p>
    <w:p>
      <w:pPr>
        <w:ind w:left="1620" w:right="140" w:hanging="315"/>
        <w:spacing w:after="0"/>
        <w:tabs>
          <w:tab w:leader="none" w:pos="16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ind w:left="1620" w:right="380" w:hanging="315"/>
        <w:spacing w:after="0"/>
        <w:tabs>
          <w:tab w:leader="none" w:pos="16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8"/>
          <w:szCs w:val="18"/>
          <w:color w:val="auto"/>
        </w:rPr>
      </w:pPr>
    </w:p>
    <w:p>
      <w:pPr>
        <w:ind w:left="1620" w:right="160" w:hanging="315"/>
        <w:spacing w:after="0"/>
        <w:tabs>
          <w:tab w:leader="none" w:pos="16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Arial" w:cs="Arial" w:eastAsia="Arial" w:hAnsi="Arial"/>
          <w:sz w:val="18"/>
          <w:szCs w:val="18"/>
          <w:color w:val="auto"/>
        </w:rPr>
      </w:pPr>
    </w:p>
    <w:p>
      <w:pPr>
        <w:ind w:left="1620" w:right="220" w:hanging="315"/>
        <w:spacing w:after="0"/>
        <w:tabs>
          <w:tab w:leader="none" w:pos="16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ind w:left="1300" w:right="36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Arial" w:cs="Arial" w:eastAsia="Arial" w:hAnsi="Arial"/>
          <w:sz w:val="18"/>
          <w:szCs w:val="18"/>
          <w:color w:val="auto"/>
        </w:rPr>
      </w:pPr>
    </w:p>
    <w:p>
      <w:pPr>
        <w:jc w:val="both"/>
        <w:ind w:left="1620" w:right="280" w:hanging="315"/>
        <w:spacing w:after="0"/>
        <w:tabs>
          <w:tab w:leader="none" w:pos="16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Arial" w:cs="Arial" w:eastAsia="Arial" w:hAnsi="Arial"/>
          <w:sz w:val="18"/>
          <w:szCs w:val="18"/>
          <w:color w:val="auto"/>
        </w:rPr>
      </w:pPr>
    </w:p>
    <w:p>
      <w:pPr>
        <w:ind w:left="1620" w:right="620" w:hanging="315"/>
        <w:spacing w:after="0" w:line="246" w:lineRule="auto"/>
        <w:tabs>
          <w:tab w:leader="none" w:pos="16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6" w:lineRule="exact"/>
        <w:rPr>
          <w:sz w:val="20"/>
          <w:szCs w:val="20"/>
          <w:color w:val="auto"/>
        </w:rPr>
      </w:pPr>
    </w:p>
    <w:p>
      <w:pPr>
        <w:ind w:left="100"/>
        <w:spacing w:after="0"/>
        <w:tabs>
          <w:tab w:leader="none" w:pos="9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1, 2017</w:t>
      </w:r>
    </w:p>
    <w:p>
      <w:pPr>
        <w:spacing w:after="0" w:line="194" w:lineRule="exact"/>
        <w:rPr>
          <w:sz w:val="20"/>
          <w:szCs w:val="20"/>
          <w:color w:val="auto"/>
        </w:rPr>
      </w:pPr>
    </w:p>
    <w:p>
      <w:pPr>
        <w:ind w:left="7300"/>
        <w:spacing w:after="0"/>
        <w:tabs>
          <w:tab w:leader="none" w:pos="7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John B. Cozzolino</w:t>
      </w:r>
    </w:p>
    <w:p>
      <w:pPr>
        <w:ind w:left="7760"/>
        <w:spacing w:after="0" w:line="234" w:lineRule="auto"/>
        <w:rPr>
          <w:sz w:val="20"/>
          <w:szCs w:val="20"/>
          <w:color w:val="auto"/>
        </w:rPr>
      </w:pPr>
      <w:r>
        <w:rPr>
          <w:rFonts w:ascii="Arial" w:cs="Arial" w:eastAsia="Arial" w:hAnsi="Arial"/>
          <w:sz w:val="18"/>
          <w:szCs w:val="18"/>
          <w:color w:val="auto"/>
        </w:rPr>
        <w:t>John B. Cozzolino</w:t>
      </w:r>
    </w:p>
    <w:p>
      <w:pPr>
        <w:ind w:left="7760"/>
        <w:spacing w:after="0" w:line="235" w:lineRule="auto"/>
        <w:rPr>
          <w:sz w:val="20"/>
          <w:szCs w:val="20"/>
          <w:color w:val="auto"/>
        </w:rPr>
      </w:pPr>
      <w:r>
        <w:rPr>
          <w:rFonts w:ascii="Arial" w:cs="Arial" w:eastAsia="Arial" w:hAnsi="Arial"/>
          <w:sz w:val="18"/>
          <w:szCs w:val="18"/>
          <w:color w:val="auto"/>
        </w:rPr>
        <w:t>Chief Financial Officer and Treasurer</w:t>
      </w:r>
    </w:p>
    <w:p>
      <w:pPr>
        <w:spacing w:after="0" w:line="1"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246620" cy="431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32(a)</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176"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Certification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198"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Joseph G. Morone, the Chief Executive Officer, and John B. Cozzolino, the Chief Financial Officer and Treasurer, of Albany International Corp., a Delaware corporation (“the Company”), do each hereby certify, to such officer’s knowledge, that the annual report on Form 10-K for the fiscal year ended December 31, 2016 (“the Form 10K”) of the Company fully complies with the requirements of Section 13(a) or 15(d) of the Securities Exchange Act of 1934 and the information contained in the Form 10-K fairly presents, in all material respects, the financial condition and results of operations of the Company for the period covered by the report.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Dated: March 1, 2017</w:t>
      </w:r>
    </w:p>
    <w:p>
      <w:pPr>
        <w:ind w:left="8000"/>
        <w:spacing w:after="0" w:line="234" w:lineRule="auto"/>
        <w:rPr>
          <w:sz w:val="20"/>
          <w:szCs w:val="20"/>
          <w:color w:val="auto"/>
        </w:rPr>
      </w:pPr>
      <w:r>
        <w:rPr>
          <w:rFonts w:ascii="Arial" w:cs="Arial" w:eastAsia="Arial" w:hAnsi="Arial"/>
          <w:sz w:val="18"/>
          <w:szCs w:val="18"/>
          <w:u w:val="single" w:color="auto"/>
          <w:color w:val="auto"/>
        </w:rPr>
        <w:t>/s/ Joseph G. Morone</w:t>
      </w:r>
    </w:p>
    <w:p>
      <w:pPr>
        <w:ind w:left="8000"/>
        <w:spacing w:after="0" w:line="235" w:lineRule="auto"/>
        <w:rPr>
          <w:sz w:val="20"/>
          <w:szCs w:val="20"/>
          <w:color w:val="auto"/>
        </w:rPr>
      </w:pPr>
      <w:r>
        <w:rPr>
          <w:rFonts w:ascii="Arial" w:cs="Arial" w:eastAsia="Arial" w:hAnsi="Arial"/>
          <w:sz w:val="18"/>
          <w:szCs w:val="18"/>
          <w:color w:val="auto"/>
        </w:rPr>
        <w:t>Joseph G. Morone</w:t>
      </w:r>
    </w:p>
    <w:p>
      <w:pPr>
        <w:ind w:left="8000"/>
        <w:spacing w:after="0" w:line="235"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(Principal Executive Officer)</w:t>
      </w:r>
    </w:p>
    <w:p>
      <w:pPr>
        <w:spacing w:after="0" w:line="194" w:lineRule="exact"/>
        <w:rPr>
          <w:sz w:val="20"/>
          <w:szCs w:val="20"/>
          <w:color w:val="auto"/>
        </w:rPr>
      </w:pPr>
    </w:p>
    <w:p>
      <w:pPr>
        <w:ind w:left="8000"/>
        <w:spacing w:after="0"/>
        <w:rPr>
          <w:sz w:val="20"/>
          <w:szCs w:val="20"/>
          <w:color w:val="auto"/>
        </w:rPr>
      </w:pPr>
      <w:r>
        <w:rPr>
          <w:rFonts w:ascii="Arial" w:cs="Arial" w:eastAsia="Arial" w:hAnsi="Arial"/>
          <w:sz w:val="18"/>
          <w:szCs w:val="18"/>
          <w:u w:val="single" w:color="auto"/>
          <w:color w:val="auto"/>
        </w:rPr>
        <w:t>/s/ John B. Cozzolino</w:t>
      </w:r>
    </w:p>
    <w:p>
      <w:pPr>
        <w:ind w:left="8000"/>
        <w:spacing w:after="0" w:line="234" w:lineRule="auto"/>
        <w:rPr>
          <w:sz w:val="20"/>
          <w:szCs w:val="20"/>
          <w:color w:val="auto"/>
        </w:rPr>
      </w:pPr>
      <w:r>
        <w:rPr>
          <w:rFonts w:ascii="Arial" w:cs="Arial" w:eastAsia="Arial" w:hAnsi="Arial"/>
          <w:sz w:val="18"/>
          <w:szCs w:val="18"/>
          <w:color w:val="auto"/>
        </w:rPr>
        <w:t>John B. Cozzolino</w:t>
      </w:r>
    </w:p>
    <w:p>
      <w:pPr>
        <w:ind w:left="8000"/>
        <w:spacing w:after="0" w:line="235" w:lineRule="auto"/>
        <w:rPr>
          <w:sz w:val="20"/>
          <w:szCs w:val="20"/>
          <w:color w:val="auto"/>
        </w:rPr>
      </w:pPr>
      <w:r>
        <w:rPr>
          <w:rFonts w:ascii="Arial" w:cs="Arial" w:eastAsia="Arial" w:hAnsi="Arial"/>
          <w:sz w:val="18"/>
          <w:szCs w:val="18"/>
          <w:color w:val="auto"/>
        </w:rPr>
        <w:t>Chief Financial Officer and Treasurer</w:t>
      </w:r>
    </w:p>
    <w:p>
      <w:pPr>
        <w:spacing w:after="0" w:line="1"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461010</wp:posOffset>
            </wp:positionV>
            <wp:extent cx="7246620" cy="342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decimal"/>
      <w:start w:val="1"/>
    </w:lvl>
  </w:abstractNum>
  <w:abstractNum w:abstractNumId="3">
    <w:nsid w:val="721DA317"/>
    <w:multiLevelType w:val="hybridMultilevel"/>
    <w:lvl w:ilvl="0">
      <w:lvlJc w:val="left"/>
      <w:lvlText w:val="(%1)"/>
      <w:numFmt w:val="decimal"/>
      <w:start w:val="3"/>
    </w:lvl>
  </w:abstractNum>
  <w:abstractNum w:abstractNumId="4">
    <w:nsid w:val="2443A858"/>
    <w:multiLevelType w:val="hybridMultilevel"/>
    <w:lvl w:ilvl="0">
      <w:lvlJc w:val="left"/>
      <w:lvlText w:val="•"/>
      <w:numFmt w:val="bullet"/>
      <w:start w:val="1"/>
    </w:lvl>
    <w:lvl w:ilvl="1">
      <w:lvlJc w:val="left"/>
      <w:lvlText w:val="■"/>
      <w:numFmt w:val="bullet"/>
      <w:start w:val="1"/>
    </w:lvl>
  </w:abstractNum>
  <w:abstractNum w:abstractNumId="5">
    <w:nsid w:val="2D1D5AE9"/>
    <w:multiLevelType w:val="hybridMultilevel"/>
    <w:lvl w:ilvl="0">
      <w:lvlJc w:val="left"/>
      <w:lvlText w:val="•"/>
      <w:numFmt w:val="bullet"/>
      <w:start w:val="1"/>
    </w:lvl>
    <w:lvl w:ilvl="1">
      <w:lvlJc w:val="left"/>
      <w:lvlText w:val="■"/>
      <w:numFmt w:val="bullet"/>
      <w:start w:val="1"/>
    </w:lvl>
  </w:abstractNum>
  <w:abstractNum w:abstractNumId="6">
    <w:nsid w:val="6763845E"/>
    <w:multiLevelType w:val="hybridMultilevel"/>
    <w:lvl w:ilvl="0">
      <w:lvlJc w:val="left"/>
      <w:lvlText w:val="•"/>
      <w:numFmt w:val="bullet"/>
      <w:start w:val="1"/>
    </w:lvl>
    <w:lvl w:ilvl="1">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lvl w:ilvl="1">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lvl w:ilvl="1">
      <w:lvlJc w:val="left"/>
      <w:lvlText w:val="■"/>
      <w:numFmt w:val="bullet"/>
      <w:start w:val="1"/>
    </w:lvl>
  </w:abstractNum>
  <w:abstractNum w:abstractNumId="26">
    <w:nsid w:val="3006C83E"/>
    <w:multiLevelType w:val="hybridMultilevel"/>
    <w:lvl w:ilvl="0">
      <w:lvlJc w:val="left"/>
      <w:lvlText w:val="(%1)"/>
      <w:numFmt w:val="lowerLetter"/>
      <w:start w:val="1"/>
    </w:lvl>
  </w:abstractNum>
  <w:abstractNum w:abstractNumId="27">
    <w:nsid w:val="614FD4A1"/>
    <w:multiLevelType w:val="hybridMultilevel"/>
    <w:lvl w:ilvl="0">
      <w:lvlJc w:val="left"/>
      <w:lvlText w:val="%1."/>
      <w:numFmt w:val="decimal"/>
      <w:start w:val="1"/>
    </w:lvl>
  </w:abstractNum>
  <w:abstractNum w:abstractNumId="28">
    <w:nsid w:val="419AC241"/>
    <w:multiLevelType w:val="hybridMultilevel"/>
    <w:lvl w:ilvl="0">
      <w:lvlJc w:val="left"/>
      <w:lvlText w:val="%1."/>
      <w:numFmt w:val="decimal"/>
      <w:start w:val="4"/>
    </w:lvl>
  </w:abstractNum>
  <w:abstractNum w:abstractNumId="29">
    <w:nsid w:val="5577F8E1"/>
    <w:multiLevelType w:val="hybridMultilevel"/>
    <w:lvl w:ilvl="0">
      <w:lvlJc w:val="left"/>
      <w:lvlText w:val="(%1)"/>
      <w:numFmt w:val="decimal"/>
      <w:start w:val="1"/>
    </w:lvl>
  </w:abstractNum>
  <w:abstractNum w:abstractNumId="30">
    <w:nsid w:val="440BADFC"/>
    <w:multiLevelType w:val="hybridMultilevel"/>
    <w:lvl w:ilvl="0">
      <w:lvlJc w:val="left"/>
      <w:lvlText w:val="(%1)"/>
      <w:numFmt w:val="lowerLetter"/>
      <w:start w:val="1"/>
    </w:lvl>
  </w:abstractNum>
  <w:abstractNum w:abstractNumId="31">
    <w:nsid w:val="5072367"/>
    <w:multiLevelType w:val="hybridMultilevel"/>
    <w:lvl w:ilvl="0">
      <w:lvlJc w:val="left"/>
      <w:lvlText w:val="(%1)"/>
      <w:numFmt w:val="lowerLetter"/>
      <w:start w:val="1"/>
    </w:lvl>
  </w:abstractNum>
  <w:abstractNum w:abstractNumId="32">
    <w:nsid w:val="3804823E"/>
    <w:multiLevelType w:val="hybridMultilevel"/>
    <w:lvl w:ilvl="0">
      <w:lvlJc w:val="left"/>
      <w:lvlText w:val="(%1)"/>
      <w:numFmt w:val="lowerLetter"/>
      <w:start w:val="1"/>
    </w:lvl>
  </w:abstractNum>
  <w:abstractNum w:abstractNumId="33">
    <w:nsid w:val="77465F01"/>
    <w:multiLevelType w:val="hybridMultilevel"/>
    <w:lvl w:ilvl="0">
      <w:lvlJc w:val="left"/>
      <w:lvlText w:val="(%1)"/>
      <w:numFmt w:val="lowerLetter"/>
      <w:start w:val="2"/>
    </w:lvl>
  </w:abstractNum>
  <w:abstractNum w:abstractNumId="34">
    <w:nsid w:val="7724C67E"/>
    <w:multiLevelType w:val="hybridMultilevel"/>
    <w:lvl w:ilvl="0">
      <w:lvlJc w:val="left"/>
      <w:lvlText w:val="%1)"/>
      <w:numFmt w:val="lowerLetter"/>
      <w:start w:val="1"/>
    </w:lvl>
  </w:abstractNum>
  <w:abstractNum w:abstractNumId="35">
    <w:nsid w:val="5C482A97"/>
    <w:multiLevelType w:val="hybridMultilevel"/>
    <w:lvl w:ilvl="0">
      <w:lvlJc w:val="left"/>
      <w:lvlText w:val="(%1)"/>
      <w:numFmt w:val="decimal"/>
      <w:start w:val="1"/>
    </w:lvl>
  </w:abstractNum>
  <w:abstractNum w:abstractNumId="36">
    <w:nsid w:val="2463B9EA"/>
    <w:multiLevelType w:val="hybridMultilevel"/>
    <w:lvl w:ilvl="0">
      <w:lvlJc w:val="left"/>
      <w:lvlText w:val="(%1)"/>
      <w:numFmt w:val="upperLetter"/>
      <w:start w:val="1"/>
    </w:lvl>
  </w:abstractNum>
  <w:abstractNum w:abstractNumId="37">
    <w:nsid w:val="5E884ADC"/>
    <w:multiLevelType w:val="hybridMultilevel"/>
    <w:lvl w:ilvl="0">
      <w:lvlJc w:val="left"/>
      <w:lvlText w:val="•"/>
      <w:numFmt w:val="bullet"/>
      <w:start w:val="1"/>
    </w:lvl>
  </w:abstractNum>
  <w:abstractNum w:abstractNumId="38">
    <w:nsid w:val="51EAD36B"/>
    <w:multiLevelType w:val="hybridMultilevel"/>
    <w:lvl w:ilvl="0">
      <w:lvlJc w:val="left"/>
      <w:lvlText w:val="%1."/>
      <w:numFmt w:val="decimal"/>
      <w:start w:val="1"/>
    </w:lvl>
    <w:lvl w:ilvl="1">
      <w:lvlJc w:val="left"/>
      <w:lvlText w:val="(%2)"/>
      <w:numFmt w:val="lowerLetter"/>
      <w:start w:val="1"/>
    </w:lvl>
  </w:abstractNum>
  <w:abstractNum w:abstractNumId="39">
    <w:nsid w:val="2D51779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2019-12-29T07:53:58Z</dcterms:created>
  <dcterms:modified xsi:type="dcterms:W3CDTF">2019-12-29T07:53:58Z</dcterms:modified>
</cp:coreProperties>
</file>