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640" w:right="1920" w:hanging="3632"/>
        <w:spacing w:after="0" w:line="482" w:lineRule="auto"/>
        <w:tabs>
          <w:tab w:leader="none" w:pos="2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76" w:lineRule="exact"/>
        <w:rPr>
          <w:sz w:val="24"/>
          <w:szCs w:val="24"/>
          <w:color w:val="auto"/>
        </w:rPr>
      </w:pPr>
    </w:p>
    <w:p>
      <w:pPr>
        <w:ind w:left="3400" w:right="1920" w:hanging="3392"/>
        <w:spacing w:after="0" w:line="482"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194" w:lineRule="exact"/>
        <w:rPr>
          <w:sz w:val="24"/>
          <w:szCs w:val="24"/>
          <w:color w:val="auto"/>
        </w:rPr>
      </w:pPr>
    </w:p>
    <w:p>
      <w:pPr>
        <w:ind w:left="4320"/>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620" w:type="dxa"/>
            <w:vAlign w:val="bottom"/>
            <w:gridSpan w:val="3"/>
          </w:tcPr>
          <w:p>
            <w:pPr>
              <w:jc w:val="center"/>
              <w:ind w:right="1380"/>
              <w:spacing w:after="0" w:line="204" w:lineRule="exact"/>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810"/>
              <w:spacing w:after="0" w:line="204" w:lineRule="exact"/>
              <w:rPr>
                <w:sz w:val="20"/>
                <w:szCs w:val="20"/>
                <w:color w:val="auto"/>
              </w:rPr>
            </w:pPr>
            <w:r>
              <w:rPr>
                <w:rFonts w:ascii="Arial" w:cs="Arial" w:eastAsia="Arial" w:hAnsi="Arial"/>
                <w:sz w:val="18"/>
                <w:szCs w:val="18"/>
                <w:color w:val="auto"/>
              </w:rPr>
              <w:t>14-0462060</w:t>
            </w: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rPr>
              <w:t>(State or other jurisdiction of</w:t>
            </w:r>
          </w:p>
        </w:tc>
        <w:tc>
          <w:tcPr>
            <w:tcW w:w="1360" w:type="dxa"/>
            <w:vAlign w:val="bottom"/>
          </w:tcPr>
          <w:p>
            <w:pPr>
              <w:spacing w:after="0"/>
              <w:rPr>
                <w:sz w:val="16"/>
                <w:szCs w:val="16"/>
                <w:color w:val="auto"/>
              </w:rPr>
            </w:pPr>
          </w:p>
        </w:tc>
        <w:tc>
          <w:tcPr>
            <w:tcW w:w="4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(IRS Employer Identification No.)</w:t>
            </w:r>
          </w:p>
        </w:tc>
      </w:tr>
      <w:tr>
        <w:trPr>
          <w:trHeight w:val="217"/>
        </w:trPr>
        <w:tc>
          <w:tcPr>
            <w:tcW w:w="20" w:type="dxa"/>
            <w:vAlign w:val="bottom"/>
          </w:tcPr>
          <w:p>
            <w:pPr>
              <w:spacing w:after="0"/>
              <w:rPr>
                <w:sz w:val="18"/>
                <w:szCs w:val="18"/>
                <w:color w:val="auto"/>
              </w:rPr>
            </w:pPr>
          </w:p>
        </w:tc>
        <w:tc>
          <w:tcPr>
            <w:tcW w:w="662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incorporation or organization)</w:t>
            </w:r>
          </w:p>
        </w:tc>
        <w:tc>
          <w:tcPr>
            <w:tcW w:w="478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6620" w:type="dxa"/>
            <w:vAlign w:val="bottom"/>
            <w:gridSpan w:val="3"/>
          </w:tcPr>
          <w:p>
            <w:pPr>
              <w:jc w:val="center"/>
              <w:ind w:right="138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50"/>
              <w:spacing w:after="0"/>
              <w:rPr>
                <w:sz w:val="20"/>
                <w:szCs w:val="20"/>
                <w:color w:val="auto"/>
              </w:rPr>
            </w:pPr>
            <w:r>
              <w:rPr>
                <w:rFonts w:ascii="Arial" w:cs="Arial" w:eastAsia="Arial" w:hAnsi="Arial"/>
                <w:sz w:val="18"/>
                <w:szCs w:val="18"/>
                <w:color w:val="auto"/>
              </w:rPr>
              <w:t>03867</w:t>
            </w: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9"/>
              </w:rPr>
              <w:t>(Address of principal executive offices)</w:t>
            </w:r>
          </w:p>
        </w:tc>
        <w:tc>
          <w:tcPr>
            <w:tcW w:w="1360" w:type="dxa"/>
            <w:vAlign w:val="bottom"/>
          </w:tcPr>
          <w:p>
            <w:pPr>
              <w:spacing w:after="0"/>
              <w:rPr>
                <w:sz w:val="16"/>
                <w:szCs w:val="16"/>
                <w:color w:val="auto"/>
              </w:rPr>
            </w:pPr>
          </w:p>
        </w:tc>
        <w:tc>
          <w:tcPr>
            <w:tcW w:w="4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(Zip Code)</w:t>
            </w:r>
          </w:p>
        </w:tc>
      </w:tr>
      <w:tr>
        <w:trPr>
          <w:trHeight w:val="176"/>
        </w:trPr>
        <w:tc>
          <w:tcPr>
            <w:tcW w:w="6640" w:type="dxa"/>
            <w:vAlign w:val="bottom"/>
            <w:gridSpan w:val="4"/>
          </w:tcPr>
          <w:p>
            <w:pPr>
              <w:jc w:val="center"/>
              <w:ind w:right="1360"/>
              <w:spacing w:after="0" w:line="176" w:lineRule="exact"/>
              <w:rPr>
                <w:sz w:val="20"/>
                <w:szCs w:val="20"/>
                <w:color w:val="auto"/>
              </w:rPr>
            </w:pPr>
            <w:r>
              <w:rPr>
                <w:rFonts w:ascii="Arial" w:cs="Arial" w:eastAsia="Arial" w:hAnsi="Arial"/>
                <w:sz w:val="18"/>
                <w:szCs w:val="18"/>
                <w:color w:val="auto"/>
                <w:w w:val="99"/>
              </w:rPr>
              <w:t>Registrant’s telephone number, including area code 603-330-5850</w:t>
            </w:r>
          </w:p>
        </w:tc>
        <w:tc>
          <w:tcPr>
            <w:tcW w:w="4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215"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89" w:lineRule="exact"/>
        <w:rPr>
          <w:sz w:val="24"/>
          <w:szCs w:val="24"/>
          <w:color w:val="auto"/>
        </w:rPr>
      </w:pPr>
    </w:p>
    <w:p>
      <w:pPr>
        <w:ind w:right="100"/>
        <w:spacing w:after="0"/>
        <w:rPr>
          <w:sz w:val="20"/>
          <w:szCs w:val="20"/>
          <w:color w:val="auto"/>
        </w:rPr>
      </w:pPr>
      <w:r>
        <w:rPr>
          <w:rFonts w:ascii="Arial" w:cs="Arial" w:eastAsia="Arial" w:hAnsi="Arial"/>
          <w:sz w:val="18"/>
          <w:szCs w:val="18"/>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Yes [ √ ] No [ ]</w:t>
      </w:r>
    </w:p>
    <w:p>
      <w:pPr>
        <w:spacing w:after="0" w:line="189" w:lineRule="exact"/>
        <w:rPr>
          <w:sz w:val="24"/>
          <w:szCs w:val="24"/>
          <w:color w:val="auto"/>
        </w:rPr>
      </w:pPr>
    </w:p>
    <w:p>
      <w:pPr>
        <w:ind w:right="16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480"/>
              <w:spacing w:after="0"/>
              <w:rPr>
                <w:sz w:val="20"/>
                <w:szCs w:val="20"/>
                <w:color w:val="auto"/>
              </w:rPr>
            </w:pPr>
            <w:r>
              <w:rPr>
                <w:rFonts w:ascii="Arial" w:cs="Arial" w:eastAsia="Arial" w:hAnsi="Arial"/>
                <w:sz w:val="18"/>
                <w:szCs w:val="18"/>
                <w:color w:val="auto"/>
              </w:rPr>
              <w:t>[ √ ]</w:t>
            </w:r>
          </w:p>
        </w:tc>
        <w:tc>
          <w:tcPr>
            <w:tcW w:w="394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020" w:type="dxa"/>
            <w:vAlign w:val="bottom"/>
          </w:tcPr>
          <w:p>
            <w:pPr>
              <w:ind w:left="480"/>
              <w:spacing w:after="0" w:line="202" w:lineRule="exact"/>
              <w:rPr>
                <w:sz w:val="20"/>
                <w:szCs w:val="20"/>
                <w:color w:val="auto"/>
              </w:rPr>
            </w:pPr>
            <w:r>
              <w:rPr>
                <w:rFonts w:ascii="Arial" w:cs="Arial" w:eastAsia="Arial" w:hAnsi="Arial"/>
                <w:sz w:val="18"/>
                <w:szCs w:val="18"/>
                <w:color w:val="auto"/>
              </w:rPr>
              <w:t>[  ]</w:t>
            </w:r>
          </w:p>
        </w:tc>
        <w:tc>
          <w:tcPr>
            <w:tcW w:w="3940" w:type="dxa"/>
            <w:vAlign w:val="bottom"/>
          </w:tcPr>
          <w:p>
            <w:pPr>
              <w:ind w:left="1220"/>
              <w:spacing w:after="0" w:line="202" w:lineRule="exact"/>
              <w:rPr>
                <w:sz w:val="20"/>
                <w:szCs w:val="20"/>
                <w:color w:val="auto"/>
              </w:rPr>
            </w:pPr>
            <w:r>
              <w:rPr>
                <w:rFonts w:ascii="Arial" w:cs="Arial" w:eastAsia="Arial" w:hAnsi="Arial"/>
                <w:sz w:val="18"/>
                <w:szCs w:val="18"/>
                <w:color w:val="auto"/>
              </w:rPr>
              <w:t>Smaller reporting company</w:t>
            </w: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2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94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3" w:lineRule="exact"/>
        <w:rPr>
          <w:sz w:val="24"/>
          <w:szCs w:val="24"/>
          <w:color w:val="auto"/>
        </w:r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The registrant had 29.0 million shares of Class A Common Stock and 3.2 million shares of Class B Common Stock outstanding as of October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Pr>
          <w:p>
            <w:pPr>
              <w:ind w:left="1060"/>
              <w:spacing w:after="0"/>
              <w:rPr>
                <w:sz w:val="20"/>
                <w:szCs w:val="20"/>
                <w:color w:val="auto"/>
              </w:rPr>
            </w:pPr>
            <w:r>
              <w:rPr>
                <w:rFonts w:ascii="Arial" w:cs="Arial" w:eastAsia="Arial" w:hAnsi="Arial"/>
                <w:sz w:val="18"/>
                <w:szCs w:val="18"/>
                <w:color w:val="auto"/>
                <w:w w:val="98"/>
              </w:rPr>
              <w:t>Page No.</w:t>
            </w:r>
          </w:p>
        </w:tc>
        <w:tc>
          <w:tcPr>
            <w:tcW w:w="0" w:type="dxa"/>
            <w:vAlign w:val="bottom"/>
          </w:tcPr>
          <w:p>
            <w:pPr>
              <w:spacing w:after="0"/>
              <w:rPr>
                <w:sz w:val="1"/>
                <w:szCs w:val="1"/>
                <w:color w:val="auto"/>
              </w:rPr>
            </w:pPr>
          </w:p>
        </w:tc>
      </w:tr>
      <w:tr>
        <w:trPr>
          <w:trHeight w:val="405"/>
        </w:trPr>
        <w:tc>
          <w:tcPr>
            <w:tcW w:w="9080" w:type="dxa"/>
            <w:vAlign w:val="bottom"/>
            <w:gridSpan w:val="20"/>
          </w:tcPr>
          <w:p>
            <w:pPr>
              <w:spacing w:after="0"/>
              <w:rPr>
                <w:sz w:val="20"/>
                <w:szCs w:val="20"/>
                <w:color w:val="auto"/>
              </w:rPr>
            </w:pPr>
            <w:r>
              <w:rPr>
                <w:rFonts w:ascii="Arial" w:cs="Arial" w:eastAsia="Arial" w:hAnsi="Arial"/>
                <w:sz w:val="18"/>
                <w:szCs w:val="18"/>
                <w:b w:val="1"/>
                <w:bCs w:val="1"/>
                <w:color w:val="auto"/>
              </w:rPr>
              <w:t>Part I Financial information</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Financial Statements</w:t>
              </w:r>
            </w:hyperlink>
          </w:p>
        </w:tc>
        <w:tc>
          <w:tcPr>
            <w:tcW w:w="6760" w:type="dxa"/>
            <w:vAlign w:val="bottom"/>
            <w:gridSpan w:val="11"/>
          </w:tcPr>
          <w:p>
            <w:pPr>
              <w:spacing w:after="0"/>
              <w:rPr>
                <w:sz w:val="24"/>
                <w:szCs w:val="24"/>
                <w:color w:val="auto"/>
              </w:rPr>
            </w:pPr>
          </w:p>
        </w:tc>
        <w:tc>
          <w:tcPr>
            <w:tcW w:w="1820" w:type="dxa"/>
            <w:vAlign w:val="bottom"/>
          </w:tcPr>
          <w:p>
            <w:pPr>
              <w:jc w:val="center"/>
              <w:ind w:left="9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60" w:type="dxa"/>
            <w:vAlign w:val="bottom"/>
            <w:tcBorders>
              <w:bottom w:val="single" w:sz="8" w:color="0000EE"/>
            </w:tcBorders>
            <w:gridSpan w:val="16"/>
          </w:tcPr>
          <w:p>
            <w:pPr>
              <w:spacing w:after="0" w:line="183" w:lineRule="exact"/>
              <w:rPr>
                <w:rFonts w:ascii="Arial" w:cs="Arial" w:eastAsia="Arial" w:hAnsi="Arial"/>
                <w:sz w:val="16"/>
                <w:szCs w:val="16"/>
                <w:color w:val="0000EE"/>
              </w:rPr>
            </w:pPr>
            <w:hyperlink w:anchor="page3">
              <w:r>
                <w:rPr>
                  <w:rFonts w:ascii="Arial" w:cs="Arial" w:eastAsia="Arial" w:hAnsi="Arial"/>
                  <w:sz w:val="16"/>
                  <w:szCs w:val="16"/>
                  <w:color w:val="0000EE"/>
                </w:rPr>
                <w:t>Consolidated statements of income – three and nine months ended September 30, 2018 and 2017</w:t>
              </w:r>
            </w:hyperlink>
          </w:p>
        </w:tc>
        <w:tc>
          <w:tcPr>
            <w:tcW w:w="1580" w:type="dxa"/>
            <w:vAlign w:val="bottom"/>
            <w:gridSpan w:val="2"/>
          </w:tcPr>
          <w:p>
            <w:pPr>
              <w:spacing w:after="0"/>
              <w:rPr>
                <w:sz w:val="15"/>
                <w:szCs w:val="15"/>
                <w:color w:val="auto"/>
              </w:rPr>
            </w:pPr>
          </w:p>
        </w:tc>
        <w:tc>
          <w:tcPr>
            <w:tcW w:w="1820" w:type="dxa"/>
            <w:vAlign w:val="bottom"/>
          </w:tcPr>
          <w:p>
            <w:pPr>
              <w:jc w:val="center"/>
              <w:ind w:left="990"/>
              <w:spacing w:after="0" w:line="18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tcBorders>
              <w:bottom w:val="single" w:sz="8" w:color="0000EE"/>
            </w:tcBorders>
            <w:gridSpan w:val="18"/>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income/(loss) – three and nine months ended September 30, 2018 and 2017</w:t>
              </w:r>
            </w:hyperlink>
          </w:p>
        </w:tc>
        <w:tc>
          <w:tcPr>
            <w:tcW w:w="1820" w:type="dxa"/>
            <w:vAlign w:val="bottom"/>
          </w:tcPr>
          <w:p>
            <w:pPr>
              <w:jc w:val="center"/>
              <w:ind w:left="990"/>
              <w:spacing w:after="0" w:line="18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80" w:type="dxa"/>
            <w:vAlign w:val="bottom"/>
            <w:tcBorders>
              <w:bottom w:val="single" w:sz="8" w:color="0000EE"/>
            </w:tcBorders>
            <w:gridSpan w:val="14"/>
          </w:tcPr>
          <w:p>
            <w:pPr>
              <w:spacing w:after="0" w:line="183" w:lineRule="exact"/>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as of September 30, 2018 and December 31, 2017</w:t>
              </w:r>
            </w:hyperlink>
          </w:p>
        </w:tc>
        <w:tc>
          <w:tcPr>
            <w:tcW w:w="2860" w:type="dxa"/>
            <w:vAlign w:val="bottom"/>
            <w:gridSpan w:val="4"/>
          </w:tcPr>
          <w:p>
            <w:pPr>
              <w:spacing w:after="0"/>
              <w:rPr>
                <w:sz w:val="15"/>
                <w:szCs w:val="15"/>
                <w:color w:val="auto"/>
              </w:rPr>
            </w:pPr>
          </w:p>
        </w:tc>
        <w:tc>
          <w:tcPr>
            <w:tcW w:w="1820" w:type="dxa"/>
            <w:vAlign w:val="bottom"/>
          </w:tcPr>
          <w:p>
            <w:pPr>
              <w:jc w:val="center"/>
              <w:ind w:left="990"/>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gridSpan w:val="18"/>
          </w:tcPr>
          <w:p>
            <w:pPr>
              <w:spacing w:after="0" w:line="183" w:lineRule="exact"/>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 three and nine months ended September 30, 2018 and 2017</w:t>
              </w:r>
            </w:hyperlink>
          </w:p>
        </w:tc>
        <w:tc>
          <w:tcPr>
            <w:tcW w:w="1820" w:type="dxa"/>
            <w:vAlign w:val="bottom"/>
          </w:tcPr>
          <w:p>
            <w:pPr>
              <w:jc w:val="center"/>
              <w:ind w:left="990"/>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Notes to consolidated financial statements</w:t>
              </w:r>
            </w:hyperlink>
          </w:p>
        </w:tc>
        <w:tc>
          <w:tcPr>
            <w:tcW w:w="4240" w:type="dxa"/>
            <w:vAlign w:val="bottom"/>
            <w:tcBorders>
              <w:top w:val="single" w:sz="8" w:color="0000EE"/>
            </w:tcBorders>
            <w:gridSpan w:val="6"/>
          </w:tcPr>
          <w:p>
            <w:pPr>
              <w:spacing w:after="0"/>
              <w:rPr>
                <w:sz w:val="15"/>
                <w:szCs w:val="15"/>
                <w:color w:val="auto"/>
              </w:rPr>
            </w:pPr>
          </w:p>
        </w:tc>
        <w:tc>
          <w:tcPr>
            <w:tcW w:w="1360" w:type="dxa"/>
            <w:vAlign w:val="bottom"/>
          </w:tcPr>
          <w:p>
            <w:pPr>
              <w:spacing w:after="0"/>
              <w:rPr>
                <w:sz w:val="15"/>
                <w:szCs w:val="15"/>
                <w:color w:val="auto"/>
              </w:rPr>
            </w:pPr>
          </w:p>
        </w:tc>
        <w:tc>
          <w:tcPr>
            <w:tcW w:w="1820" w:type="dxa"/>
            <w:vAlign w:val="bottom"/>
          </w:tcPr>
          <w:p>
            <w:pPr>
              <w:jc w:val="center"/>
              <w:ind w:left="990"/>
              <w:spacing w:after="0" w:line="18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20" w:type="dxa"/>
            <w:vAlign w:val="bottom"/>
            <w:tcBorders>
              <w:bottom w:val="single" w:sz="8" w:color="0000EE"/>
            </w:tcBorders>
            <w:gridSpan w:val="16"/>
          </w:tcPr>
          <w:p>
            <w:pPr>
              <w:spacing w:after="0" w:line="183" w:lineRule="exact"/>
              <w:rPr>
                <w:rFonts w:ascii="Arial" w:cs="Arial" w:eastAsia="Arial" w:hAnsi="Arial"/>
                <w:sz w:val="16"/>
                <w:szCs w:val="16"/>
                <w:color w:val="0000EE"/>
              </w:rPr>
            </w:pPr>
            <w:hyperlink w:anchor="page40">
              <w:r>
                <w:rPr>
                  <w:rFonts w:ascii="Arial" w:cs="Arial" w:eastAsia="Arial" w:hAnsi="Arial"/>
                  <w:sz w:val="16"/>
                  <w:szCs w:val="16"/>
                  <w:color w:val="0000EE"/>
                </w:rPr>
                <w:t>Item 2. Management’s Discussion and Analysis of Financial Condition and Results of Operations</w:t>
              </w:r>
            </w:hyperlink>
          </w:p>
        </w:tc>
        <w:tc>
          <w:tcPr>
            <w:tcW w:w="1900" w:type="dxa"/>
            <w:vAlign w:val="bottom"/>
            <w:gridSpan w:val="3"/>
          </w:tcPr>
          <w:p>
            <w:pPr>
              <w:spacing w:after="0"/>
              <w:rPr>
                <w:sz w:val="15"/>
                <w:szCs w:val="15"/>
                <w:color w:val="auto"/>
              </w:rPr>
            </w:pPr>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0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40">
              <w:r>
                <w:rPr>
                  <w:rFonts w:ascii="Arial" w:cs="Arial" w:eastAsia="Arial" w:hAnsi="Arial"/>
                  <w:sz w:val="16"/>
                  <w:szCs w:val="16"/>
                  <w:color w:val="0000EE"/>
                </w:rPr>
                <w:t>Forward-looking statements</w:t>
              </w:r>
            </w:hyperlink>
          </w:p>
        </w:tc>
        <w:tc>
          <w:tcPr>
            <w:tcW w:w="6820" w:type="dxa"/>
            <w:vAlign w:val="bottom"/>
            <w:gridSpan w:val="12"/>
          </w:tcPr>
          <w:p>
            <w:pPr>
              <w:spacing w:after="0"/>
              <w:rPr>
                <w:sz w:val="14"/>
                <w:szCs w:val="14"/>
                <w:color w:val="auto"/>
              </w:rPr>
            </w:pPr>
          </w:p>
        </w:tc>
        <w:tc>
          <w:tcPr>
            <w:tcW w:w="1820" w:type="dxa"/>
            <w:vAlign w:val="bottom"/>
            <w:vMerge w:val="restart"/>
          </w:tcPr>
          <w:p>
            <w:pPr>
              <w:jc w:val="center"/>
              <w:ind w:left="970"/>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8820" w:type="dxa"/>
            <w:vAlign w:val="bottom"/>
            <w:gridSpan w:val="19"/>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Item 3. Quantitative and Qualitative Disclosures about Market Risk</w:t>
              </w:r>
            </w:hyperlink>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rPr>
            </w:pPr>
            <w:hyperlink w:anchor="page61">
              <w:r>
                <w:rPr>
                  <w:rFonts w:ascii="Arial" w:cs="Arial" w:eastAsia="Arial" w:hAnsi="Arial"/>
                  <w:sz w:val="16"/>
                  <w:szCs w:val="16"/>
                  <w:color w:val="0000EE"/>
                </w:rPr>
                <w:t>Item 4. Controls and Procedures</w:t>
              </w:r>
            </w:hyperlink>
          </w:p>
        </w:tc>
        <w:tc>
          <w:tcPr>
            <w:tcW w:w="2420" w:type="dxa"/>
            <w:vAlign w:val="bottom"/>
            <w:tcBorders>
              <w:top w:val="single" w:sz="8" w:color="0000EE"/>
            </w:tcBorders>
            <w:gridSpan w:val="3"/>
          </w:tcPr>
          <w:p>
            <w:pPr>
              <w:spacing w:after="0"/>
              <w:rPr>
                <w:sz w:val="15"/>
                <w:szCs w:val="15"/>
                <w:color w:val="auto"/>
              </w:rPr>
            </w:pPr>
          </w:p>
        </w:tc>
        <w:tc>
          <w:tcPr>
            <w:tcW w:w="4060" w:type="dxa"/>
            <w:vAlign w:val="bottom"/>
            <w:gridSpan w:val="6"/>
          </w:tcPr>
          <w:p>
            <w:pPr>
              <w:spacing w:after="0"/>
              <w:rPr>
                <w:sz w:val="15"/>
                <w:szCs w:val="15"/>
                <w:color w:val="auto"/>
              </w:rPr>
            </w:pPr>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385"/>
        </w:trPr>
        <w:tc>
          <w:tcPr>
            <w:tcW w:w="20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Part II Other Information</w:t>
              </w:r>
            </w:hyperlink>
          </w:p>
        </w:tc>
        <w:tc>
          <w:tcPr>
            <w:tcW w:w="7000" w:type="dxa"/>
            <w:vAlign w:val="bottom"/>
            <w:gridSpan w:val="14"/>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60" w:type="dxa"/>
            <w:vAlign w:val="bottom"/>
          </w:tcPr>
          <w:p>
            <w:pPr>
              <w:spacing w:after="0"/>
              <w:rPr>
                <w:sz w:val="24"/>
                <w:szCs w:val="24"/>
                <w:color w:val="auto"/>
              </w:rPr>
            </w:pPr>
          </w:p>
        </w:tc>
        <w:tc>
          <w:tcPr>
            <w:tcW w:w="8820" w:type="dxa"/>
            <w:vAlign w:val="bottom"/>
            <w:gridSpan w:val="1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1. Legal Proceedings</w:t>
              </w:r>
            </w:hyperlink>
          </w:p>
        </w:tc>
        <w:tc>
          <w:tcPr>
            <w:tcW w:w="1820" w:type="dxa"/>
            <w:vAlign w:val="bottom"/>
          </w:tcPr>
          <w:p>
            <w:pPr>
              <w:jc w:val="center"/>
              <w:ind w:left="970"/>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80" w:type="dxa"/>
            <w:vAlign w:val="bottom"/>
            <w:tcBorders>
              <w:top w:val="single" w:sz="8" w:color="0000EE"/>
            </w:tcBorders>
            <w:gridSpan w:val="6"/>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Item 1A. Risk Factors</w:t>
              </w:r>
            </w:hyperlink>
          </w:p>
        </w:tc>
        <w:tc>
          <w:tcPr>
            <w:tcW w:w="6940" w:type="dxa"/>
            <w:vAlign w:val="bottom"/>
            <w:gridSpan w:val="13"/>
          </w:tcPr>
          <w:p>
            <w:pPr>
              <w:spacing w:after="0"/>
              <w:rPr>
                <w:sz w:val="15"/>
                <w:szCs w:val="15"/>
                <w:color w:val="auto"/>
              </w:rPr>
            </w:pPr>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20" w:type="dxa"/>
            <w:vAlign w:val="bottom"/>
            <w:vMerge w:val="restart"/>
          </w:tcPr>
          <w:p>
            <w:pPr>
              <w:jc w:val="center"/>
              <w:ind w:left="970"/>
              <w:spacing w:after="0" w:line="20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8820" w:type="dxa"/>
            <w:vAlign w:val="bottom"/>
            <w:gridSpan w:val="19"/>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Item 2. Unregistered Sales of Equity Securities and Use of Proceeds</w:t>
              </w:r>
            </w:hyperlink>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90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Item 3. Defaults upon Senior Securities</w:t>
              </w:r>
            </w:hyperlink>
          </w:p>
        </w:tc>
        <w:tc>
          <w:tcPr>
            <w:tcW w:w="3920" w:type="dxa"/>
            <w:vAlign w:val="bottom"/>
            <w:gridSpan w:val="5"/>
          </w:tcPr>
          <w:p>
            <w:pPr>
              <w:spacing w:after="0"/>
              <w:rPr>
                <w:sz w:val="15"/>
                <w:szCs w:val="15"/>
                <w:color w:val="auto"/>
              </w:rPr>
            </w:pPr>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Item 4. Mine Safety Disclosures</w:t>
              </w:r>
            </w:hyperlink>
          </w:p>
        </w:tc>
        <w:tc>
          <w:tcPr>
            <w:tcW w:w="520" w:type="dxa"/>
            <w:vAlign w:val="bottom"/>
            <w:tcBorders>
              <w:top w:val="single" w:sz="8" w:color="0000EE"/>
            </w:tcBorders>
            <w:gridSpan w:val="2"/>
          </w:tcPr>
          <w:p>
            <w:pPr>
              <w:spacing w:after="0"/>
              <w:rPr>
                <w:sz w:val="15"/>
                <w:szCs w:val="15"/>
                <w:color w:val="auto"/>
              </w:rPr>
            </w:pPr>
          </w:p>
        </w:tc>
        <w:tc>
          <w:tcPr>
            <w:tcW w:w="6020" w:type="dxa"/>
            <w:vAlign w:val="bottom"/>
            <w:gridSpan w:val="8"/>
          </w:tcPr>
          <w:p>
            <w:pPr>
              <w:spacing w:after="0"/>
              <w:rPr>
                <w:sz w:val="15"/>
                <w:szCs w:val="15"/>
                <w:color w:val="auto"/>
              </w:rPr>
            </w:pPr>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8820" w:type="dxa"/>
            <w:vAlign w:val="bottom"/>
            <w:gridSpan w:val="19"/>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Item 5. Other Information</w:t>
              </w:r>
            </w:hyperlink>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0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Item 6. Exhibits</w:t>
              </w:r>
            </w:hyperlink>
          </w:p>
        </w:tc>
        <w:tc>
          <w:tcPr>
            <w:tcW w:w="7020" w:type="dxa"/>
            <w:vAlign w:val="bottom"/>
            <w:gridSpan w:val="15"/>
          </w:tcPr>
          <w:p>
            <w:pPr>
              <w:spacing w:after="0"/>
              <w:rPr>
                <w:sz w:val="15"/>
                <w:szCs w:val="15"/>
                <w:color w:val="auto"/>
              </w:rPr>
            </w:pPr>
          </w:p>
        </w:tc>
        <w:tc>
          <w:tcPr>
            <w:tcW w:w="1820" w:type="dxa"/>
            <w:vAlign w:val="bottom"/>
          </w:tcPr>
          <w:p>
            <w:pPr>
              <w:jc w:val="center"/>
              <w:ind w:left="970"/>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00"/>
          </w:cols>
          <w:pgMar w:left="340" w:top="576"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312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8"/>
              </w:rPr>
              <w:t>ITEM 1. FINANCIAL STATEMENTS</w:t>
            </w:r>
          </w:p>
        </w:tc>
        <w:tc>
          <w:tcPr>
            <w:tcW w:w="5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8"/>
              </w:rPr>
              <w:t>ALBANY INTERNATIONAL CORP.</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jc w:val="center"/>
              <w:spacing w:after="0" w:line="202" w:lineRule="exact"/>
              <w:rPr>
                <w:sz w:val="20"/>
                <w:szCs w:val="20"/>
                <w:color w:val="auto"/>
              </w:rPr>
            </w:pPr>
            <w:r>
              <w:rPr>
                <w:rFonts w:ascii="Arial" w:cs="Arial" w:eastAsia="Arial" w:hAnsi="Arial"/>
                <w:sz w:val="18"/>
                <w:szCs w:val="18"/>
                <w:color w:val="auto"/>
                <w:w w:val="98"/>
              </w:rPr>
              <w:t>CONSOLIDATED STATEMENTS OF INCOME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jc w:val="center"/>
              <w:spacing w:after="0" w:line="202" w:lineRule="exact"/>
              <w:rPr>
                <w:sz w:val="20"/>
                <w:szCs w:val="20"/>
                <w:color w:val="auto"/>
              </w:rPr>
            </w:pPr>
            <w:r>
              <w:rPr>
                <w:rFonts w:ascii="Arial" w:cs="Arial" w:eastAsia="Arial" w:hAnsi="Arial"/>
                <w:sz w:val="18"/>
                <w:szCs w:val="18"/>
                <w:color w:val="auto"/>
                <w:w w:val="99"/>
              </w:rPr>
              <w:t>(in thousands, except per share amounts)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8"/>
              </w:rPr>
              <w:t>(unaudited)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100" w:type="dxa"/>
            <w:vAlign w:val="bottom"/>
            <w:gridSpan w:val="6"/>
          </w:tcPr>
          <w:p>
            <w:pPr>
              <w:jc w:val="center"/>
              <w:ind w:right="20"/>
              <w:spacing w:after="0"/>
              <w:rPr>
                <w:sz w:val="20"/>
                <w:szCs w:val="20"/>
                <w:color w:val="auto"/>
              </w:rPr>
            </w:pPr>
            <w:r>
              <w:rPr>
                <w:rFonts w:ascii="Arial" w:cs="Arial" w:eastAsia="Arial" w:hAnsi="Arial"/>
                <w:sz w:val="18"/>
                <w:szCs w:val="18"/>
                <w:color w:val="auto"/>
                <w:w w:val="99"/>
              </w:rPr>
              <w:t>Three Months Ended</w:t>
            </w:r>
          </w:p>
        </w:tc>
        <w:tc>
          <w:tcPr>
            <w:tcW w:w="5260" w:type="dxa"/>
            <w:vAlign w:val="bottom"/>
          </w:tcPr>
          <w:p>
            <w:pPr>
              <w:spacing w:after="0"/>
              <w:rPr>
                <w:sz w:val="24"/>
                <w:szCs w:val="24"/>
                <w:color w:val="auto"/>
              </w:rPr>
            </w:pPr>
          </w:p>
        </w:tc>
        <w:tc>
          <w:tcPr>
            <w:tcW w:w="3040" w:type="dxa"/>
            <w:vAlign w:val="bottom"/>
            <w:gridSpan w:val="6"/>
          </w:tcPr>
          <w:p>
            <w:pPr>
              <w:jc w:val="center"/>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4"/>
          </w:tcPr>
          <w:p>
            <w:pPr>
              <w:jc w:val="center"/>
              <w:ind w:left="850"/>
              <w:spacing w:after="0"/>
              <w:rPr>
                <w:sz w:val="20"/>
                <w:szCs w:val="20"/>
                <w:color w:val="auto"/>
              </w:rPr>
            </w:pPr>
            <w:r>
              <w:rPr>
                <w:rFonts w:ascii="Arial" w:cs="Arial" w:eastAsia="Arial" w:hAnsi="Arial"/>
                <w:sz w:val="18"/>
                <w:szCs w:val="18"/>
                <w:color w:val="auto"/>
                <w:w w:val="99"/>
              </w:rPr>
              <w:t>September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140" w:type="dxa"/>
            <w:vAlign w:val="bottom"/>
            <w:gridSpan w:val="4"/>
          </w:tcPr>
          <w:p>
            <w:pPr>
              <w:jc w:val="center"/>
              <w:ind w:left="830"/>
              <w:spacing w:after="0"/>
              <w:rPr>
                <w:sz w:val="20"/>
                <w:szCs w:val="20"/>
                <w:color w:val="auto"/>
              </w:rPr>
            </w:pPr>
            <w:r>
              <w:rPr>
                <w:rFonts w:ascii="Arial" w:cs="Arial" w:eastAsia="Arial" w:hAnsi="Arial"/>
                <w:sz w:val="18"/>
                <w:szCs w:val="18"/>
                <w:color w:val="auto"/>
                <w:w w:val="99"/>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60" w:type="dxa"/>
            <w:vAlign w:val="bottom"/>
            <w:gridSpan w:val="2"/>
          </w:tcPr>
          <w:p>
            <w:pPr>
              <w:jc w:val="right"/>
              <w:ind w:right="270"/>
              <w:spacing w:after="0" w:line="203"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6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$253,253</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$222,141</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$739,459</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$636,989</w:t>
            </w:r>
          </w:p>
        </w:tc>
        <w:tc>
          <w:tcPr>
            <w:tcW w:w="0" w:type="dxa"/>
            <w:vAlign w:val="bottom"/>
          </w:tcPr>
          <w:p>
            <w:pPr>
              <w:spacing w:after="0"/>
              <w:rPr>
                <w:sz w:val="1"/>
                <w:szCs w:val="1"/>
                <w:color w:val="auto"/>
              </w:rPr>
            </w:pPr>
          </w:p>
        </w:tc>
      </w:tr>
      <w:tr>
        <w:trPr>
          <w:trHeight w:val="216"/>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160,227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142,582</w:t>
            </w:r>
          </w:p>
        </w:tc>
        <w:tc>
          <w:tcPr>
            <w:tcW w:w="526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472,604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418,224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36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auto"/>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526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320" w:type="dxa"/>
            <w:vAlign w:val="bottom"/>
            <w:tcBorders>
              <w:top w:val="single" w:sz="8" w:color="BFBFBF"/>
            </w:tcBorders>
            <w:shd w:val="clear" w:color="auto" w:fill="BFBFBF"/>
          </w:tcPr>
          <w:p>
            <w:pPr>
              <w:spacing w:after="0"/>
              <w:rPr>
                <w:sz w:val="17"/>
                <w:szCs w:val="17"/>
                <w:color w:val="auto"/>
              </w:rPr>
            </w:pPr>
          </w:p>
        </w:tc>
        <w:tc>
          <w:tcPr>
            <w:tcW w:w="460" w:type="dxa"/>
            <w:vAlign w:val="bottom"/>
            <w:tcBorders>
              <w:top w:val="single" w:sz="8" w:color="auto"/>
            </w:tcBorders>
            <w:shd w:val="clear" w:color="auto" w:fill="BFBFBF"/>
          </w:tcPr>
          <w:p>
            <w:pPr>
              <w:spacing w:after="0"/>
              <w:rPr>
                <w:sz w:val="17"/>
                <w:szCs w:val="17"/>
                <w:color w:val="auto"/>
              </w:rPr>
            </w:pPr>
          </w:p>
        </w:tc>
        <w:tc>
          <w:tcPr>
            <w:tcW w:w="80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93,026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79,559</w:t>
            </w: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266,855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39,071</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40,575</w:t>
            </w:r>
          </w:p>
        </w:tc>
        <w:tc>
          <w:tcPr>
            <w:tcW w:w="526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117,708</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122,296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9,958</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10,553</w:t>
            </w: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Technical and research expenses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30,473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2,552</w:t>
            </w: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94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5,503</w:t>
            </w:r>
          </w:p>
        </w:tc>
        <w:tc>
          <w:tcPr>
            <w:tcW w:w="5260" w:type="dxa"/>
            <w:vAlign w:val="bottom"/>
            <w:shd w:val="clear" w:color="auto" w:fill="BFBFBF"/>
          </w:tcPr>
          <w:p>
            <w:pPr>
              <w:ind w:left="440"/>
              <w:spacing w:after="0"/>
              <w:rPr>
                <w:sz w:val="20"/>
                <w:szCs w:val="20"/>
                <w:color w:val="auto"/>
              </w:rPr>
            </w:pPr>
            <w:r>
              <w:rPr>
                <w:rFonts w:ascii="Arial" w:cs="Arial" w:eastAsia="Arial" w:hAnsi="Arial"/>
                <w:sz w:val="18"/>
                <w:szCs w:val="18"/>
                <w:color w:val="auto"/>
              </w:rPr>
              <w:t>Restructuring expenses, net</w:t>
            </w:r>
          </w:p>
        </w:tc>
        <w:tc>
          <w:tcPr>
            <w:tcW w:w="136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13,714</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41,445</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22,928</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Operating income</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104,960</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55,461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4,621</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4,429</w:t>
            </w: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13,530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(3,151)</w:t>
            </w: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94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(530)</w:t>
            </w:r>
          </w:p>
        </w:tc>
        <w:tc>
          <w:tcPr>
            <w:tcW w:w="5260" w:type="dxa"/>
            <w:vAlign w:val="bottom"/>
            <w:shd w:val="clear" w:color="auto" w:fill="BFBFBF"/>
          </w:tcPr>
          <w:p>
            <w:pPr>
              <w:ind w:left="440"/>
              <w:spacing w:after="0"/>
              <w:rPr>
                <w:sz w:val="20"/>
                <w:szCs w:val="20"/>
                <w:color w:val="auto"/>
              </w:rPr>
            </w:pPr>
            <w:r>
              <w:rPr>
                <w:rFonts w:ascii="Arial" w:cs="Arial" w:eastAsia="Arial" w:hAnsi="Arial"/>
                <w:sz w:val="18"/>
                <w:szCs w:val="18"/>
                <w:color w:val="auto"/>
              </w:rPr>
              <w:t>Other (income)/expense, net</w:t>
            </w:r>
          </w:p>
        </w:tc>
        <w:tc>
          <w:tcPr>
            <w:tcW w:w="13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(973)</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39,975</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19,029</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Income before income taxes</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92,403</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39,565</w:t>
            </w: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11,491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3,809</w:t>
            </w:r>
          </w:p>
        </w:tc>
        <w:tc>
          <w:tcPr>
            <w:tcW w:w="5260" w:type="dxa"/>
            <w:vAlign w:val="bottom"/>
          </w:tcPr>
          <w:p>
            <w:pPr>
              <w:ind w:left="440"/>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23,131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36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auto"/>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526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320" w:type="dxa"/>
            <w:vAlign w:val="bottom"/>
            <w:tcBorders>
              <w:top w:val="single" w:sz="8" w:color="BFBFBF"/>
            </w:tcBorders>
            <w:shd w:val="clear" w:color="auto" w:fill="BFBFBF"/>
          </w:tcPr>
          <w:p>
            <w:pPr>
              <w:spacing w:after="0"/>
              <w:rPr>
                <w:sz w:val="17"/>
                <w:szCs w:val="17"/>
                <w:color w:val="auto"/>
              </w:rPr>
            </w:pPr>
          </w:p>
        </w:tc>
        <w:tc>
          <w:tcPr>
            <w:tcW w:w="460" w:type="dxa"/>
            <w:vAlign w:val="bottom"/>
            <w:tcBorders>
              <w:top w:val="single" w:sz="8" w:color="auto"/>
            </w:tcBorders>
            <w:shd w:val="clear" w:color="auto" w:fill="BFBFBF"/>
          </w:tcPr>
          <w:p>
            <w:pPr>
              <w:spacing w:after="0"/>
              <w:rPr>
                <w:sz w:val="17"/>
                <w:szCs w:val="17"/>
                <w:color w:val="auto"/>
              </w:rPr>
            </w:pPr>
          </w:p>
        </w:tc>
        <w:tc>
          <w:tcPr>
            <w:tcW w:w="80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28,484</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15,220</w:t>
            </w: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69,272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1" w:lineRule="exact"/>
              <w:rPr>
                <w:sz w:val="20"/>
                <w:szCs w:val="20"/>
                <w:color w:val="auto"/>
              </w:rPr>
            </w:pPr>
            <w:r>
              <w:rPr>
                <w:rFonts w:ascii="Arial" w:cs="Arial" w:eastAsia="Arial" w:hAnsi="Arial"/>
                <w:sz w:val="18"/>
                <w:szCs w:val="18"/>
                <w:color w:val="auto"/>
              </w:rPr>
              <w:t>Net income/(loss) attributable to the noncontrolling</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94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(49)</w:t>
            </w:r>
          </w:p>
        </w:tc>
        <w:tc>
          <w:tcPr>
            <w:tcW w:w="5260" w:type="dxa"/>
            <w:vAlign w:val="bottom"/>
            <w:shd w:val="clear" w:color="auto" w:fill="BFBFBF"/>
          </w:tcPr>
          <w:p>
            <w:pPr>
              <w:ind w:left="340"/>
              <w:spacing w:after="0"/>
              <w:rPr>
                <w:sz w:val="20"/>
                <w:szCs w:val="20"/>
                <w:color w:val="auto"/>
              </w:rPr>
            </w:pPr>
            <w:r>
              <w:rPr>
                <w:rFonts w:ascii="Arial" w:cs="Arial" w:eastAsia="Arial" w:hAnsi="Arial"/>
                <w:sz w:val="18"/>
                <w:szCs w:val="18"/>
                <w:color w:val="auto"/>
              </w:rPr>
              <w:t>interest</w:t>
            </w:r>
          </w:p>
        </w:tc>
        <w:tc>
          <w:tcPr>
            <w:tcW w:w="136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the Company</w:t>
            </w: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$15,269</w:t>
            </w:r>
          </w:p>
        </w:tc>
        <w:tc>
          <w:tcPr>
            <w:tcW w:w="120" w:type="dxa"/>
            <w:vAlign w:val="bottom"/>
          </w:tcPr>
          <w:p>
            <w:pPr>
              <w:spacing w:after="0"/>
              <w:rPr>
                <w:sz w:val="21"/>
                <w:szCs w:val="21"/>
                <w:color w:val="auto"/>
              </w:rPr>
            </w:pPr>
          </w:p>
        </w:tc>
        <w:tc>
          <w:tcPr>
            <w:tcW w:w="5260" w:type="dxa"/>
            <w:vAlign w:val="bottom"/>
            <w:vMerge w:val="continue"/>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$68,825</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360" w:type="dxa"/>
            <w:vAlign w:val="bottom"/>
            <w:tcBorders>
              <w:top w:val="single" w:sz="8" w:color="BFBFBF"/>
            </w:tcBorders>
            <w:shd w:val="clear" w:color="auto" w:fill="BFBFBF"/>
          </w:tcPr>
          <w:p>
            <w:pPr>
              <w:spacing w:after="0"/>
              <w:rPr>
                <w:sz w:val="15"/>
                <w:szCs w:val="15"/>
                <w:color w:val="auto"/>
              </w:rPr>
            </w:pPr>
          </w:p>
        </w:tc>
        <w:tc>
          <w:tcPr>
            <w:tcW w:w="440" w:type="dxa"/>
            <w:vAlign w:val="bottom"/>
            <w:tcBorders>
              <w:top w:val="single" w:sz="8" w:color="auto"/>
            </w:tcBorders>
            <w:shd w:val="clear" w:color="auto" w:fill="BFBFBF"/>
          </w:tcPr>
          <w:p>
            <w:pPr>
              <w:spacing w:after="0"/>
              <w:rPr>
                <w:sz w:val="15"/>
                <w:szCs w:val="15"/>
                <w:color w:val="auto"/>
              </w:rPr>
            </w:pPr>
          </w:p>
        </w:tc>
        <w:tc>
          <w:tcPr>
            <w:tcW w:w="82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5260" w:type="dxa"/>
            <w:vAlign w:val="bottom"/>
            <w:tcBorders>
              <w:top w:val="single" w:sz="8" w:color="BFBFBF"/>
            </w:tcBorders>
            <w:shd w:val="clear" w:color="auto" w:fill="BFBFBF"/>
          </w:tcPr>
          <w:p>
            <w:pPr>
              <w:spacing w:after="0"/>
              <w:rPr>
                <w:sz w:val="15"/>
                <w:szCs w:val="15"/>
                <w:color w:val="auto"/>
              </w:rPr>
            </w:pPr>
          </w:p>
        </w:tc>
        <w:tc>
          <w:tcPr>
            <w:tcW w:w="124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320" w:type="dxa"/>
            <w:vAlign w:val="bottom"/>
            <w:tcBorders>
              <w:top w:val="single" w:sz="8" w:color="BFBFBF"/>
            </w:tcBorders>
            <w:shd w:val="clear" w:color="auto" w:fill="BFBFBF"/>
          </w:tcPr>
          <w:p>
            <w:pPr>
              <w:spacing w:after="0"/>
              <w:rPr>
                <w:sz w:val="15"/>
                <w:szCs w:val="15"/>
                <w:color w:val="auto"/>
              </w:rPr>
            </w:pPr>
          </w:p>
        </w:tc>
        <w:tc>
          <w:tcPr>
            <w:tcW w:w="460" w:type="dxa"/>
            <w:vAlign w:val="bottom"/>
            <w:tcBorders>
              <w:top w:val="single" w:sz="8" w:color="auto"/>
            </w:tcBorders>
            <w:shd w:val="clear" w:color="auto" w:fill="BFBFBF"/>
          </w:tcPr>
          <w:p>
            <w:pPr>
              <w:spacing w:after="0"/>
              <w:rPr>
                <w:sz w:val="15"/>
                <w:szCs w:val="15"/>
                <w:color w:val="auto"/>
              </w:rPr>
            </w:pPr>
          </w:p>
        </w:tc>
        <w:tc>
          <w:tcPr>
            <w:tcW w:w="80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Earnings per share attributable to Company shareholders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$0.87</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$0.47</w:t>
            </w: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 Basic</w:t>
            </w:r>
          </w:p>
        </w:tc>
        <w:tc>
          <w:tcPr>
            <w:tcW w:w="13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$2.13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Earnings per share attributable to Company shareholders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$0.87</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$0.47</w:t>
            </w: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 Diluted</w:t>
            </w:r>
          </w:p>
        </w:tc>
        <w:tc>
          <w:tcPr>
            <w:tcW w:w="13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$2.13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Shares of the Company used in computing earnings per</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share: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32,264</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32,187</w:t>
            </w:r>
          </w:p>
        </w:tc>
        <w:tc>
          <w:tcPr>
            <w:tcW w:w="526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32,247</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32,160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32,280</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32,214</w:t>
            </w:r>
          </w:p>
        </w:tc>
        <w:tc>
          <w:tcPr>
            <w:tcW w:w="526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32,263</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32,193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$0.17</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$0.17</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Dividends declared per share, Class A and Class B</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$0.51</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7"/>
          </w:tcPr>
          <w:p>
            <w:pPr>
              <w:jc w:val="center"/>
              <w:ind w:right="12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9"/>
              </w:rPr>
              <w:t>Three Months Ended</w:t>
            </w:r>
          </w:p>
        </w:tc>
        <w:tc>
          <w:tcPr>
            <w:tcW w:w="5260" w:type="dxa"/>
            <w:vAlign w:val="bottom"/>
          </w:tcPr>
          <w:p>
            <w:pPr>
              <w:spacing w:after="0"/>
              <w:rPr>
                <w:sz w:val="17"/>
                <w:szCs w:val="17"/>
                <w:color w:val="auto"/>
              </w:rPr>
            </w:pPr>
          </w:p>
        </w:tc>
        <w:tc>
          <w:tcPr>
            <w:tcW w:w="3040" w:type="dxa"/>
            <w:vAlign w:val="bottom"/>
            <w:gridSpan w:val="6"/>
          </w:tcPr>
          <w:p>
            <w:pPr>
              <w:jc w:val="center"/>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17"/>
        </w:trPr>
        <w:tc>
          <w:tcPr>
            <w:tcW w:w="2180" w:type="dxa"/>
            <w:vAlign w:val="bottom"/>
            <w:gridSpan w:val="4"/>
          </w:tcPr>
          <w:p>
            <w:pPr>
              <w:jc w:val="center"/>
              <w:ind w:left="870"/>
              <w:spacing w:after="0"/>
              <w:rPr>
                <w:sz w:val="20"/>
                <w:szCs w:val="20"/>
                <w:color w:val="auto"/>
              </w:rPr>
            </w:pPr>
            <w:r>
              <w:rPr>
                <w:rFonts w:ascii="Arial" w:cs="Arial" w:eastAsia="Arial" w:hAnsi="Arial"/>
                <w:sz w:val="18"/>
                <w:szCs w:val="18"/>
                <w:color w:val="auto"/>
                <w:w w:val="99"/>
              </w:rPr>
              <w:t>September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140" w:type="dxa"/>
            <w:vAlign w:val="bottom"/>
            <w:gridSpan w:val="4"/>
          </w:tcPr>
          <w:p>
            <w:pPr>
              <w:jc w:val="center"/>
              <w:ind w:left="830"/>
              <w:spacing w:after="0"/>
              <w:rPr>
                <w:sz w:val="20"/>
                <w:szCs w:val="20"/>
                <w:color w:val="auto"/>
              </w:rPr>
            </w:pPr>
            <w:r>
              <w:rPr>
                <w:rFonts w:ascii="Arial" w:cs="Arial" w:eastAsia="Arial" w:hAnsi="Arial"/>
                <w:sz w:val="18"/>
                <w:szCs w:val="18"/>
                <w:color w:val="auto"/>
                <w:w w:val="99"/>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2017</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$28,484</w:t>
            </w: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$15,220</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$69,272</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$27,427</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(7,847)</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11,974</w:t>
            </w: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(21,193)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39,348</w:t>
            </w: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(232)</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Pension/postretirement curtailment gain</w:t>
            </w:r>
          </w:p>
        </w:tc>
        <w:tc>
          <w:tcPr>
            <w:tcW w:w="136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(750)</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(1,114)</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(1,113)</w:t>
            </w:r>
          </w:p>
        </w:tc>
        <w:tc>
          <w:tcPr>
            <w:tcW w:w="526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Prior service credit</w:t>
            </w:r>
          </w:p>
        </w:tc>
        <w:tc>
          <w:tcPr>
            <w:tcW w:w="136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(3,341)</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1,294</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1,350</w:t>
            </w: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Net actuarial loss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3,882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2"/>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1" w:lineRule="exact"/>
              <w:rPr>
                <w:sz w:val="20"/>
                <w:szCs w:val="20"/>
                <w:color w:val="auto"/>
              </w:rPr>
            </w:pPr>
            <w:r>
              <w:rPr>
                <w:rFonts w:ascii="Arial" w:cs="Arial" w:eastAsia="Arial" w:hAnsi="Arial"/>
                <w:sz w:val="18"/>
                <w:szCs w:val="18"/>
                <w:color w:val="auto"/>
              </w:rPr>
              <w:t>Payments and amortization related to interest rate swaps</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60"/>
              <w:spacing w:after="0" w:line="203" w:lineRule="exact"/>
              <w:rPr>
                <w:sz w:val="20"/>
                <w:szCs w:val="20"/>
                <w:color w:val="auto"/>
              </w:rPr>
            </w:pPr>
            <w:r>
              <w:rPr>
                <w:rFonts w:ascii="Arial" w:cs="Arial" w:eastAsia="Arial" w:hAnsi="Arial"/>
                <w:sz w:val="18"/>
                <w:szCs w:val="18"/>
                <w:color w:val="auto"/>
              </w:rPr>
              <w:t>(96)</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295</w:t>
            </w:r>
          </w:p>
        </w:tc>
        <w:tc>
          <w:tcPr>
            <w:tcW w:w="5260" w:type="dxa"/>
            <w:vAlign w:val="bottom"/>
            <w:shd w:val="clear" w:color="auto" w:fill="BFBFBF"/>
          </w:tcPr>
          <w:p>
            <w:pPr>
              <w:ind w:left="340"/>
              <w:spacing w:after="0" w:line="203" w:lineRule="exact"/>
              <w:rPr>
                <w:sz w:val="20"/>
                <w:szCs w:val="20"/>
                <w:color w:val="auto"/>
              </w:rPr>
            </w:pPr>
            <w:r>
              <w:rPr>
                <w:rFonts w:ascii="Arial" w:cs="Arial" w:eastAsia="Arial" w:hAnsi="Arial"/>
                <w:sz w:val="18"/>
                <w:szCs w:val="18"/>
                <w:color w:val="auto"/>
              </w:rPr>
              <w:t>included in earnings</w:t>
            </w:r>
          </w:p>
        </w:tc>
        <w:tc>
          <w:tcPr>
            <w:tcW w:w="136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138</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1,777</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Derivative valuation adjustment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9,703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Income taxes related to items of other comprehensive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income/(loss):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Pension/postretirement curtailment gain</w:t>
            </w:r>
          </w:p>
        </w:tc>
        <w:tc>
          <w:tcPr>
            <w:tcW w:w="13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225</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w:t>
            </w: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1" w:lineRule="exact"/>
              <w:rPr>
                <w:sz w:val="20"/>
                <w:szCs w:val="20"/>
                <w:color w:val="auto"/>
              </w:rPr>
            </w:pPr>
            <w:r>
              <w:rPr>
                <w:rFonts w:ascii="Arial" w:cs="Arial" w:eastAsia="Arial" w:hAnsi="Arial"/>
                <w:sz w:val="18"/>
                <w:szCs w:val="18"/>
                <w:color w:val="auto"/>
              </w:rPr>
              <w:t>Payments and amortization related to interest rate swaps</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23</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5260" w:type="dxa"/>
            <w:vAlign w:val="bottom"/>
            <w:shd w:val="clear" w:color="auto" w:fill="BFBFBF"/>
          </w:tcPr>
          <w:p>
            <w:pPr>
              <w:ind w:left="340"/>
              <w:spacing w:after="0" w:line="203" w:lineRule="exact"/>
              <w:rPr>
                <w:sz w:val="20"/>
                <w:szCs w:val="20"/>
                <w:color w:val="auto"/>
              </w:rPr>
            </w:pPr>
            <w:r>
              <w:rPr>
                <w:rFonts w:ascii="Arial" w:cs="Arial" w:eastAsia="Arial" w:hAnsi="Arial"/>
                <w:sz w:val="18"/>
                <w:szCs w:val="18"/>
                <w:color w:val="auto"/>
              </w:rPr>
              <w:t>included in earnings</w:t>
            </w:r>
          </w:p>
        </w:tc>
        <w:tc>
          <w:tcPr>
            <w:tcW w:w="1360" w:type="dxa"/>
            <w:vAlign w:val="bottom"/>
            <w:gridSpan w:val="2"/>
            <w:shd w:val="clear" w:color="auto" w:fill="BFBFBF"/>
          </w:tcPr>
          <w:p>
            <w:pPr>
              <w:jc w:val="right"/>
              <w:ind w:right="60"/>
              <w:spacing w:after="0" w:line="203" w:lineRule="exact"/>
              <w:rPr>
                <w:sz w:val="20"/>
                <w:szCs w:val="20"/>
                <w:color w:val="auto"/>
              </w:rPr>
            </w:pPr>
            <w:r>
              <w:rPr>
                <w:rFonts w:ascii="Arial" w:cs="Arial" w:eastAsia="Arial" w:hAnsi="Arial"/>
                <w:sz w:val="18"/>
                <w:szCs w:val="18"/>
                <w:color w:val="auto"/>
              </w:rPr>
              <w:t>(33)</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5260" w:type="dxa"/>
            <w:vAlign w:val="bottom"/>
          </w:tcPr>
          <w:p>
            <w:pPr>
              <w:ind w:left="340"/>
              <w:spacing w:after="0"/>
              <w:rPr>
                <w:sz w:val="20"/>
                <w:szCs w:val="20"/>
                <w:color w:val="auto"/>
              </w:rPr>
            </w:pPr>
            <w:r>
              <w:rPr>
                <w:rFonts w:ascii="Arial" w:cs="Arial" w:eastAsia="Arial" w:hAnsi="Arial"/>
                <w:sz w:val="18"/>
                <w:szCs w:val="18"/>
                <w:color w:val="auto"/>
              </w:rPr>
              <w:t>Derivative valuation adjustment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(2,329)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96"/>
        </w:trPr>
        <w:tc>
          <w:tcPr>
            <w:tcW w:w="12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21,878</w:t>
            </w:r>
          </w:p>
        </w:tc>
        <w:tc>
          <w:tcPr>
            <w:tcW w:w="120" w:type="dxa"/>
            <w:vAlign w:val="bottom"/>
            <w:tcBorders>
              <w:top w:val="single" w:sz="8" w:color="BFBFBF"/>
            </w:tcBorders>
            <w:shd w:val="clear" w:color="auto" w:fill="BFBFBF"/>
          </w:tcPr>
          <w:p>
            <w:pPr>
              <w:spacing w:after="0"/>
              <w:rPr>
                <w:sz w:val="17"/>
                <w:szCs w:val="17"/>
                <w:color w:val="auto"/>
              </w:rPr>
            </w:pPr>
          </w:p>
        </w:tc>
        <w:tc>
          <w:tcPr>
            <w:tcW w:w="36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auto"/>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27,483</w:t>
            </w:r>
          </w:p>
        </w:tc>
        <w:tc>
          <w:tcPr>
            <w:tcW w:w="120" w:type="dxa"/>
            <w:vAlign w:val="bottom"/>
            <w:tcBorders>
              <w:top w:val="single" w:sz="8" w:color="BFBFBF"/>
            </w:tcBorders>
            <w:shd w:val="clear" w:color="auto" w:fill="BFBFBF"/>
          </w:tcPr>
          <w:p>
            <w:pPr>
              <w:spacing w:after="0"/>
              <w:rPr>
                <w:sz w:val="17"/>
                <w:szCs w:val="17"/>
                <w:color w:val="auto"/>
              </w:rPr>
            </w:pPr>
          </w:p>
        </w:tc>
        <w:tc>
          <w:tcPr>
            <w:tcW w:w="5260" w:type="dxa"/>
            <w:vAlign w:val="bottom"/>
            <w:tcBorders>
              <w:top w:val="single" w:sz="8" w:color="BFBFBF"/>
            </w:tcBorders>
            <w:shd w:val="clear" w:color="auto" w:fill="BFBFBF"/>
          </w:tcPr>
          <w:p>
            <w:pPr>
              <w:ind w:left="340"/>
              <w:spacing w:after="0" w:line="196" w:lineRule="exact"/>
              <w:rPr>
                <w:sz w:val="20"/>
                <w:szCs w:val="20"/>
                <w:color w:val="auto"/>
              </w:rPr>
            </w:pPr>
            <w:r>
              <w:rPr>
                <w:rFonts w:ascii="Arial" w:cs="Arial" w:eastAsia="Arial" w:hAnsi="Arial"/>
                <w:sz w:val="18"/>
                <w:szCs w:val="18"/>
                <w:color w:val="auto"/>
              </w:rPr>
              <w:t>Comprehensive income</w:t>
            </w:r>
          </w:p>
        </w:tc>
        <w:tc>
          <w:tcPr>
            <w:tcW w:w="124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55,412</w:t>
            </w:r>
          </w:p>
        </w:tc>
        <w:tc>
          <w:tcPr>
            <w:tcW w:w="120" w:type="dxa"/>
            <w:vAlign w:val="bottom"/>
            <w:tcBorders>
              <w:top w:val="single" w:sz="8" w:color="BFBFBF"/>
            </w:tcBorders>
            <w:shd w:val="clear" w:color="auto" w:fill="BFBFBF"/>
          </w:tcPr>
          <w:p>
            <w:pPr>
              <w:spacing w:after="0"/>
              <w:rPr>
                <w:sz w:val="17"/>
                <w:szCs w:val="17"/>
                <w:color w:val="auto"/>
              </w:rPr>
            </w:pPr>
          </w:p>
        </w:tc>
        <w:tc>
          <w:tcPr>
            <w:tcW w:w="320" w:type="dxa"/>
            <w:vAlign w:val="bottom"/>
            <w:tcBorders>
              <w:top w:val="single" w:sz="8" w:color="BFBFBF"/>
            </w:tcBorders>
            <w:shd w:val="clear" w:color="auto" w:fill="BFBFBF"/>
          </w:tcPr>
          <w:p>
            <w:pPr>
              <w:spacing w:after="0"/>
              <w:rPr>
                <w:sz w:val="17"/>
                <w:szCs w:val="17"/>
                <w:color w:val="auto"/>
              </w:rPr>
            </w:pPr>
          </w:p>
        </w:tc>
        <w:tc>
          <w:tcPr>
            <w:tcW w:w="460" w:type="dxa"/>
            <w:vAlign w:val="bottom"/>
            <w:tcBorders>
              <w:top w:val="single" w:sz="8" w:color="auto"/>
            </w:tcBorders>
            <w:shd w:val="clear" w:color="auto" w:fill="BFBFBF"/>
          </w:tcPr>
          <w:p>
            <w:pPr>
              <w:spacing w:after="0"/>
              <w:rPr>
                <w:sz w:val="17"/>
                <w:szCs w:val="17"/>
                <w:color w:val="auto"/>
              </w:rPr>
            </w:pPr>
          </w:p>
        </w:tc>
        <w:tc>
          <w:tcPr>
            <w:tcW w:w="8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67,362</w:t>
            </w: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Comprehensive income/(loss) attributable to the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526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60" w:type="dxa"/>
            <w:vAlign w:val="bottom"/>
            <w:shd w:val="clear" w:color="auto" w:fill="BFBFB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260" w:type="dxa"/>
            <w:vAlign w:val="bottom"/>
            <w:vMerge w:val="restart"/>
            <w:shd w:val="clear" w:color="auto" w:fill="BFBFBF"/>
          </w:tcPr>
          <w:p>
            <w:pPr>
              <w:ind w:left="340"/>
              <w:spacing w:after="0"/>
              <w:rPr>
                <w:sz w:val="20"/>
                <w:szCs w:val="20"/>
                <w:color w:val="auto"/>
              </w:rPr>
            </w:pPr>
            <w:r>
              <w:rPr>
                <w:rFonts w:ascii="Arial" w:cs="Arial" w:eastAsia="Arial" w:hAnsi="Arial"/>
                <w:sz w:val="18"/>
                <w:szCs w:val="18"/>
                <w:color w:val="auto"/>
              </w:rPr>
              <w:t>Comprehensive income attributable to the Company</w:t>
            </w: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20" w:type="dxa"/>
            <w:vAlign w:val="bottom"/>
            <w:shd w:val="clear" w:color="auto" w:fill="BFBFB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$21,614</w:t>
            </w:r>
          </w:p>
        </w:tc>
        <w:tc>
          <w:tcPr>
            <w:tcW w:w="120" w:type="dxa"/>
            <w:vAlign w:val="bottom"/>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8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$27,526</w:t>
            </w:r>
          </w:p>
        </w:tc>
        <w:tc>
          <w:tcPr>
            <w:tcW w:w="120" w:type="dxa"/>
            <w:vAlign w:val="bottom"/>
            <w:shd w:val="clear" w:color="auto" w:fill="BFBFBF"/>
          </w:tcPr>
          <w:p>
            <w:pPr>
              <w:spacing w:after="0"/>
              <w:rPr>
                <w:sz w:val="18"/>
                <w:szCs w:val="18"/>
                <w:color w:val="auto"/>
              </w:rPr>
            </w:pPr>
          </w:p>
        </w:tc>
        <w:tc>
          <w:tcPr>
            <w:tcW w:w="5260" w:type="dxa"/>
            <w:vAlign w:val="bottom"/>
            <w:vMerge w:val="continue"/>
            <w:shd w:val="clear" w:color="auto" w:fill="BFBFBF"/>
          </w:tcPr>
          <w:p>
            <w:pPr>
              <w:spacing w:after="0"/>
              <w:rPr>
                <w:sz w:val="18"/>
                <w:szCs w:val="18"/>
                <w:color w:val="auto"/>
              </w:rPr>
            </w:pPr>
          </w:p>
        </w:tc>
        <w:tc>
          <w:tcPr>
            <w:tcW w:w="136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$54,966</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$67,141</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360" w:type="dxa"/>
            <w:vAlign w:val="bottom"/>
            <w:tcBorders>
              <w:top w:val="single" w:sz="8" w:color="BFBFB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5260" w:type="dxa"/>
            <w:vAlign w:val="bottom"/>
            <w:tcBorders>
              <w:top w:val="single" w:sz="8" w:color="BFBFB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320" w:type="dxa"/>
            <w:vAlign w:val="bottom"/>
            <w:tcBorders>
              <w:top w:val="single" w:sz="8" w:color="BFBFB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520" w:type="dxa"/>
            <w:vAlign w:val="bottom"/>
            <w:gridSpan w:val="3"/>
          </w:tcPr>
          <w:p>
            <w:pPr>
              <w:ind w:left="220"/>
              <w:spacing w:after="0"/>
              <w:rPr>
                <w:sz w:val="20"/>
                <w:szCs w:val="20"/>
                <w:color w:val="auto"/>
              </w:rPr>
            </w:pPr>
            <w:r>
              <w:rPr>
                <w:rFonts w:ascii="Arial" w:cs="Arial" w:eastAsia="Arial" w:hAnsi="Arial"/>
                <w:sz w:val="18"/>
                <w:szCs w:val="18"/>
                <w:color w:val="auto"/>
              </w:rPr>
              <w:t>September 30,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5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$160,593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$183,727</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net</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252,464</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202,675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Contract assets</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56,100</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99,765</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136,519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Income taxes prepaid and receivable</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6,643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6,266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20,541</w:t>
            </w:r>
          </w:p>
        </w:tc>
        <w:tc>
          <w:tcPr>
            <w:tcW w:w="9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BFBFBF"/>
            </w:tcBorders>
            <w:shd w:val="clear" w:color="auto" w:fill="BFBFBF"/>
          </w:tcPr>
          <w:p>
            <w:pPr>
              <w:ind w:left="80"/>
              <w:spacing w:after="0" w:line="196" w:lineRule="exact"/>
              <w:rPr>
                <w:sz w:val="20"/>
                <w:szCs w:val="20"/>
                <w:color w:val="auto"/>
              </w:rPr>
            </w:pPr>
            <w:r>
              <w:rPr>
                <w:rFonts w:ascii="Arial" w:cs="Arial" w:eastAsia="Arial" w:hAnsi="Arial"/>
                <w:sz w:val="18"/>
                <w:szCs w:val="18"/>
                <w:color w:val="auto"/>
              </w:rPr>
              <w:t>Total current assets</w:t>
            </w:r>
          </w:p>
        </w:tc>
        <w:tc>
          <w:tcPr>
            <w:tcW w:w="15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596,106</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543,707</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462,438</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454,302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Intangibles, net</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50,765</w:t>
            </w:r>
          </w:p>
        </w:tc>
        <w:tc>
          <w:tcPr>
            <w:tcW w:w="900" w:type="dxa"/>
            <w:vAlign w:val="bottom"/>
          </w:tcPr>
          <w:p>
            <w:pPr>
              <w:spacing w:after="0"/>
              <w:rPr>
                <w:sz w:val="17"/>
                <w:szCs w:val="17"/>
                <w:color w:val="auto"/>
              </w:rPr>
            </w:pP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55,441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Goodwill</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165,103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166,796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Deferred income taxes</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79,865</w:t>
            </w:r>
          </w:p>
        </w:tc>
        <w:tc>
          <w:tcPr>
            <w:tcW w:w="900" w:type="dxa"/>
            <w:vAlign w:val="bottom"/>
          </w:tcPr>
          <w:p>
            <w:pPr>
              <w:spacing w:after="0"/>
              <w:rPr>
                <w:sz w:val="17"/>
                <w:szCs w:val="17"/>
                <w:color w:val="auto"/>
              </w:rPr>
            </w:pP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68,648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Noncurrent receivables</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41,657</w:t>
            </w:r>
          </w:p>
        </w:tc>
        <w:tc>
          <w:tcPr>
            <w:tcW w:w="900" w:type="dxa"/>
            <w:vAlign w:val="bottom"/>
            <w:shd w:val="clear" w:color="auto" w:fill="BFBFBF"/>
          </w:tcPr>
          <w:p>
            <w:pPr>
              <w:spacing w:after="0"/>
              <w:rPr>
                <w:sz w:val="17"/>
                <w:szCs w:val="17"/>
                <w:color w:val="auto"/>
              </w:rPr>
            </w:pPr>
          </w:p>
        </w:tc>
        <w:tc>
          <w:tcPr>
            <w:tcW w:w="15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Other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52,392</w:t>
            </w:r>
          </w:p>
        </w:tc>
        <w:tc>
          <w:tcPr>
            <w:tcW w:w="120" w:type="dxa"/>
            <w:vAlign w:val="bottom"/>
            <w:tcBorders>
              <w:bottom w:val="single" w:sz="8" w:color="BFBFBF"/>
            </w:tcBorders>
          </w:tcPr>
          <w:p>
            <w:pPr>
              <w:spacing w:after="0"/>
              <w:rPr>
                <w:sz w:val="18"/>
                <w:szCs w:val="18"/>
                <w:color w:val="auto"/>
              </w:rPr>
            </w:pPr>
          </w:p>
        </w:tc>
        <w:tc>
          <w:tcPr>
            <w:tcW w:w="90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39,493</w:t>
            </w:r>
          </w:p>
        </w:tc>
        <w:tc>
          <w:tcPr>
            <w:tcW w:w="100" w:type="dxa"/>
            <w:vAlign w:val="bottom"/>
            <w:tcBorders>
              <w:bottom w:val="single" w:sz="8" w:color="BFBFB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BFBFBF"/>
          </w:tcPr>
          <w:p>
            <w:pPr>
              <w:ind w:left="120"/>
              <w:spacing w:after="0" w:line="197" w:lineRule="exact"/>
              <w:rPr>
                <w:sz w:val="20"/>
                <w:szCs w:val="20"/>
                <w:color w:val="auto"/>
              </w:rPr>
            </w:pPr>
            <w:r>
              <w:rPr>
                <w:rFonts w:ascii="Arial" w:cs="Arial" w:eastAsia="Arial" w:hAnsi="Arial"/>
                <w:sz w:val="18"/>
                <w:szCs w:val="18"/>
                <w:color w:val="auto"/>
              </w:rPr>
              <w:t>Total assets</w:t>
            </w:r>
          </w:p>
        </w:tc>
        <w:tc>
          <w:tcPr>
            <w:tcW w:w="15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$1,448,326</w:t>
            </w:r>
          </w:p>
        </w:tc>
        <w:tc>
          <w:tcPr>
            <w:tcW w:w="120" w:type="dxa"/>
            <w:vAlign w:val="bottom"/>
            <w:shd w:val="clear" w:color="auto" w:fill="BFBFBF"/>
          </w:tcPr>
          <w:p>
            <w:pPr>
              <w:spacing w:after="0"/>
              <w:rPr>
                <w:sz w:val="18"/>
                <w:szCs w:val="18"/>
                <w:color w:val="auto"/>
              </w:rPr>
            </w:pPr>
          </w:p>
        </w:tc>
        <w:tc>
          <w:tcPr>
            <w:tcW w:w="900" w:type="dxa"/>
            <w:vAlign w:val="bottom"/>
            <w:shd w:val="clear" w:color="auto" w:fill="BFBFBF"/>
          </w:tcPr>
          <w:p>
            <w:pPr>
              <w:spacing w:after="0"/>
              <w:rPr>
                <w:sz w:val="18"/>
                <w:szCs w:val="18"/>
                <w:color w:val="auto"/>
              </w:rPr>
            </w:pPr>
          </w:p>
        </w:tc>
        <w:tc>
          <w:tcPr>
            <w:tcW w:w="150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$1,361,198</w:t>
            </w: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BFBFB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BFBF"/>
            </w:tcBorders>
          </w:tcPr>
          <w:p>
            <w:pPr>
              <w:spacing w:after="0" w:line="20" w:lineRule="exact"/>
              <w:rPr>
                <w:sz w:val="1"/>
                <w:szCs w:val="1"/>
                <w:color w:val="auto"/>
              </w:rPr>
            </w:pPr>
          </w:p>
        </w:tc>
        <w:tc>
          <w:tcPr>
            <w:tcW w:w="8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Notes and loans payable</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51,373</w:t>
            </w:r>
          </w:p>
        </w:tc>
        <w:tc>
          <w:tcPr>
            <w:tcW w:w="900" w:type="dxa"/>
            <w:vAlign w:val="bottom"/>
            <w:shd w:val="clear" w:color="auto" w:fill="BFBFBF"/>
          </w:tcPr>
          <w:p>
            <w:pPr>
              <w:spacing w:after="0"/>
              <w:rPr>
                <w:sz w:val="17"/>
                <w:szCs w:val="17"/>
                <w:color w:val="auto"/>
              </w:rPr>
            </w:pPr>
          </w:p>
        </w:tc>
        <w:tc>
          <w:tcPr>
            <w:tcW w:w="15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Accrued liabilities</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132,219</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105,914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1,231</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1,799</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20,725</w:t>
            </w:r>
          </w:p>
        </w:tc>
        <w:tc>
          <w:tcPr>
            <w:tcW w:w="9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BFBFBF"/>
            </w:tcBorders>
            <w:shd w:val="clear" w:color="auto" w:fill="BFBFBF"/>
          </w:tcPr>
          <w:p>
            <w:pPr>
              <w:ind w:left="80"/>
              <w:spacing w:after="0" w:line="196" w:lineRule="exact"/>
              <w:rPr>
                <w:sz w:val="20"/>
                <w:szCs w:val="20"/>
                <w:color w:val="auto"/>
              </w:rPr>
            </w:pPr>
            <w:r>
              <w:rPr>
                <w:rFonts w:ascii="Arial" w:cs="Arial" w:eastAsia="Arial" w:hAnsi="Arial"/>
                <w:sz w:val="18"/>
                <w:szCs w:val="18"/>
                <w:color w:val="auto"/>
              </w:rPr>
              <w:t>Total current liabilities</w:t>
            </w:r>
          </w:p>
        </w:tc>
        <w:tc>
          <w:tcPr>
            <w:tcW w:w="15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205,548</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161,517</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Long-term debt</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529,003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514,120</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92,218</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101,555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BFBFBF"/>
          </w:tcPr>
          <w:p>
            <w:pPr>
              <w:ind w:left="80"/>
              <w:spacing w:after="0"/>
              <w:rPr>
                <w:sz w:val="20"/>
                <w:szCs w:val="20"/>
                <w:color w:val="auto"/>
              </w:rPr>
            </w:pPr>
            <w:r>
              <w:rPr>
                <w:rFonts w:ascii="Arial" w:cs="Arial" w:eastAsia="Arial" w:hAnsi="Arial"/>
                <w:sz w:val="18"/>
                <w:szCs w:val="18"/>
                <w:color w:val="auto"/>
              </w:rPr>
              <w:t>Deferred taxes and other liabilities</w:t>
            </w:r>
          </w:p>
        </w:tc>
        <w:tc>
          <w:tcPr>
            <w:tcW w:w="162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12,915</w:t>
            </w:r>
          </w:p>
        </w:tc>
        <w:tc>
          <w:tcPr>
            <w:tcW w:w="900" w:type="dxa"/>
            <w:vAlign w:val="bottom"/>
            <w:shd w:val="clear" w:color="auto" w:fill="BFBFBF"/>
          </w:tcPr>
          <w:p>
            <w:pPr>
              <w:spacing w:after="0"/>
              <w:rPr>
                <w:sz w:val="18"/>
                <w:szCs w:val="18"/>
                <w:color w:val="auto"/>
              </w:rPr>
            </w:pPr>
          </w:p>
        </w:tc>
        <w:tc>
          <w:tcPr>
            <w:tcW w:w="1580" w:type="dxa"/>
            <w:vAlign w:val="bottom"/>
            <w:gridSpan w:val="3"/>
            <w:shd w:val="clear" w:color="auto" w:fill="BFBFBF"/>
          </w:tcPr>
          <w:p>
            <w:pPr>
              <w:jc w:val="right"/>
              <w:ind w:right="100"/>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BFBFBF"/>
            </w:tcBorders>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839,684</w:t>
            </w:r>
          </w:p>
        </w:tc>
        <w:tc>
          <w:tcPr>
            <w:tcW w:w="120" w:type="dxa"/>
            <w:vAlign w:val="bottom"/>
            <w:tcBorders>
              <w:bottom w:val="single" w:sz="8" w:color="BFBFBF"/>
            </w:tcBorders>
          </w:tcPr>
          <w:p>
            <w:pPr>
              <w:spacing w:after="0"/>
              <w:rPr>
                <w:sz w:val="17"/>
                <w:szCs w:val="17"/>
                <w:color w:val="auto"/>
              </w:rPr>
            </w:pPr>
          </w:p>
        </w:tc>
        <w:tc>
          <w:tcPr>
            <w:tcW w:w="900" w:type="dxa"/>
            <w:vAlign w:val="bottom"/>
            <w:tcBorders>
              <w:bottom w:val="single" w:sz="8" w:color="BFBFB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788,183</w:t>
            </w:r>
          </w:p>
        </w:tc>
        <w:tc>
          <w:tcPr>
            <w:tcW w:w="20" w:type="dxa"/>
            <w:vAlign w:val="bottom"/>
            <w:tcBorders>
              <w:bottom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0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Preferred stock, par value $5.00 per share; authorized 2,000,000 shares; none</w:t>
            </w: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issued</w:t>
            </w:r>
          </w:p>
        </w:tc>
        <w:tc>
          <w:tcPr>
            <w:tcW w:w="150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80"/>
              <w:spacing w:after="0" w:line="201" w:lineRule="exact"/>
              <w:rPr>
                <w:sz w:val="20"/>
                <w:szCs w:val="20"/>
                <w:color w:val="auto"/>
              </w:rPr>
            </w:pPr>
            <w:r>
              <w:rPr>
                <w:rFonts w:ascii="Arial" w:cs="Arial" w:eastAsia="Arial" w:hAnsi="Arial"/>
                <w:sz w:val="18"/>
                <w:szCs w:val="18"/>
                <w:color w:val="auto"/>
              </w:rPr>
              <w:t>Class A Common Stock, par value $.001 per share; authorized 100,000,000</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3" w:lineRule="exact"/>
              <w:rPr>
                <w:sz w:val="20"/>
                <w:szCs w:val="20"/>
                <w:color w:val="auto"/>
              </w:rPr>
            </w:pPr>
            <w:r>
              <w:rPr>
                <w:rFonts w:ascii="Arial" w:cs="Arial" w:eastAsia="Arial" w:hAnsi="Arial"/>
                <w:sz w:val="18"/>
                <w:szCs w:val="18"/>
                <w:color w:val="auto"/>
              </w:rPr>
              <w:t>shares; issued 37,450,329 in 2018 and 37,395,753 in 2017</w:t>
            </w:r>
          </w:p>
        </w:tc>
        <w:tc>
          <w:tcPr>
            <w:tcW w:w="16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37</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Class B Common Stock, par value $.001 per share; authorized 25,000,000</w:t>
            </w: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shares; issued and outstanding 3,233,998 in 2018 and 2017</w:t>
            </w:r>
          </w:p>
        </w:tc>
        <w:tc>
          <w:tcPr>
            <w:tcW w:w="162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430,231</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428,423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Retained earnings</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581,369</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534,082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Translation adjustments</w:t>
            </w:r>
          </w:p>
        </w:tc>
        <w:tc>
          <w:tcPr>
            <w:tcW w:w="162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(110,900)</w:t>
            </w:r>
          </w:p>
        </w:tc>
        <w:tc>
          <w:tcPr>
            <w:tcW w:w="900" w:type="dxa"/>
            <w:vAlign w:val="bottom"/>
            <w:shd w:val="clear" w:color="auto" w:fill="BFBFBF"/>
          </w:tcPr>
          <w:p>
            <w:pPr>
              <w:spacing w:after="0"/>
              <w:rPr>
                <w:sz w:val="17"/>
                <w:szCs w:val="17"/>
                <w:color w:val="auto"/>
              </w:rPr>
            </w:pPr>
          </w:p>
        </w:tc>
        <w:tc>
          <w:tcPr>
            <w:tcW w:w="158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(87,318)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(48,293)</w:t>
            </w:r>
          </w:p>
        </w:tc>
        <w:tc>
          <w:tcPr>
            <w:tcW w:w="900" w:type="dxa"/>
            <w:vAlign w:val="bottom"/>
          </w:tcPr>
          <w:p>
            <w:pPr>
              <w:spacing w:after="0"/>
              <w:rPr>
                <w:sz w:val="17"/>
                <w:szCs w:val="17"/>
                <w:color w:val="auto"/>
              </w:rPr>
            </w:pPr>
          </w:p>
        </w:tc>
        <w:tc>
          <w:tcPr>
            <w:tcW w:w="15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(50,536)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Derivative valuation adjustment</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9,432</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1,953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80"/>
              <w:spacing w:after="0" w:line="201" w:lineRule="exact"/>
              <w:rPr>
                <w:sz w:val="20"/>
                <w:szCs w:val="20"/>
                <w:color w:val="auto"/>
              </w:rPr>
            </w:pPr>
            <w:r>
              <w:rPr>
                <w:rFonts w:ascii="Arial" w:cs="Arial" w:eastAsia="Arial" w:hAnsi="Arial"/>
                <w:sz w:val="18"/>
                <w:szCs w:val="18"/>
                <w:color w:val="auto"/>
              </w:rPr>
              <w:t>Treasury stock (Class A), at cost 8,418,620 shares in 2018 and 8,431,335</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3" w:lineRule="exact"/>
              <w:rPr>
                <w:sz w:val="20"/>
                <w:szCs w:val="20"/>
                <w:color w:val="auto"/>
              </w:rPr>
            </w:pPr>
            <w:r>
              <w:rPr>
                <w:rFonts w:ascii="Arial" w:cs="Arial" w:eastAsia="Arial" w:hAnsi="Arial"/>
                <w:sz w:val="18"/>
                <w:szCs w:val="18"/>
                <w:color w:val="auto"/>
              </w:rPr>
              <w:t>shares in 2017</w:t>
            </w:r>
          </w:p>
        </w:tc>
        <w:tc>
          <w:tcPr>
            <w:tcW w:w="16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(256,603)</w:t>
            </w:r>
          </w:p>
        </w:tc>
        <w:tc>
          <w:tcPr>
            <w:tcW w:w="900" w:type="dxa"/>
            <w:vAlign w:val="bottom"/>
          </w:tcPr>
          <w:p>
            <w:pPr>
              <w:spacing w:after="0"/>
              <w:rPr>
                <w:sz w:val="17"/>
                <w:szCs w:val="17"/>
                <w:color w:val="auto"/>
              </w:rPr>
            </w:pPr>
          </w:p>
        </w:tc>
        <w:tc>
          <w:tcPr>
            <w:tcW w:w="158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(256,876)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Total Company shareholders’ equity</w:t>
            </w:r>
          </w:p>
        </w:tc>
        <w:tc>
          <w:tcPr>
            <w:tcW w:w="16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605,276</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569,768</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Noncontrolling interest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3,366</w:t>
            </w:r>
          </w:p>
        </w:tc>
        <w:tc>
          <w:tcPr>
            <w:tcW w:w="9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BFBFBF"/>
            </w:tcBorders>
            <w:shd w:val="clear" w:color="auto" w:fill="BFBFBF"/>
          </w:tcPr>
          <w:p>
            <w:pPr>
              <w:ind w:left="80"/>
              <w:spacing w:after="0" w:line="196" w:lineRule="exact"/>
              <w:rPr>
                <w:sz w:val="20"/>
                <w:szCs w:val="20"/>
                <w:color w:val="auto"/>
              </w:rPr>
            </w:pPr>
            <w:r>
              <w:rPr>
                <w:rFonts w:ascii="Arial" w:cs="Arial" w:eastAsia="Arial" w:hAnsi="Arial"/>
                <w:sz w:val="18"/>
                <w:szCs w:val="18"/>
                <w:color w:val="auto"/>
              </w:rPr>
              <w:t>Total equity</w:t>
            </w:r>
          </w:p>
        </w:tc>
        <w:tc>
          <w:tcPr>
            <w:tcW w:w="15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608,642</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573,015</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$1,448,326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$1,361,198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9"/>
              </w:rPr>
              <w:t>Three Months Ended</w:t>
            </w:r>
          </w:p>
        </w:tc>
        <w:tc>
          <w:tcPr>
            <w:tcW w:w="5260" w:type="dxa"/>
            <w:vAlign w:val="bottom"/>
          </w:tcPr>
          <w:p>
            <w:pPr>
              <w:spacing w:after="0"/>
              <w:rPr>
                <w:sz w:val="17"/>
                <w:szCs w:val="17"/>
                <w:color w:val="auto"/>
              </w:rPr>
            </w:pPr>
          </w:p>
        </w:tc>
        <w:tc>
          <w:tcPr>
            <w:tcW w:w="3040" w:type="dxa"/>
            <w:vAlign w:val="bottom"/>
            <w:gridSpan w:val="7"/>
          </w:tcPr>
          <w:p>
            <w:pPr>
              <w:jc w:val="right"/>
              <w:ind w:right="7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7"/>
        </w:trPr>
        <w:tc>
          <w:tcPr>
            <w:tcW w:w="2180" w:type="dxa"/>
            <w:vAlign w:val="bottom"/>
            <w:gridSpan w:val="4"/>
          </w:tcPr>
          <w:p>
            <w:pPr>
              <w:jc w:val="center"/>
              <w:ind w:left="870"/>
              <w:spacing w:after="0"/>
              <w:rPr>
                <w:sz w:val="20"/>
                <w:szCs w:val="20"/>
                <w:color w:val="auto"/>
              </w:rPr>
            </w:pPr>
            <w:r>
              <w:rPr>
                <w:rFonts w:ascii="Arial" w:cs="Arial" w:eastAsia="Arial" w:hAnsi="Arial"/>
                <w:sz w:val="18"/>
                <w:szCs w:val="18"/>
                <w:color w:val="auto"/>
                <w:w w:val="99"/>
              </w:rPr>
              <w:t>September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140" w:type="dxa"/>
            <w:vAlign w:val="bottom"/>
            <w:gridSpan w:val="4"/>
          </w:tcPr>
          <w:p>
            <w:pPr>
              <w:ind w:left="940"/>
              <w:spacing w:after="0"/>
              <w:rPr>
                <w:sz w:val="20"/>
                <w:szCs w:val="20"/>
                <w:color w:val="auto"/>
              </w:rPr>
            </w:pPr>
            <w:r>
              <w:rPr>
                <w:rFonts w:ascii="Arial" w:cs="Arial" w:eastAsia="Arial" w:hAnsi="Arial"/>
                <w:sz w:val="18"/>
                <w:szCs w:val="18"/>
                <w:color w:val="auto"/>
                <w:w w:val="99"/>
              </w:rPr>
              <w:t>September 30,</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4"/>
                <w:szCs w:val="24"/>
                <w:color w:val="auto"/>
              </w:rPr>
            </w:pPr>
          </w:p>
        </w:tc>
        <w:tc>
          <w:tcPr>
            <w:tcW w:w="5260" w:type="dxa"/>
            <w:vAlign w:val="bottom"/>
            <w:vMerge w:val="restart"/>
          </w:tcPr>
          <w:p>
            <w:pPr>
              <w:ind w:left="340"/>
              <w:spacing w:after="0"/>
              <w:rPr>
                <w:sz w:val="20"/>
                <w:szCs w:val="20"/>
                <w:color w:val="auto"/>
              </w:rPr>
            </w:pPr>
            <w:r>
              <w:rPr>
                <w:rFonts w:ascii="Arial" w:cs="Arial" w:eastAsia="Arial" w:hAnsi="Arial"/>
                <w:sz w:val="18"/>
                <w:szCs w:val="18"/>
                <w:color w:val="auto"/>
              </w:rPr>
              <w:t>OPERATING ACTIVITIES</w:t>
            </w: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$28,484</w:t>
            </w: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$15,220</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$69,272</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$27,427</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by operating activities: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17,436</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15,522</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Depreciation</w:t>
            </w:r>
          </w:p>
        </w:tc>
        <w:tc>
          <w:tcPr>
            <w:tcW w:w="13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52,852</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45,367</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2,366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2,608</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Amortization</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7,571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(5,102)</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(168)</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Change in other noncurrent liabilities</w:t>
            </w:r>
          </w:p>
        </w:tc>
        <w:tc>
          <w:tcPr>
            <w:tcW w:w="13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(6,333)</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1,331</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(3,263)</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(5,571)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2,131</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1,086</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Provision for write -off of property, plant and equipment</w:t>
            </w:r>
          </w:p>
        </w:tc>
        <w:tc>
          <w:tcPr>
            <w:tcW w:w="13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3,255</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1,916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211</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Non-cash interest expense</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480"/>
              <w:spacing w:after="0" w:line="201" w:lineRule="exact"/>
              <w:rPr>
                <w:sz w:val="20"/>
                <w:szCs w:val="20"/>
                <w:color w:val="auto"/>
              </w:rPr>
            </w:pPr>
            <w:r>
              <w:rPr>
                <w:rFonts w:ascii="Arial" w:cs="Arial" w:eastAsia="Arial" w:hAnsi="Arial"/>
                <w:sz w:val="18"/>
                <w:szCs w:val="18"/>
                <w:color w:val="auto"/>
              </w:rPr>
              <w:t>Compensation and benefits paid or payable in Class A</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543</w:t>
            </w: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195</w:t>
            </w:r>
          </w:p>
        </w:tc>
        <w:tc>
          <w:tcPr>
            <w:tcW w:w="5260" w:type="dxa"/>
            <w:vAlign w:val="bottom"/>
            <w:shd w:val="clear" w:color="auto" w:fill="BFBFBF"/>
          </w:tcPr>
          <w:p>
            <w:pPr>
              <w:ind w:left="480"/>
              <w:spacing w:after="0" w:line="203" w:lineRule="exact"/>
              <w:rPr>
                <w:sz w:val="20"/>
                <w:szCs w:val="20"/>
                <w:color w:val="auto"/>
              </w:rPr>
            </w:pPr>
            <w:r>
              <w:rPr>
                <w:rFonts w:ascii="Arial" w:cs="Arial" w:eastAsia="Arial" w:hAnsi="Arial"/>
                <w:sz w:val="18"/>
                <w:szCs w:val="18"/>
                <w:color w:val="auto"/>
              </w:rPr>
              <w:t>Common Stock</w:t>
            </w:r>
          </w:p>
        </w:tc>
        <w:tc>
          <w:tcPr>
            <w:tcW w:w="1360" w:type="dxa"/>
            <w:vAlign w:val="bottom"/>
            <w:gridSpan w:val="2"/>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1,879</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20" w:type="dxa"/>
            <w:vAlign w:val="bottom"/>
            <w:gridSpan w:val="2"/>
            <w:shd w:val="clear" w:color="auto" w:fill="BFBFBF"/>
          </w:tcPr>
          <w:p>
            <w:pPr>
              <w:jc w:val="right"/>
              <w:spacing w:after="0" w:line="203" w:lineRule="exact"/>
              <w:rPr>
                <w:sz w:val="20"/>
                <w:szCs w:val="20"/>
                <w:color w:val="auto"/>
              </w:rPr>
            </w:pPr>
            <w:r>
              <w:rPr>
                <w:rFonts w:ascii="Arial" w:cs="Arial" w:eastAsia="Arial" w:hAnsi="Arial"/>
                <w:sz w:val="18"/>
                <w:szCs w:val="18"/>
                <w:color w:val="auto"/>
              </w:rPr>
              <w:t>1,865</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Fair value adjustment on foreign currency option</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480"/>
              <w:spacing w:after="0" w:line="201" w:lineRule="exact"/>
              <w:rPr>
                <w:sz w:val="20"/>
                <w:szCs w:val="20"/>
                <w:color w:val="auto"/>
              </w:rPr>
            </w:pPr>
            <w:r>
              <w:rPr>
                <w:rFonts w:ascii="Arial" w:cs="Arial" w:eastAsia="Arial" w:hAnsi="Arial"/>
                <w:sz w:val="18"/>
                <w:szCs w:val="18"/>
                <w:color w:val="auto"/>
              </w:rPr>
              <w:t>Write-off of intangible assets in a discontinued product</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4,149</w:t>
            </w:r>
          </w:p>
        </w:tc>
        <w:tc>
          <w:tcPr>
            <w:tcW w:w="5260" w:type="dxa"/>
            <w:vAlign w:val="bottom"/>
            <w:shd w:val="clear" w:color="auto" w:fill="BFBFBF"/>
          </w:tcPr>
          <w:p>
            <w:pPr>
              <w:ind w:left="480"/>
              <w:spacing w:after="0" w:line="203" w:lineRule="exact"/>
              <w:rPr>
                <w:sz w:val="20"/>
                <w:szCs w:val="20"/>
                <w:color w:val="auto"/>
              </w:rPr>
            </w:pPr>
            <w:r>
              <w:rPr>
                <w:rFonts w:ascii="Arial" w:cs="Arial" w:eastAsia="Arial" w:hAnsi="Arial"/>
                <w:sz w:val="18"/>
                <w:szCs w:val="18"/>
                <w:color w:val="auto"/>
              </w:rPr>
              <w:t>line</w:t>
            </w:r>
          </w:p>
        </w:tc>
        <w:tc>
          <w:tcPr>
            <w:tcW w:w="1360" w:type="dxa"/>
            <w:vAlign w:val="bottom"/>
            <w:gridSpan w:val="2"/>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20" w:type="dxa"/>
            <w:vAlign w:val="bottom"/>
            <w:gridSpan w:val="2"/>
            <w:shd w:val="clear" w:color="auto" w:fill="BFBFBF"/>
          </w:tcPr>
          <w:p>
            <w:pPr>
              <w:jc w:val="right"/>
              <w:spacing w:after="0" w:line="203" w:lineRule="exact"/>
              <w:rPr>
                <w:sz w:val="20"/>
                <w:szCs w:val="20"/>
                <w:color w:val="auto"/>
              </w:rPr>
            </w:pPr>
            <w:r>
              <w:rPr>
                <w:rFonts w:ascii="Arial" w:cs="Arial" w:eastAsia="Arial" w:hAnsi="Arial"/>
                <w:sz w:val="18"/>
                <w:szCs w:val="18"/>
                <w:color w:val="auto"/>
              </w:rPr>
              <w:t>4,149</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Changes in operating assets and liabilities that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provided/(used) cash:</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(4,177)</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(4,645)</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Accounts receivable</w:t>
            </w:r>
          </w:p>
        </w:tc>
        <w:tc>
          <w:tcPr>
            <w:tcW w:w="13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(48,547)</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(19,781)</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3,040</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Contract assets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(8,721)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(2,228)</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(3,944)</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Inventories</w:t>
            </w:r>
          </w:p>
        </w:tc>
        <w:tc>
          <w:tcPr>
            <w:tcW w:w="13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(12,843)</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(601)</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(551)</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Income taxes prepaid and receivable</w:t>
            </w:r>
          </w:p>
        </w:tc>
        <w:tc>
          <w:tcPr>
            <w:tcW w:w="13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(454)</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(2,728)</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(4,769)</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Accounts payable</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6,154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7,565</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5,425</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Accrued liabilities</w:t>
            </w:r>
          </w:p>
        </w:tc>
        <w:tc>
          <w:tcPr>
            <w:tcW w:w="13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12,233</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4,525</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6,766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3,472</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Income taxes payable</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13,355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(4,676)</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(8,107)</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Noncurrent receivables</w:t>
            </w:r>
          </w:p>
        </w:tc>
        <w:tc>
          <w:tcPr>
            <w:tcW w:w="13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(8,846)</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(15,643)</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(5,728)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(4,495)</w:t>
            </w:r>
          </w:p>
        </w:tc>
        <w:tc>
          <w:tcPr>
            <w:tcW w:w="5260" w:type="dxa"/>
            <w:vAlign w:val="bottom"/>
          </w:tcPr>
          <w:p>
            <w:pPr>
              <w:ind w:left="480"/>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(9,049)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96"/>
        </w:trPr>
        <w:tc>
          <w:tcPr>
            <w:tcW w:w="12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44,715</w:t>
            </w:r>
          </w:p>
        </w:tc>
        <w:tc>
          <w:tcPr>
            <w:tcW w:w="120" w:type="dxa"/>
            <w:vAlign w:val="bottom"/>
            <w:tcBorders>
              <w:top w:val="single" w:sz="8" w:color="BFBFBF"/>
            </w:tcBorders>
            <w:shd w:val="clear" w:color="auto" w:fill="BFBFBF"/>
          </w:tcPr>
          <w:p>
            <w:pPr>
              <w:spacing w:after="0"/>
              <w:rPr>
                <w:sz w:val="17"/>
                <w:szCs w:val="17"/>
                <w:color w:val="auto"/>
              </w:rPr>
            </w:pPr>
          </w:p>
        </w:tc>
        <w:tc>
          <w:tcPr>
            <w:tcW w:w="36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auto"/>
              <w:bottom w:val="single" w:sz="8" w:color="auto"/>
            </w:tcBorders>
            <w:shd w:val="clear" w:color="auto" w:fill="BFBFBF"/>
          </w:tcPr>
          <w:p>
            <w:pPr>
              <w:spacing w:after="0"/>
              <w:rPr>
                <w:sz w:val="17"/>
                <w:szCs w:val="17"/>
                <w:color w:val="auto"/>
              </w:rPr>
            </w:pPr>
          </w:p>
        </w:tc>
        <w:tc>
          <w:tcPr>
            <w:tcW w:w="8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17,898</w:t>
            </w:r>
          </w:p>
        </w:tc>
        <w:tc>
          <w:tcPr>
            <w:tcW w:w="120" w:type="dxa"/>
            <w:vAlign w:val="bottom"/>
            <w:tcBorders>
              <w:top w:val="single" w:sz="8" w:color="BFBFBF"/>
            </w:tcBorders>
            <w:shd w:val="clear" w:color="auto" w:fill="BFBFBF"/>
          </w:tcPr>
          <w:p>
            <w:pPr>
              <w:spacing w:after="0"/>
              <w:rPr>
                <w:sz w:val="17"/>
                <w:szCs w:val="17"/>
                <w:color w:val="auto"/>
              </w:rPr>
            </w:pPr>
          </w:p>
        </w:tc>
        <w:tc>
          <w:tcPr>
            <w:tcW w:w="5260" w:type="dxa"/>
            <w:vAlign w:val="bottom"/>
            <w:tcBorders>
              <w:top w:val="single" w:sz="8" w:color="BFBFBF"/>
            </w:tcBorders>
            <w:shd w:val="clear" w:color="auto" w:fill="BFBFBF"/>
          </w:tcPr>
          <w:p>
            <w:pPr>
              <w:ind w:left="4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2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61,455</w:t>
            </w:r>
          </w:p>
        </w:tc>
        <w:tc>
          <w:tcPr>
            <w:tcW w:w="120" w:type="dxa"/>
            <w:vAlign w:val="bottom"/>
            <w:tcBorders>
              <w:top w:val="single" w:sz="8" w:color="BFBFBF"/>
            </w:tcBorders>
            <w:shd w:val="clear" w:color="auto" w:fill="BFBFBF"/>
          </w:tcPr>
          <w:p>
            <w:pPr>
              <w:spacing w:after="0"/>
              <w:rPr>
                <w:sz w:val="17"/>
                <w:szCs w:val="17"/>
                <w:color w:val="auto"/>
              </w:rPr>
            </w:pPr>
          </w:p>
        </w:tc>
        <w:tc>
          <w:tcPr>
            <w:tcW w:w="320" w:type="dxa"/>
            <w:vAlign w:val="bottom"/>
            <w:tcBorders>
              <w:top w:val="single" w:sz="8" w:color="BFBFBF"/>
            </w:tcBorders>
            <w:shd w:val="clear" w:color="auto" w:fill="BFBFBF"/>
          </w:tcPr>
          <w:p>
            <w:pPr>
              <w:spacing w:after="0"/>
              <w:rPr>
                <w:sz w:val="17"/>
                <w:szCs w:val="17"/>
                <w:color w:val="auto"/>
              </w:rPr>
            </w:pPr>
          </w:p>
        </w:tc>
        <w:tc>
          <w:tcPr>
            <w:tcW w:w="460" w:type="dxa"/>
            <w:vAlign w:val="bottom"/>
            <w:tcBorders>
              <w:top w:val="single" w:sz="8" w:color="auto"/>
              <w:bottom w:val="single" w:sz="8" w:color="auto"/>
            </w:tcBorders>
            <w:shd w:val="clear" w:color="auto" w:fill="BFBFBF"/>
          </w:tcPr>
          <w:p>
            <w:pPr>
              <w:spacing w:after="0"/>
              <w:rPr>
                <w:sz w:val="17"/>
                <w:szCs w:val="17"/>
                <w:color w:val="auto"/>
              </w:rPr>
            </w:pPr>
          </w:p>
        </w:tc>
        <w:tc>
          <w:tcPr>
            <w:tcW w:w="8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21,715</w:t>
            </w:r>
          </w:p>
        </w:tc>
        <w:tc>
          <w:tcPr>
            <w:tcW w:w="100" w:type="dxa"/>
            <w:vAlign w:val="bottom"/>
            <w:tcBorders>
              <w:top w:val="single" w:sz="8" w:color="BFBFBF"/>
            </w:tcBorders>
            <w:gridSpan w:val="2"/>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(21,441)</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(15,319)</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(60,564)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(61,724)</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9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(147)</w:t>
            </w:r>
          </w:p>
        </w:tc>
        <w:tc>
          <w:tcPr>
            <w:tcW w:w="5260" w:type="dxa"/>
            <w:vAlign w:val="bottom"/>
            <w:shd w:val="clear" w:color="auto" w:fill="BFBFBF"/>
          </w:tcPr>
          <w:p>
            <w:pPr>
              <w:ind w:left="480"/>
              <w:spacing w:after="0"/>
              <w:rPr>
                <w:sz w:val="20"/>
                <w:szCs w:val="20"/>
                <w:color w:val="auto"/>
              </w:rPr>
            </w:pPr>
            <w:r>
              <w:rPr>
                <w:rFonts w:ascii="Arial" w:cs="Arial" w:eastAsia="Arial" w:hAnsi="Arial"/>
                <w:sz w:val="18"/>
                <w:szCs w:val="18"/>
                <w:color w:val="auto"/>
              </w:rPr>
              <w:t>Purchased software</w:t>
            </w:r>
          </w:p>
        </w:tc>
        <w:tc>
          <w:tcPr>
            <w:tcW w:w="136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900" w:type="dxa"/>
            <w:vAlign w:val="bottom"/>
            <w:gridSpan w:val="3"/>
            <w:shd w:val="clear" w:color="auto" w:fill="BFBFB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96"/>
        </w:trPr>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(21,519</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BFBFB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(15,466</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5260" w:type="dxa"/>
            <w:vAlign w:val="bottom"/>
            <w:tcBorders>
              <w:bottom w:val="single" w:sz="8" w:color="BFBFBF"/>
            </w:tcBorders>
          </w:tcPr>
          <w:p>
            <w:pPr>
              <w:ind w:left="480"/>
              <w:spacing w:after="0" w:line="196" w:lineRule="exact"/>
              <w:rPr>
                <w:sz w:val="20"/>
                <w:szCs w:val="20"/>
                <w:color w:val="auto"/>
              </w:rPr>
            </w:pPr>
            <w:r>
              <w:rPr>
                <w:rFonts w:ascii="Arial" w:cs="Arial" w:eastAsia="Arial" w:hAnsi="Arial"/>
                <w:sz w:val="18"/>
                <w:szCs w:val="18"/>
                <w:color w:val="auto"/>
              </w:rPr>
              <w:t>Net cash used in investing activities</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(60,694</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BFBFB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(62,262</w:t>
            </w:r>
          </w:p>
        </w:tc>
        <w:tc>
          <w:tcPr>
            <w:tcW w:w="100" w:type="dxa"/>
            <w:vAlign w:val="bottom"/>
            <w:tcBorders>
              <w:bottom w:val="single" w:sz="8" w:color="BFBFB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3,000</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13,076</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Proceeds from borrowings</w:t>
            </w:r>
          </w:p>
        </w:tc>
        <w:tc>
          <w:tcPr>
            <w:tcW w:w="13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26,031</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45,335</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(10,471)</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(3,569)</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Principal payments on debt</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(24,614)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(24,711)</w:t>
            </w: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Taxes paid in lieu of share issuance</w:t>
            </w:r>
          </w:p>
        </w:tc>
        <w:tc>
          <w:tcPr>
            <w:tcW w:w="13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(1,652)</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356</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Proceeds from options exercised</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(5,485)</w:t>
            </w: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9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(5,470)</w:t>
            </w:r>
          </w:p>
        </w:tc>
        <w:tc>
          <w:tcPr>
            <w:tcW w:w="5260" w:type="dxa"/>
            <w:vAlign w:val="bottom"/>
            <w:shd w:val="clear" w:color="auto" w:fill="BFBFBF"/>
          </w:tcPr>
          <w:p>
            <w:pPr>
              <w:ind w:left="480"/>
              <w:spacing w:after="0"/>
              <w:rPr>
                <w:sz w:val="20"/>
                <w:szCs w:val="20"/>
                <w:color w:val="auto"/>
              </w:rPr>
            </w:pPr>
            <w:r>
              <w:rPr>
                <w:rFonts w:ascii="Arial" w:cs="Arial" w:eastAsia="Arial" w:hAnsi="Arial"/>
                <w:sz w:val="18"/>
                <w:szCs w:val="18"/>
                <w:color w:val="auto"/>
              </w:rPr>
              <w:t>Dividends paid</w:t>
            </w:r>
          </w:p>
        </w:tc>
        <w:tc>
          <w:tcPr>
            <w:tcW w:w="136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(16,441)</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900" w:type="dxa"/>
            <w:vAlign w:val="bottom"/>
            <w:gridSpan w:val="3"/>
            <w:shd w:val="clear" w:color="auto" w:fill="BFBFBF"/>
          </w:tcPr>
          <w:p>
            <w:pPr>
              <w:jc w:val="right"/>
              <w:ind w:right="40"/>
              <w:spacing w:after="0"/>
              <w:rPr>
                <w:sz w:val="20"/>
                <w:szCs w:val="20"/>
                <w:color w:val="auto"/>
              </w:rPr>
            </w:pPr>
            <w:r>
              <w:rPr>
                <w:rFonts w:ascii="Arial" w:cs="Arial" w:eastAsia="Arial" w:hAnsi="Arial"/>
                <w:sz w:val="18"/>
                <w:szCs w:val="18"/>
                <w:color w:val="auto"/>
              </w:rPr>
              <w:t>(16,396)</w:t>
            </w:r>
          </w:p>
        </w:tc>
        <w:tc>
          <w:tcPr>
            <w:tcW w:w="0" w:type="dxa"/>
            <w:vAlign w:val="bottom"/>
          </w:tcPr>
          <w:p>
            <w:pPr>
              <w:spacing w:after="0"/>
              <w:rPr>
                <w:sz w:val="1"/>
                <w:szCs w:val="1"/>
                <w:color w:val="auto"/>
              </w:rPr>
            </w:pPr>
          </w:p>
        </w:tc>
      </w:tr>
      <w:tr>
        <w:trPr>
          <w:trHeight w:val="196"/>
        </w:trPr>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(12,904</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BFBFB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4,393</w:t>
            </w:r>
          </w:p>
        </w:tc>
        <w:tc>
          <w:tcPr>
            <w:tcW w:w="120" w:type="dxa"/>
            <w:vAlign w:val="bottom"/>
            <w:tcBorders>
              <w:bottom w:val="single" w:sz="8" w:color="BFBFBF"/>
            </w:tcBorders>
          </w:tcPr>
          <w:p>
            <w:pPr>
              <w:spacing w:after="0"/>
              <w:rPr>
                <w:sz w:val="17"/>
                <w:szCs w:val="17"/>
                <w:color w:val="auto"/>
              </w:rPr>
            </w:pPr>
          </w:p>
        </w:tc>
        <w:tc>
          <w:tcPr>
            <w:tcW w:w="5260" w:type="dxa"/>
            <w:vAlign w:val="bottom"/>
            <w:tcBorders>
              <w:bottom w:val="single" w:sz="8" w:color="BFBFBF"/>
            </w:tcBorders>
          </w:tcPr>
          <w:p>
            <w:pPr>
              <w:ind w:left="480"/>
              <w:spacing w:after="0" w:line="196" w:lineRule="exact"/>
              <w:rPr>
                <w:sz w:val="20"/>
                <w:szCs w:val="20"/>
                <w:color w:val="auto"/>
              </w:rPr>
            </w:pPr>
            <w:r>
              <w:rPr>
                <w:rFonts w:ascii="Arial" w:cs="Arial" w:eastAsia="Arial" w:hAnsi="Arial"/>
                <w:sz w:val="18"/>
                <w:szCs w:val="18"/>
                <w:color w:val="auto"/>
              </w:rPr>
              <w:t>Net cash (used in)/provided by financing activities</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(16,474</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BFBFB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3,395</w:t>
            </w:r>
          </w:p>
        </w:tc>
        <w:tc>
          <w:tcPr>
            <w:tcW w:w="20" w:type="dxa"/>
            <w:vAlign w:val="bottom"/>
            <w:tcBorders>
              <w:bottom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(4,443)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7,848</w:t>
            </w:r>
          </w:p>
        </w:tc>
        <w:tc>
          <w:tcPr>
            <w:tcW w:w="5260" w:type="dxa"/>
            <w:vAlign w:val="bottom"/>
          </w:tcPr>
          <w:p>
            <w:pPr>
              <w:ind w:left="340"/>
              <w:spacing w:after="0"/>
              <w:rPr>
                <w:sz w:val="20"/>
                <w:szCs w:val="20"/>
                <w:color w:val="auto"/>
              </w:rPr>
            </w:pPr>
            <w:r>
              <w:rPr>
                <w:rFonts w:ascii="Arial" w:cs="Arial" w:eastAsia="Arial" w:hAnsi="Arial"/>
                <w:sz w:val="18"/>
                <w:szCs w:val="18"/>
                <w:color w:val="auto"/>
              </w:rPr>
              <w:t>equivalents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(7,421)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36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auto"/>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526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320" w:type="dxa"/>
            <w:vAlign w:val="bottom"/>
            <w:tcBorders>
              <w:top w:val="single" w:sz="8" w:color="BFBFBF"/>
            </w:tcBorders>
            <w:shd w:val="clear" w:color="auto" w:fill="BFBFBF"/>
          </w:tcPr>
          <w:p>
            <w:pPr>
              <w:spacing w:after="0"/>
              <w:rPr>
                <w:sz w:val="17"/>
                <w:szCs w:val="17"/>
                <w:color w:val="auto"/>
              </w:rPr>
            </w:pPr>
          </w:p>
        </w:tc>
        <w:tc>
          <w:tcPr>
            <w:tcW w:w="460" w:type="dxa"/>
            <w:vAlign w:val="bottom"/>
            <w:tcBorders>
              <w:top w:val="single" w:sz="8" w:color="auto"/>
            </w:tcBorders>
            <w:shd w:val="clear" w:color="auto" w:fill="BFBFBF"/>
          </w:tcPr>
          <w:p>
            <w:pPr>
              <w:spacing w:after="0"/>
              <w:rPr>
                <w:sz w:val="17"/>
                <w:szCs w:val="17"/>
                <w:color w:val="auto"/>
              </w:rPr>
            </w:pPr>
          </w:p>
        </w:tc>
        <w:tc>
          <w:tcPr>
            <w:tcW w:w="800" w:type="dxa"/>
            <w:vAlign w:val="bottom"/>
            <w:tcBorders>
              <w:top w:val="single" w:sz="8" w:color="auto"/>
            </w:tcBorders>
            <w:shd w:val="clear" w:color="auto" w:fill="BFBFBF"/>
          </w:tcPr>
          <w:p>
            <w:pPr>
              <w:spacing w:after="0"/>
              <w:rPr>
                <w:sz w:val="17"/>
                <w:szCs w:val="17"/>
                <w:color w:val="auto"/>
              </w:rPr>
            </w:pP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5,849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14,673</w:t>
            </w:r>
          </w:p>
        </w:tc>
        <w:tc>
          <w:tcPr>
            <w:tcW w:w="5260" w:type="dxa"/>
            <w:vAlign w:val="bottom"/>
          </w:tcPr>
          <w:p>
            <w:pPr>
              <w:ind w:left="340"/>
              <w:spacing w:after="0" w:line="202" w:lineRule="exact"/>
              <w:rPr>
                <w:sz w:val="20"/>
                <w:szCs w:val="20"/>
                <w:color w:val="auto"/>
              </w:rPr>
            </w:pPr>
            <w:r>
              <w:rPr>
                <w:rFonts w:ascii="Arial" w:cs="Arial" w:eastAsia="Arial" w:hAnsi="Arial"/>
                <w:sz w:val="18"/>
                <w:szCs w:val="18"/>
                <w:color w:val="auto"/>
              </w:rPr>
              <w:t>(Decrease)/increase in cash and cash equivalents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(23,134)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(28,277)</w:t>
            </w:r>
          </w:p>
        </w:tc>
        <w:tc>
          <w:tcPr>
            <w:tcW w:w="0" w:type="dxa"/>
            <w:vAlign w:val="bottom"/>
          </w:tcPr>
          <w:p>
            <w:pPr>
              <w:spacing w:after="0"/>
              <w:rPr>
                <w:sz w:val="1"/>
                <w:szCs w:val="1"/>
                <w:color w:val="auto"/>
              </w:rPr>
            </w:pPr>
          </w:p>
        </w:tc>
      </w:tr>
      <w:tr>
        <w:trPr>
          <w:trHeight w:val="216"/>
        </w:trPr>
        <w:tc>
          <w:tcPr>
            <w:tcW w:w="126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154,744</w:t>
            </w:r>
          </w:p>
        </w:tc>
        <w:tc>
          <w:tcPr>
            <w:tcW w:w="120" w:type="dxa"/>
            <w:vAlign w:val="bottom"/>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8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138,792</w:t>
            </w:r>
          </w:p>
        </w:tc>
        <w:tc>
          <w:tcPr>
            <w:tcW w:w="120" w:type="dxa"/>
            <w:vAlign w:val="bottom"/>
            <w:shd w:val="clear" w:color="auto" w:fill="BFBFBF"/>
          </w:tcPr>
          <w:p>
            <w:pPr>
              <w:spacing w:after="0"/>
              <w:rPr>
                <w:sz w:val="18"/>
                <w:szCs w:val="18"/>
                <w:color w:val="auto"/>
              </w:rPr>
            </w:pPr>
          </w:p>
        </w:tc>
        <w:tc>
          <w:tcPr>
            <w:tcW w:w="5260" w:type="dxa"/>
            <w:vAlign w:val="bottom"/>
            <w:shd w:val="clear" w:color="auto" w:fill="BFBFBF"/>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183,727</w:t>
            </w:r>
          </w:p>
        </w:tc>
        <w:tc>
          <w:tcPr>
            <w:tcW w:w="320" w:type="dxa"/>
            <w:vAlign w:val="bottom"/>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82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181,742</w:t>
            </w: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vMerge w:val="restart"/>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$160,593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$153,465</w:t>
            </w:r>
          </w:p>
        </w:tc>
        <w:tc>
          <w:tcPr>
            <w:tcW w:w="5260" w:type="dxa"/>
            <w:vAlign w:val="bottom"/>
            <w:vMerge w:val="continue"/>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$160,593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$153,465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ALBANY INTERNATIONAL CORP.</w:t>
      </w:r>
    </w:p>
    <w:p>
      <w:pPr>
        <w:jc w:val="center"/>
        <w:ind w:right="-1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Significant Accounting Policies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188"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2017.</w:t>
      </w:r>
    </w:p>
    <w:p>
      <w:pPr>
        <w:spacing w:after="0" w:line="17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Effective January 1, 2018, we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for transition as discussed in Note 2, Revenue Recognition. Accounting policies have been applied consistently to periods presented, except for the application of ASC 606, as further described in Note 2.</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2. Revenue Recognition</w:t>
      </w:r>
    </w:p>
    <w:p>
      <w:pPr>
        <w:spacing w:after="0" w:line="200" w:lineRule="exact"/>
        <w:rPr>
          <w:sz w:val="20"/>
          <w:szCs w:val="20"/>
          <w:color w:val="auto"/>
        </w:rPr>
      </w:pPr>
    </w:p>
    <w:p>
      <w:pPr>
        <w:spacing w:after="0" w:line="205"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 The standard replaces numerous requirements in U.S. GAAP, including industry-specific requirements, and provides companies with a single model for recognizing revenue from contracts with customers. We applied the new accounting standard to contracts which were not completed by December 31, 2017.</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our Machine Clothing (MC) business segment, prior to 2018, we recorded revenue from the sale of a product when persuasive evidence of an arrangement existed, delivery had occurred, title was transferred, the selling price was fixed, and collectability was reasonably assured. Under the new standard, we recognize MC revenue when we satisfy our performance obligations related to the manufacture and delivery of a product, which, in certain cases, results in earlier recognition of revenue associated with these contracts. For the MC segment, the cumulative effect of adopting ASC 606 included an increase to Accounts receivable, a decrease to Inventories, and an increase to Retained earnings.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our Albany Engineered Composites (AEC) business segment, revenue from a number of long-term contracts was, prior to 2018, recorded on the basis of the units-of-delivery method, which is considered an output method. Under the new standard, revenue from most of these contracts is recognized over time using an input method as the measure of progress, which generally results in earlier recognition of revenue. Prior to adoption of the new standard, the classification of revenue in excess of progress billings on long -term contracts was included in Accounts receivable. Under the new standard, such assets are considered Contract assets, which are rights to consideration that are conditional on something other than the passage of time, such as completion of remaining performance obligations. As a result of adoption of the new standard, such assets were reclassified at transition from Accounts receivable to Contract assets. In addition, under the new standard, we are required to limit our estimate of contract values to the period of the legally enforceable contract, which in many cases is considerably shorter than the contract period used under the former standard. While certain contracts are expected to be 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and our transition adjustment included such loss accruals. Expected losses on projects include losses on contract options that are probable of exercise, excluding profitable options that often follow. For AEC, the cumulative effect of adopting ASC 606 included increases to Contract assets and Accrued liabilities, and decreases to Accounts receivable, Inventories and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ind w:right="140" w:firstLine="648"/>
        <w:spacing w:after="0" w:line="246" w:lineRule="auto"/>
        <w:rPr>
          <w:sz w:val="20"/>
          <w:szCs w:val="20"/>
          <w:color w:val="auto"/>
        </w:rPr>
      </w:pPr>
      <w:r>
        <w:rPr>
          <w:rFonts w:ascii="Arial" w:cs="Arial" w:eastAsia="Arial" w:hAnsi="Arial"/>
          <w:sz w:val="18"/>
          <w:szCs w:val="18"/>
          <w:color w:val="auto"/>
        </w:rPr>
        <w:t>The table below presents the cumulative effect of changes made to our December 31, 2017 Consolidated Balance Sheet as the result of adoption of ASC 606: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rPr>
              <w:t>As previously</w:t>
            </w: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99"/>
              </w:rPr>
              <w:t>Opening 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reported at</w:t>
            </w: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3"/>
          </w:tcPr>
          <w:p>
            <w:pPr>
              <w:jc w:val="center"/>
              <w:spacing w:after="0" w:line="202" w:lineRule="exact"/>
              <w:rPr>
                <w:sz w:val="20"/>
                <w:szCs w:val="20"/>
                <w:color w:val="auto"/>
              </w:rPr>
            </w:pPr>
            <w:r>
              <w:rPr>
                <w:rFonts w:ascii="Arial" w:cs="Arial" w:eastAsia="Arial" w:hAnsi="Arial"/>
                <w:sz w:val="18"/>
                <w:szCs w:val="18"/>
                <w:color w:val="auto"/>
              </w:rPr>
              <w:t>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December 31,</w:t>
            </w:r>
          </w:p>
        </w:tc>
        <w:tc>
          <w:tcPr>
            <w:tcW w:w="560" w:type="dxa"/>
            <w:vAlign w:val="bottom"/>
          </w:tcPr>
          <w:p>
            <w:pPr>
              <w:spacing w:after="0"/>
              <w:rPr>
                <w:sz w:val="17"/>
                <w:szCs w:val="17"/>
                <w:color w:val="auto"/>
              </w:rPr>
            </w:pPr>
          </w:p>
        </w:tc>
        <w:tc>
          <w:tcPr>
            <w:tcW w:w="2160" w:type="dxa"/>
            <w:vAlign w:val="bottom"/>
            <w:gridSpan w:val="3"/>
          </w:tcPr>
          <w:p>
            <w:pPr>
              <w:jc w:val="center"/>
              <w:ind w:right="560"/>
              <w:spacing w:after="0" w:line="202" w:lineRule="exact"/>
              <w:rPr>
                <w:sz w:val="20"/>
                <w:szCs w:val="20"/>
                <w:color w:val="auto"/>
              </w:rPr>
            </w:pPr>
            <w:r>
              <w:rPr>
                <w:rFonts w:ascii="Arial" w:cs="Arial" w:eastAsia="Arial" w:hAnsi="Arial"/>
                <w:sz w:val="18"/>
                <w:szCs w:val="18"/>
                <w:color w:val="auto"/>
              </w:rPr>
              <w:t>Adjustments</w:t>
            </w:r>
          </w:p>
        </w:tc>
        <w:tc>
          <w:tcPr>
            <w:tcW w:w="148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adjusted, January</w:t>
            </w:r>
          </w:p>
        </w:tc>
        <w:tc>
          <w:tcPr>
            <w:tcW w:w="0" w:type="dxa"/>
            <w:vAlign w:val="bottom"/>
          </w:tcPr>
          <w:p>
            <w:pPr>
              <w:spacing w:after="0"/>
              <w:rPr>
                <w:sz w:val="1"/>
                <w:szCs w:val="1"/>
                <w:color w:val="auto"/>
              </w:rPr>
            </w:pPr>
          </w:p>
        </w:tc>
      </w:tr>
      <w:tr>
        <w:trPr>
          <w:trHeight w:val="203"/>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380" w:type="dxa"/>
            <w:vAlign w:val="bottom"/>
          </w:tcPr>
          <w:p>
            <w:pPr>
              <w:jc w:val="center"/>
              <w:ind w:left="10"/>
              <w:spacing w:after="0" w:line="203" w:lineRule="exact"/>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7"/>
                <w:szCs w:val="17"/>
                <w:color w:val="auto"/>
              </w:rPr>
            </w:pPr>
          </w:p>
        </w:tc>
        <w:tc>
          <w:tcPr>
            <w:tcW w:w="2720" w:type="dxa"/>
            <w:vAlign w:val="bottom"/>
            <w:gridSpan w:val="4"/>
          </w:tcPr>
          <w:p>
            <w:pPr>
              <w:jc w:val="center"/>
              <w:spacing w:after="0" w:line="203" w:lineRule="exact"/>
              <w:rPr>
                <w:sz w:val="20"/>
                <w:szCs w:val="20"/>
                <w:color w:val="auto"/>
              </w:rPr>
            </w:pPr>
            <w:r>
              <w:rPr>
                <w:rFonts w:ascii="Arial" w:cs="Arial" w:eastAsia="Arial" w:hAnsi="Arial"/>
                <w:sz w:val="18"/>
                <w:szCs w:val="18"/>
                <w:color w:val="auto"/>
                <w:w w:val="99"/>
              </w:rPr>
              <w:t>Increase/(decrease)</w:t>
            </w:r>
          </w:p>
        </w:tc>
        <w:tc>
          <w:tcPr>
            <w:tcW w:w="1380" w:type="dxa"/>
            <w:vAlign w:val="bottom"/>
          </w:tcPr>
          <w:p>
            <w:pPr>
              <w:jc w:val="center"/>
              <w:ind w:left="10"/>
              <w:spacing w:after="0" w:line="203" w:lineRule="exact"/>
              <w:rPr>
                <w:sz w:val="20"/>
                <w:szCs w:val="20"/>
                <w:color w:val="auto"/>
              </w:rPr>
            </w:pPr>
            <w:r>
              <w:rPr>
                <w:rFonts w:ascii="Arial" w:cs="Arial" w:eastAsia="Arial" w:hAnsi="Arial"/>
                <w:sz w:val="18"/>
                <w:szCs w:val="18"/>
                <w:color w:val="auto"/>
                <w:w w:val="99"/>
              </w:rPr>
              <w:t>1, 2018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$183,727</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$183,727</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net</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202,675</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7,667</w:t>
            </w:r>
          </w:p>
        </w:tc>
        <w:tc>
          <w:tcPr>
            <w:tcW w:w="56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Contract assets</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47,415</w:t>
            </w:r>
          </w:p>
        </w:tc>
        <w:tc>
          <w:tcPr>
            <w:tcW w:w="560" w:type="dxa"/>
            <w:vAlign w:val="bottom"/>
            <w:shd w:val="clear" w:color="auto" w:fill="BFBFBF"/>
          </w:tcPr>
          <w:p>
            <w:pPr>
              <w:spacing w:after="0"/>
              <w:rPr>
                <w:sz w:val="17"/>
                <w:szCs w:val="17"/>
                <w:color w:val="auto"/>
              </w:rPr>
            </w:pPr>
          </w:p>
        </w:tc>
        <w:tc>
          <w:tcPr>
            <w:tcW w:w="14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47,415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136,519</w:t>
            </w:r>
          </w:p>
        </w:tc>
        <w:tc>
          <w:tcPr>
            <w:tcW w:w="2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(47,054)</w:t>
            </w:r>
          </w:p>
        </w:tc>
        <w:tc>
          <w:tcPr>
            <w:tcW w:w="560" w:type="dxa"/>
            <w:vAlign w:val="bottom"/>
          </w:tcPr>
          <w:p>
            <w:pPr>
              <w:spacing w:after="0"/>
              <w:rPr>
                <w:sz w:val="17"/>
                <w:szCs w:val="17"/>
                <w:color w:val="auto"/>
              </w:rPr>
            </w:pPr>
          </w:p>
        </w:tc>
        <w:tc>
          <w:tcPr>
            <w:tcW w:w="14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89,465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Income taxes prepaid and receivable</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6,266</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6,266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14,520</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13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543,707</w:t>
            </w:r>
          </w:p>
        </w:tc>
        <w:tc>
          <w:tcPr>
            <w:tcW w:w="10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8,028</w:t>
            </w:r>
          </w:p>
        </w:tc>
        <w:tc>
          <w:tcPr>
            <w:tcW w:w="12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3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551,735</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454,302</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454,302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Intangibles, net</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55,441</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55,441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Goodwill</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166,796</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166,796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Deferred income taxes</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68,648</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1,756</w:t>
            </w:r>
          </w:p>
        </w:tc>
        <w:tc>
          <w:tcPr>
            <w:tcW w:w="560" w:type="dxa"/>
            <w:vAlign w:val="bottom"/>
          </w:tcPr>
          <w:p>
            <w:pPr>
              <w:spacing w:after="0"/>
              <w:rPr>
                <w:sz w:val="17"/>
                <w:szCs w:val="17"/>
                <w:color w:val="auto"/>
              </w:rPr>
            </w:pPr>
          </w:p>
        </w:tc>
        <w:tc>
          <w:tcPr>
            <w:tcW w:w="14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70,404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Noncurrent receivables</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32,811</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Other assets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39,493</w:t>
            </w:r>
          </w:p>
        </w:tc>
        <w:tc>
          <w:tcPr>
            <w:tcW w:w="100" w:type="dxa"/>
            <w:vAlign w:val="bottom"/>
            <w:tcBorders>
              <w:bottom w:val="single" w:sz="8" w:color="BFBFBF"/>
            </w:tcBorders>
          </w:tcPr>
          <w:p>
            <w:pPr>
              <w:spacing w:after="0"/>
              <w:rPr>
                <w:sz w:val="18"/>
                <w:szCs w:val="18"/>
                <w:color w:val="auto"/>
              </w:rPr>
            </w:pP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BFBFBF"/>
            </w:tcBorders>
          </w:tcPr>
          <w:p>
            <w:pPr>
              <w:spacing w:after="0"/>
              <w:rPr>
                <w:sz w:val="18"/>
                <w:szCs w:val="18"/>
                <w:color w:val="auto"/>
              </w:rPr>
            </w:pPr>
          </w:p>
        </w:tc>
        <w:tc>
          <w:tcPr>
            <w:tcW w:w="560" w:type="dxa"/>
            <w:vAlign w:val="bottom"/>
            <w:tcBorders>
              <w:bottom w:val="single" w:sz="8" w:color="BFBFB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100" w:type="dxa"/>
            <w:vAlign w:val="bottom"/>
            <w:tcBorders>
              <w:bottom w:val="single" w:sz="8" w:color="BFBFB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BFBFBF"/>
          </w:tcPr>
          <w:p>
            <w:pPr>
              <w:ind w:left="280"/>
              <w:spacing w:after="0"/>
              <w:rPr>
                <w:sz w:val="20"/>
                <w:szCs w:val="20"/>
                <w:color w:val="auto"/>
              </w:rPr>
            </w:pPr>
            <w:r>
              <w:rPr>
                <w:rFonts w:ascii="Arial" w:cs="Arial" w:eastAsia="Arial" w:hAnsi="Arial"/>
                <w:sz w:val="18"/>
                <w:szCs w:val="18"/>
                <w:color w:val="auto"/>
              </w:rPr>
              <w:t>Total assets</w:t>
            </w:r>
          </w:p>
        </w:tc>
        <w:tc>
          <w:tcPr>
            <w:tcW w:w="148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$1,361,198</w:t>
            </w:r>
          </w:p>
        </w:tc>
        <w:tc>
          <w:tcPr>
            <w:tcW w:w="2160" w:type="dxa"/>
            <w:vAlign w:val="bottom"/>
            <w:gridSpan w:val="3"/>
            <w:shd w:val="clear" w:color="auto" w:fill="BFBFBF"/>
          </w:tcPr>
          <w:p>
            <w:pPr>
              <w:jc w:val="right"/>
              <w:ind w:right="40"/>
              <w:spacing w:after="0"/>
              <w:rPr>
                <w:sz w:val="20"/>
                <w:szCs w:val="20"/>
                <w:color w:val="auto"/>
              </w:rPr>
            </w:pPr>
            <w:r>
              <w:rPr>
                <w:rFonts w:ascii="Arial" w:cs="Arial" w:eastAsia="Arial" w:hAnsi="Arial"/>
                <w:sz w:val="18"/>
                <w:szCs w:val="18"/>
                <w:color w:val="auto"/>
              </w:rPr>
              <w:t>$10,903</w:t>
            </w:r>
          </w:p>
        </w:tc>
        <w:tc>
          <w:tcPr>
            <w:tcW w:w="560" w:type="dxa"/>
            <w:vAlign w:val="bottom"/>
            <w:shd w:val="clear" w:color="auto" w:fill="BFBFBF"/>
          </w:tcPr>
          <w:p>
            <w:pPr>
              <w:spacing w:after="0"/>
              <w:rPr>
                <w:sz w:val="18"/>
                <w:szCs w:val="18"/>
                <w:color w:val="auto"/>
              </w:rPr>
            </w:pPr>
          </w:p>
        </w:tc>
        <w:tc>
          <w:tcPr>
            <w:tcW w:w="140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$1,372,101</w:t>
            </w: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BFBFB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560" w:type="dxa"/>
            <w:vAlign w:val="bottom"/>
            <w:tcBorders>
              <w:top w:val="single" w:sz="8" w:color="BFBFB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560" w:type="dxa"/>
            <w:vAlign w:val="bottom"/>
            <w:tcBorders>
              <w:top w:val="single" w:sz="8" w:color="BFBFB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BFBF"/>
            </w:tcBorders>
          </w:tcPr>
          <w:p>
            <w:pPr>
              <w:spacing w:after="0" w:line="20" w:lineRule="exact"/>
              <w:rPr>
                <w:sz w:val="1"/>
                <w:szCs w:val="1"/>
                <w:color w:val="auto"/>
              </w:rPr>
            </w:pPr>
          </w:p>
        </w:tc>
        <w:tc>
          <w:tcPr>
            <w:tcW w:w="8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13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Notes and loans payable</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44,899</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Accrued liabilities</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105,914</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16,808</w:t>
            </w:r>
          </w:p>
        </w:tc>
        <w:tc>
          <w:tcPr>
            <w:tcW w:w="56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122,722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1,799</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1,799</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8,643</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BFBFBF"/>
            </w:tcBorders>
            <w:shd w:val="clear" w:color="auto" w:fill="BFBFBF"/>
          </w:tcPr>
          <w:p>
            <w:pPr>
              <w:ind w:left="80"/>
              <w:spacing w:after="0" w:line="196" w:lineRule="exact"/>
              <w:rPr>
                <w:sz w:val="20"/>
                <w:szCs w:val="20"/>
                <w:color w:val="auto"/>
              </w:rPr>
            </w:pPr>
            <w:r>
              <w:rPr>
                <w:rFonts w:ascii="Arial" w:cs="Arial" w:eastAsia="Arial" w:hAnsi="Arial"/>
                <w:sz w:val="18"/>
                <w:szCs w:val="18"/>
                <w:color w:val="auto"/>
              </w:rPr>
              <w:t>Total current liabilities</w:t>
            </w:r>
          </w:p>
        </w:tc>
        <w:tc>
          <w:tcPr>
            <w:tcW w:w="13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161,517</w:t>
            </w:r>
          </w:p>
        </w:tc>
        <w:tc>
          <w:tcPr>
            <w:tcW w:w="10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16,808</w:t>
            </w:r>
          </w:p>
        </w:tc>
        <w:tc>
          <w:tcPr>
            <w:tcW w:w="12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3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178,325</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Long-term debt</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514,120</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514,120</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101,555</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101,555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BFBFBF"/>
          </w:tcPr>
          <w:p>
            <w:pPr>
              <w:ind w:left="80"/>
              <w:spacing w:after="0"/>
              <w:rPr>
                <w:sz w:val="20"/>
                <w:szCs w:val="20"/>
                <w:color w:val="auto"/>
              </w:rPr>
            </w:pPr>
            <w:r>
              <w:rPr>
                <w:rFonts w:ascii="Arial" w:cs="Arial" w:eastAsia="Arial" w:hAnsi="Arial"/>
                <w:sz w:val="18"/>
                <w:szCs w:val="18"/>
                <w:color w:val="auto"/>
              </w:rPr>
              <w:t>Deferred taxes and other liabilities</w:t>
            </w:r>
          </w:p>
        </w:tc>
        <w:tc>
          <w:tcPr>
            <w:tcW w:w="148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10,991</w:t>
            </w:r>
          </w:p>
        </w:tc>
        <w:tc>
          <w:tcPr>
            <w:tcW w:w="2160" w:type="dxa"/>
            <w:vAlign w:val="bottom"/>
            <w:gridSpan w:val="3"/>
            <w:shd w:val="clear" w:color="auto" w:fill="BFBFBF"/>
          </w:tcPr>
          <w:p>
            <w:pPr>
              <w:jc w:val="right"/>
              <w:ind w:right="40"/>
              <w:spacing w:after="0"/>
              <w:rPr>
                <w:sz w:val="20"/>
                <w:szCs w:val="20"/>
                <w:color w:val="auto"/>
              </w:rPr>
            </w:pPr>
            <w:r>
              <w:rPr>
                <w:rFonts w:ascii="Arial" w:cs="Arial" w:eastAsia="Arial" w:hAnsi="Arial"/>
                <w:sz w:val="18"/>
                <w:szCs w:val="18"/>
                <w:color w:val="auto"/>
              </w:rPr>
              <w:t>52</w:t>
            </w:r>
          </w:p>
        </w:tc>
        <w:tc>
          <w:tcPr>
            <w:tcW w:w="560" w:type="dxa"/>
            <w:vAlign w:val="bottom"/>
            <w:shd w:val="clear" w:color="auto" w:fill="BFBFBF"/>
          </w:tcPr>
          <w:p>
            <w:pPr>
              <w:spacing w:after="0"/>
              <w:rPr>
                <w:sz w:val="18"/>
                <w:szCs w:val="18"/>
                <w:color w:val="auto"/>
              </w:rPr>
            </w:pPr>
          </w:p>
        </w:tc>
        <w:tc>
          <w:tcPr>
            <w:tcW w:w="1480" w:type="dxa"/>
            <w:vAlign w:val="bottom"/>
            <w:gridSpan w:val="3"/>
            <w:shd w:val="clear" w:color="auto" w:fill="BFBFBF"/>
          </w:tcPr>
          <w:p>
            <w:pPr>
              <w:jc w:val="right"/>
              <w:ind w:right="100"/>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color w:val="auto"/>
              </w:rPr>
              <w:t>Total liabilities</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788,183</w:t>
            </w:r>
          </w:p>
        </w:tc>
        <w:tc>
          <w:tcPr>
            <w:tcW w:w="100" w:type="dxa"/>
            <w:vAlign w:val="bottom"/>
            <w:tcBorders>
              <w:bottom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16,860</w:t>
            </w:r>
          </w:p>
        </w:tc>
        <w:tc>
          <w:tcPr>
            <w:tcW w:w="120" w:type="dxa"/>
            <w:vAlign w:val="bottom"/>
            <w:tcBorders>
              <w:bottom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805,043</w:t>
            </w:r>
          </w:p>
        </w:tc>
        <w:tc>
          <w:tcPr>
            <w:tcW w:w="20" w:type="dxa"/>
            <w:vAlign w:val="bottom"/>
            <w:tcBorders>
              <w:bottom w:val="single" w:sz="8" w:color="BFBFBF"/>
            </w:tcBorders>
          </w:tcPr>
          <w:p>
            <w:pPr>
              <w:spacing w:after="0"/>
              <w:rPr>
                <w:sz w:val="17"/>
                <w:szCs w:val="17"/>
                <w:color w:val="auto"/>
              </w:rPr>
            </w:pPr>
          </w:p>
        </w:tc>
        <w:tc>
          <w:tcPr>
            <w:tcW w:w="8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Preferred stock, par value $5.00 per share; authorized</w:t>
            </w:r>
          </w:p>
        </w:tc>
        <w:tc>
          <w:tcPr>
            <w:tcW w:w="13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240"/>
              <w:spacing w:after="0" w:line="203" w:lineRule="exact"/>
              <w:rPr>
                <w:sz w:val="20"/>
                <w:szCs w:val="20"/>
                <w:color w:val="auto"/>
              </w:rPr>
            </w:pPr>
            <w:r>
              <w:rPr>
                <w:rFonts w:ascii="Arial" w:cs="Arial" w:eastAsia="Arial" w:hAnsi="Arial"/>
                <w:sz w:val="18"/>
                <w:szCs w:val="18"/>
                <w:color w:val="auto"/>
              </w:rPr>
              <w:t>2,000,000 shares; none issued</w:t>
            </w:r>
          </w:p>
        </w:tc>
        <w:tc>
          <w:tcPr>
            <w:tcW w:w="148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3"/>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80"/>
              <w:spacing w:after="0" w:line="201" w:lineRule="exact"/>
              <w:rPr>
                <w:sz w:val="20"/>
                <w:szCs w:val="20"/>
                <w:color w:val="auto"/>
              </w:rPr>
            </w:pPr>
            <w:r>
              <w:rPr>
                <w:rFonts w:ascii="Arial" w:cs="Arial" w:eastAsia="Arial" w:hAnsi="Arial"/>
                <w:sz w:val="18"/>
                <w:szCs w:val="18"/>
                <w:color w:val="auto"/>
              </w:rPr>
              <w:t>Class A Common Stock, par value $.001 per share; authorized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40"/>
              <w:spacing w:after="0" w:line="202" w:lineRule="exact"/>
              <w:rPr>
                <w:sz w:val="20"/>
                <w:szCs w:val="20"/>
                <w:color w:val="auto"/>
              </w:rPr>
            </w:pPr>
            <w:r>
              <w:rPr>
                <w:rFonts w:ascii="Arial" w:cs="Arial" w:eastAsia="Arial" w:hAnsi="Arial"/>
                <w:sz w:val="18"/>
                <w:szCs w:val="18"/>
                <w:color w:val="auto"/>
              </w:rPr>
              <w:t>100,000,000 shares; issued 37,395,753 in 2017 and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40"/>
              <w:spacing w:after="0" w:line="203" w:lineRule="exact"/>
              <w:rPr>
                <w:sz w:val="20"/>
                <w:szCs w:val="20"/>
                <w:color w:val="auto"/>
              </w:rPr>
            </w:pPr>
            <w:r>
              <w:rPr>
                <w:rFonts w:ascii="Arial" w:cs="Arial" w:eastAsia="Arial" w:hAnsi="Arial"/>
                <w:sz w:val="18"/>
                <w:szCs w:val="18"/>
                <w:color w:val="auto"/>
              </w:rPr>
              <w:t>37,319,266 in 2016</w:t>
            </w:r>
          </w:p>
        </w:tc>
        <w:tc>
          <w:tcPr>
            <w:tcW w:w="14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37</w:t>
            </w:r>
          </w:p>
        </w:tc>
        <w:tc>
          <w:tcPr>
            <w:tcW w:w="21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Class B Common Stock, par value $.001 per share; authorized</w:t>
            </w:r>
          </w:p>
        </w:tc>
        <w:tc>
          <w:tcPr>
            <w:tcW w:w="13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240"/>
              <w:spacing w:after="0" w:line="202" w:lineRule="exact"/>
              <w:rPr>
                <w:sz w:val="20"/>
                <w:szCs w:val="20"/>
                <w:color w:val="auto"/>
              </w:rPr>
            </w:pPr>
            <w:r>
              <w:rPr>
                <w:rFonts w:ascii="Arial" w:cs="Arial" w:eastAsia="Arial" w:hAnsi="Arial"/>
                <w:sz w:val="18"/>
                <w:szCs w:val="18"/>
                <w:color w:val="auto"/>
              </w:rPr>
              <w:t>25,000,000 shares; issued and outstanding 3,233,998 in</w:t>
            </w:r>
          </w:p>
        </w:tc>
        <w:tc>
          <w:tcPr>
            <w:tcW w:w="13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240"/>
              <w:spacing w:after="0" w:line="203" w:lineRule="exact"/>
              <w:rPr>
                <w:sz w:val="20"/>
                <w:szCs w:val="20"/>
                <w:color w:val="auto"/>
              </w:rPr>
            </w:pPr>
            <w:r>
              <w:rPr>
                <w:rFonts w:ascii="Arial" w:cs="Arial" w:eastAsia="Arial" w:hAnsi="Arial"/>
                <w:sz w:val="18"/>
                <w:szCs w:val="18"/>
                <w:color w:val="auto"/>
              </w:rPr>
              <w:t>2017 and 2016</w:t>
            </w:r>
          </w:p>
        </w:tc>
        <w:tc>
          <w:tcPr>
            <w:tcW w:w="148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2160" w:type="dxa"/>
            <w:vAlign w:val="bottom"/>
            <w:gridSpan w:val="3"/>
            <w:shd w:val="clear" w:color="auto" w:fill="BFBFB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428,423</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428,423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Retained earnings</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534,082</w:t>
            </w:r>
          </w:p>
        </w:tc>
        <w:tc>
          <w:tcPr>
            <w:tcW w:w="216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(5,630)</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528,452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Translation adjustments</w:t>
            </w:r>
          </w:p>
        </w:tc>
        <w:tc>
          <w:tcPr>
            <w:tcW w:w="14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(87,318)</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(87,318)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(50,536)</w:t>
            </w:r>
          </w:p>
        </w:tc>
        <w:tc>
          <w:tcPr>
            <w:tcW w:w="2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(50,536)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Derivative valuation adjustment</w:t>
            </w:r>
          </w:p>
        </w:tc>
        <w:tc>
          <w:tcPr>
            <w:tcW w:w="148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1,953</w:t>
            </w:r>
          </w:p>
        </w:tc>
        <w:tc>
          <w:tcPr>
            <w:tcW w:w="216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1,953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80"/>
              <w:spacing w:after="0" w:line="201" w:lineRule="exact"/>
              <w:rPr>
                <w:sz w:val="20"/>
                <w:szCs w:val="20"/>
                <w:color w:val="auto"/>
              </w:rPr>
            </w:pPr>
            <w:r>
              <w:rPr>
                <w:rFonts w:ascii="Arial" w:cs="Arial" w:eastAsia="Arial" w:hAnsi="Arial"/>
                <w:sz w:val="18"/>
                <w:szCs w:val="18"/>
                <w:color w:val="auto"/>
              </w:rPr>
              <w:t>Treasury stock (Class A), at cost 8,431,335 shares in 2017 and</w:t>
            </w:r>
          </w:p>
        </w:tc>
        <w:tc>
          <w:tcPr>
            <w:tcW w:w="14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(256,876)</w:t>
            </w: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(256,876)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40"/>
              <w:spacing w:after="0" w:line="203" w:lineRule="exact"/>
              <w:rPr>
                <w:sz w:val="20"/>
                <w:szCs w:val="20"/>
                <w:color w:val="auto"/>
              </w:rPr>
            </w:pPr>
            <w:r>
              <w:rPr>
                <w:rFonts w:ascii="Arial" w:cs="Arial" w:eastAsia="Arial" w:hAnsi="Arial"/>
                <w:sz w:val="18"/>
                <w:szCs w:val="18"/>
                <w:color w:val="auto"/>
              </w:rPr>
              <w:t>8,443,444 shares in 2016</w:t>
            </w:r>
          </w:p>
        </w:tc>
        <w:tc>
          <w:tcPr>
            <w:tcW w:w="1480" w:type="dxa"/>
            <w:vAlign w:val="bottom"/>
            <w:gridSpan w:val="2"/>
            <w:vMerge w:val="continue"/>
          </w:tcPr>
          <w:p>
            <w:pPr>
              <w:spacing w:after="0"/>
              <w:rPr>
                <w:sz w:val="17"/>
                <w:szCs w:val="17"/>
                <w:color w:val="auto"/>
              </w:rPr>
            </w:pPr>
          </w:p>
        </w:tc>
        <w:tc>
          <w:tcPr>
            <w:tcW w:w="21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BFBFBF"/>
            </w:tcBorders>
            <w:shd w:val="clear" w:color="auto" w:fill="BFBFBF"/>
          </w:tcPr>
          <w:p>
            <w:pPr>
              <w:ind w:left="80"/>
              <w:spacing w:after="0" w:line="196" w:lineRule="exact"/>
              <w:rPr>
                <w:sz w:val="20"/>
                <w:szCs w:val="20"/>
                <w:color w:val="auto"/>
              </w:rPr>
            </w:pPr>
            <w:r>
              <w:rPr>
                <w:rFonts w:ascii="Arial" w:cs="Arial" w:eastAsia="Arial" w:hAnsi="Arial"/>
                <w:sz w:val="18"/>
                <w:szCs w:val="18"/>
                <w:color w:val="auto"/>
              </w:rPr>
              <w:t>Total Company shareholders’ equity</w:t>
            </w:r>
          </w:p>
        </w:tc>
        <w:tc>
          <w:tcPr>
            <w:tcW w:w="13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569,768</w:t>
            </w:r>
          </w:p>
        </w:tc>
        <w:tc>
          <w:tcPr>
            <w:tcW w:w="10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(5,630)</w:t>
            </w:r>
          </w:p>
        </w:tc>
        <w:tc>
          <w:tcPr>
            <w:tcW w:w="12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3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564,138</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Noncontrolling interest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3,247</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BFBFBF"/>
            </w:tcBorders>
            <w:shd w:val="clear" w:color="auto" w:fill="BFBFBF"/>
          </w:tcPr>
          <w:p>
            <w:pPr>
              <w:ind w:left="80"/>
              <w:spacing w:after="0" w:line="196" w:lineRule="exact"/>
              <w:rPr>
                <w:sz w:val="20"/>
                <w:szCs w:val="20"/>
                <w:color w:val="auto"/>
              </w:rPr>
            </w:pPr>
            <w:r>
              <w:rPr>
                <w:rFonts w:ascii="Arial" w:cs="Arial" w:eastAsia="Arial" w:hAnsi="Arial"/>
                <w:sz w:val="18"/>
                <w:szCs w:val="18"/>
                <w:color w:val="auto"/>
              </w:rPr>
              <w:t>Total equity</w:t>
            </w:r>
          </w:p>
        </w:tc>
        <w:tc>
          <w:tcPr>
            <w:tcW w:w="13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573,015</w:t>
            </w:r>
          </w:p>
        </w:tc>
        <w:tc>
          <w:tcPr>
            <w:tcW w:w="10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(5,957</w:t>
            </w:r>
          </w:p>
        </w:tc>
        <w:tc>
          <w:tcPr>
            <w:tcW w:w="120" w:type="dxa"/>
            <w:vAlign w:val="bottom"/>
            <w:tcBorders>
              <w:top w:val="single" w:sz="8" w:color="BFBFBF"/>
            </w:tcBorders>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BFBFBF"/>
            </w:tcBorders>
            <w:shd w:val="clear" w:color="auto" w:fill="BFBFBF"/>
          </w:tcPr>
          <w:p>
            <w:pPr>
              <w:spacing w:after="0"/>
              <w:rPr>
                <w:sz w:val="17"/>
                <w:szCs w:val="17"/>
                <w:color w:val="auto"/>
              </w:rPr>
            </w:pPr>
          </w:p>
        </w:tc>
        <w:tc>
          <w:tcPr>
            <w:tcW w:w="13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567,058</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$1,361,198</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color w:val="auto"/>
              </w:rPr>
              <w:t>$10,903</w:t>
            </w:r>
          </w:p>
        </w:tc>
        <w:tc>
          <w:tcPr>
            <w:tcW w:w="5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$1,372,101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periods ending after December 31, 2017, 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under the new revenue standard.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94"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Generally, the customer obtains control when the product has been received at the location specified by the customer, at which time the only remaining obligations under the contract are fulfillment costs, which are accrued when control of the product is transferred.</w:t>
      </w:r>
    </w:p>
    <w:p>
      <w:pPr>
        <w:spacing w:after="0" w:line="188"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In the MC segment, some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based on their estimated standalone selling price.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192"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In our AEC business segment, we primarily enter into contracts to manufacture and deliver highly engineered advanced composite products to our customers. The majority of AEC revenue is from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manage the contract and provide a significant service of integrating a complex set of tasks and components into a single project or capability, which will often result in the delivery of multiple highly interdependent and interrelated units.</w:t>
      </w:r>
    </w:p>
    <w:p>
      <w:pPr>
        <w:spacing w:after="0" w:line="19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At the inception of a contract 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Depending on the nature of the modification, we consider whether to account for the modification as an adjustment to the existing contract or as a separate contract. Generally, we are able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 w:name="page11"/>
    <w:bookmarkEnd w:id="10"/>
    <w:p>
      <w:pPr>
        <w:ind w:right="40"/>
        <w:spacing w:after="0"/>
        <w:rPr>
          <w:sz w:val="20"/>
          <w:szCs w:val="20"/>
          <w:color w:val="auto"/>
        </w:rPr>
      </w:pPr>
      <w:r>
        <w:rPr>
          <w:rFonts w:ascii="Arial" w:cs="Arial" w:eastAsia="Arial" w:hAnsi="Arial"/>
          <w:sz w:val="18"/>
          <w:szCs w:val="18"/>
          <w:color w:val="auto"/>
        </w:rPr>
        <w:t>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189"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Revenue is recognized over time for a large portion of our contracts in AEC as most of our contracts have provisions that, under the guidance in ASC 606,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19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other AEC contracts, revenue is recognized at a point in time because the products are offered to multiple customers, or do not have an enforceable right to payment until the product is shipped or delivered to the location specified by the customer in the contract.</w:t>
      </w:r>
    </w:p>
    <w:p>
      <w:pPr>
        <w:spacing w:after="0" w:line="18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AEC’s largest source of revenue is derived from the LEAP contract (see Note 3) under a cost- plus-fee agreement. Beginning in 2018, the fee is variable based on our success in achieving certain cost targets. Revenue is recognized over time as costs are incurred. Under this contract, there is significant judgment involved in determining applicable contract costs and expected margin, and therefore in determining the amount of revenue to be recognized.</w:t>
      </w:r>
    </w:p>
    <w:p>
      <w:pPr>
        <w:spacing w:after="0" w:line="188" w:lineRule="exact"/>
        <w:rPr>
          <w:sz w:val="20"/>
          <w:szCs w:val="20"/>
          <w:color w:val="auto"/>
        </w:rPr>
      </w:pPr>
    </w:p>
    <w:p>
      <w:pPr>
        <w:ind w:right="780" w:firstLine="648"/>
        <w:spacing w:after="0" w:line="246" w:lineRule="auto"/>
        <w:rPr>
          <w:sz w:val="20"/>
          <w:szCs w:val="20"/>
          <w:color w:val="auto"/>
        </w:rPr>
      </w:pPr>
      <w:r>
        <w:rPr>
          <w:rFonts w:ascii="Arial" w:cs="Arial" w:eastAsia="Arial" w:hAnsi="Arial"/>
          <w:sz w:val="18"/>
          <w:szCs w:val="18"/>
          <w:color w:val="auto"/>
        </w:rPr>
        <w:t>Payment terms granted to MC and AEC customers reflect general competitive practices. Terms vary with product, competitive conditions, and the country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composition of each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Segment</w:t>
            </w: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Reporting Unit</w:t>
            </w:r>
          </w:p>
        </w:tc>
        <w:tc>
          <w:tcPr>
            <w:tcW w:w="44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Principal Product or Service</w:t>
            </w:r>
          </w:p>
        </w:tc>
        <w:tc>
          <w:tcPr>
            <w:tcW w:w="26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Principal Locations</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480" w:type="dxa"/>
            <w:vAlign w:val="bottom"/>
          </w:tcPr>
          <w:p>
            <w:pPr>
              <w:ind w:left="280"/>
              <w:spacing w:after="0" w:line="195" w:lineRule="exact"/>
              <w:rPr>
                <w:sz w:val="20"/>
                <w:szCs w:val="20"/>
                <w:color w:val="auto"/>
              </w:rPr>
            </w:pPr>
            <w:r>
              <w:rPr>
                <w:rFonts w:ascii="Arial" w:cs="Arial" w:eastAsia="Arial" w:hAnsi="Arial"/>
                <w:sz w:val="18"/>
                <w:szCs w:val="18"/>
                <w:color w:val="auto"/>
              </w:rPr>
              <w:t>Paper machine clothing: Permeable and</w:t>
            </w: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impermeable belts used in the manufacture of</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40" w:type="dxa"/>
            <w:vAlign w:val="bottom"/>
            <w:vMerge w:val="restart"/>
          </w:tcPr>
          <w:p>
            <w:pPr>
              <w:ind w:left="220"/>
              <w:spacing w:after="0"/>
              <w:rPr>
                <w:sz w:val="20"/>
                <w:szCs w:val="20"/>
                <w:color w:val="auto"/>
              </w:rPr>
            </w:pPr>
            <w:r>
              <w:rPr>
                <w:rFonts w:ascii="Arial" w:cs="Arial" w:eastAsia="Arial" w:hAnsi="Arial"/>
                <w:sz w:val="18"/>
                <w:szCs w:val="18"/>
                <w:color w:val="auto"/>
              </w:rPr>
              <w:t>Machine Clothing (MC)</w:t>
            </w:r>
          </w:p>
        </w:tc>
        <w:tc>
          <w:tcPr>
            <w:tcW w:w="2060" w:type="dxa"/>
            <w:vAlign w:val="bottom"/>
            <w:vMerge w:val="restart"/>
          </w:tcPr>
          <w:p>
            <w:pPr>
              <w:ind w:left="160"/>
              <w:spacing w:after="0"/>
              <w:rPr>
                <w:sz w:val="20"/>
                <w:szCs w:val="20"/>
                <w:color w:val="auto"/>
              </w:rPr>
            </w:pPr>
            <w:r>
              <w:rPr>
                <w:rFonts w:ascii="Arial" w:cs="Arial" w:eastAsia="Arial" w:hAnsi="Arial"/>
                <w:sz w:val="18"/>
                <w:szCs w:val="18"/>
                <w:color w:val="auto"/>
              </w:rPr>
              <w:t>Machine Clothing</w:t>
            </w:r>
          </w:p>
        </w:tc>
        <w:tc>
          <w:tcPr>
            <w:tcW w:w="4480" w:type="dxa"/>
            <w:vAlign w:val="bottom"/>
          </w:tcPr>
          <w:p>
            <w:pPr>
              <w:ind w:left="280"/>
              <w:spacing w:after="0"/>
              <w:rPr>
                <w:sz w:val="20"/>
                <w:szCs w:val="20"/>
                <w:color w:val="auto"/>
              </w:rPr>
            </w:pPr>
            <w:r>
              <w:rPr>
                <w:rFonts w:ascii="Arial" w:cs="Arial" w:eastAsia="Arial" w:hAnsi="Arial"/>
                <w:sz w:val="18"/>
                <w:szCs w:val="18"/>
                <w:color w:val="auto"/>
              </w:rPr>
              <w:t>paper, paperboard, tissue and towel, and pulp</w:t>
            </w:r>
          </w:p>
        </w:tc>
        <w:tc>
          <w:tcPr>
            <w:tcW w:w="2640" w:type="dxa"/>
            <w:vAlign w:val="bottom"/>
            <w:vMerge w:val="restart"/>
          </w:tcPr>
          <w:p>
            <w:pPr>
              <w:ind w:left="24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4480" w:type="dxa"/>
            <w:vAlign w:val="bottom"/>
            <w:vMerge w:val="restart"/>
          </w:tcPr>
          <w:p>
            <w:pPr>
              <w:ind w:left="280"/>
              <w:spacing w:after="0"/>
              <w:rPr>
                <w:sz w:val="20"/>
                <w:szCs w:val="20"/>
                <w:color w:val="auto"/>
              </w:rPr>
            </w:pPr>
            <w:r>
              <w:rPr>
                <w:rFonts w:ascii="Arial" w:cs="Arial" w:eastAsia="Arial" w:hAnsi="Arial"/>
                <w:sz w:val="18"/>
                <w:szCs w:val="18"/>
                <w:color w:val="auto"/>
              </w:rPr>
              <w:t>Engineered fabrics: Belts used in the manufacture</w:t>
            </w: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48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of nonwovens, fiber cement and several other</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industrial applications</w:t>
            </w:r>
          </w:p>
        </w:tc>
        <w:tc>
          <w:tcPr>
            <w:tcW w:w="2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060" w:type="dxa"/>
            <w:vAlign w:val="bottom"/>
          </w:tcPr>
          <w:p>
            <w:pPr>
              <w:ind w:left="160"/>
              <w:spacing w:after="0" w:line="195" w:lineRule="exact"/>
              <w:rPr>
                <w:sz w:val="20"/>
                <w:szCs w:val="20"/>
                <w:color w:val="auto"/>
              </w:rPr>
            </w:pPr>
            <w:r>
              <w:rPr>
                <w:rFonts w:ascii="Arial" w:cs="Arial" w:eastAsia="Arial" w:hAnsi="Arial"/>
                <w:sz w:val="18"/>
                <w:szCs w:val="18"/>
                <w:color w:val="auto"/>
              </w:rPr>
              <w:t>Albany Safran</w:t>
            </w:r>
          </w:p>
        </w:tc>
        <w:tc>
          <w:tcPr>
            <w:tcW w:w="4480" w:type="dxa"/>
            <w:vAlign w:val="bottom"/>
          </w:tcPr>
          <w:p>
            <w:pPr>
              <w:ind w:left="280"/>
              <w:spacing w:after="0" w:line="195" w:lineRule="exact"/>
              <w:rPr>
                <w:sz w:val="20"/>
                <w:szCs w:val="20"/>
                <w:color w:val="auto"/>
              </w:rPr>
            </w:pPr>
            <w:r>
              <w:rPr>
                <w:rFonts w:ascii="Arial" w:cs="Arial" w:eastAsia="Arial" w:hAnsi="Arial"/>
                <w:sz w:val="18"/>
                <w:szCs w:val="18"/>
                <w:color w:val="auto"/>
              </w:rPr>
              <w:t>3D-woven, injected composite components for</w:t>
            </w:r>
          </w:p>
        </w:tc>
        <w:tc>
          <w:tcPr>
            <w:tcW w:w="2640" w:type="dxa"/>
            <w:vAlign w:val="bottom"/>
          </w:tcPr>
          <w:p>
            <w:pPr>
              <w:ind w:left="240"/>
              <w:spacing w:after="0" w:line="195" w:lineRule="exact"/>
              <w:rPr>
                <w:sz w:val="20"/>
                <w:szCs w:val="20"/>
                <w:color w:val="auto"/>
              </w:rPr>
            </w:pPr>
            <w:r>
              <w:rPr>
                <w:rFonts w:ascii="Arial" w:cs="Arial" w:eastAsia="Arial" w:hAnsi="Arial"/>
                <w:sz w:val="18"/>
                <w:szCs w:val="18"/>
                <w:color w:val="auto"/>
              </w:rPr>
              <w:t>Rochester, NH Commercy,</w:t>
            </w:r>
          </w:p>
        </w:tc>
        <w:tc>
          <w:tcPr>
            <w:tcW w:w="0" w:type="dxa"/>
            <w:vAlign w:val="bottom"/>
          </w:tcPr>
          <w:p>
            <w:pPr>
              <w:spacing w:after="0"/>
              <w:rPr>
                <w:sz w:val="1"/>
                <w:szCs w:val="1"/>
                <w:color w:val="auto"/>
              </w:rPr>
            </w:pPr>
          </w:p>
        </w:tc>
      </w:tr>
      <w:tr>
        <w:trPr>
          <w:trHeight w:val="217"/>
        </w:trPr>
        <w:tc>
          <w:tcPr>
            <w:tcW w:w="2240" w:type="dxa"/>
            <w:vAlign w:val="bottom"/>
            <w:vMerge w:val="restart"/>
          </w:tcPr>
          <w:p>
            <w:pPr>
              <w:ind w:left="220"/>
              <w:spacing w:after="0"/>
              <w:rPr>
                <w:sz w:val="20"/>
                <w:szCs w:val="20"/>
                <w:color w:val="auto"/>
              </w:rPr>
            </w:pPr>
            <w:r>
              <w:rPr>
                <w:rFonts w:ascii="Arial" w:cs="Arial" w:eastAsia="Arial" w:hAnsi="Arial"/>
                <w:sz w:val="18"/>
                <w:szCs w:val="18"/>
                <w:color w:val="auto"/>
              </w:rPr>
              <w:t>Albany Engineered</w:t>
            </w:r>
          </w:p>
        </w:tc>
        <w:tc>
          <w:tcPr>
            <w:tcW w:w="2060" w:type="dxa"/>
            <w:vAlign w:val="bottom"/>
          </w:tcPr>
          <w:p>
            <w:pPr>
              <w:ind w:left="160"/>
              <w:spacing w:after="0"/>
              <w:rPr>
                <w:sz w:val="20"/>
                <w:szCs w:val="20"/>
                <w:color w:val="auto"/>
              </w:rPr>
            </w:pPr>
            <w:r>
              <w:rPr>
                <w:rFonts w:ascii="Arial" w:cs="Arial" w:eastAsia="Arial" w:hAnsi="Arial"/>
                <w:sz w:val="18"/>
                <w:szCs w:val="18"/>
                <w:color w:val="auto"/>
              </w:rPr>
              <w:t>Composites (ASC)</w:t>
            </w:r>
          </w:p>
        </w:tc>
        <w:tc>
          <w:tcPr>
            <w:tcW w:w="4480" w:type="dxa"/>
            <w:vAlign w:val="bottom"/>
          </w:tcPr>
          <w:p>
            <w:pPr>
              <w:ind w:left="280"/>
              <w:spacing w:after="0"/>
              <w:rPr>
                <w:sz w:val="20"/>
                <w:szCs w:val="20"/>
                <w:color w:val="auto"/>
              </w:rPr>
            </w:pPr>
            <w:r>
              <w:rPr>
                <w:rFonts w:ascii="Arial" w:cs="Arial" w:eastAsia="Arial" w:hAnsi="Arial"/>
                <w:sz w:val="18"/>
                <w:szCs w:val="18"/>
                <w:color w:val="auto"/>
              </w:rPr>
              <w:t>aircraft engines</w:t>
            </w:r>
          </w:p>
        </w:tc>
        <w:tc>
          <w:tcPr>
            <w:tcW w:w="2640" w:type="dxa"/>
            <w:vAlign w:val="bottom"/>
          </w:tcPr>
          <w:p>
            <w:pPr>
              <w:ind w:left="240"/>
              <w:spacing w:after="0"/>
              <w:rPr>
                <w:sz w:val="20"/>
                <w:szCs w:val="20"/>
                <w:color w:val="auto"/>
              </w:rPr>
            </w:pPr>
            <w:r>
              <w:rPr>
                <w:rFonts w:ascii="Arial" w:cs="Arial" w:eastAsia="Arial" w:hAnsi="Arial"/>
                <w:sz w:val="18"/>
                <w:szCs w:val="18"/>
                <w:color w:val="auto"/>
              </w:rPr>
              <w:t>France Queretaro, Mexico</w:t>
            </w:r>
          </w:p>
        </w:tc>
        <w:tc>
          <w:tcPr>
            <w:tcW w:w="0" w:type="dxa"/>
            <w:vAlign w:val="bottom"/>
          </w:tcPr>
          <w:p>
            <w:pPr>
              <w:spacing w:after="0"/>
              <w:rPr>
                <w:sz w:val="1"/>
                <w:szCs w:val="1"/>
                <w:color w:val="auto"/>
              </w:rPr>
            </w:pPr>
          </w:p>
        </w:tc>
      </w:tr>
      <w:tr>
        <w:trPr>
          <w:trHeight w:val="188"/>
        </w:trPr>
        <w:tc>
          <w:tcPr>
            <w:tcW w:w="2240" w:type="dxa"/>
            <w:vAlign w:val="bottom"/>
            <w:vMerge w:val="continue"/>
          </w:tcPr>
          <w:p>
            <w:pPr>
              <w:spacing w:after="0"/>
              <w:rPr>
                <w:sz w:val="16"/>
                <w:szCs w:val="16"/>
                <w:color w:val="auto"/>
              </w:rPr>
            </w:pPr>
          </w:p>
        </w:tc>
        <w:tc>
          <w:tcPr>
            <w:tcW w:w="2060" w:type="dxa"/>
            <w:vAlign w:val="bottom"/>
            <w:vMerge w:val="restart"/>
          </w:tcPr>
          <w:p>
            <w:pPr>
              <w:ind w:left="160"/>
              <w:spacing w:after="0"/>
              <w:rPr>
                <w:sz w:val="20"/>
                <w:szCs w:val="20"/>
                <w:color w:val="auto"/>
              </w:rPr>
            </w:pPr>
            <w:r>
              <w:rPr>
                <w:rFonts w:ascii="Arial" w:cs="Arial" w:eastAsia="Arial" w:hAnsi="Arial"/>
                <w:sz w:val="18"/>
                <w:szCs w:val="18"/>
                <w:color w:val="auto"/>
              </w:rPr>
              <w:t>Airframe and engine</w:t>
            </w:r>
          </w:p>
        </w:tc>
        <w:tc>
          <w:tcPr>
            <w:tcW w:w="4480" w:type="dxa"/>
            <w:vAlign w:val="bottom"/>
          </w:tcPr>
          <w:p>
            <w:pPr>
              <w:spacing w:after="0"/>
              <w:rPr>
                <w:sz w:val="16"/>
                <w:szCs w:val="16"/>
                <w:color w:val="auto"/>
              </w:rPr>
            </w:pPr>
          </w:p>
        </w:tc>
        <w:tc>
          <w:tcPr>
            <w:tcW w:w="2640" w:type="dxa"/>
            <w:vAlign w:val="bottom"/>
            <w:vMerge w:val="restart"/>
          </w:tcPr>
          <w:p>
            <w:pPr>
              <w:ind w:left="240"/>
              <w:spacing w:after="0"/>
              <w:rPr>
                <w:sz w:val="20"/>
                <w:szCs w:val="20"/>
                <w:color w:val="auto"/>
              </w:rPr>
            </w:pPr>
            <w:r>
              <w:rPr>
                <w:rFonts w:ascii="Arial" w:cs="Arial" w:eastAsia="Arial" w:hAnsi="Arial"/>
                <w:sz w:val="18"/>
                <w:szCs w:val="18"/>
                <w:color w:val="auto"/>
              </w:rPr>
              <w:t>Salt Lake City, UT Boerne,</w:t>
            </w:r>
          </w:p>
        </w:tc>
        <w:tc>
          <w:tcPr>
            <w:tcW w:w="0" w:type="dxa"/>
            <w:vAlign w:val="bottom"/>
          </w:tcPr>
          <w:p>
            <w:pPr>
              <w:spacing w:after="0"/>
              <w:rPr>
                <w:sz w:val="1"/>
                <w:szCs w:val="1"/>
                <w:color w:val="auto"/>
              </w:rPr>
            </w:pPr>
          </w:p>
        </w:tc>
      </w:tr>
      <w:tr>
        <w:trPr>
          <w:trHeight w:val="176"/>
        </w:trPr>
        <w:tc>
          <w:tcPr>
            <w:tcW w:w="2240" w:type="dxa"/>
            <w:vAlign w:val="bottom"/>
          </w:tcPr>
          <w:p>
            <w:pPr>
              <w:ind w:left="220"/>
              <w:spacing w:after="0" w:line="176" w:lineRule="exact"/>
              <w:rPr>
                <w:sz w:val="20"/>
                <w:szCs w:val="20"/>
                <w:color w:val="auto"/>
              </w:rPr>
            </w:pPr>
            <w:r>
              <w:rPr>
                <w:rFonts w:ascii="Arial" w:cs="Arial" w:eastAsia="Arial" w:hAnsi="Arial"/>
                <w:sz w:val="18"/>
                <w:szCs w:val="18"/>
                <w:color w:val="auto"/>
              </w:rPr>
              <w:t>Composites (AEC)</w:t>
            </w:r>
          </w:p>
        </w:tc>
        <w:tc>
          <w:tcPr>
            <w:tcW w:w="2060" w:type="dxa"/>
            <w:vAlign w:val="bottom"/>
            <w:vMerge w:val="continue"/>
          </w:tcPr>
          <w:p>
            <w:pPr>
              <w:spacing w:after="0"/>
              <w:rPr>
                <w:sz w:val="15"/>
                <w:szCs w:val="15"/>
                <w:color w:val="auto"/>
              </w:rPr>
            </w:pPr>
          </w:p>
        </w:tc>
        <w:tc>
          <w:tcPr>
            <w:tcW w:w="4480" w:type="dxa"/>
            <w:vAlign w:val="bottom"/>
          </w:tcPr>
          <w:p>
            <w:pPr>
              <w:spacing w:after="0"/>
              <w:rPr>
                <w:sz w:val="15"/>
                <w:szCs w:val="15"/>
                <w:color w:val="auto"/>
              </w:rPr>
            </w:pP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060" w:type="dxa"/>
            <w:vAlign w:val="bottom"/>
          </w:tcPr>
          <w:p>
            <w:pPr>
              <w:ind w:left="160"/>
              <w:spacing w:after="0" w:line="202" w:lineRule="exact"/>
              <w:rPr>
                <w:sz w:val="20"/>
                <w:szCs w:val="20"/>
                <w:color w:val="auto"/>
              </w:rPr>
            </w:pPr>
            <w:r>
              <w:rPr>
                <w:rFonts w:ascii="Arial" w:cs="Arial" w:eastAsia="Arial" w:hAnsi="Arial"/>
                <w:sz w:val="18"/>
                <w:szCs w:val="18"/>
                <w:color w:val="auto"/>
              </w:rPr>
              <w:t>Components (Other</w:t>
            </w:r>
          </w:p>
        </w:tc>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Composite airframe and engine components for</w:t>
            </w:r>
          </w:p>
        </w:tc>
        <w:tc>
          <w:tcPr>
            <w:tcW w:w="2640" w:type="dxa"/>
            <w:vAlign w:val="bottom"/>
          </w:tcPr>
          <w:p>
            <w:pPr>
              <w:ind w:left="240"/>
              <w:spacing w:after="0" w:line="202" w:lineRule="exact"/>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AEC)</w:t>
            </w:r>
          </w:p>
        </w:tc>
        <w:tc>
          <w:tcPr>
            <w:tcW w:w="4480" w:type="dxa"/>
            <w:vAlign w:val="bottom"/>
          </w:tcPr>
          <w:p>
            <w:pPr>
              <w:ind w:left="280"/>
              <w:spacing w:after="0"/>
              <w:rPr>
                <w:sz w:val="20"/>
                <w:szCs w:val="20"/>
                <w:color w:val="auto"/>
              </w:rPr>
            </w:pPr>
            <w:r>
              <w:rPr>
                <w:rFonts w:ascii="Arial" w:cs="Arial" w:eastAsia="Arial" w:hAnsi="Arial"/>
                <w:sz w:val="18"/>
                <w:szCs w:val="18"/>
                <w:color w:val="auto"/>
              </w:rPr>
              <w:t>military and commercial aircraft</w:t>
            </w:r>
          </w:p>
        </w:tc>
        <w:tc>
          <w:tcPr>
            <w:tcW w:w="2640" w:type="dxa"/>
            <w:vAlign w:val="bottom"/>
          </w:tcPr>
          <w:p>
            <w:pPr>
              <w:ind w:left="240"/>
              <w:spacing w:after="0"/>
              <w:rPr>
                <w:sz w:val="20"/>
                <w:szCs w:val="20"/>
                <w:color w:val="auto"/>
              </w:rPr>
            </w:pPr>
            <w:r>
              <w:rPr>
                <w:rFonts w:ascii="Arial" w:cs="Arial" w:eastAsia="Arial" w:hAnsi="Arial"/>
                <w:sz w:val="18"/>
                <w:szCs w:val="18"/>
                <w:color w:val="auto"/>
              </w:rPr>
              <w:t>Queretaro, Mexico</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p>
      <w:pPr>
        <w:ind w:right="220" w:firstLine="648"/>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reporting units based on the timing of revenue recognition, and groupings used for internal review purposes.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revenue for each reporting unit by timing of revenue recognition: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840" w:type="dxa"/>
            <w:vAlign w:val="bottom"/>
            <w:tcBorders>
              <w:top w:val="single" w:sz="8" w:color="auto"/>
            </w:tcBorders>
          </w:tcPr>
          <w:p>
            <w:pPr>
              <w:spacing w:after="0"/>
              <w:rPr>
                <w:sz w:val="16"/>
                <w:szCs w:val="16"/>
                <w:color w:val="auto"/>
              </w:rPr>
            </w:pPr>
          </w:p>
        </w:tc>
        <w:tc>
          <w:tcPr>
            <w:tcW w:w="5740" w:type="dxa"/>
            <w:vAlign w:val="bottom"/>
            <w:tcBorders>
              <w:top w:val="single" w:sz="8" w:color="auto"/>
            </w:tcBorders>
            <w:gridSpan w:val="2"/>
          </w:tcPr>
          <w:p>
            <w:pPr>
              <w:jc w:val="right"/>
              <w:ind w:right="1490"/>
              <w:spacing w:after="0" w:line="194" w:lineRule="exact"/>
              <w:rPr>
                <w:sz w:val="20"/>
                <w:szCs w:val="20"/>
                <w:color w:val="auto"/>
              </w:rPr>
            </w:pPr>
            <w:r>
              <w:rPr>
                <w:rFonts w:ascii="Arial" w:cs="Arial" w:eastAsia="Arial" w:hAnsi="Arial"/>
                <w:sz w:val="18"/>
                <w:szCs w:val="18"/>
                <w:b w:val="1"/>
                <w:bCs w:val="1"/>
                <w:color w:val="auto"/>
              </w:rPr>
              <w:t>For the Nine Months Ended</w:t>
            </w:r>
          </w:p>
        </w:tc>
        <w:tc>
          <w:tcPr>
            <w:tcW w:w="1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740" w:type="dxa"/>
            <w:vAlign w:val="bottom"/>
            <w:gridSpan w:val="2"/>
          </w:tcPr>
          <w:p>
            <w:pPr>
              <w:jc w:val="right"/>
              <w:ind w:right="1810"/>
              <w:spacing w:after="0" w:line="202" w:lineRule="exact"/>
              <w:rPr>
                <w:sz w:val="20"/>
                <w:szCs w:val="20"/>
                <w:color w:val="auto"/>
              </w:rPr>
            </w:pPr>
            <w:r>
              <w:rPr>
                <w:rFonts w:ascii="Arial" w:cs="Arial" w:eastAsia="Arial" w:hAnsi="Arial"/>
                <w:sz w:val="18"/>
                <w:szCs w:val="18"/>
                <w:b w:val="1"/>
                <w:bCs w:val="1"/>
                <w:color w:val="auto"/>
              </w:rPr>
              <w:t>September 30, 2018</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1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Point in Time Revenue</w:t>
            </w:r>
          </w:p>
        </w:tc>
        <w:tc>
          <w:tcPr>
            <w:tcW w:w="260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Over Time Revenue</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Recognition</w:t>
            </w:r>
          </w:p>
        </w:tc>
        <w:tc>
          <w:tcPr>
            <w:tcW w:w="26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Recognition</w:t>
            </w:r>
          </w:p>
        </w:tc>
        <w:tc>
          <w:tcPr>
            <w:tcW w:w="1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860" w:type="dxa"/>
            <w:vAlign w:val="bottom"/>
            <w:gridSpan w:val="2"/>
          </w:tcPr>
          <w:p>
            <w:pPr>
              <w:spacing w:after="0"/>
              <w:rPr>
                <w:sz w:val="20"/>
                <w:szCs w:val="20"/>
                <w:color w:val="auto"/>
              </w:rPr>
            </w:pPr>
            <w:r>
              <w:rPr>
                <w:rFonts w:ascii="Arial" w:cs="Arial" w:eastAsia="Arial" w:hAnsi="Arial"/>
                <w:sz w:val="18"/>
                <w:szCs w:val="18"/>
                <w:color w:val="auto"/>
              </w:rPr>
              <w:t>Machine Clothing</w:t>
            </w:r>
          </w:p>
        </w:tc>
        <w:tc>
          <w:tcPr>
            <w:tcW w:w="3140" w:type="dxa"/>
            <w:vAlign w:val="bottom"/>
          </w:tcPr>
          <w:p>
            <w:pPr>
              <w:jc w:val="right"/>
              <w:ind w:right="50"/>
              <w:spacing w:after="0"/>
              <w:rPr>
                <w:sz w:val="20"/>
                <w:szCs w:val="20"/>
                <w:color w:val="auto"/>
              </w:rPr>
            </w:pPr>
            <w:r>
              <w:rPr>
                <w:rFonts w:ascii="Arial" w:cs="Arial" w:eastAsia="Arial" w:hAnsi="Arial"/>
                <w:sz w:val="18"/>
                <w:szCs w:val="18"/>
                <w:b w:val="1"/>
                <w:bCs w:val="1"/>
                <w:color w:val="auto"/>
              </w:rPr>
              <w:t>$467,358</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$2,400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$469,758</w:t>
            </w:r>
          </w:p>
        </w:tc>
        <w:tc>
          <w:tcPr>
            <w:tcW w:w="0" w:type="dxa"/>
            <w:vAlign w:val="bottom"/>
          </w:tcPr>
          <w:p>
            <w:pPr>
              <w:spacing w:after="0"/>
              <w:rPr>
                <w:sz w:val="1"/>
                <w:szCs w:val="1"/>
                <w:color w:val="auto"/>
              </w:rPr>
            </w:pPr>
          </w:p>
        </w:tc>
      </w:tr>
      <w:tr>
        <w:trPr>
          <w:trHeight w:val="398"/>
        </w:trPr>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14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134,972</w:t>
            </w:r>
          </w:p>
        </w:tc>
        <w:tc>
          <w:tcPr>
            <w:tcW w:w="1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134,972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tcPr>
          <w:p>
            <w:pPr>
              <w:ind w:left="200"/>
              <w:spacing w:after="0" w:line="181" w:lineRule="exact"/>
              <w:rPr>
                <w:sz w:val="20"/>
                <w:szCs w:val="20"/>
                <w:color w:val="auto"/>
              </w:rPr>
            </w:pPr>
            <w:r>
              <w:rPr>
                <w:rFonts w:ascii="Arial" w:cs="Arial" w:eastAsia="Arial" w:hAnsi="Arial"/>
                <w:sz w:val="18"/>
                <w:szCs w:val="18"/>
                <w:color w:val="auto"/>
              </w:rPr>
              <w:t>ASC</w:t>
            </w:r>
          </w:p>
        </w:tc>
        <w:tc>
          <w:tcPr>
            <w:tcW w:w="314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AEC</w:t>
            </w:r>
          </w:p>
        </w:tc>
        <w:tc>
          <w:tcPr>
            <w:tcW w:w="3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15,909</w:t>
            </w:r>
          </w:p>
        </w:tc>
        <w:tc>
          <w:tcPr>
            <w:tcW w:w="2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118,820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3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15,909</w:t>
            </w:r>
          </w:p>
        </w:tc>
        <w:tc>
          <w:tcPr>
            <w:tcW w:w="26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253,792</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269,701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rPr>
              <w:t>Total revenue</w:t>
            </w:r>
          </w:p>
        </w:tc>
        <w:tc>
          <w:tcPr>
            <w:tcW w:w="3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$483,267</w:t>
            </w:r>
          </w:p>
        </w:tc>
        <w:tc>
          <w:tcPr>
            <w:tcW w:w="2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$256,192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$739,459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tcPr>
          <w:p>
            <w:pPr>
              <w:jc w:val="right"/>
              <w:ind w:right="870"/>
              <w:spacing w:after="0" w:line="194" w:lineRule="exact"/>
              <w:rPr>
                <w:sz w:val="20"/>
                <w:szCs w:val="20"/>
                <w:color w:val="auto"/>
              </w:rPr>
            </w:pPr>
            <w:r>
              <w:rPr>
                <w:rFonts w:ascii="Arial" w:cs="Arial" w:eastAsia="Arial" w:hAnsi="Arial"/>
                <w:sz w:val="18"/>
                <w:szCs w:val="18"/>
                <w:b w:val="1"/>
                <w:bCs w:val="1"/>
                <w:color w:val="auto"/>
              </w:rPr>
              <w:t>For the Nine Months Ended</w:t>
            </w:r>
          </w:p>
        </w:tc>
        <w:tc>
          <w:tcPr>
            <w:tcW w:w="20" w:type="dxa"/>
            <w:vAlign w:val="bottom"/>
          </w:tcPr>
          <w:p>
            <w:pPr>
              <w:spacing w:after="0"/>
              <w:rPr>
                <w:sz w:val="16"/>
                <w:szCs w:val="16"/>
                <w:color w:val="auto"/>
              </w:rPr>
            </w:pPr>
          </w:p>
        </w:tc>
      </w:tr>
      <w:tr>
        <w:trPr>
          <w:trHeight w:val="2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6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19"/>
                <w:szCs w:val="19"/>
                <w:color w:val="auto"/>
              </w:rPr>
            </w:pPr>
          </w:p>
        </w:tc>
      </w:tr>
      <w:tr>
        <w:trPr>
          <w:trHeight w:val="376"/>
        </w:trPr>
        <w:tc>
          <w:tcPr>
            <w:tcW w:w="3940" w:type="dxa"/>
            <w:vAlign w:val="bottom"/>
          </w:tcPr>
          <w:p>
            <w:pPr>
              <w:spacing w:after="0"/>
              <w:rPr>
                <w:sz w:val="20"/>
                <w:szCs w:val="20"/>
                <w:color w:val="auto"/>
              </w:rPr>
            </w:pPr>
            <w:r>
              <w:rPr>
                <w:rFonts w:ascii="Arial" w:cs="Arial" w:eastAsia="Arial" w:hAnsi="Arial"/>
                <w:sz w:val="18"/>
                <w:szCs w:val="18"/>
                <w:color w:val="auto"/>
              </w:rPr>
              <w:t>Americas PMC</w:t>
            </w:r>
          </w:p>
        </w:tc>
        <w:tc>
          <w:tcPr>
            <w:tcW w:w="4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$232,358</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Eurasia PMC</w:t>
            </w:r>
          </w:p>
        </w:tc>
        <w:tc>
          <w:tcPr>
            <w:tcW w:w="46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176,300</w:t>
            </w:r>
          </w:p>
        </w:tc>
      </w:tr>
      <w:tr>
        <w:trPr>
          <w:trHeight w:val="2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Fabrics</w:t>
            </w:r>
          </w:p>
        </w:tc>
        <w:tc>
          <w:tcPr>
            <w:tcW w:w="4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61,100</w:t>
            </w:r>
          </w:p>
        </w:tc>
      </w:tr>
      <w:tr>
        <w:trPr>
          <w:trHeight w:val="196"/>
        </w:trPr>
        <w:tc>
          <w:tcPr>
            <w:tcW w:w="3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Machine Clothing Net sales</w:t>
            </w:r>
          </w:p>
        </w:tc>
        <w:tc>
          <w:tcPr>
            <w:tcW w:w="46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$469,758</w:t>
            </w: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accordance with ASC 606-10-50-14, we do not disclose the value of unsatisfied performance obligations for contracts with an original expected duration of one year or less. Contracts in the Machine Clothing segment are generally for periods of less than a year. Most contracts in the AEC segment are short duration firm-fixed-price orders representing performance obligations with an original maturity of less than one year. Performance obligations as of September 30, 2018 that had an original duration of greater than one year totaled $95 million and related primarily to firm contracts in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 w:name="page13"/>
    <w:bookmarkEnd w:id="12"/>
    <w:p>
      <w:pPr>
        <w:ind w:right="720"/>
        <w:spacing w:after="0" w:line="246" w:lineRule="auto"/>
        <w:rPr>
          <w:sz w:val="20"/>
          <w:szCs w:val="20"/>
          <w:color w:val="auto"/>
        </w:rPr>
      </w:pPr>
      <w:r>
        <w:rPr>
          <w:rFonts w:ascii="Arial" w:cs="Arial" w:eastAsia="Arial" w:hAnsi="Arial"/>
          <w:sz w:val="18"/>
          <w:szCs w:val="18"/>
          <w:color w:val="auto"/>
        </w:rPr>
        <w:t>the AEC segment. Of that amount, we expect to recognize as revenue approximately $20 million during 2018, with the remainder to be recognized between 2019 and 2021.</w:t>
      </w:r>
    </w:p>
    <w:p>
      <w:pPr>
        <w:spacing w:after="0" w:line="183"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w:t>
      </w:r>
    </w:p>
    <w:p>
      <w:pPr>
        <w:spacing w:after="0" w:line="189" w:lineRule="exact"/>
        <w:rPr>
          <w:sz w:val="20"/>
          <w:szCs w:val="20"/>
          <w:color w:val="auto"/>
        </w:rPr>
      </w:pPr>
    </w:p>
    <w:p>
      <w:pPr>
        <w:jc w:val="both"/>
        <w:ind w:right="640" w:firstLine="648"/>
        <w:spacing w:after="0"/>
        <w:rPr>
          <w:sz w:val="20"/>
          <w:szCs w:val="20"/>
          <w:color w:val="auto"/>
        </w:rPr>
      </w:pPr>
      <w:r>
        <w:rPr>
          <w:rFonts w:ascii="Arial" w:cs="Arial" w:eastAsia="Arial" w:hAnsi="Arial"/>
          <w:sz w:val="18"/>
          <w:szCs w:val="18"/>
          <w:color w:val="auto"/>
        </w:rPr>
        <w:t>As a result of applying the cumulative effect method for transition to ASC 606, we are required to disclose the effect of the new standard on each line of the consolidated financial statements. The following tables show the balances as reported for the period ended September 30, 2018, and how the consolidated financial statements would have appeared if we had not adopted ASC 606.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 OF INCOME</w:t>
      </w:r>
    </w:p>
    <w:p>
      <w:pPr>
        <w:jc w:val="center"/>
        <w:spacing w:after="0" w:line="235" w:lineRule="auto"/>
        <w:rPr>
          <w:sz w:val="20"/>
          <w:szCs w:val="20"/>
          <w:color w:val="auto"/>
        </w:rPr>
      </w:pPr>
      <w:r>
        <w:rPr>
          <w:rFonts w:ascii="Arial" w:cs="Arial" w:eastAsia="Arial" w:hAnsi="Arial"/>
          <w:sz w:val="18"/>
          <w:szCs w:val="18"/>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As adjusted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7"/>
              </w:rPr>
              <w:t>for the</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As adjusted</w:t>
            </w:r>
          </w:p>
        </w:tc>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Nine</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for the</w:t>
            </w:r>
          </w:p>
        </w:tc>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03"/>
        </w:trPr>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As reported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Three</w:t>
            </w:r>
          </w:p>
        </w:tc>
        <w:tc>
          <w:tcPr>
            <w:tcW w:w="2700" w:type="dxa"/>
            <w:vAlign w:val="bottom"/>
          </w:tcPr>
          <w:p>
            <w:pPr>
              <w:spacing w:after="0"/>
              <w:rPr>
                <w:sz w:val="17"/>
                <w:szCs w:val="17"/>
                <w:color w:val="auto"/>
              </w:rPr>
            </w:pPr>
          </w:p>
        </w:tc>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As reported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03"/>
        </w:trPr>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7"/>
              </w:rPr>
              <w:t>for the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Months</w:t>
            </w:r>
          </w:p>
        </w:tc>
        <w:tc>
          <w:tcPr>
            <w:tcW w:w="270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7"/>
              </w:rPr>
              <w:t>for the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03"/>
        </w:trPr>
        <w:tc>
          <w:tcPr>
            <w:tcW w:w="14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Three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Ended September</w:t>
            </w:r>
          </w:p>
        </w:tc>
        <w:tc>
          <w:tcPr>
            <w:tcW w:w="2700" w:type="dxa"/>
            <w:vAlign w:val="bottom"/>
          </w:tcPr>
          <w:p>
            <w:pPr>
              <w:spacing w:after="0"/>
              <w:rPr>
                <w:sz w:val="17"/>
                <w:szCs w:val="17"/>
                <w:color w:val="auto"/>
              </w:rPr>
            </w:pPr>
          </w:p>
        </w:tc>
        <w:tc>
          <w:tcPr>
            <w:tcW w:w="14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Nine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2018 to</w:t>
            </w:r>
          </w:p>
        </w:tc>
        <w:tc>
          <w:tcPr>
            <w:tcW w:w="0" w:type="dxa"/>
            <w:vAlign w:val="bottom"/>
          </w:tcPr>
          <w:p>
            <w:pPr>
              <w:spacing w:after="0"/>
              <w:rPr>
                <w:sz w:val="1"/>
                <w:szCs w:val="1"/>
                <w:color w:val="auto"/>
              </w:rPr>
            </w:pPr>
          </w:p>
        </w:tc>
      </w:tr>
      <w:tr>
        <w:trPr>
          <w:trHeight w:val="203"/>
        </w:trPr>
        <w:tc>
          <w:tcPr>
            <w:tcW w:w="14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Months</w:t>
            </w:r>
          </w:p>
        </w:tc>
        <w:tc>
          <w:tcPr>
            <w:tcW w:w="14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Adjustments</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30, 2018 to</w:t>
            </w:r>
          </w:p>
        </w:tc>
        <w:tc>
          <w:tcPr>
            <w:tcW w:w="270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Months</w:t>
            </w:r>
          </w:p>
        </w:tc>
        <w:tc>
          <w:tcPr>
            <w:tcW w:w="14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Adjustments</w:t>
            </w:r>
          </w:p>
        </w:tc>
        <w:tc>
          <w:tcPr>
            <w:tcW w:w="13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exclude</w:t>
            </w:r>
          </w:p>
        </w:tc>
        <w:tc>
          <w:tcPr>
            <w:tcW w:w="0" w:type="dxa"/>
            <w:vAlign w:val="bottom"/>
          </w:tcPr>
          <w:p>
            <w:pPr>
              <w:spacing w:after="0"/>
              <w:rPr>
                <w:sz w:val="1"/>
                <w:szCs w:val="1"/>
                <w:color w:val="auto"/>
              </w:rPr>
            </w:pPr>
          </w:p>
        </w:tc>
      </w:tr>
      <w:tr>
        <w:trPr>
          <w:trHeight w:val="203"/>
        </w:trPr>
        <w:tc>
          <w:tcPr>
            <w:tcW w:w="14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Ended</w:t>
            </w:r>
          </w:p>
        </w:tc>
        <w:tc>
          <w:tcPr>
            <w:tcW w:w="14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to reverse</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exclude</w:t>
            </w:r>
          </w:p>
        </w:tc>
        <w:tc>
          <w:tcPr>
            <w:tcW w:w="2700" w:type="dxa"/>
            <w:vAlign w:val="bottom"/>
          </w:tcPr>
          <w:p>
            <w:pPr>
              <w:spacing w:after="0"/>
              <w:rPr>
                <w:sz w:val="17"/>
                <w:szCs w:val="17"/>
                <w:color w:val="auto"/>
              </w:rPr>
            </w:pPr>
          </w:p>
        </w:tc>
        <w:tc>
          <w:tcPr>
            <w:tcW w:w="14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Ended</w:t>
            </w:r>
          </w:p>
        </w:tc>
        <w:tc>
          <w:tcPr>
            <w:tcW w:w="14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to reverse</w:t>
            </w: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adoption</w:t>
            </w:r>
          </w:p>
        </w:tc>
        <w:tc>
          <w:tcPr>
            <w:tcW w:w="0" w:type="dxa"/>
            <w:vAlign w:val="bottom"/>
          </w:tcPr>
          <w:p>
            <w:pPr>
              <w:spacing w:after="0"/>
              <w:rPr>
                <w:sz w:val="1"/>
                <w:szCs w:val="1"/>
                <w:color w:val="auto"/>
              </w:rPr>
            </w:pPr>
          </w:p>
        </w:tc>
      </w:tr>
      <w:tr>
        <w:trPr>
          <w:trHeight w:val="203"/>
        </w:trPr>
        <w:tc>
          <w:tcPr>
            <w:tcW w:w="14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September</w:t>
            </w:r>
          </w:p>
        </w:tc>
        <w:tc>
          <w:tcPr>
            <w:tcW w:w="14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effects of</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8"/>
              </w:rPr>
              <w:t>adoption of</w:t>
            </w:r>
          </w:p>
        </w:tc>
        <w:tc>
          <w:tcPr>
            <w:tcW w:w="270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September 30,</w:t>
            </w:r>
          </w:p>
        </w:tc>
        <w:tc>
          <w:tcPr>
            <w:tcW w:w="14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8"/>
              </w:rPr>
              <w:t>effects of</w:t>
            </w: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of ASC</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30, 2018</w:t>
            </w:r>
          </w:p>
        </w:tc>
        <w:tc>
          <w:tcPr>
            <w:tcW w:w="120" w:type="dxa"/>
            <w:vAlign w:val="bottom"/>
          </w:tcPr>
          <w:p>
            <w:pPr>
              <w:spacing w:after="0"/>
              <w:rPr>
                <w:sz w:val="17"/>
                <w:szCs w:val="17"/>
                <w:color w:val="auto"/>
              </w:rPr>
            </w:pPr>
          </w:p>
        </w:tc>
        <w:tc>
          <w:tcPr>
            <w:tcW w:w="14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ASC 606</w:t>
            </w:r>
          </w:p>
        </w:tc>
        <w:tc>
          <w:tcPr>
            <w:tcW w:w="1500" w:type="dxa"/>
            <w:vAlign w:val="bottom"/>
          </w:tcPr>
          <w:p>
            <w:pPr>
              <w:jc w:val="center"/>
              <w:spacing w:after="0" w:line="203" w:lineRule="exact"/>
              <w:rPr>
                <w:sz w:val="20"/>
                <w:szCs w:val="20"/>
                <w:color w:val="auto"/>
              </w:rPr>
            </w:pPr>
            <w:r>
              <w:rPr>
                <w:rFonts w:ascii="Arial" w:cs="Arial" w:eastAsia="Arial" w:hAnsi="Arial"/>
                <w:sz w:val="18"/>
                <w:szCs w:val="18"/>
                <w:color w:val="auto"/>
                <w:w w:val="99"/>
              </w:rPr>
              <w:t>ASC 606</w:t>
            </w:r>
          </w:p>
        </w:tc>
        <w:tc>
          <w:tcPr>
            <w:tcW w:w="270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17"/>
                <w:szCs w:val="17"/>
                <w:color w:val="auto"/>
              </w:rPr>
            </w:pPr>
          </w:p>
        </w:tc>
        <w:tc>
          <w:tcPr>
            <w:tcW w:w="148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w w:val="99"/>
              </w:rPr>
              <w:t>ASC 606</w:t>
            </w: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$253,253</w:t>
            </w:r>
          </w:p>
        </w:tc>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$1,692</w:t>
            </w: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$254,945</w:t>
            </w:r>
          </w:p>
        </w:tc>
        <w:tc>
          <w:tcPr>
            <w:tcW w:w="2700" w:type="dxa"/>
            <w:vAlign w:val="bottom"/>
            <w:shd w:val="clear" w:color="auto" w:fill="BFBFBF"/>
          </w:tcPr>
          <w:p>
            <w:pPr>
              <w:ind w:left="120"/>
              <w:spacing w:after="0" w:line="202" w:lineRule="exact"/>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$739,459</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($6,342)</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$733,117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160,227</w:t>
            </w: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2,902</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163,129</w:t>
            </w:r>
          </w:p>
        </w:tc>
        <w:tc>
          <w:tcPr>
            <w:tcW w:w="2700" w:type="dxa"/>
            <w:vAlign w:val="bottom"/>
          </w:tcPr>
          <w:p>
            <w:pPr>
              <w:ind w:left="120"/>
              <w:spacing w:after="0" w:line="202" w:lineRule="exact"/>
              <w:rPr>
                <w:sz w:val="20"/>
                <w:szCs w:val="20"/>
                <w:color w:val="auto"/>
              </w:rPr>
            </w:pPr>
            <w:r>
              <w:rPr>
                <w:rFonts w:ascii="Arial" w:cs="Arial" w:eastAsia="Arial" w:hAnsi="Arial"/>
                <w:sz w:val="18"/>
                <w:szCs w:val="18"/>
                <w:color w:val="auto"/>
              </w:rPr>
              <w:t>Cost of goods sold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472,604</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(1,320)</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471,284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3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500" w:type="dxa"/>
            <w:vAlign w:val="bottom"/>
            <w:tcBorders>
              <w:top w:val="single" w:sz="8" w:color="auto"/>
            </w:tcBorders>
            <w:shd w:val="clear" w:color="auto" w:fill="BFBFBF"/>
          </w:tcPr>
          <w:p>
            <w:pPr>
              <w:spacing w:after="0"/>
              <w:rPr>
                <w:sz w:val="17"/>
                <w:szCs w:val="17"/>
                <w:color w:val="auto"/>
              </w:rPr>
            </w:pPr>
          </w:p>
        </w:tc>
        <w:tc>
          <w:tcPr>
            <w:tcW w:w="270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93,026</w:t>
            </w: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(1,210)</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91,816</w:t>
            </w:r>
          </w:p>
        </w:tc>
        <w:tc>
          <w:tcPr>
            <w:tcW w:w="2700" w:type="dxa"/>
            <w:vAlign w:val="bottom"/>
          </w:tcPr>
          <w:p>
            <w:pPr>
              <w:ind w:left="120"/>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266,855</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(5,022)</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261,833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270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color w:val="auto"/>
              </w:rPr>
              <w:t>Selling, general, and</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39,071</w:t>
            </w:r>
          </w:p>
        </w:tc>
        <w:tc>
          <w:tcPr>
            <w:tcW w:w="146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(12)</w:t>
            </w:r>
          </w:p>
        </w:tc>
        <w:tc>
          <w:tcPr>
            <w:tcW w:w="150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39,059</w:t>
            </w:r>
          </w:p>
        </w:tc>
        <w:tc>
          <w:tcPr>
            <w:tcW w:w="2700" w:type="dxa"/>
            <w:vAlign w:val="bottom"/>
            <w:shd w:val="clear" w:color="auto" w:fill="BFBFBF"/>
          </w:tcPr>
          <w:p>
            <w:pPr>
              <w:ind w:left="180"/>
              <w:spacing w:after="0" w:line="203" w:lineRule="exact"/>
              <w:rPr>
                <w:sz w:val="20"/>
                <w:szCs w:val="20"/>
                <w:color w:val="auto"/>
              </w:rPr>
            </w:pPr>
            <w:r>
              <w:rPr>
                <w:rFonts w:ascii="Arial" w:cs="Arial" w:eastAsia="Arial" w:hAnsi="Arial"/>
                <w:sz w:val="18"/>
                <w:szCs w:val="18"/>
                <w:color w:val="auto"/>
              </w:rPr>
              <w:t>administrative expenses</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117,708</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(67)</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117,641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ind w:left="180"/>
              <w:spacing w:after="0" w:line="201" w:lineRule="exact"/>
              <w:rPr>
                <w:sz w:val="20"/>
                <w:szCs w:val="20"/>
                <w:color w:val="auto"/>
              </w:rPr>
            </w:pPr>
            <w:r>
              <w:rPr>
                <w:rFonts w:ascii="Arial" w:cs="Arial" w:eastAsia="Arial" w:hAnsi="Arial"/>
                <w:sz w:val="18"/>
                <w:szCs w:val="18"/>
                <w:color w:val="auto"/>
              </w:rPr>
              <w:t>Technical and research</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9,958</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9,958</w:t>
            </w:r>
          </w:p>
        </w:tc>
        <w:tc>
          <w:tcPr>
            <w:tcW w:w="2700" w:type="dxa"/>
            <w:vAlign w:val="bottom"/>
          </w:tcPr>
          <w:p>
            <w:pPr>
              <w:ind w:left="180"/>
              <w:spacing w:after="0" w:line="203" w:lineRule="exact"/>
              <w:rPr>
                <w:sz w:val="20"/>
                <w:szCs w:val="20"/>
                <w:color w:val="auto"/>
              </w:rPr>
            </w:pPr>
            <w:r>
              <w:rPr>
                <w:rFonts w:ascii="Arial" w:cs="Arial" w:eastAsia="Arial" w:hAnsi="Arial"/>
                <w:sz w:val="18"/>
                <w:szCs w:val="18"/>
                <w:color w:val="auto"/>
              </w:rPr>
              <w:t>expenses</w:t>
            </w:r>
          </w:p>
        </w:tc>
        <w:tc>
          <w:tcPr>
            <w:tcW w:w="14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30,473</w:t>
            </w: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30,473</w:t>
            </w: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2,552</w:t>
            </w:r>
          </w:p>
        </w:tc>
        <w:tc>
          <w:tcPr>
            <w:tcW w:w="13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2,552</w:t>
            </w:r>
          </w:p>
        </w:tc>
        <w:tc>
          <w:tcPr>
            <w:tcW w:w="270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Restructuring expenses, net</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13,714</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41,445</w:t>
            </w:r>
          </w:p>
        </w:tc>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(1,198)</w:t>
            </w: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40,247</w:t>
            </w:r>
          </w:p>
        </w:tc>
        <w:tc>
          <w:tcPr>
            <w:tcW w:w="2700" w:type="dxa"/>
            <w:vAlign w:val="bottom"/>
            <w:shd w:val="clear" w:color="auto" w:fill="BFBFBF"/>
          </w:tcPr>
          <w:p>
            <w:pPr>
              <w:ind w:left="120"/>
              <w:spacing w:after="0" w:line="202" w:lineRule="exact"/>
              <w:rPr>
                <w:sz w:val="20"/>
                <w:szCs w:val="20"/>
                <w:color w:val="auto"/>
              </w:rPr>
            </w:pPr>
            <w:r>
              <w:rPr>
                <w:rFonts w:ascii="Arial" w:cs="Arial" w:eastAsia="Arial" w:hAnsi="Arial"/>
                <w:sz w:val="18"/>
                <w:szCs w:val="18"/>
                <w:color w:val="auto"/>
              </w:rPr>
              <w:t>Operating income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104,960</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(4,955)</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100,005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4,621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4,621</w:t>
            </w:r>
          </w:p>
        </w:tc>
        <w:tc>
          <w:tcPr>
            <w:tcW w:w="27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13,530</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13,530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(3,151)</w:t>
            </w:r>
          </w:p>
        </w:tc>
        <w:tc>
          <w:tcPr>
            <w:tcW w:w="13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(3,151)</w:t>
            </w:r>
          </w:p>
        </w:tc>
        <w:tc>
          <w:tcPr>
            <w:tcW w:w="270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Other (income)/expense, net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(973)</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39,975</w:t>
            </w:r>
          </w:p>
        </w:tc>
        <w:tc>
          <w:tcPr>
            <w:tcW w:w="14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(1,198)</w:t>
            </w: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38,777</w:t>
            </w:r>
          </w:p>
        </w:tc>
        <w:tc>
          <w:tcPr>
            <w:tcW w:w="2700" w:type="dxa"/>
            <w:vAlign w:val="bottom"/>
            <w:shd w:val="clear" w:color="auto" w:fill="BFBFBF"/>
          </w:tcPr>
          <w:p>
            <w:pPr>
              <w:ind w:left="120"/>
              <w:spacing w:after="0" w:line="202" w:lineRule="exact"/>
              <w:rPr>
                <w:sz w:val="20"/>
                <w:szCs w:val="20"/>
                <w:color w:val="auto"/>
              </w:rPr>
            </w:pPr>
            <w:r>
              <w:rPr>
                <w:rFonts w:ascii="Arial" w:cs="Arial" w:eastAsia="Arial" w:hAnsi="Arial"/>
                <w:sz w:val="18"/>
                <w:szCs w:val="18"/>
                <w:color w:val="auto"/>
              </w:rPr>
              <w:t>Income before income taxes</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92,403</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(4,955)</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87,448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11,491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11,060</w:t>
            </w:r>
          </w:p>
        </w:tc>
        <w:tc>
          <w:tcPr>
            <w:tcW w:w="270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23,131</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(1,539)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21,592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34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500" w:type="dxa"/>
            <w:vAlign w:val="bottom"/>
            <w:tcBorders>
              <w:top w:val="single" w:sz="8" w:color="auto"/>
            </w:tcBorders>
            <w:shd w:val="clear" w:color="auto" w:fill="BFBFBF"/>
          </w:tcPr>
          <w:p>
            <w:pPr>
              <w:spacing w:after="0"/>
              <w:rPr>
                <w:sz w:val="17"/>
                <w:szCs w:val="17"/>
                <w:color w:val="auto"/>
              </w:rPr>
            </w:pPr>
          </w:p>
        </w:tc>
        <w:tc>
          <w:tcPr>
            <w:tcW w:w="270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28,484</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27,717</w:t>
            </w:r>
          </w:p>
        </w:tc>
        <w:tc>
          <w:tcPr>
            <w:tcW w:w="270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69,272</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(3,416)</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65,856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2700" w:type="dxa"/>
            <w:vAlign w:val="bottom"/>
            <w:shd w:val="clear" w:color="auto" w:fill="BFBFBF"/>
          </w:tcPr>
          <w:p>
            <w:pPr>
              <w:ind w:left="120"/>
              <w:spacing w:after="0" w:line="201" w:lineRule="exact"/>
              <w:rPr>
                <w:sz w:val="20"/>
                <w:szCs w:val="20"/>
                <w:color w:val="auto"/>
              </w:rPr>
            </w:pPr>
            <w:r>
              <w:rPr>
                <w:rFonts w:ascii="Arial" w:cs="Arial" w:eastAsia="Arial" w:hAnsi="Arial"/>
                <w:sz w:val="18"/>
                <w:szCs w:val="18"/>
                <w:color w:val="auto"/>
              </w:rPr>
              <w:t>Net income/(loss) attributable to</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269</w:t>
            </w:r>
          </w:p>
        </w:tc>
        <w:tc>
          <w:tcPr>
            <w:tcW w:w="120" w:type="dxa"/>
            <w:vAlign w:val="bottom"/>
            <w:shd w:val="clear" w:color="auto" w:fill="BFBFBF"/>
          </w:tcPr>
          <w:p>
            <w:pPr>
              <w:spacing w:after="0"/>
              <w:rPr>
                <w:sz w:val="17"/>
                <w:szCs w:val="17"/>
                <w:color w:val="auto"/>
              </w:rPr>
            </w:pPr>
          </w:p>
        </w:tc>
        <w:tc>
          <w:tcPr>
            <w:tcW w:w="146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(27)</w:t>
            </w:r>
          </w:p>
        </w:tc>
        <w:tc>
          <w:tcPr>
            <w:tcW w:w="150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242</w:t>
            </w:r>
          </w:p>
        </w:tc>
        <w:tc>
          <w:tcPr>
            <w:tcW w:w="2700" w:type="dxa"/>
            <w:vAlign w:val="bottom"/>
            <w:shd w:val="clear" w:color="auto" w:fill="BFBFBF"/>
          </w:tcPr>
          <w:p>
            <w:pPr>
              <w:ind w:left="120"/>
              <w:spacing w:after="0" w:line="203" w:lineRule="exact"/>
              <w:rPr>
                <w:sz w:val="20"/>
                <w:szCs w:val="20"/>
                <w:color w:val="auto"/>
              </w:rPr>
            </w:pPr>
            <w:r>
              <w:rPr>
                <w:rFonts w:ascii="Arial" w:cs="Arial" w:eastAsia="Arial" w:hAnsi="Arial"/>
                <w:sz w:val="18"/>
                <w:szCs w:val="18"/>
                <w:color w:val="auto"/>
              </w:rPr>
              <w:t>the noncontrolling interest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447</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(111)</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700" w:type="dxa"/>
            <w:vAlign w:val="bottom"/>
            <w:vMerge w:val="restart"/>
          </w:tcPr>
          <w:p>
            <w:pPr>
              <w:ind w:left="120"/>
              <w:spacing w:after="0" w:line="201" w:lineRule="exact"/>
              <w:rPr>
                <w:sz w:val="20"/>
                <w:szCs w:val="20"/>
                <w:color w:val="auto"/>
              </w:rPr>
            </w:pPr>
            <w:r>
              <w:rPr>
                <w:rFonts w:ascii="Arial" w:cs="Arial" w:eastAsia="Arial" w:hAnsi="Arial"/>
                <w:sz w:val="18"/>
                <w:szCs w:val="18"/>
                <w:color w:val="auto"/>
              </w:rPr>
              <w:t>Net income attributable to the</w:t>
            </w: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$28,215</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($740)</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$27,475</w:t>
            </w:r>
          </w:p>
        </w:tc>
        <w:tc>
          <w:tcPr>
            <w:tcW w:w="2700" w:type="dxa"/>
            <w:vAlign w:val="bottom"/>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$68,825</w:t>
            </w:r>
          </w:p>
        </w:tc>
        <w:tc>
          <w:tcPr>
            <w:tcW w:w="100" w:type="dxa"/>
            <w:vAlign w:val="bottom"/>
          </w:tcPr>
          <w:p>
            <w:pPr>
              <w:spacing w:after="0"/>
              <w:rPr>
                <w:sz w:val="15"/>
                <w:szCs w:val="15"/>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($3,305)</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$65,520</w:t>
            </w:r>
          </w:p>
        </w:tc>
        <w:tc>
          <w:tcPr>
            <w:tcW w:w="0" w:type="dxa"/>
            <w:vAlign w:val="bottom"/>
          </w:tcPr>
          <w:p>
            <w:pPr>
              <w:spacing w:after="0"/>
              <w:rPr>
                <w:sz w:val="1"/>
                <w:szCs w:val="1"/>
                <w:color w:val="auto"/>
              </w:rPr>
            </w:pPr>
          </w:p>
        </w:tc>
      </w:tr>
      <w:tr>
        <w:trPr>
          <w:trHeight w:val="230"/>
        </w:trPr>
        <w:tc>
          <w:tcPr>
            <w:tcW w:w="146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2700" w:type="dxa"/>
            <w:vAlign w:val="bottom"/>
          </w:tcPr>
          <w:p>
            <w:pPr>
              <w:ind w:left="120"/>
              <w:spacing w:after="0" w:line="190" w:lineRule="exact"/>
              <w:rPr>
                <w:sz w:val="20"/>
                <w:szCs w:val="20"/>
                <w:color w:val="auto"/>
              </w:rPr>
            </w:pPr>
            <w:r>
              <w:rPr>
                <w:rFonts w:ascii="Arial" w:cs="Arial" w:eastAsia="Arial" w:hAnsi="Arial"/>
                <w:sz w:val="18"/>
                <w:szCs w:val="18"/>
                <w:color w:val="auto"/>
              </w:rPr>
              <w:t>Company</w:t>
            </w: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4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34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500" w:type="dxa"/>
            <w:vAlign w:val="bottom"/>
            <w:tcBorders>
              <w:top w:val="single" w:sz="8" w:color="auto"/>
            </w:tcBorders>
            <w:shd w:val="clear" w:color="auto" w:fill="BFBFBF"/>
          </w:tcPr>
          <w:p>
            <w:pPr>
              <w:spacing w:after="0"/>
              <w:rPr>
                <w:sz w:val="15"/>
                <w:szCs w:val="15"/>
                <w:color w:val="auto"/>
              </w:rPr>
            </w:pPr>
          </w:p>
        </w:tc>
        <w:tc>
          <w:tcPr>
            <w:tcW w:w="270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ind w:left="120"/>
              <w:spacing w:after="0" w:line="201" w:lineRule="exact"/>
              <w:rPr>
                <w:sz w:val="20"/>
                <w:szCs w:val="20"/>
                <w:color w:val="auto"/>
              </w:rPr>
            </w:pPr>
            <w:r>
              <w:rPr>
                <w:rFonts w:ascii="Arial" w:cs="Arial" w:eastAsia="Arial" w:hAnsi="Arial"/>
                <w:sz w:val="18"/>
                <w:szCs w:val="18"/>
                <w:color w:val="auto"/>
              </w:rPr>
              <w:t>Earnings per share attributable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ind w:left="120"/>
              <w:spacing w:after="0" w:line="202" w:lineRule="exact"/>
              <w:rPr>
                <w:sz w:val="20"/>
                <w:szCs w:val="20"/>
                <w:color w:val="auto"/>
              </w:rPr>
            </w:pPr>
            <w:r>
              <w:rPr>
                <w:rFonts w:ascii="Arial" w:cs="Arial" w:eastAsia="Arial" w:hAnsi="Arial"/>
                <w:sz w:val="18"/>
                <w:szCs w:val="18"/>
                <w:color w:val="auto"/>
              </w:rPr>
              <w:t>to Company shareholders -</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$0.87</w:t>
            </w:r>
          </w:p>
        </w:tc>
        <w:tc>
          <w:tcPr>
            <w:tcW w:w="14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($0.02)</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$0.85</w:t>
            </w:r>
          </w:p>
        </w:tc>
        <w:tc>
          <w:tcPr>
            <w:tcW w:w="2700" w:type="dxa"/>
            <w:vAlign w:val="bottom"/>
          </w:tcPr>
          <w:p>
            <w:pPr>
              <w:ind w:left="120"/>
              <w:spacing w:after="0" w:line="203" w:lineRule="exact"/>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$2.13</w:t>
            </w: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($0.10)</w:t>
            </w:r>
          </w:p>
        </w:tc>
        <w:tc>
          <w:tcPr>
            <w:tcW w:w="1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13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27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ind w:left="120"/>
              <w:spacing w:after="0" w:line="201" w:lineRule="exact"/>
              <w:rPr>
                <w:sz w:val="20"/>
                <w:szCs w:val="20"/>
                <w:color w:val="auto"/>
              </w:rPr>
            </w:pPr>
            <w:r>
              <w:rPr>
                <w:rFonts w:ascii="Arial" w:cs="Arial" w:eastAsia="Arial" w:hAnsi="Arial"/>
                <w:sz w:val="18"/>
                <w:szCs w:val="18"/>
                <w:color w:val="auto"/>
              </w:rPr>
              <w:t>Earnings per share attributable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00" w:type="dxa"/>
            <w:vAlign w:val="bottom"/>
          </w:tcPr>
          <w:p>
            <w:pPr>
              <w:ind w:left="120"/>
              <w:spacing w:after="0" w:line="202" w:lineRule="exact"/>
              <w:rPr>
                <w:sz w:val="20"/>
                <w:szCs w:val="20"/>
                <w:color w:val="auto"/>
              </w:rPr>
            </w:pPr>
            <w:r>
              <w:rPr>
                <w:rFonts w:ascii="Arial" w:cs="Arial" w:eastAsia="Arial" w:hAnsi="Arial"/>
                <w:sz w:val="18"/>
                <w:szCs w:val="18"/>
                <w:color w:val="auto"/>
              </w:rPr>
              <w:t>to Company shareholders -</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$0.87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500" w:type="dxa"/>
            <w:vAlign w:val="bottom"/>
          </w:tcPr>
          <w:p>
            <w:pPr>
              <w:jc w:val="right"/>
              <w:spacing w:after="0"/>
              <w:rPr>
                <w:sz w:val="20"/>
                <w:szCs w:val="20"/>
                <w:color w:val="auto"/>
              </w:rPr>
            </w:pPr>
            <w:r>
              <w:rPr>
                <w:rFonts w:ascii="Arial" w:cs="Arial" w:eastAsia="Arial" w:hAnsi="Arial"/>
                <w:sz w:val="18"/>
                <w:szCs w:val="18"/>
                <w:color w:val="auto"/>
              </w:rPr>
              <w:t>$0.85</w:t>
            </w:r>
          </w:p>
        </w:tc>
        <w:tc>
          <w:tcPr>
            <w:tcW w:w="27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As adjusted</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As adjusted</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for the</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7"/>
              </w:rPr>
              <w:t>for the</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Three</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7"/>
              </w:rPr>
              <w:t>Nine</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Months</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Months</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As reported</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Ended</w:t>
            </w:r>
          </w:p>
        </w:tc>
        <w:tc>
          <w:tcPr>
            <w:tcW w:w="268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As reported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7"/>
              </w:rPr>
              <w:t>for the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September 30,</w:t>
            </w:r>
          </w:p>
        </w:tc>
        <w:tc>
          <w:tcPr>
            <w:tcW w:w="2680" w:type="dxa"/>
            <w:vAlign w:val="bottom"/>
          </w:tcPr>
          <w:p>
            <w:pPr>
              <w:spacing w:after="0"/>
              <w:rPr>
                <w:sz w:val="17"/>
                <w:szCs w:val="17"/>
                <w:color w:val="auto"/>
              </w:rPr>
            </w:pPr>
          </w:p>
        </w:tc>
        <w:tc>
          <w:tcPr>
            <w:tcW w:w="14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for the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7"/>
              </w:rPr>
              <w:t>Three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2018 to</w:t>
            </w:r>
          </w:p>
        </w:tc>
        <w:tc>
          <w:tcPr>
            <w:tcW w:w="268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Nine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2018 to</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Months</w:t>
            </w:r>
          </w:p>
        </w:tc>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Adjustments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exclude</w:t>
            </w:r>
          </w:p>
        </w:tc>
        <w:tc>
          <w:tcPr>
            <w:tcW w:w="268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Months</w:t>
            </w:r>
          </w:p>
        </w:tc>
        <w:tc>
          <w:tcPr>
            <w:tcW w:w="14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Adjustments</w:t>
            </w:r>
          </w:p>
        </w:tc>
        <w:tc>
          <w:tcPr>
            <w:tcW w:w="138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9"/>
              </w:rPr>
              <w:t>exclude</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Ended</w:t>
            </w:r>
          </w:p>
        </w:tc>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to reverse</w:t>
            </w: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adoption</w:t>
            </w:r>
          </w:p>
        </w:tc>
        <w:tc>
          <w:tcPr>
            <w:tcW w:w="2680" w:type="dxa"/>
            <w:vAlign w:val="bottom"/>
          </w:tcPr>
          <w:p>
            <w:pPr>
              <w:spacing w:after="0"/>
              <w:rPr>
                <w:sz w:val="17"/>
                <w:szCs w:val="17"/>
                <w:color w:val="auto"/>
              </w:rPr>
            </w:pPr>
          </w:p>
        </w:tc>
        <w:tc>
          <w:tcPr>
            <w:tcW w:w="14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Ended</w:t>
            </w:r>
          </w:p>
        </w:tc>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to reverse</w:t>
            </w: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adoption</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September 30,</w:t>
            </w:r>
          </w:p>
        </w:tc>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effects of</w:t>
            </w: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of ASC</w:t>
            </w:r>
          </w:p>
        </w:tc>
        <w:tc>
          <w:tcPr>
            <w:tcW w:w="2680" w:type="dxa"/>
            <w:vAlign w:val="bottom"/>
          </w:tcPr>
          <w:p>
            <w:pPr>
              <w:spacing w:after="0"/>
              <w:rPr>
                <w:sz w:val="17"/>
                <w:szCs w:val="17"/>
                <w:color w:val="auto"/>
              </w:rPr>
            </w:pPr>
          </w:p>
        </w:tc>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September 30,</w:t>
            </w:r>
          </w:p>
        </w:tc>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effects of</w:t>
            </w:r>
          </w:p>
        </w:tc>
        <w:tc>
          <w:tcPr>
            <w:tcW w:w="13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of ASC</w:t>
            </w:r>
          </w:p>
        </w:tc>
        <w:tc>
          <w:tcPr>
            <w:tcW w:w="0" w:type="dxa"/>
            <w:vAlign w:val="bottom"/>
          </w:tcPr>
          <w:p>
            <w:pPr>
              <w:spacing w:after="0"/>
              <w:rPr>
                <w:sz w:val="1"/>
                <w:szCs w:val="1"/>
                <w:color w:val="auto"/>
              </w:rPr>
            </w:pPr>
          </w:p>
        </w:tc>
      </w:tr>
      <w:tr>
        <w:trPr>
          <w:trHeight w:val="203"/>
        </w:trPr>
        <w:tc>
          <w:tcPr>
            <w:tcW w:w="1380" w:type="dxa"/>
            <w:vAlign w:val="bottom"/>
          </w:tcPr>
          <w:p>
            <w:pPr>
              <w:jc w:val="center"/>
              <w:ind w:left="90"/>
              <w:spacing w:after="0" w:line="203" w:lineRule="exact"/>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9"/>
              </w:rPr>
              <w:t>ASC 606</w:t>
            </w:r>
          </w:p>
        </w:tc>
        <w:tc>
          <w:tcPr>
            <w:tcW w:w="144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268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17"/>
                <w:szCs w:val="17"/>
                <w:color w:val="auto"/>
              </w:rPr>
            </w:pPr>
          </w:p>
        </w:tc>
        <w:tc>
          <w:tcPr>
            <w:tcW w:w="148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w w:val="99"/>
              </w:rPr>
              <w:t>ASC 606</w:t>
            </w: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$28,484</w:t>
            </w:r>
          </w:p>
        </w:tc>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($767)</w:t>
            </w: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$27,717</w:t>
            </w:r>
          </w:p>
        </w:tc>
        <w:tc>
          <w:tcPr>
            <w:tcW w:w="268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$69,272</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($3,416)</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$65,856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40" w:type="dxa"/>
            <w:vAlign w:val="bottom"/>
            <w:gridSpan w:val="3"/>
          </w:tcPr>
          <w:p>
            <w:pPr>
              <w:ind w:left="60"/>
              <w:spacing w:after="0"/>
              <w:rPr>
                <w:sz w:val="20"/>
                <w:szCs w:val="20"/>
                <w:color w:val="auto"/>
              </w:rPr>
            </w:pPr>
            <w:r>
              <w:rPr>
                <w:rFonts w:ascii="Arial" w:cs="Arial" w:eastAsia="Arial" w:hAnsi="Arial"/>
                <w:sz w:val="18"/>
                <w:szCs w:val="18"/>
                <w:color w:val="auto"/>
              </w:rPr>
              <w:t>Other comprehensive income/(loss), before tax:</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1" w:lineRule="exact"/>
              <w:rPr>
                <w:sz w:val="20"/>
                <w:szCs w:val="20"/>
                <w:color w:val="auto"/>
              </w:rPr>
            </w:pPr>
            <w:r>
              <w:rPr>
                <w:rFonts w:ascii="Arial" w:cs="Arial" w:eastAsia="Arial" w:hAnsi="Arial"/>
                <w:sz w:val="18"/>
                <w:szCs w:val="18"/>
                <w:color w:val="auto"/>
              </w:rPr>
              <w:t>Foreign currency translation</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(7,847)</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157</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(7,690)</w:t>
            </w:r>
          </w:p>
        </w:tc>
        <w:tc>
          <w:tcPr>
            <w:tcW w:w="2680" w:type="dxa"/>
            <w:vAlign w:val="bottom"/>
            <w:shd w:val="clear" w:color="auto" w:fill="BFBFBF"/>
          </w:tcPr>
          <w:p>
            <w:pPr>
              <w:ind w:left="60"/>
              <w:spacing w:after="0" w:line="203" w:lineRule="exact"/>
              <w:rPr>
                <w:sz w:val="20"/>
                <w:szCs w:val="20"/>
                <w:color w:val="auto"/>
              </w:rPr>
            </w:pPr>
            <w:r>
              <w:rPr>
                <w:rFonts w:ascii="Arial" w:cs="Arial" w:eastAsia="Arial" w:hAnsi="Arial"/>
                <w:sz w:val="18"/>
                <w:szCs w:val="18"/>
                <w:color w:val="auto"/>
              </w:rPr>
              <w:t>adjustments</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(21,193)</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688</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(20,505)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Pension/postretirement</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(232)</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(232)</w:t>
            </w: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curtailment gain</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1" w:lineRule="exact"/>
              <w:rPr>
                <w:sz w:val="20"/>
                <w:szCs w:val="20"/>
                <w:color w:val="auto"/>
              </w:rPr>
            </w:pPr>
            <w:r>
              <w:rPr>
                <w:rFonts w:ascii="Arial" w:cs="Arial" w:eastAsia="Arial" w:hAnsi="Arial"/>
                <w:sz w:val="18"/>
                <w:szCs w:val="18"/>
                <w:color w:val="auto"/>
              </w:rPr>
              <w:t>Amortization of pension liability</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3" w:lineRule="exact"/>
              <w:rPr>
                <w:sz w:val="20"/>
                <w:szCs w:val="20"/>
                <w:color w:val="auto"/>
              </w:rPr>
            </w:pPr>
            <w:r>
              <w:rPr>
                <w:rFonts w:ascii="Arial" w:cs="Arial" w:eastAsia="Arial" w:hAnsi="Arial"/>
                <w:sz w:val="18"/>
                <w:szCs w:val="18"/>
                <w:color w:val="auto"/>
              </w:rPr>
              <w:t>adjustments:</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(1,114)</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(1,114)</w:t>
            </w:r>
          </w:p>
        </w:tc>
        <w:tc>
          <w:tcPr>
            <w:tcW w:w="2680" w:type="dxa"/>
            <w:vAlign w:val="bottom"/>
          </w:tcPr>
          <w:p>
            <w:pPr>
              <w:ind w:left="240"/>
              <w:spacing w:after="0" w:line="202" w:lineRule="exact"/>
              <w:rPr>
                <w:sz w:val="20"/>
                <w:szCs w:val="20"/>
                <w:color w:val="auto"/>
              </w:rPr>
            </w:pPr>
            <w:r>
              <w:rPr>
                <w:rFonts w:ascii="Arial" w:cs="Arial" w:eastAsia="Arial" w:hAnsi="Arial"/>
                <w:sz w:val="18"/>
                <w:szCs w:val="18"/>
                <w:color w:val="auto"/>
              </w:rPr>
              <w:t>Prior service credit</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(3,341)</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1,294</w:t>
            </w:r>
          </w:p>
        </w:tc>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1,294</w:t>
            </w:r>
          </w:p>
        </w:tc>
        <w:tc>
          <w:tcPr>
            <w:tcW w:w="2680" w:type="dxa"/>
            <w:vAlign w:val="bottom"/>
            <w:shd w:val="clear" w:color="auto" w:fill="BFBFBF"/>
          </w:tcPr>
          <w:p>
            <w:pPr>
              <w:ind w:left="240"/>
              <w:spacing w:after="0" w:line="202" w:lineRule="exact"/>
              <w:rPr>
                <w:sz w:val="20"/>
                <w:szCs w:val="20"/>
                <w:color w:val="auto"/>
              </w:rPr>
            </w:pPr>
            <w:r>
              <w:rPr>
                <w:rFonts w:ascii="Arial" w:cs="Arial" w:eastAsia="Arial" w:hAnsi="Arial"/>
                <w:sz w:val="18"/>
                <w:szCs w:val="18"/>
                <w:color w:val="auto"/>
              </w:rPr>
              <w:t>Net actuarial loss</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3,882</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Payments and amortization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2" w:lineRule="exact"/>
              <w:rPr>
                <w:sz w:val="20"/>
                <w:szCs w:val="20"/>
                <w:color w:val="auto"/>
              </w:rPr>
            </w:pPr>
            <w:r>
              <w:rPr>
                <w:rFonts w:ascii="Arial" w:cs="Arial" w:eastAsia="Arial" w:hAnsi="Arial"/>
                <w:sz w:val="18"/>
                <w:szCs w:val="18"/>
                <w:color w:val="auto"/>
              </w:rPr>
              <w:t>related to interest rate swaps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(96)</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(96)</w:t>
            </w: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included in earnings</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1,777</w:t>
            </w:r>
          </w:p>
        </w:tc>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1,777</w:t>
            </w:r>
          </w:p>
        </w:tc>
        <w:tc>
          <w:tcPr>
            <w:tcW w:w="268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Derivative valuation adjustment</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9,703</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40" w:type="dxa"/>
            <w:vAlign w:val="bottom"/>
            <w:gridSpan w:val="3"/>
          </w:tcPr>
          <w:p>
            <w:pPr>
              <w:ind w:left="60"/>
              <w:spacing w:after="0"/>
              <w:rPr>
                <w:sz w:val="20"/>
                <w:szCs w:val="20"/>
                <w:color w:val="auto"/>
              </w:rPr>
            </w:pPr>
            <w:r>
              <w:rPr>
                <w:rFonts w:ascii="Arial" w:cs="Arial" w:eastAsia="Arial" w:hAnsi="Arial"/>
                <w:sz w:val="18"/>
                <w:szCs w:val="18"/>
                <w:color w:val="auto"/>
              </w:rPr>
              <w:t>Income taxes related to items of other</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comprehensive income/(loss):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1" w:lineRule="exact"/>
              <w:rPr>
                <w:sz w:val="20"/>
                <w:szCs w:val="20"/>
                <w:color w:val="auto"/>
              </w:rPr>
            </w:pPr>
            <w:r>
              <w:rPr>
                <w:rFonts w:ascii="Arial" w:cs="Arial" w:eastAsia="Arial" w:hAnsi="Arial"/>
                <w:sz w:val="18"/>
                <w:szCs w:val="18"/>
                <w:color w:val="auto"/>
              </w:rPr>
              <w:t>Pension/postretirement</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70</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70</w:t>
            </w:r>
          </w:p>
        </w:tc>
        <w:tc>
          <w:tcPr>
            <w:tcW w:w="2680" w:type="dxa"/>
            <w:vAlign w:val="bottom"/>
            <w:shd w:val="clear" w:color="auto" w:fill="BFBFBF"/>
          </w:tcPr>
          <w:p>
            <w:pPr>
              <w:ind w:left="60"/>
              <w:spacing w:after="0" w:line="203" w:lineRule="exact"/>
              <w:rPr>
                <w:sz w:val="20"/>
                <w:szCs w:val="20"/>
                <w:color w:val="auto"/>
              </w:rPr>
            </w:pPr>
            <w:r>
              <w:rPr>
                <w:rFonts w:ascii="Arial" w:cs="Arial" w:eastAsia="Arial" w:hAnsi="Arial"/>
                <w:sz w:val="18"/>
                <w:szCs w:val="18"/>
                <w:color w:val="auto"/>
              </w:rPr>
              <w:t>curtailment gain</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225</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Amortization of pension liability</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(54)</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(54)</w:t>
            </w: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adjustment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1" w:lineRule="exact"/>
              <w:rPr>
                <w:sz w:val="20"/>
                <w:szCs w:val="20"/>
                <w:color w:val="auto"/>
              </w:rPr>
            </w:pPr>
            <w:r>
              <w:rPr>
                <w:rFonts w:ascii="Arial" w:cs="Arial" w:eastAsia="Arial" w:hAnsi="Arial"/>
                <w:sz w:val="18"/>
                <w:szCs w:val="18"/>
                <w:color w:val="auto"/>
              </w:rPr>
              <w:t>Payments and amortization</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related to interest rate swaps</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23</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23</w:t>
            </w:r>
          </w:p>
        </w:tc>
        <w:tc>
          <w:tcPr>
            <w:tcW w:w="2680" w:type="dxa"/>
            <w:vAlign w:val="bottom"/>
            <w:shd w:val="clear" w:color="auto" w:fill="BFBFBF"/>
          </w:tcPr>
          <w:p>
            <w:pPr>
              <w:ind w:left="60"/>
              <w:spacing w:after="0" w:line="203" w:lineRule="exact"/>
              <w:rPr>
                <w:sz w:val="20"/>
                <w:szCs w:val="20"/>
                <w:color w:val="auto"/>
              </w:rPr>
            </w:pPr>
            <w:r>
              <w:rPr>
                <w:rFonts w:ascii="Arial" w:cs="Arial" w:eastAsia="Arial" w:hAnsi="Arial"/>
                <w:sz w:val="18"/>
                <w:szCs w:val="18"/>
                <w:color w:val="auto"/>
              </w:rPr>
              <w:t>included in earnings</w:t>
            </w:r>
          </w:p>
        </w:tc>
        <w:tc>
          <w:tcPr>
            <w:tcW w:w="146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(33)</w:t>
            </w: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(427)</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2680" w:type="dxa"/>
            <w:vAlign w:val="bottom"/>
          </w:tcPr>
          <w:p>
            <w:pPr>
              <w:ind w:left="60"/>
              <w:spacing w:after="0" w:line="202" w:lineRule="exact"/>
              <w:rPr>
                <w:sz w:val="20"/>
                <w:szCs w:val="20"/>
                <w:color w:val="auto"/>
              </w:rPr>
            </w:pPr>
            <w:r>
              <w:rPr>
                <w:rFonts w:ascii="Arial" w:cs="Arial" w:eastAsia="Arial" w:hAnsi="Arial"/>
                <w:sz w:val="18"/>
                <w:szCs w:val="18"/>
                <w:color w:val="auto"/>
              </w:rPr>
              <w:t>Derivative valuation adjustment</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(2,329)</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auto"/>
            </w:tcBorders>
            <w:gridSpan w:val="2"/>
            <w:shd w:val="clear" w:color="auto" w:fill="BFBFBF"/>
          </w:tcPr>
          <w:p>
            <w:pPr>
              <w:jc w:val="right"/>
              <w:ind w:right="120"/>
              <w:spacing w:after="0" w:line="196" w:lineRule="exact"/>
              <w:rPr>
                <w:sz w:val="20"/>
                <w:szCs w:val="20"/>
                <w:color w:val="auto"/>
              </w:rPr>
            </w:pPr>
            <w:r>
              <w:rPr>
                <w:rFonts w:ascii="Arial" w:cs="Arial" w:eastAsia="Arial" w:hAnsi="Arial"/>
                <w:sz w:val="18"/>
                <w:szCs w:val="18"/>
                <w:color w:val="auto"/>
              </w:rPr>
              <w:t>21,878</w:t>
            </w:r>
          </w:p>
        </w:tc>
        <w:tc>
          <w:tcPr>
            <w:tcW w:w="1500" w:type="dxa"/>
            <w:vAlign w:val="bottom"/>
            <w:tcBorders>
              <w:top w:val="single" w:sz="8" w:color="auto"/>
            </w:tcBorders>
            <w:gridSpan w:val="2"/>
            <w:shd w:val="clear" w:color="auto" w:fill="BFBFBF"/>
          </w:tcPr>
          <w:p>
            <w:pPr>
              <w:jc w:val="right"/>
              <w:ind w:right="120"/>
              <w:spacing w:after="0" w:line="196" w:lineRule="exact"/>
              <w:rPr>
                <w:sz w:val="20"/>
                <w:szCs w:val="20"/>
                <w:color w:val="auto"/>
              </w:rPr>
            </w:pPr>
            <w:r>
              <w:rPr>
                <w:rFonts w:ascii="Arial" w:cs="Arial" w:eastAsia="Arial" w:hAnsi="Arial"/>
                <w:sz w:val="18"/>
                <w:szCs w:val="18"/>
                <w:color w:val="auto"/>
              </w:rPr>
              <w:t>(610)</w:t>
            </w:r>
          </w:p>
        </w:tc>
        <w:tc>
          <w:tcPr>
            <w:tcW w:w="1440" w:type="dxa"/>
            <w:vAlign w:val="bottom"/>
            <w:tcBorders>
              <w:top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21,268</w:t>
            </w:r>
          </w:p>
        </w:tc>
        <w:tc>
          <w:tcPr>
            <w:tcW w:w="2680" w:type="dxa"/>
            <w:vAlign w:val="bottom"/>
            <w:tcBorders>
              <w:top w:val="single" w:sz="8" w:color="BFBFBF"/>
            </w:tcBorders>
            <w:shd w:val="clear" w:color="auto" w:fill="BFBFBF"/>
          </w:tcPr>
          <w:p>
            <w:pPr>
              <w:ind w:left="60"/>
              <w:spacing w:after="0" w:line="196" w:lineRule="exact"/>
              <w:rPr>
                <w:sz w:val="20"/>
                <w:szCs w:val="20"/>
                <w:color w:val="auto"/>
              </w:rPr>
            </w:pPr>
            <w:r>
              <w:rPr>
                <w:rFonts w:ascii="Arial" w:cs="Arial" w:eastAsia="Arial" w:hAnsi="Arial"/>
                <w:sz w:val="18"/>
                <w:szCs w:val="18"/>
                <w:color w:val="auto"/>
              </w:rPr>
              <w:t>Comprehensive income</w:t>
            </w:r>
          </w:p>
        </w:tc>
        <w:tc>
          <w:tcPr>
            <w:tcW w:w="13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55,412</w:t>
            </w:r>
          </w:p>
        </w:tc>
        <w:tc>
          <w:tcPr>
            <w:tcW w:w="10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(2,728)</w:t>
            </w:r>
          </w:p>
        </w:tc>
        <w:tc>
          <w:tcPr>
            <w:tcW w:w="120" w:type="dxa"/>
            <w:vAlign w:val="bottom"/>
            <w:tcBorders>
              <w:top w:val="single" w:sz="8" w:color="BFBFBF"/>
            </w:tcBorders>
            <w:shd w:val="clear" w:color="auto" w:fill="BFBFBF"/>
          </w:tcPr>
          <w:p>
            <w:pPr>
              <w:spacing w:after="0"/>
              <w:rPr>
                <w:sz w:val="17"/>
                <w:szCs w:val="17"/>
                <w:color w:val="auto"/>
              </w:rPr>
            </w:pPr>
          </w:p>
        </w:tc>
        <w:tc>
          <w:tcPr>
            <w:tcW w:w="13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52,684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Comprehensive income/(loss)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2" w:lineRule="exact"/>
              <w:rPr>
                <w:sz w:val="20"/>
                <w:szCs w:val="20"/>
                <w:color w:val="auto"/>
              </w:rPr>
            </w:pPr>
            <w:r>
              <w:rPr>
                <w:rFonts w:ascii="Arial" w:cs="Arial" w:eastAsia="Arial" w:hAnsi="Arial"/>
                <w:sz w:val="18"/>
                <w:szCs w:val="18"/>
                <w:color w:val="auto"/>
              </w:rPr>
              <w:t>attributable to the noncontrolling</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264</w:t>
            </w:r>
          </w:p>
        </w:tc>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(27)</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237</w:t>
            </w: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interest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(111)</w:t>
            </w:r>
          </w:p>
        </w:tc>
        <w:tc>
          <w:tcPr>
            <w:tcW w:w="1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Borders>
              <w:right w:val="single" w:sz="8" w:color="BFBFBF"/>
            </w:tcBorders>
            <w:shd w:val="clear" w:color="auto" w:fill="000000"/>
          </w:tcPr>
          <w:p>
            <w:pPr>
              <w:spacing w:after="0" w:line="20" w:lineRule="exact"/>
              <w:rPr>
                <w:sz w:val="1"/>
                <w:szCs w:val="1"/>
                <w:color w:val="auto"/>
              </w:rPr>
            </w:pPr>
          </w:p>
        </w:tc>
        <w:tc>
          <w:tcPr>
            <w:tcW w:w="2680" w:type="dxa"/>
            <w:vAlign w:val="bottom"/>
            <w:vMerge w:val="restart"/>
            <w:shd w:val="clear" w:color="auto" w:fill="BFBFBF"/>
          </w:tcPr>
          <w:p>
            <w:pPr>
              <w:ind w:left="60"/>
              <w:spacing w:after="0" w:line="201" w:lineRule="exact"/>
              <w:rPr>
                <w:sz w:val="20"/>
                <w:szCs w:val="20"/>
                <w:color w:val="auto"/>
              </w:rPr>
            </w:pPr>
            <w:r>
              <w:rPr>
                <w:rFonts w:ascii="Arial" w:cs="Arial" w:eastAsia="Arial" w:hAnsi="Arial"/>
                <w:sz w:val="18"/>
                <w:szCs w:val="18"/>
                <w:color w:val="auto"/>
              </w:rPr>
              <w:t>Comprehensive income</w:t>
            </w: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00" w:type="dxa"/>
            <w:vAlign w:val="bottom"/>
            <w:gridSpan w:val="2"/>
            <w:vMerge w:val="restart"/>
            <w:shd w:val="clear" w:color="auto" w:fill="BFBFBF"/>
          </w:tcPr>
          <w:p>
            <w:pPr>
              <w:jc w:val="right"/>
              <w:ind w:right="120"/>
              <w:spacing w:after="0"/>
              <w:rPr>
                <w:sz w:val="20"/>
                <w:szCs w:val="20"/>
                <w:color w:val="auto"/>
              </w:rPr>
            </w:pPr>
            <w:r>
              <w:rPr>
                <w:rFonts w:ascii="Arial" w:cs="Arial" w:eastAsia="Arial" w:hAnsi="Arial"/>
                <w:sz w:val="18"/>
                <w:szCs w:val="18"/>
                <w:color w:val="auto"/>
              </w:rPr>
              <w:t>$21,614</w:t>
            </w:r>
          </w:p>
        </w:tc>
        <w:tc>
          <w:tcPr>
            <w:tcW w:w="1500" w:type="dxa"/>
            <w:vAlign w:val="bottom"/>
            <w:gridSpan w:val="2"/>
            <w:vMerge w:val="restart"/>
            <w:shd w:val="clear" w:color="auto" w:fill="BFBFBF"/>
          </w:tcPr>
          <w:p>
            <w:pPr>
              <w:jc w:val="right"/>
              <w:ind w:right="120"/>
              <w:spacing w:after="0"/>
              <w:rPr>
                <w:sz w:val="20"/>
                <w:szCs w:val="20"/>
                <w:color w:val="auto"/>
              </w:rPr>
            </w:pPr>
            <w:r>
              <w:rPr>
                <w:rFonts w:ascii="Arial" w:cs="Arial" w:eastAsia="Arial" w:hAnsi="Arial"/>
                <w:sz w:val="18"/>
                <w:szCs w:val="18"/>
                <w:color w:val="auto"/>
              </w:rPr>
              <w:t>($583)</w:t>
            </w:r>
          </w:p>
        </w:tc>
        <w:tc>
          <w:tcPr>
            <w:tcW w:w="1440" w:type="dxa"/>
            <w:vAlign w:val="bottom"/>
            <w:tcBorders>
              <w:right w:val="single" w:sz="8" w:color="BFBFBF"/>
            </w:tcBorders>
            <w:vMerge w:val="restart"/>
            <w:shd w:val="clear" w:color="auto" w:fill="BFBFBF"/>
          </w:tcPr>
          <w:p>
            <w:pPr>
              <w:jc w:val="right"/>
              <w:spacing w:after="0"/>
              <w:rPr>
                <w:sz w:val="20"/>
                <w:szCs w:val="20"/>
                <w:color w:val="auto"/>
              </w:rPr>
            </w:pPr>
            <w:r>
              <w:rPr>
                <w:rFonts w:ascii="Arial" w:cs="Arial" w:eastAsia="Arial" w:hAnsi="Arial"/>
                <w:sz w:val="18"/>
                <w:szCs w:val="18"/>
                <w:color w:val="auto"/>
              </w:rPr>
              <w:t>$21,031</w:t>
            </w:r>
          </w:p>
        </w:tc>
        <w:tc>
          <w:tcPr>
            <w:tcW w:w="2680" w:type="dxa"/>
            <w:vAlign w:val="bottom"/>
            <w:vMerge w:val="continue"/>
            <w:shd w:val="clear" w:color="auto" w:fill="BFBFBF"/>
          </w:tcPr>
          <w:p>
            <w:pPr>
              <w:spacing w:after="0"/>
              <w:rPr>
                <w:sz w:val="15"/>
                <w:szCs w:val="15"/>
                <w:color w:val="auto"/>
              </w:rPr>
            </w:pPr>
          </w:p>
        </w:tc>
        <w:tc>
          <w:tcPr>
            <w:tcW w:w="1360" w:type="dxa"/>
            <w:vAlign w:val="bottom"/>
            <w:vMerge w:val="restart"/>
            <w:shd w:val="clear" w:color="auto" w:fill="BFBFBF"/>
          </w:tcPr>
          <w:p>
            <w:pPr>
              <w:jc w:val="right"/>
              <w:spacing w:after="0"/>
              <w:rPr>
                <w:sz w:val="20"/>
                <w:szCs w:val="20"/>
                <w:color w:val="auto"/>
              </w:rPr>
            </w:pPr>
            <w:r>
              <w:rPr>
                <w:rFonts w:ascii="Arial" w:cs="Arial" w:eastAsia="Arial" w:hAnsi="Arial"/>
                <w:sz w:val="18"/>
                <w:szCs w:val="18"/>
                <w:color w:val="auto"/>
              </w:rPr>
              <w:t>$54,966</w:t>
            </w:r>
          </w:p>
        </w:tc>
        <w:tc>
          <w:tcPr>
            <w:tcW w:w="100" w:type="dxa"/>
            <w:vAlign w:val="bottom"/>
            <w:shd w:val="clear" w:color="auto" w:fill="BFBFBF"/>
          </w:tcPr>
          <w:p>
            <w:pPr>
              <w:spacing w:after="0"/>
              <w:rPr>
                <w:sz w:val="15"/>
                <w:szCs w:val="15"/>
                <w:color w:val="auto"/>
              </w:rPr>
            </w:pPr>
          </w:p>
        </w:tc>
        <w:tc>
          <w:tcPr>
            <w:tcW w:w="1480" w:type="dxa"/>
            <w:vAlign w:val="bottom"/>
            <w:gridSpan w:val="2"/>
            <w:vMerge w:val="restart"/>
            <w:shd w:val="clear" w:color="auto" w:fill="BFBFBF"/>
          </w:tcPr>
          <w:p>
            <w:pPr>
              <w:jc w:val="right"/>
              <w:ind w:right="120"/>
              <w:spacing w:after="0"/>
              <w:rPr>
                <w:sz w:val="20"/>
                <w:szCs w:val="20"/>
                <w:color w:val="auto"/>
              </w:rPr>
            </w:pPr>
            <w:r>
              <w:rPr>
                <w:rFonts w:ascii="Arial" w:cs="Arial" w:eastAsia="Arial" w:hAnsi="Arial"/>
                <w:sz w:val="18"/>
                <w:szCs w:val="18"/>
                <w:color w:val="auto"/>
              </w:rPr>
              <w:t>($2,617)</w:t>
            </w:r>
          </w:p>
        </w:tc>
        <w:tc>
          <w:tcPr>
            <w:tcW w:w="1360" w:type="dxa"/>
            <w:vAlign w:val="bottom"/>
            <w:vMerge w:val="restart"/>
            <w:shd w:val="clear" w:color="auto" w:fill="BFBFBF"/>
          </w:tcPr>
          <w:p>
            <w:pPr>
              <w:jc w:val="right"/>
              <w:spacing w:after="0"/>
              <w:rPr>
                <w:sz w:val="20"/>
                <w:szCs w:val="20"/>
                <w:color w:val="auto"/>
              </w:rPr>
            </w:pPr>
            <w:r>
              <w:rPr>
                <w:rFonts w:ascii="Arial" w:cs="Arial" w:eastAsia="Arial" w:hAnsi="Arial"/>
                <w:sz w:val="18"/>
                <w:szCs w:val="18"/>
                <w:color w:val="auto"/>
              </w:rPr>
              <w:t>$52,349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gridSpan w:val="2"/>
            <w:vMerge w:val="continue"/>
            <w:shd w:val="clear" w:color="auto" w:fill="BFBFBF"/>
          </w:tcPr>
          <w:p>
            <w:pPr>
              <w:spacing w:after="0"/>
              <w:rPr>
                <w:sz w:val="16"/>
                <w:szCs w:val="16"/>
                <w:color w:val="auto"/>
              </w:rPr>
            </w:pPr>
          </w:p>
        </w:tc>
        <w:tc>
          <w:tcPr>
            <w:tcW w:w="1500" w:type="dxa"/>
            <w:vAlign w:val="bottom"/>
            <w:gridSpan w:val="2"/>
            <w:vMerge w:val="continue"/>
            <w:shd w:val="clear" w:color="auto" w:fill="BFBFBF"/>
          </w:tcPr>
          <w:p>
            <w:pPr>
              <w:spacing w:after="0"/>
              <w:rPr>
                <w:sz w:val="16"/>
                <w:szCs w:val="16"/>
                <w:color w:val="auto"/>
              </w:rPr>
            </w:pPr>
          </w:p>
        </w:tc>
        <w:tc>
          <w:tcPr>
            <w:tcW w:w="1440" w:type="dxa"/>
            <w:vAlign w:val="bottom"/>
            <w:tcBorders>
              <w:right w:val="single" w:sz="8" w:color="BFBFBF"/>
            </w:tcBorders>
            <w:vMerge w:val="continue"/>
            <w:shd w:val="clear" w:color="auto" w:fill="BFBFBF"/>
          </w:tcPr>
          <w:p>
            <w:pPr>
              <w:spacing w:after="0"/>
              <w:rPr>
                <w:sz w:val="16"/>
                <w:szCs w:val="16"/>
                <w:color w:val="auto"/>
              </w:rPr>
            </w:pPr>
          </w:p>
        </w:tc>
        <w:tc>
          <w:tcPr>
            <w:tcW w:w="2680" w:type="dxa"/>
            <w:vAlign w:val="bottom"/>
            <w:shd w:val="clear" w:color="auto" w:fill="BFBFBF"/>
          </w:tcPr>
          <w:p>
            <w:pPr>
              <w:ind w:left="60"/>
              <w:spacing w:after="0" w:line="190" w:lineRule="exact"/>
              <w:rPr>
                <w:sz w:val="20"/>
                <w:szCs w:val="20"/>
                <w:color w:val="auto"/>
              </w:rPr>
            </w:pPr>
            <w:r>
              <w:rPr>
                <w:rFonts w:ascii="Arial" w:cs="Arial" w:eastAsia="Arial" w:hAnsi="Arial"/>
                <w:sz w:val="18"/>
                <w:szCs w:val="18"/>
                <w:color w:val="auto"/>
              </w:rPr>
              <w:t>attributable to the Company</w:t>
            </w:r>
          </w:p>
        </w:tc>
        <w:tc>
          <w:tcPr>
            <w:tcW w:w="1360" w:type="dxa"/>
            <w:vAlign w:val="bottom"/>
            <w:vMerge w:val="continue"/>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1480" w:type="dxa"/>
            <w:vAlign w:val="bottom"/>
            <w:gridSpan w:val="2"/>
            <w:vMerge w:val="continue"/>
            <w:shd w:val="clear" w:color="auto" w:fill="BFBFBF"/>
          </w:tcPr>
          <w:p>
            <w:pPr>
              <w:spacing w:after="0"/>
              <w:rPr>
                <w:sz w:val="16"/>
                <w:szCs w:val="16"/>
                <w:color w:val="auto"/>
              </w:rPr>
            </w:pPr>
          </w:p>
        </w:tc>
        <w:tc>
          <w:tcPr>
            <w:tcW w:w="1360" w:type="dxa"/>
            <w:vAlign w:val="bottom"/>
            <w:vMerge w:val="continue"/>
            <w:shd w:val="clear" w:color="auto" w:fill="BFBFB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As adjusted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September 30, 2018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Adjustments to</w:t>
            </w: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exclude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0" w:type="dxa"/>
            <w:vAlign w:val="bottom"/>
            <w:gridSpan w:val="3"/>
          </w:tcPr>
          <w:p>
            <w:pPr>
              <w:jc w:val="center"/>
              <w:ind w:right="580"/>
              <w:spacing w:after="0" w:line="202" w:lineRule="exact"/>
              <w:rPr>
                <w:sz w:val="20"/>
                <w:szCs w:val="20"/>
                <w:color w:val="auto"/>
              </w:rPr>
            </w:pPr>
            <w:r>
              <w:rPr>
                <w:rFonts w:ascii="Arial" w:cs="Arial" w:eastAsia="Arial" w:hAnsi="Arial"/>
                <w:sz w:val="18"/>
                <w:szCs w:val="18"/>
                <w:color w:val="auto"/>
              </w:rPr>
              <w:t>As reported</w:t>
            </w:r>
          </w:p>
        </w:tc>
        <w:tc>
          <w:tcPr>
            <w:tcW w:w="2380" w:type="dxa"/>
            <w:vAlign w:val="bottom"/>
            <w:gridSpan w:val="3"/>
          </w:tcPr>
          <w:p>
            <w:pPr>
              <w:jc w:val="center"/>
              <w:ind w:right="560"/>
              <w:spacing w:after="0" w:line="202" w:lineRule="exact"/>
              <w:rPr>
                <w:sz w:val="20"/>
                <w:szCs w:val="20"/>
                <w:color w:val="auto"/>
              </w:rPr>
            </w:pPr>
            <w:r>
              <w:rPr>
                <w:rFonts w:ascii="Arial" w:cs="Arial" w:eastAsia="Arial" w:hAnsi="Arial"/>
                <w:sz w:val="18"/>
                <w:szCs w:val="18"/>
                <w:color w:val="auto"/>
                <w:w w:val="99"/>
              </w:rPr>
              <w:t>reverse effects</w:t>
            </w:r>
          </w:p>
        </w:tc>
        <w:tc>
          <w:tcPr>
            <w:tcW w:w="1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adoption of ASC</w:t>
            </w:r>
          </w:p>
        </w:tc>
        <w:tc>
          <w:tcPr>
            <w:tcW w:w="0" w:type="dxa"/>
            <w:vAlign w:val="bottom"/>
          </w:tcPr>
          <w:p>
            <w:pPr>
              <w:spacing w:after="0"/>
              <w:rPr>
                <w:sz w:val="1"/>
                <w:szCs w:val="1"/>
                <w:color w:val="auto"/>
              </w:rPr>
            </w:pPr>
          </w:p>
        </w:tc>
      </w:tr>
      <w:tr>
        <w:trPr>
          <w:trHeight w:val="203"/>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400" w:type="dxa"/>
            <w:vAlign w:val="bottom"/>
            <w:gridSpan w:val="3"/>
          </w:tcPr>
          <w:p>
            <w:pPr>
              <w:jc w:val="center"/>
              <w:ind w:right="580"/>
              <w:spacing w:after="0" w:line="203" w:lineRule="exact"/>
              <w:rPr>
                <w:sz w:val="20"/>
                <w:szCs w:val="20"/>
                <w:color w:val="auto"/>
              </w:rPr>
            </w:pPr>
            <w:r>
              <w:rPr>
                <w:rFonts w:ascii="Arial" w:cs="Arial" w:eastAsia="Arial" w:hAnsi="Arial"/>
                <w:sz w:val="18"/>
                <w:szCs w:val="18"/>
                <w:color w:val="auto"/>
                <w:w w:val="99"/>
              </w:rPr>
              <w:t>September 30, 2018</w:t>
            </w:r>
          </w:p>
        </w:tc>
        <w:tc>
          <w:tcPr>
            <w:tcW w:w="2380" w:type="dxa"/>
            <w:vAlign w:val="bottom"/>
            <w:gridSpan w:val="3"/>
          </w:tcPr>
          <w:p>
            <w:pPr>
              <w:jc w:val="center"/>
              <w:ind w:right="580"/>
              <w:spacing w:after="0" w:line="203" w:lineRule="exact"/>
              <w:rPr>
                <w:sz w:val="20"/>
                <w:szCs w:val="20"/>
                <w:color w:val="auto"/>
              </w:rPr>
            </w:pPr>
            <w:r>
              <w:rPr>
                <w:rFonts w:ascii="Arial" w:cs="Arial" w:eastAsia="Arial" w:hAnsi="Arial"/>
                <w:sz w:val="18"/>
                <w:szCs w:val="18"/>
                <w:color w:val="auto"/>
                <w:w w:val="99"/>
              </w:rPr>
              <w:t>of ASC 606</w:t>
            </w:r>
          </w:p>
        </w:tc>
        <w:tc>
          <w:tcPr>
            <w:tcW w:w="174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$160,593</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$160,593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252,464</w:t>
            </w:r>
          </w:p>
        </w:tc>
        <w:tc>
          <w:tcPr>
            <w:tcW w:w="560" w:type="dxa"/>
            <w:vAlign w:val="bottom"/>
          </w:tcPr>
          <w:p>
            <w:pPr>
              <w:spacing w:after="0"/>
              <w:rPr>
                <w:sz w:val="17"/>
                <w:szCs w:val="17"/>
                <w:color w:val="auto"/>
              </w:rPr>
            </w:pP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(8,784)</w:t>
            </w:r>
          </w:p>
        </w:tc>
        <w:tc>
          <w:tcPr>
            <w:tcW w:w="5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243,680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Contract assets</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56,100</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(56,100)</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99,765</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50,458</w:t>
            </w:r>
          </w:p>
        </w:tc>
        <w:tc>
          <w:tcPr>
            <w:tcW w:w="5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150,223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taxes prepaid and receivable</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6,643</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6,643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20,541</w:t>
            </w:r>
          </w:p>
        </w:tc>
        <w:tc>
          <w:tcPr>
            <w:tcW w:w="56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20,541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BFBFBF"/>
            </w:tcBorders>
            <w:shd w:val="clear" w:color="auto" w:fill="BFBFBF"/>
          </w:tcPr>
          <w:p>
            <w:pPr>
              <w:ind w:left="240"/>
              <w:spacing w:after="0" w:line="196" w:lineRule="exact"/>
              <w:rPr>
                <w:sz w:val="20"/>
                <w:szCs w:val="20"/>
                <w:color w:val="auto"/>
              </w:rPr>
            </w:pPr>
            <w:r>
              <w:rPr>
                <w:rFonts w:ascii="Arial" w:cs="Arial" w:eastAsia="Arial" w:hAnsi="Arial"/>
                <w:sz w:val="18"/>
                <w:szCs w:val="18"/>
                <w:color w:val="auto"/>
              </w:rPr>
              <w:t>Total current assets</w:t>
            </w:r>
          </w:p>
        </w:tc>
        <w:tc>
          <w:tcPr>
            <w:tcW w:w="172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596,106</w:t>
            </w:r>
          </w:p>
        </w:tc>
        <w:tc>
          <w:tcPr>
            <w:tcW w:w="12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7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(14,426)</w:t>
            </w:r>
          </w:p>
        </w:tc>
        <w:tc>
          <w:tcPr>
            <w:tcW w:w="100" w:type="dxa"/>
            <w:vAlign w:val="bottom"/>
            <w:tcBorders>
              <w:top w:val="single" w:sz="8" w:color="BFBFBF"/>
            </w:tcBorders>
            <w:shd w:val="clear" w:color="auto" w:fill="BFBFBF"/>
          </w:tcPr>
          <w:p>
            <w:pPr>
              <w:spacing w:after="0"/>
              <w:rPr>
                <w:sz w:val="17"/>
                <w:szCs w:val="17"/>
                <w:color w:val="auto"/>
              </w:rPr>
            </w:pPr>
          </w:p>
        </w:tc>
        <w:tc>
          <w:tcPr>
            <w:tcW w:w="580" w:type="dxa"/>
            <w:vAlign w:val="bottom"/>
            <w:tcBorders>
              <w:top w:val="single" w:sz="8" w:color="BFBFBF"/>
            </w:tcBorders>
            <w:shd w:val="clear" w:color="auto" w:fill="BFBFBF"/>
          </w:tcPr>
          <w:p>
            <w:pPr>
              <w:spacing w:after="0"/>
              <w:rPr>
                <w:sz w:val="17"/>
                <w:szCs w:val="17"/>
                <w:color w:val="auto"/>
              </w:rPr>
            </w:pPr>
          </w:p>
        </w:tc>
        <w:tc>
          <w:tcPr>
            <w:tcW w:w="1740" w:type="dxa"/>
            <w:vAlign w:val="bottom"/>
            <w:tcBorders>
              <w:top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581,680</w:t>
            </w: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462,438</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462,438</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Intangibles, net</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50,765</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Goodwill</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165,103</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165,103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79,865</w:t>
            </w:r>
          </w:p>
        </w:tc>
        <w:tc>
          <w:tcPr>
            <w:tcW w:w="560" w:type="dxa"/>
            <w:vAlign w:val="bottom"/>
          </w:tcPr>
          <w:p>
            <w:pPr>
              <w:spacing w:after="0"/>
              <w:rPr>
                <w:sz w:val="17"/>
                <w:szCs w:val="17"/>
                <w:color w:val="auto"/>
              </w:rPr>
            </w:pP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w:t>
            </w:r>
          </w:p>
        </w:tc>
        <w:tc>
          <w:tcPr>
            <w:tcW w:w="580" w:type="dxa"/>
            <w:vAlign w:val="bottom"/>
          </w:tcPr>
          <w:p>
            <w:pPr>
              <w:spacing w:after="0"/>
              <w:rPr>
                <w:sz w:val="17"/>
                <w:szCs w:val="17"/>
                <w:color w:val="auto"/>
              </w:rPr>
            </w:pPr>
          </w:p>
        </w:tc>
        <w:tc>
          <w:tcPr>
            <w:tcW w:w="1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Noncurrent receivables</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41,657</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82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52,392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(1,256)</w:t>
            </w:r>
          </w:p>
        </w:tc>
        <w:tc>
          <w:tcPr>
            <w:tcW w:w="5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BFBFBF"/>
              <w:bottom w:val="single" w:sz="8" w:color="BFBFBF"/>
            </w:tcBorders>
            <w:shd w:val="clear" w:color="auto" w:fill="BFBFBF"/>
          </w:tcPr>
          <w:p>
            <w:pPr>
              <w:ind w:left="240"/>
              <w:spacing w:after="0"/>
              <w:rPr>
                <w:sz w:val="20"/>
                <w:szCs w:val="20"/>
                <w:color w:val="auto"/>
              </w:rPr>
            </w:pPr>
            <w:r>
              <w:rPr>
                <w:rFonts w:ascii="Arial" w:cs="Arial" w:eastAsia="Arial" w:hAnsi="Arial"/>
                <w:sz w:val="18"/>
                <w:szCs w:val="18"/>
                <w:color w:val="auto"/>
              </w:rPr>
              <w:t>Total assets</w:t>
            </w:r>
          </w:p>
        </w:tc>
        <w:tc>
          <w:tcPr>
            <w:tcW w:w="1720" w:type="dxa"/>
            <w:vAlign w:val="bottom"/>
            <w:tcBorders>
              <w:top w:val="single" w:sz="8" w:color="auto"/>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$1,448,326</w:t>
            </w:r>
          </w:p>
        </w:tc>
        <w:tc>
          <w:tcPr>
            <w:tcW w:w="120" w:type="dxa"/>
            <w:vAlign w:val="bottom"/>
            <w:tcBorders>
              <w:top w:val="single" w:sz="8" w:color="BFBFBF"/>
              <w:bottom w:val="single" w:sz="8" w:color="BFBFBF"/>
            </w:tcBorders>
            <w:shd w:val="clear" w:color="auto" w:fill="BFBFBF"/>
          </w:tcPr>
          <w:p>
            <w:pPr>
              <w:spacing w:after="0"/>
              <w:rPr>
                <w:sz w:val="18"/>
                <w:szCs w:val="18"/>
                <w:color w:val="auto"/>
              </w:rPr>
            </w:pPr>
          </w:p>
        </w:tc>
        <w:tc>
          <w:tcPr>
            <w:tcW w:w="560" w:type="dxa"/>
            <w:vAlign w:val="bottom"/>
            <w:tcBorders>
              <w:top w:val="single" w:sz="8" w:color="BFBFBF"/>
              <w:bottom w:val="single" w:sz="8" w:color="BFBFBF"/>
            </w:tcBorders>
            <w:shd w:val="clear" w:color="auto" w:fill="BFBFBF"/>
          </w:tcPr>
          <w:p>
            <w:pPr>
              <w:spacing w:after="0"/>
              <w:rPr>
                <w:sz w:val="18"/>
                <w:szCs w:val="18"/>
                <w:color w:val="auto"/>
              </w:rPr>
            </w:pPr>
          </w:p>
        </w:tc>
        <w:tc>
          <w:tcPr>
            <w:tcW w:w="1700" w:type="dxa"/>
            <w:vAlign w:val="bottom"/>
            <w:tcBorders>
              <w:top w:val="single" w:sz="8" w:color="auto"/>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($15,899</w:t>
            </w:r>
          </w:p>
        </w:tc>
        <w:tc>
          <w:tcPr>
            <w:tcW w:w="100" w:type="dxa"/>
            <w:vAlign w:val="bottom"/>
            <w:tcBorders>
              <w:top w:val="single" w:sz="8" w:color="BFBFBF"/>
              <w:bottom w:val="single" w:sz="8" w:color="BFBFBF"/>
            </w:tcBorders>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BFBFBF"/>
              <w:bottom w:val="single" w:sz="8" w:color="BFBFBF"/>
            </w:tcBorders>
            <w:shd w:val="clear" w:color="auto" w:fill="BFBFBF"/>
          </w:tcPr>
          <w:p>
            <w:pPr>
              <w:spacing w:after="0"/>
              <w:rPr>
                <w:sz w:val="18"/>
                <w:szCs w:val="18"/>
                <w:color w:val="auto"/>
              </w:rPr>
            </w:pPr>
          </w:p>
        </w:tc>
        <w:tc>
          <w:tcPr>
            <w:tcW w:w="1740" w:type="dxa"/>
            <w:vAlign w:val="bottom"/>
            <w:tcBorders>
              <w:top w:val="single" w:sz="8" w:color="auto"/>
              <w:bottom w:val="single" w:sz="8" w:color="auto"/>
              <w:right w:val="single" w:sz="8" w:color="BFBFBF"/>
            </w:tcBorders>
            <w:shd w:val="clear" w:color="auto" w:fill="BFBFBF"/>
          </w:tcPr>
          <w:p>
            <w:pPr>
              <w:jc w:val="right"/>
              <w:spacing w:after="0"/>
              <w:rPr>
                <w:sz w:val="20"/>
                <w:szCs w:val="20"/>
                <w:color w:val="auto"/>
              </w:rPr>
            </w:pPr>
            <w:r>
              <w:rPr>
                <w:rFonts w:ascii="Arial" w:cs="Arial" w:eastAsia="Arial" w:hAnsi="Arial"/>
                <w:sz w:val="18"/>
                <w:szCs w:val="18"/>
                <w:color w:val="auto"/>
              </w:rPr>
              <w:t>$1,432,427</w:t>
            </w:r>
          </w:p>
        </w:tc>
        <w:tc>
          <w:tcPr>
            <w:tcW w:w="80" w:type="dxa"/>
            <w:vAlign w:val="bottom"/>
            <w:tcBorders>
              <w:top w:val="single" w:sz="8" w:color="BFBFBF"/>
              <w:bottom w:val="single" w:sz="8" w:color="BFBFBF"/>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17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7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51,373</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82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51,373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132,219</w:t>
            </w:r>
          </w:p>
        </w:tc>
        <w:tc>
          <w:tcPr>
            <w:tcW w:w="560" w:type="dxa"/>
            <w:vAlign w:val="bottom"/>
          </w:tcPr>
          <w:p>
            <w:pPr>
              <w:spacing w:after="0"/>
              <w:rPr>
                <w:sz w:val="17"/>
                <w:szCs w:val="17"/>
                <w:color w:val="auto"/>
              </w:rPr>
            </w:pP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(19,076)</w:t>
            </w:r>
          </w:p>
        </w:tc>
        <w:tc>
          <w:tcPr>
            <w:tcW w:w="5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113,143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1,231</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1,231</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20,725</w:t>
            </w:r>
          </w:p>
        </w:tc>
        <w:tc>
          <w:tcPr>
            <w:tcW w:w="56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BFBFBF"/>
            </w:tcBorders>
            <w:shd w:val="clear" w:color="auto" w:fill="BFBFBF"/>
          </w:tcPr>
          <w:p>
            <w:pPr>
              <w:ind w:left="240"/>
              <w:spacing w:after="0" w:line="196" w:lineRule="exact"/>
              <w:rPr>
                <w:sz w:val="20"/>
                <w:szCs w:val="20"/>
                <w:color w:val="auto"/>
              </w:rPr>
            </w:pPr>
            <w:r>
              <w:rPr>
                <w:rFonts w:ascii="Arial" w:cs="Arial" w:eastAsia="Arial" w:hAnsi="Arial"/>
                <w:sz w:val="18"/>
                <w:szCs w:val="18"/>
                <w:color w:val="auto"/>
              </w:rPr>
              <w:t>Total current liabilities</w:t>
            </w:r>
          </w:p>
        </w:tc>
        <w:tc>
          <w:tcPr>
            <w:tcW w:w="172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205,548</w:t>
            </w:r>
          </w:p>
        </w:tc>
        <w:tc>
          <w:tcPr>
            <w:tcW w:w="12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7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(19,076)</w:t>
            </w:r>
          </w:p>
        </w:tc>
        <w:tc>
          <w:tcPr>
            <w:tcW w:w="100" w:type="dxa"/>
            <w:vAlign w:val="bottom"/>
            <w:tcBorders>
              <w:top w:val="single" w:sz="8" w:color="BFBFBF"/>
            </w:tcBorders>
            <w:shd w:val="clear" w:color="auto" w:fill="BFBFBF"/>
          </w:tcPr>
          <w:p>
            <w:pPr>
              <w:spacing w:after="0"/>
              <w:rPr>
                <w:sz w:val="17"/>
                <w:szCs w:val="17"/>
                <w:color w:val="auto"/>
              </w:rPr>
            </w:pPr>
          </w:p>
        </w:tc>
        <w:tc>
          <w:tcPr>
            <w:tcW w:w="580" w:type="dxa"/>
            <w:vAlign w:val="bottom"/>
            <w:tcBorders>
              <w:top w:val="single" w:sz="8" w:color="BFBFBF"/>
            </w:tcBorders>
            <w:shd w:val="clear" w:color="auto" w:fill="BFBFBF"/>
          </w:tcPr>
          <w:p>
            <w:pPr>
              <w:spacing w:after="0"/>
              <w:rPr>
                <w:sz w:val="17"/>
                <w:szCs w:val="17"/>
                <w:color w:val="auto"/>
              </w:rPr>
            </w:pPr>
          </w:p>
        </w:tc>
        <w:tc>
          <w:tcPr>
            <w:tcW w:w="1740" w:type="dxa"/>
            <w:vAlign w:val="bottom"/>
            <w:tcBorders>
              <w:top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186,472</w:t>
            </w: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Long-term debt</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529,003</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529,003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92,218</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Deferred taxes and other liabilities</w:t>
            </w:r>
          </w:p>
        </w:tc>
        <w:tc>
          <w:tcPr>
            <w:tcW w:w="184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12,915</w:t>
            </w:r>
          </w:p>
        </w:tc>
        <w:tc>
          <w:tcPr>
            <w:tcW w:w="560" w:type="dxa"/>
            <w:vAlign w:val="bottom"/>
            <w:shd w:val="clear" w:color="auto" w:fill="BFBFBF"/>
          </w:tcPr>
          <w:p>
            <w:pPr>
              <w:spacing w:after="0"/>
              <w:rPr>
                <w:sz w:val="18"/>
                <w:szCs w:val="18"/>
                <w:color w:val="auto"/>
              </w:rPr>
            </w:pPr>
          </w:p>
        </w:tc>
        <w:tc>
          <w:tcPr>
            <w:tcW w:w="180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BFBFBF"/>
          </w:tcPr>
          <w:p>
            <w:pPr>
              <w:spacing w:after="0"/>
              <w:rPr>
                <w:sz w:val="18"/>
                <w:szCs w:val="18"/>
                <w:color w:val="auto"/>
              </w:rPr>
            </w:pPr>
          </w:p>
        </w:tc>
        <w:tc>
          <w:tcPr>
            <w:tcW w:w="182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12,863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BFBFBF"/>
            </w:tcBorders>
          </w:tcPr>
          <w:p>
            <w:pPr>
              <w:ind w:left="240"/>
              <w:spacing w:after="0" w:line="196" w:lineRule="exact"/>
              <w:rPr>
                <w:sz w:val="20"/>
                <w:szCs w:val="20"/>
                <w:color w:val="auto"/>
              </w:rPr>
            </w:pPr>
            <w:r>
              <w:rPr>
                <w:rFonts w:ascii="Arial" w:cs="Arial" w:eastAsia="Arial" w:hAnsi="Arial"/>
                <w:sz w:val="18"/>
                <w:szCs w:val="18"/>
                <w:color w:val="auto"/>
              </w:rPr>
              <w:t>Total liabilities</w:t>
            </w: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839,684</w:t>
            </w:r>
          </w:p>
        </w:tc>
        <w:tc>
          <w:tcPr>
            <w:tcW w:w="120" w:type="dxa"/>
            <w:vAlign w:val="bottom"/>
            <w:tcBorders>
              <w:bottom w:val="single" w:sz="8" w:color="BFBFBF"/>
            </w:tcBorders>
          </w:tcPr>
          <w:p>
            <w:pPr>
              <w:spacing w:after="0"/>
              <w:rPr>
                <w:sz w:val="17"/>
                <w:szCs w:val="17"/>
                <w:color w:val="auto"/>
              </w:rPr>
            </w:pPr>
          </w:p>
        </w:tc>
        <w:tc>
          <w:tcPr>
            <w:tcW w:w="560" w:type="dxa"/>
            <w:vAlign w:val="bottom"/>
            <w:tcBorders>
              <w:bottom w:val="single" w:sz="8" w:color="BFBFB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(19,128</w:t>
            </w:r>
          </w:p>
        </w:tc>
        <w:tc>
          <w:tcPr>
            <w:tcW w:w="1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BFBFBF"/>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820,556</w:t>
            </w:r>
          </w:p>
        </w:tc>
        <w:tc>
          <w:tcPr>
            <w:tcW w:w="8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shd w:val="clear" w:color="auto" w:fill="BFBFBF"/>
          </w:tcPr>
          <w:p>
            <w:pPr>
              <w:spacing w:after="0"/>
              <w:rPr>
                <w:sz w:val="17"/>
                <w:szCs w:val="17"/>
                <w:color w:val="auto"/>
              </w:rPr>
            </w:pPr>
          </w:p>
        </w:tc>
        <w:tc>
          <w:tcPr>
            <w:tcW w:w="17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7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BFBFBF"/>
          </w:tcPr>
          <w:p>
            <w:pPr>
              <w:ind w:left="140"/>
              <w:spacing w:after="0" w:line="201" w:lineRule="exact"/>
              <w:rPr>
                <w:sz w:val="20"/>
                <w:szCs w:val="20"/>
                <w:color w:val="auto"/>
              </w:rPr>
            </w:pPr>
            <w:r>
              <w:rPr>
                <w:rFonts w:ascii="Arial" w:cs="Arial" w:eastAsia="Arial" w:hAnsi="Arial"/>
                <w:sz w:val="18"/>
                <w:szCs w:val="18"/>
                <w:color w:val="auto"/>
              </w:rPr>
              <w:t>Preferred stock, par value $5.00 per share;</w:t>
            </w:r>
          </w:p>
        </w:tc>
        <w:tc>
          <w:tcPr>
            <w:tcW w:w="17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7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40"/>
              <w:spacing w:after="0" w:line="203" w:lineRule="exact"/>
              <w:rPr>
                <w:sz w:val="20"/>
                <w:szCs w:val="20"/>
                <w:color w:val="auto"/>
              </w:rPr>
            </w:pPr>
            <w:r>
              <w:rPr>
                <w:rFonts w:ascii="Arial" w:cs="Arial" w:eastAsia="Arial" w:hAnsi="Arial"/>
                <w:sz w:val="18"/>
                <w:szCs w:val="18"/>
                <w:color w:val="auto"/>
              </w:rPr>
              <w:t>authorized 2,000,000 shares; none issued</w:t>
            </w:r>
          </w:p>
        </w:tc>
        <w:tc>
          <w:tcPr>
            <w:tcW w:w="172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authorized 100,000,000 shares; issued 37,450,329</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3" w:lineRule="exact"/>
              <w:rPr>
                <w:sz w:val="20"/>
                <w:szCs w:val="20"/>
                <w:color w:val="auto"/>
              </w:rPr>
            </w:pPr>
            <w:r>
              <w:rPr>
                <w:rFonts w:ascii="Arial" w:cs="Arial" w:eastAsia="Arial" w:hAnsi="Arial"/>
                <w:sz w:val="18"/>
                <w:szCs w:val="18"/>
                <w:color w:val="auto"/>
              </w:rPr>
              <w:t>in 2018 and 37,395,753 in 2017</w:t>
            </w:r>
          </w:p>
        </w:tc>
        <w:tc>
          <w:tcPr>
            <w:tcW w:w="1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37</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BFBFBF"/>
          </w:tcPr>
          <w:p>
            <w:pPr>
              <w:ind w:left="140"/>
              <w:spacing w:after="0" w:line="201" w:lineRule="exact"/>
              <w:rPr>
                <w:sz w:val="20"/>
                <w:szCs w:val="20"/>
                <w:color w:val="auto"/>
              </w:rPr>
            </w:pPr>
            <w:r>
              <w:rPr>
                <w:rFonts w:ascii="Arial" w:cs="Arial" w:eastAsia="Arial" w:hAnsi="Arial"/>
                <w:sz w:val="18"/>
                <w:szCs w:val="18"/>
                <w:color w:val="auto"/>
              </w:rPr>
              <w:t>Class B Common Stock, par value $.001 per</w:t>
            </w:r>
          </w:p>
        </w:tc>
        <w:tc>
          <w:tcPr>
            <w:tcW w:w="17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7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share; authorized 25,000,000 shares; issued and</w:t>
            </w:r>
          </w:p>
        </w:tc>
        <w:tc>
          <w:tcPr>
            <w:tcW w:w="17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7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40"/>
              <w:spacing w:after="0" w:line="203" w:lineRule="exact"/>
              <w:rPr>
                <w:sz w:val="20"/>
                <w:szCs w:val="20"/>
                <w:color w:val="auto"/>
              </w:rPr>
            </w:pPr>
            <w:r>
              <w:rPr>
                <w:rFonts w:ascii="Arial" w:cs="Arial" w:eastAsia="Arial" w:hAnsi="Arial"/>
                <w:sz w:val="18"/>
                <w:szCs w:val="18"/>
                <w:color w:val="auto"/>
              </w:rPr>
              <w:t>outstanding 3,233,998 in 2018 and 2017</w:t>
            </w:r>
          </w:p>
        </w:tc>
        <w:tc>
          <w:tcPr>
            <w:tcW w:w="184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3</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430,231</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430,231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581,369</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$2,325</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583,694</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00"/>
              <w:spacing w:after="0" w:line="201" w:lineRule="exact"/>
              <w:rPr>
                <w:sz w:val="20"/>
                <w:szCs w:val="20"/>
                <w:color w:val="auto"/>
              </w:rPr>
            </w:pPr>
            <w:r>
              <w:rPr>
                <w:rFonts w:ascii="Arial" w:cs="Arial" w:eastAsia="Arial" w:hAnsi="Arial"/>
                <w:sz w:val="18"/>
                <w:szCs w:val="18"/>
                <w:color w:val="auto"/>
              </w:rPr>
              <w:t>Accumulated items of other comprehensive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00"/>
              <w:spacing w:after="0" w:line="203" w:lineRule="exact"/>
              <w:rPr>
                <w:sz w:val="20"/>
                <w:szCs w:val="20"/>
                <w:color w:val="auto"/>
              </w:rPr>
            </w:pPr>
            <w:r>
              <w:rPr>
                <w:rFonts w:ascii="Arial" w:cs="Arial" w:eastAsia="Arial" w:hAnsi="Arial"/>
                <w:sz w:val="18"/>
                <w:szCs w:val="18"/>
                <w:color w:val="auto"/>
              </w:rPr>
              <w:t>income: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184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(110,900)</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688</w:t>
            </w:r>
          </w:p>
        </w:tc>
        <w:tc>
          <w:tcPr>
            <w:tcW w:w="580" w:type="dxa"/>
            <w:vAlign w:val="bottom"/>
            <w:shd w:val="clear" w:color="auto" w:fill="BFBFBF"/>
          </w:tcPr>
          <w:p>
            <w:pPr>
              <w:spacing w:after="0"/>
              <w:rPr>
                <w:sz w:val="17"/>
                <w:szCs w:val="17"/>
                <w:color w:val="auto"/>
              </w:rPr>
            </w:pPr>
          </w:p>
        </w:tc>
        <w:tc>
          <w:tcPr>
            <w:tcW w:w="182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(110,212)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(48,293)</w:t>
            </w: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184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9,432</w:t>
            </w:r>
          </w:p>
        </w:tc>
        <w:tc>
          <w:tcPr>
            <w:tcW w:w="560" w:type="dxa"/>
            <w:vAlign w:val="bottom"/>
            <w:shd w:val="clear" w:color="auto" w:fill="BFBFBF"/>
          </w:tcPr>
          <w:p>
            <w:pPr>
              <w:spacing w:after="0"/>
              <w:rPr>
                <w:sz w:val="17"/>
                <w:szCs w:val="17"/>
                <w:color w:val="auto"/>
              </w:rPr>
            </w:pPr>
          </w:p>
        </w:tc>
        <w:tc>
          <w:tcPr>
            <w:tcW w:w="18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1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9,432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40"/>
              <w:spacing w:after="0" w:line="201" w:lineRule="exact"/>
              <w:rPr>
                <w:sz w:val="20"/>
                <w:szCs w:val="20"/>
                <w:color w:val="auto"/>
              </w:rPr>
            </w:pPr>
            <w:r>
              <w:rPr>
                <w:rFonts w:ascii="Arial" w:cs="Arial" w:eastAsia="Arial" w:hAnsi="Arial"/>
                <w:sz w:val="18"/>
                <w:szCs w:val="18"/>
                <w:color w:val="auto"/>
              </w:rPr>
              <w:t>Treasury stock (Class A), at cost 8,418,620 shares</w:t>
            </w:r>
          </w:p>
        </w:tc>
        <w:tc>
          <w:tcPr>
            <w:tcW w:w="1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(256,603)</w:t>
            </w: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(256,603)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40"/>
              <w:spacing w:after="0" w:line="203" w:lineRule="exact"/>
              <w:rPr>
                <w:sz w:val="20"/>
                <w:szCs w:val="20"/>
                <w:color w:val="auto"/>
              </w:rPr>
            </w:pPr>
            <w:r>
              <w:rPr>
                <w:rFonts w:ascii="Arial" w:cs="Arial" w:eastAsia="Arial" w:hAnsi="Arial"/>
                <w:sz w:val="18"/>
                <w:szCs w:val="18"/>
                <w:color w:val="auto"/>
              </w:rPr>
              <w:t>in 2018 and 8,431,335 shares in 2017</w:t>
            </w:r>
          </w:p>
        </w:tc>
        <w:tc>
          <w:tcPr>
            <w:tcW w:w="18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BFBFBF"/>
          </w:tcPr>
          <w:p>
            <w:pPr>
              <w:ind w:left="240"/>
              <w:spacing w:after="0"/>
              <w:rPr>
                <w:sz w:val="20"/>
                <w:szCs w:val="20"/>
                <w:color w:val="auto"/>
              </w:rPr>
            </w:pPr>
            <w:r>
              <w:rPr>
                <w:rFonts w:ascii="Arial" w:cs="Arial" w:eastAsia="Arial" w:hAnsi="Arial"/>
                <w:sz w:val="18"/>
                <w:szCs w:val="18"/>
                <w:color w:val="auto"/>
              </w:rPr>
              <w:t>Total Company shareholders’ equity</w:t>
            </w: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60" w:type="dxa"/>
            <w:vAlign w:val="bottom"/>
            <w:shd w:val="clear" w:color="auto" w:fill="BFBFB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740" w:type="dxa"/>
            <w:vAlign w:val="bottom"/>
            <w:tcBorders>
              <w:right w:val="single" w:sz="8" w:color="BFBFBF"/>
            </w:tcBorders>
            <w:shd w:val="clear" w:color="auto" w:fill="000000"/>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vMerge w:val="continue"/>
            <w:shd w:val="clear" w:color="auto" w:fill="BFBFBF"/>
          </w:tcPr>
          <w:p>
            <w:pPr>
              <w:spacing w:after="0"/>
              <w:rPr>
                <w:sz w:val="19"/>
                <w:szCs w:val="19"/>
                <w:color w:val="auto"/>
              </w:rPr>
            </w:pPr>
          </w:p>
        </w:tc>
        <w:tc>
          <w:tcPr>
            <w:tcW w:w="17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605,276</w:t>
            </w:r>
          </w:p>
        </w:tc>
        <w:tc>
          <w:tcPr>
            <w:tcW w:w="120" w:type="dxa"/>
            <w:vAlign w:val="bottom"/>
            <w:shd w:val="clear" w:color="auto" w:fill="BFBFBF"/>
          </w:tcPr>
          <w:p>
            <w:pPr>
              <w:spacing w:after="0"/>
              <w:rPr>
                <w:sz w:val="19"/>
                <w:szCs w:val="19"/>
                <w:color w:val="auto"/>
              </w:rPr>
            </w:pPr>
          </w:p>
        </w:tc>
        <w:tc>
          <w:tcPr>
            <w:tcW w:w="560" w:type="dxa"/>
            <w:vAlign w:val="bottom"/>
            <w:shd w:val="clear" w:color="auto" w:fill="BFBFBF"/>
          </w:tcPr>
          <w:p>
            <w:pPr>
              <w:spacing w:after="0"/>
              <w:rPr>
                <w:sz w:val="19"/>
                <w:szCs w:val="19"/>
                <w:color w:val="auto"/>
              </w:rPr>
            </w:pPr>
          </w:p>
        </w:tc>
        <w:tc>
          <w:tcPr>
            <w:tcW w:w="180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3,013</w:t>
            </w:r>
          </w:p>
        </w:tc>
        <w:tc>
          <w:tcPr>
            <w:tcW w:w="580" w:type="dxa"/>
            <w:vAlign w:val="bottom"/>
            <w:shd w:val="clear" w:color="auto" w:fill="BFBFBF"/>
          </w:tcPr>
          <w:p>
            <w:pPr>
              <w:spacing w:after="0"/>
              <w:rPr>
                <w:sz w:val="19"/>
                <w:szCs w:val="19"/>
                <w:color w:val="auto"/>
              </w:rPr>
            </w:pPr>
          </w:p>
        </w:tc>
        <w:tc>
          <w:tcPr>
            <w:tcW w:w="1740" w:type="dxa"/>
            <w:vAlign w:val="bottom"/>
            <w:tcBorders>
              <w:right w:val="single" w:sz="8" w:color="BFBFBF"/>
            </w:tcBorders>
            <w:shd w:val="clear" w:color="auto" w:fill="BFBFBF"/>
          </w:tcPr>
          <w:p>
            <w:pPr>
              <w:jc w:val="right"/>
              <w:spacing w:after="0"/>
              <w:rPr>
                <w:sz w:val="20"/>
                <w:szCs w:val="20"/>
                <w:color w:val="auto"/>
              </w:rPr>
            </w:pPr>
            <w:r>
              <w:rPr>
                <w:rFonts w:ascii="Arial" w:cs="Arial" w:eastAsia="Arial" w:hAnsi="Arial"/>
                <w:sz w:val="18"/>
                <w:szCs w:val="18"/>
                <w:color w:val="auto"/>
              </w:rPr>
              <w:t>608,289</w:t>
            </w:r>
          </w:p>
        </w:tc>
        <w:tc>
          <w:tcPr>
            <w:tcW w:w="80" w:type="dxa"/>
            <w:vAlign w:val="bottom"/>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3,366</w:t>
            </w:r>
          </w:p>
        </w:tc>
        <w:tc>
          <w:tcPr>
            <w:tcW w:w="56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5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BFBFBF"/>
            </w:tcBorders>
            <w:shd w:val="clear" w:color="auto" w:fill="BFBFBF"/>
          </w:tcPr>
          <w:p>
            <w:pPr>
              <w:ind w:left="100"/>
              <w:spacing w:after="0" w:line="196" w:lineRule="exact"/>
              <w:rPr>
                <w:sz w:val="20"/>
                <w:szCs w:val="20"/>
                <w:color w:val="auto"/>
              </w:rPr>
            </w:pPr>
            <w:r>
              <w:rPr>
                <w:rFonts w:ascii="Arial" w:cs="Arial" w:eastAsia="Arial" w:hAnsi="Arial"/>
                <w:sz w:val="18"/>
                <w:szCs w:val="18"/>
                <w:color w:val="auto"/>
              </w:rPr>
              <w:t>Total equity</w:t>
            </w:r>
          </w:p>
        </w:tc>
        <w:tc>
          <w:tcPr>
            <w:tcW w:w="17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608,642</w:t>
            </w:r>
          </w:p>
        </w:tc>
        <w:tc>
          <w:tcPr>
            <w:tcW w:w="120" w:type="dxa"/>
            <w:vAlign w:val="bottom"/>
            <w:tcBorders>
              <w:top w:val="single" w:sz="8" w:color="BFBFBF"/>
            </w:tcBorders>
            <w:shd w:val="clear" w:color="auto" w:fill="BFBFBF"/>
          </w:tcPr>
          <w:p>
            <w:pPr>
              <w:spacing w:after="0"/>
              <w:rPr>
                <w:sz w:val="17"/>
                <w:szCs w:val="17"/>
                <w:color w:val="auto"/>
              </w:rPr>
            </w:pPr>
          </w:p>
        </w:tc>
        <w:tc>
          <w:tcPr>
            <w:tcW w:w="560" w:type="dxa"/>
            <w:vAlign w:val="bottom"/>
            <w:tcBorders>
              <w:top w:val="single" w:sz="8" w:color="BFBFBF"/>
            </w:tcBorders>
            <w:shd w:val="clear" w:color="auto" w:fill="BFBFBF"/>
          </w:tcPr>
          <w:p>
            <w:pPr>
              <w:spacing w:after="0"/>
              <w:rPr>
                <w:sz w:val="17"/>
                <w:szCs w:val="17"/>
                <w:color w:val="auto"/>
              </w:rPr>
            </w:pP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3,229</w:t>
            </w:r>
          </w:p>
        </w:tc>
        <w:tc>
          <w:tcPr>
            <w:tcW w:w="100" w:type="dxa"/>
            <w:vAlign w:val="bottom"/>
            <w:tcBorders>
              <w:top w:val="single" w:sz="8" w:color="BFBFBF"/>
            </w:tcBorders>
            <w:shd w:val="clear" w:color="auto" w:fill="BFBFBF"/>
          </w:tcPr>
          <w:p>
            <w:pPr>
              <w:spacing w:after="0"/>
              <w:rPr>
                <w:sz w:val="17"/>
                <w:szCs w:val="17"/>
                <w:color w:val="auto"/>
              </w:rPr>
            </w:pPr>
          </w:p>
        </w:tc>
        <w:tc>
          <w:tcPr>
            <w:tcW w:w="580" w:type="dxa"/>
            <w:vAlign w:val="bottom"/>
            <w:tcBorders>
              <w:top w:val="single" w:sz="8" w:color="BFBFBF"/>
            </w:tcBorders>
            <w:shd w:val="clear" w:color="auto" w:fill="BFBFBF"/>
          </w:tcPr>
          <w:p>
            <w:pPr>
              <w:spacing w:after="0"/>
              <w:rPr>
                <w:sz w:val="17"/>
                <w:szCs w:val="17"/>
                <w:color w:val="auto"/>
              </w:rPr>
            </w:pPr>
          </w:p>
        </w:tc>
        <w:tc>
          <w:tcPr>
            <w:tcW w:w="1740" w:type="dxa"/>
            <w:vAlign w:val="bottom"/>
            <w:tcBorders>
              <w:top w:val="single" w:sz="8" w:color="auto"/>
              <w:bottom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611,871</w:t>
            </w: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24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$1,448,326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 OF CASH FLOWS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color w:val="auto"/>
              </w:rPr>
              <w:t>As</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As</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adjusted</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adjusted</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for the</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7"/>
              </w:rPr>
              <w:t>for the</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Three</w:t>
            </w:r>
          </w:p>
        </w:tc>
        <w:tc>
          <w:tcPr>
            <w:tcW w:w="2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Nine</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As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rPr>
              <w:t>Months</w:t>
            </w:r>
          </w:p>
        </w:tc>
        <w:tc>
          <w:tcPr>
            <w:tcW w:w="268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As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8"/>
              </w:rPr>
              <w:t>reported</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Ended</w:t>
            </w:r>
          </w:p>
        </w:tc>
        <w:tc>
          <w:tcPr>
            <w:tcW w:w="2680" w:type="dxa"/>
            <w:vAlign w:val="bottom"/>
          </w:tcPr>
          <w:p>
            <w:pPr>
              <w:spacing w:after="0"/>
              <w:rPr>
                <w:sz w:val="17"/>
                <w:szCs w:val="17"/>
                <w:color w:val="auto"/>
              </w:rPr>
            </w:pPr>
          </w:p>
        </w:tc>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8"/>
              </w:rPr>
              <w:t>reported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7"/>
              </w:rPr>
              <w:t>for the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September 30,</w:t>
            </w:r>
          </w:p>
        </w:tc>
        <w:tc>
          <w:tcPr>
            <w:tcW w:w="2680" w:type="dxa"/>
            <w:vAlign w:val="bottom"/>
          </w:tcPr>
          <w:p>
            <w:pPr>
              <w:spacing w:after="0"/>
              <w:rPr>
                <w:sz w:val="17"/>
                <w:szCs w:val="17"/>
                <w:color w:val="auto"/>
              </w:rPr>
            </w:pPr>
          </w:p>
        </w:tc>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7"/>
              </w:rPr>
              <w:t>for the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7"/>
              </w:rPr>
              <w:t>Three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2018 to</w:t>
            </w:r>
          </w:p>
        </w:tc>
        <w:tc>
          <w:tcPr>
            <w:tcW w:w="2680" w:type="dxa"/>
            <w:vAlign w:val="bottom"/>
          </w:tcPr>
          <w:p>
            <w:pPr>
              <w:spacing w:after="0"/>
              <w:rPr>
                <w:sz w:val="17"/>
                <w:szCs w:val="17"/>
                <w:color w:val="auto"/>
              </w:rPr>
            </w:pPr>
          </w:p>
        </w:tc>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Nine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2018 to</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Months</w:t>
            </w:r>
          </w:p>
        </w:tc>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Adjustments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exclude</w:t>
            </w:r>
          </w:p>
        </w:tc>
        <w:tc>
          <w:tcPr>
            <w:tcW w:w="268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Months</w:t>
            </w:r>
          </w:p>
        </w:tc>
        <w:tc>
          <w:tcPr>
            <w:tcW w:w="14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Adjustments</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exclude</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Ended</w:t>
            </w:r>
          </w:p>
        </w:tc>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to reverse</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rPr>
              <w:t>adoption</w:t>
            </w:r>
          </w:p>
        </w:tc>
        <w:tc>
          <w:tcPr>
            <w:tcW w:w="2680" w:type="dxa"/>
            <w:vAlign w:val="bottom"/>
          </w:tcPr>
          <w:p>
            <w:pPr>
              <w:spacing w:after="0"/>
              <w:rPr>
                <w:sz w:val="17"/>
                <w:szCs w:val="17"/>
                <w:color w:val="auto"/>
              </w:rPr>
            </w:pPr>
          </w:p>
        </w:tc>
        <w:tc>
          <w:tcPr>
            <w:tcW w:w="14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Ended</w:t>
            </w:r>
          </w:p>
        </w:tc>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to reverse</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adoption</w:t>
            </w: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September 30,</w:t>
            </w:r>
          </w:p>
        </w:tc>
        <w:tc>
          <w:tcPr>
            <w:tcW w:w="15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effects of</w:t>
            </w: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of ASC</w:t>
            </w:r>
          </w:p>
        </w:tc>
        <w:tc>
          <w:tcPr>
            <w:tcW w:w="2680" w:type="dxa"/>
            <w:vAlign w:val="bottom"/>
          </w:tcPr>
          <w:p>
            <w:pPr>
              <w:spacing w:after="0"/>
              <w:rPr>
                <w:sz w:val="17"/>
                <w:szCs w:val="17"/>
                <w:color w:val="auto"/>
              </w:rPr>
            </w:pPr>
          </w:p>
        </w:tc>
        <w:tc>
          <w:tcPr>
            <w:tcW w:w="146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September 30,</w:t>
            </w:r>
          </w:p>
        </w:tc>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effects of</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of ASC</w:t>
            </w:r>
          </w:p>
        </w:tc>
        <w:tc>
          <w:tcPr>
            <w:tcW w:w="0" w:type="dxa"/>
            <w:vAlign w:val="bottom"/>
          </w:tcPr>
          <w:p>
            <w:pPr>
              <w:spacing w:after="0"/>
              <w:rPr>
                <w:sz w:val="1"/>
                <w:szCs w:val="1"/>
                <w:color w:val="auto"/>
              </w:rPr>
            </w:pPr>
          </w:p>
        </w:tc>
      </w:tr>
      <w:tr>
        <w:trPr>
          <w:trHeight w:val="217"/>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ASC 606</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606</w:t>
            </w:r>
          </w:p>
        </w:tc>
        <w:tc>
          <w:tcPr>
            <w:tcW w:w="2680" w:type="dxa"/>
            <w:vAlign w:val="bottom"/>
            <w:vMerge w:val="restart"/>
          </w:tcPr>
          <w:p>
            <w:pPr>
              <w:ind w:left="60"/>
              <w:spacing w:after="0"/>
              <w:rPr>
                <w:sz w:val="20"/>
                <w:szCs w:val="20"/>
                <w:color w:val="auto"/>
              </w:rPr>
            </w:pPr>
            <w:r>
              <w:rPr>
                <w:rFonts w:ascii="Arial" w:cs="Arial" w:eastAsia="Arial" w:hAnsi="Arial"/>
                <w:sz w:val="18"/>
                <w:szCs w:val="18"/>
                <w:color w:val="auto"/>
              </w:rPr>
              <w:t>OPERATING ACTIVITIES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ASC 606</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606</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$28,484</w:t>
            </w:r>
          </w:p>
        </w:tc>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($767)</w:t>
            </w: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$27,717</w:t>
            </w:r>
          </w:p>
        </w:tc>
        <w:tc>
          <w:tcPr>
            <w:tcW w:w="268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$ 69,272</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($3,416)</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$65,856</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980" w:type="dxa"/>
            <w:vAlign w:val="bottom"/>
            <w:gridSpan w:val="6"/>
          </w:tcPr>
          <w:p>
            <w:pPr>
              <w:ind w:left="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17,436</w:t>
            </w:r>
          </w:p>
        </w:tc>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17,436</w:t>
            </w:r>
          </w:p>
        </w:tc>
        <w:tc>
          <w:tcPr>
            <w:tcW w:w="26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52,852</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52,852</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2,366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2,366</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7,571</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160"/>
              <w:spacing w:after="0" w:line="201" w:lineRule="exact"/>
              <w:rPr>
                <w:sz w:val="20"/>
                <w:szCs w:val="20"/>
                <w:color w:val="auto"/>
              </w:rPr>
            </w:pPr>
            <w:r>
              <w:rPr>
                <w:rFonts w:ascii="Arial" w:cs="Arial" w:eastAsia="Arial" w:hAnsi="Arial"/>
                <w:sz w:val="18"/>
                <w:szCs w:val="18"/>
                <w:color w:val="auto"/>
              </w:rPr>
              <w:t>Change in other noncurrent</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(5,102)</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(5,102)</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liabilities</w:t>
            </w:r>
          </w:p>
        </w:tc>
        <w:tc>
          <w:tcPr>
            <w:tcW w:w="146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(6,333)</w:t>
            </w: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160"/>
              <w:spacing w:after="0" w:line="201" w:lineRule="exact"/>
              <w:rPr>
                <w:sz w:val="20"/>
                <w:szCs w:val="20"/>
                <w:color w:val="auto"/>
              </w:rPr>
            </w:pPr>
            <w:r>
              <w:rPr>
                <w:rFonts w:ascii="Arial" w:cs="Arial" w:eastAsia="Arial" w:hAnsi="Arial"/>
                <w:sz w:val="18"/>
                <w:szCs w:val="18"/>
                <w:color w:val="auto"/>
              </w:rPr>
              <w:t>Change in deferred taxes and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1,331</w:t>
            </w:r>
          </w:p>
        </w:tc>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(431)</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900</w:t>
            </w:r>
          </w:p>
        </w:tc>
        <w:tc>
          <w:tcPr>
            <w:tcW w:w="2680" w:type="dxa"/>
            <w:vAlign w:val="bottom"/>
          </w:tcPr>
          <w:p>
            <w:pPr>
              <w:ind w:left="160"/>
              <w:spacing w:after="0" w:line="203" w:lineRule="exact"/>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(5,571)</w:t>
            </w: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(1,539)</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160"/>
              <w:spacing w:after="0" w:line="201" w:lineRule="exact"/>
              <w:rPr>
                <w:sz w:val="20"/>
                <w:szCs w:val="20"/>
                <w:color w:val="auto"/>
              </w:rPr>
            </w:pPr>
            <w:r>
              <w:rPr>
                <w:rFonts w:ascii="Arial" w:cs="Arial" w:eastAsia="Arial" w:hAnsi="Arial"/>
                <w:sz w:val="18"/>
                <w:szCs w:val="18"/>
                <w:color w:val="auto"/>
              </w:rPr>
              <w:t>Provision for write-off of</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2,131</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2,131</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property, plant and equipment</w:t>
            </w:r>
          </w:p>
        </w:tc>
        <w:tc>
          <w:tcPr>
            <w:tcW w:w="146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3,255</w:t>
            </w: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Non-cash interest expense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160"/>
              <w:spacing w:after="0" w:line="201" w:lineRule="exact"/>
              <w:rPr>
                <w:sz w:val="20"/>
                <w:szCs w:val="20"/>
                <w:color w:val="auto"/>
              </w:rPr>
            </w:pPr>
            <w:r>
              <w:rPr>
                <w:rFonts w:ascii="Arial" w:cs="Arial" w:eastAsia="Arial" w:hAnsi="Arial"/>
                <w:sz w:val="18"/>
                <w:szCs w:val="18"/>
                <w:color w:val="auto"/>
              </w:rPr>
              <w:t>Compensation and benefits</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paid or payable in Class A</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543</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543</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1,879</w:t>
            </w: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160"/>
              <w:spacing w:after="0" w:line="201" w:lineRule="exact"/>
              <w:rPr>
                <w:sz w:val="20"/>
                <w:szCs w:val="20"/>
                <w:color w:val="auto"/>
              </w:rPr>
            </w:pPr>
            <w:r>
              <w:rPr>
                <w:rFonts w:ascii="Arial" w:cs="Arial" w:eastAsia="Arial" w:hAnsi="Arial"/>
                <w:sz w:val="18"/>
                <w:szCs w:val="18"/>
                <w:color w:val="auto"/>
              </w:rPr>
              <w:t>Fair value adjustment on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2680" w:type="dxa"/>
            <w:vAlign w:val="bottom"/>
          </w:tcPr>
          <w:p>
            <w:pPr>
              <w:ind w:left="160"/>
              <w:spacing w:after="0" w:line="203" w:lineRule="exact"/>
              <w:rPr>
                <w:sz w:val="20"/>
                <w:szCs w:val="20"/>
                <w:color w:val="auto"/>
              </w:rPr>
            </w:pPr>
            <w:r>
              <w:rPr>
                <w:rFonts w:ascii="Arial" w:cs="Arial" w:eastAsia="Arial" w:hAnsi="Arial"/>
                <w:sz w:val="18"/>
                <w:szCs w:val="18"/>
                <w:color w:val="auto"/>
              </w:rPr>
              <w:t>foreign currency option</w:t>
            </w:r>
          </w:p>
        </w:tc>
        <w:tc>
          <w:tcPr>
            <w:tcW w:w="14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61</w:t>
            </w: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160"/>
              <w:spacing w:after="0" w:line="201" w:lineRule="exact"/>
              <w:rPr>
                <w:sz w:val="20"/>
                <w:szCs w:val="20"/>
                <w:color w:val="auto"/>
              </w:rPr>
            </w:pPr>
            <w:r>
              <w:rPr>
                <w:rFonts w:ascii="Arial" w:cs="Arial" w:eastAsia="Arial" w:hAnsi="Arial"/>
                <w:sz w:val="18"/>
                <w:szCs w:val="18"/>
                <w:color w:val="auto"/>
              </w:rPr>
              <w:t>Write-off of intangible assets in</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a discontinued product line</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Changes in operating assets and liabilities that provided/(used) cash:</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(4,177)</w:t>
            </w:r>
          </w:p>
        </w:tc>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1,348</w:t>
            </w: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(2,829)</w:t>
            </w:r>
          </w:p>
        </w:tc>
        <w:tc>
          <w:tcPr>
            <w:tcW w:w="26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(48,547)</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(2,379)</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(50,926)</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3,040</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Contract assets</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(8,721)</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8,721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(2,228)</w:t>
            </w:r>
          </w:p>
        </w:tc>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2,902</w:t>
            </w: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674</w:t>
            </w:r>
          </w:p>
        </w:tc>
        <w:tc>
          <w:tcPr>
            <w:tcW w:w="26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Inventories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(12,843)</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(1,320)</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160"/>
              <w:spacing w:after="0" w:line="201" w:lineRule="exact"/>
              <w:rPr>
                <w:sz w:val="20"/>
                <w:szCs w:val="20"/>
                <w:color w:val="auto"/>
              </w:rPr>
            </w:pPr>
            <w:r>
              <w:rPr>
                <w:rFonts w:ascii="Arial" w:cs="Arial" w:eastAsia="Arial" w:hAnsi="Arial"/>
                <w:sz w:val="18"/>
                <w:szCs w:val="18"/>
                <w:color w:val="auto"/>
              </w:rPr>
              <w:t>Prepaid expenses and other</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103</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2680" w:type="dxa"/>
            <w:vAlign w:val="bottom"/>
          </w:tcPr>
          <w:p>
            <w:pPr>
              <w:ind w:left="160"/>
              <w:spacing w:after="0" w:line="203" w:lineRule="exact"/>
              <w:rPr>
                <w:sz w:val="20"/>
                <w:szCs w:val="20"/>
                <w:color w:val="auto"/>
              </w:rPr>
            </w:pPr>
            <w:r>
              <w:rPr>
                <w:rFonts w:ascii="Arial" w:cs="Arial" w:eastAsia="Arial" w:hAnsi="Arial"/>
                <w:sz w:val="18"/>
                <w:szCs w:val="18"/>
                <w:color w:val="auto"/>
              </w:rPr>
              <w:t>current assets</w:t>
            </w:r>
          </w:p>
        </w:tc>
        <w:tc>
          <w:tcPr>
            <w:tcW w:w="14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(5,117)</w:t>
            </w: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160"/>
              <w:spacing w:after="0" w:line="201" w:lineRule="exact"/>
              <w:rPr>
                <w:sz w:val="20"/>
                <w:szCs w:val="20"/>
                <w:color w:val="auto"/>
              </w:rPr>
            </w:pPr>
            <w:r>
              <w:rPr>
                <w:rFonts w:ascii="Arial" w:cs="Arial" w:eastAsia="Arial" w:hAnsi="Arial"/>
                <w:sz w:val="18"/>
                <w:szCs w:val="18"/>
                <w:color w:val="auto"/>
              </w:rPr>
              <w:t>Income taxes prepaid and</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(551)</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(551)</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receivable</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(454)</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(2,728)</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(2,728)</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6,154</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7,565</w:t>
            </w:r>
          </w:p>
        </w:tc>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7,553</w:t>
            </w:r>
          </w:p>
        </w:tc>
        <w:tc>
          <w:tcPr>
            <w:tcW w:w="26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12,233</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6,766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6,766</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13,355</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13,355</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(4,676)</w:t>
            </w:r>
          </w:p>
        </w:tc>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(4,676)</w:t>
            </w:r>
          </w:p>
        </w:tc>
        <w:tc>
          <w:tcPr>
            <w:tcW w:w="26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Noncurrent receivables</w:t>
            </w:r>
          </w:p>
        </w:tc>
        <w:tc>
          <w:tcPr>
            <w:tcW w:w="14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(8,846)</w:t>
            </w:r>
          </w:p>
        </w:tc>
        <w:tc>
          <w:tcPr>
            <w:tcW w:w="14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(5,728)</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(5,728)</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Other, net</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(9,049)</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182"/>
        </w:trPr>
        <w:tc>
          <w:tcPr>
            <w:tcW w:w="138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38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440" w:type="dxa"/>
            <w:vAlign w:val="bottom"/>
            <w:tcBorders>
              <w:top w:val="single" w:sz="8" w:color="auto"/>
              <w:right w:val="single" w:sz="8" w:color="BFBFBF"/>
            </w:tcBorders>
            <w:shd w:val="clear" w:color="auto" w:fill="BFBFBF"/>
          </w:tcPr>
          <w:p>
            <w:pPr>
              <w:spacing w:after="0"/>
              <w:rPr>
                <w:sz w:val="15"/>
                <w:szCs w:val="15"/>
                <w:color w:val="auto"/>
              </w:rPr>
            </w:pPr>
          </w:p>
        </w:tc>
        <w:tc>
          <w:tcPr>
            <w:tcW w:w="2680" w:type="dxa"/>
            <w:vAlign w:val="bottom"/>
            <w:tcBorders>
              <w:top w:val="single" w:sz="8" w:color="BFBFBF"/>
            </w:tcBorders>
            <w:shd w:val="clear" w:color="auto" w:fill="BFBFBF"/>
          </w:tcPr>
          <w:p>
            <w:pPr>
              <w:ind w:left="160"/>
              <w:spacing w:after="0" w:line="182" w:lineRule="exact"/>
              <w:rPr>
                <w:sz w:val="20"/>
                <w:szCs w:val="20"/>
                <w:color w:val="auto"/>
              </w:rPr>
            </w:pPr>
            <w:r>
              <w:rPr>
                <w:rFonts w:ascii="Arial" w:cs="Arial" w:eastAsia="Arial" w:hAnsi="Arial"/>
                <w:sz w:val="18"/>
                <w:szCs w:val="18"/>
                <w:color w:val="auto"/>
              </w:rPr>
              <w:t>Net cash provided by operating</w:t>
            </w:r>
          </w:p>
        </w:tc>
        <w:tc>
          <w:tcPr>
            <w:tcW w:w="136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44,715</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44,715</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activities</w:t>
            </w:r>
          </w:p>
        </w:tc>
        <w:tc>
          <w:tcPr>
            <w:tcW w:w="146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61,455</w:t>
            </w: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61,455</w:t>
            </w:r>
          </w:p>
        </w:tc>
        <w:tc>
          <w:tcPr>
            <w:tcW w:w="0" w:type="dxa"/>
            <w:vAlign w:val="bottom"/>
          </w:tcPr>
          <w:p>
            <w:pPr>
              <w:spacing w:after="0"/>
              <w:rPr>
                <w:sz w:val="1"/>
                <w:szCs w:val="1"/>
                <w:color w:val="auto"/>
              </w:rPr>
            </w:pPr>
          </w:p>
        </w:tc>
      </w:tr>
      <w:tr>
        <w:trPr>
          <w:trHeight w:val="182"/>
        </w:trPr>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680" w:type="dxa"/>
            <w:vAlign w:val="bottom"/>
          </w:tcPr>
          <w:p>
            <w:pPr>
              <w:ind w:left="160"/>
              <w:spacing w:after="0" w:line="182" w:lineRule="exact"/>
              <w:rPr>
                <w:sz w:val="20"/>
                <w:szCs w:val="20"/>
                <w:color w:val="auto"/>
              </w:rPr>
            </w:pPr>
            <w:r>
              <w:rPr>
                <w:rFonts w:ascii="Arial" w:cs="Arial" w:eastAsia="Arial" w:hAnsi="Arial"/>
                <w:sz w:val="18"/>
                <w:szCs w:val="18"/>
                <w:color w:val="auto"/>
              </w:rPr>
              <w:t>Net cash used in investing</w:t>
            </w: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(21,519)</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(21,519)</w:t>
            </w:r>
          </w:p>
        </w:tc>
        <w:tc>
          <w:tcPr>
            <w:tcW w:w="2680" w:type="dxa"/>
            <w:vAlign w:val="bottom"/>
          </w:tcPr>
          <w:p>
            <w:pPr>
              <w:ind w:left="160"/>
              <w:spacing w:after="0" w:line="203" w:lineRule="exact"/>
              <w:rPr>
                <w:sz w:val="20"/>
                <w:szCs w:val="20"/>
                <w:color w:val="auto"/>
              </w:rPr>
            </w:pPr>
            <w:r>
              <w:rPr>
                <w:rFonts w:ascii="Arial" w:cs="Arial" w:eastAsia="Arial" w:hAnsi="Arial"/>
                <w:sz w:val="18"/>
                <w:szCs w:val="18"/>
                <w:color w:val="auto"/>
              </w:rPr>
              <w:t>activities</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(60,694)</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(60,694)</w:t>
            </w:r>
          </w:p>
        </w:tc>
        <w:tc>
          <w:tcPr>
            <w:tcW w:w="0" w:type="dxa"/>
            <w:vAlign w:val="bottom"/>
          </w:tcPr>
          <w:p>
            <w:pPr>
              <w:spacing w:after="0"/>
              <w:rPr>
                <w:sz w:val="1"/>
                <w:szCs w:val="1"/>
                <w:color w:val="auto"/>
              </w:rPr>
            </w:pPr>
          </w:p>
        </w:tc>
      </w:tr>
      <w:tr>
        <w:trPr>
          <w:trHeight w:val="182"/>
        </w:trPr>
        <w:tc>
          <w:tcPr>
            <w:tcW w:w="138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38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440" w:type="dxa"/>
            <w:vAlign w:val="bottom"/>
            <w:tcBorders>
              <w:top w:val="single" w:sz="8" w:color="auto"/>
              <w:right w:val="single" w:sz="8" w:color="BFBFBF"/>
            </w:tcBorders>
            <w:shd w:val="clear" w:color="auto" w:fill="BFBFBF"/>
          </w:tcPr>
          <w:p>
            <w:pPr>
              <w:spacing w:after="0"/>
              <w:rPr>
                <w:sz w:val="15"/>
                <w:szCs w:val="15"/>
                <w:color w:val="auto"/>
              </w:rPr>
            </w:pPr>
          </w:p>
        </w:tc>
        <w:tc>
          <w:tcPr>
            <w:tcW w:w="2680" w:type="dxa"/>
            <w:vAlign w:val="bottom"/>
            <w:tcBorders>
              <w:top w:val="single" w:sz="8" w:color="BFBFBF"/>
            </w:tcBorders>
            <w:shd w:val="clear" w:color="auto" w:fill="BFBFBF"/>
          </w:tcPr>
          <w:p>
            <w:pPr>
              <w:ind w:left="160"/>
              <w:spacing w:after="0" w:line="182" w:lineRule="exact"/>
              <w:rPr>
                <w:sz w:val="20"/>
                <w:szCs w:val="20"/>
                <w:color w:val="auto"/>
              </w:rPr>
            </w:pPr>
            <w:r>
              <w:rPr>
                <w:rFonts w:ascii="Arial" w:cs="Arial" w:eastAsia="Arial" w:hAnsi="Arial"/>
                <w:sz w:val="18"/>
                <w:szCs w:val="18"/>
                <w:color w:val="auto"/>
              </w:rPr>
              <w:t>Net cash used in financing</w:t>
            </w:r>
          </w:p>
        </w:tc>
        <w:tc>
          <w:tcPr>
            <w:tcW w:w="136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360" w:type="dxa"/>
            <w:vAlign w:val="bottom"/>
            <w:tcBorders>
              <w:top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(12,904)</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(12,904)</w:t>
            </w:r>
          </w:p>
        </w:tc>
        <w:tc>
          <w:tcPr>
            <w:tcW w:w="26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activities</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(16,474)</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398"/>
        </w:trPr>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Effect of exchange rate changes</w:t>
            </w: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(4,443)</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(4,443)</w:t>
            </w: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on cash and cash equivalents</w:t>
            </w:r>
          </w:p>
        </w:tc>
        <w:tc>
          <w:tcPr>
            <w:tcW w:w="14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(7,421)</w:t>
            </w: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8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spacing w:after="0"/>
              <w:rPr>
                <w:sz w:val="17"/>
                <w:szCs w:val="17"/>
                <w:color w:val="auto"/>
              </w:rPr>
            </w:pPr>
          </w:p>
        </w:tc>
        <w:tc>
          <w:tcPr>
            <w:tcW w:w="2680" w:type="dxa"/>
            <w:vAlign w:val="bottom"/>
            <w:shd w:val="clear" w:color="auto" w:fill="BFBFBF"/>
          </w:tcPr>
          <w:p>
            <w:pPr>
              <w:ind w:left="60"/>
              <w:spacing w:after="0" w:line="201" w:lineRule="exact"/>
              <w:rPr>
                <w:sz w:val="20"/>
                <w:szCs w:val="20"/>
                <w:color w:val="auto"/>
              </w:rPr>
            </w:pPr>
            <w:r>
              <w:rPr>
                <w:rFonts w:ascii="Arial" w:cs="Arial" w:eastAsia="Arial" w:hAnsi="Arial"/>
                <w:sz w:val="18"/>
                <w:szCs w:val="18"/>
                <w:color w:val="auto"/>
              </w:rPr>
              <w:t>(Decrease)/increase in cash and</w:t>
            </w:r>
          </w:p>
        </w:tc>
        <w:tc>
          <w:tcPr>
            <w:tcW w:w="13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5,849</w:t>
            </w:r>
          </w:p>
        </w:tc>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4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5,849</w:t>
            </w:r>
          </w:p>
        </w:tc>
        <w:tc>
          <w:tcPr>
            <w:tcW w:w="2680" w:type="dxa"/>
            <w:vAlign w:val="bottom"/>
            <w:shd w:val="clear" w:color="auto" w:fill="BFBFBF"/>
          </w:tcPr>
          <w:p>
            <w:pPr>
              <w:ind w:left="60"/>
              <w:spacing w:after="0" w:line="203" w:lineRule="exact"/>
              <w:rPr>
                <w:sz w:val="20"/>
                <w:szCs w:val="20"/>
                <w:color w:val="auto"/>
              </w:rPr>
            </w:pPr>
            <w:r>
              <w:rPr>
                <w:rFonts w:ascii="Arial" w:cs="Arial" w:eastAsia="Arial" w:hAnsi="Arial"/>
                <w:sz w:val="18"/>
                <w:szCs w:val="18"/>
                <w:color w:val="auto"/>
              </w:rPr>
              <w:t>cash equivalents</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(23,134)</w:t>
            </w:r>
          </w:p>
        </w:tc>
        <w:tc>
          <w:tcPr>
            <w:tcW w:w="10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Cash and cash equivalents at</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154,744</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154,744</w:t>
            </w:r>
          </w:p>
        </w:tc>
        <w:tc>
          <w:tcPr>
            <w:tcW w:w="2680" w:type="dxa"/>
            <w:vAlign w:val="bottom"/>
          </w:tcPr>
          <w:p>
            <w:pPr>
              <w:ind w:left="60"/>
              <w:spacing w:after="0" w:line="203" w:lineRule="exact"/>
              <w:rPr>
                <w:sz w:val="20"/>
                <w:szCs w:val="20"/>
                <w:color w:val="auto"/>
              </w:rPr>
            </w:pPr>
            <w:r>
              <w:rPr>
                <w:rFonts w:ascii="Arial" w:cs="Arial" w:eastAsia="Arial" w:hAnsi="Arial"/>
                <w:sz w:val="18"/>
                <w:szCs w:val="18"/>
                <w:color w:val="auto"/>
              </w:rPr>
              <w:t>beginning of period</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183,727</w:t>
            </w:r>
          </w:p>
        </w:tc>
        <w:tc>
          <w:tcPr>
            <w:tcW w:w="100" w:type="dxa"/>
            <w:vAlign w:val="bottom"/>
          </w:tcPr>
          <w:p>
            <w:pPr>
              <w:spacing w:after="0"/>
              <w:rPr>
                <w:sz w:val="17"/>
                <w:szCs w:val="17"/>
                <w:color w:val="auto"/>
              </w:rPr>
            </w:pPr>
          </w:p>
        </w:tc>
        <w:tc>
          <w:tcPr>
            <w:tcW w:w="14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440" w:type="dxa"/>
            <w:vAlign w:val="bottom"/>
            <w:tcBorders>
              <w:right w:val="single" w:sz="8" w:color="BFBFBF"/>
            </w:tcBorders>
            <w:shd w:val="clear" w:color="auto" w:fill="000000"/>
          </w:tcPr>
          <w:p>
            <w:pPr>
              <w:spacing w:after="0" w:line="20" w:lineRule="exact"/>
              <w:rPr>
                <w:sz w:val="1"/>
                <w:szCs w:val="1"/>
                <w:color w:val="auto"/>
              </w:rPr>
            </w:pPr>
          </w:p>
        </w:tc>
        <w:tc>
          <w:tcPr>
            <w:tcW w:w="2680" w:type="dxa"/>
            <w:vAlign w:val="bottom"/>
            <w:vMerge w:val="restart"/>
            <w:shd w:val="clear" w:color="auto" w:fill="BFBFBF"/>
          </w:tcPr>
          <w:p>
            <w:pPr>
              <w:ind w:left="60"/>
              <w:spacing w:after="0" w:line="201" w:lineRule="exact"/>
              <w:rPr>
                <w:sz w:val="20"/>
                <w:szCs w:val="20"/>
                <w:color w:val="auto"/>
              </w:rPr>
            </w:pPr>
            <w:r>
              <w:rPr>
                <w:rFonts w:ascii="Arial" w:cs="Arial" w:eastAsia="Arial" w:hAnsi="Arial"/>
                <w:sz w:val="18"/>
                <w:szCs w:val="18"/>
                <w:color w:val="auto"/>
              </w:rPr>
              <w:t>Cash and cash equivalents at</w:t>
            </w: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00" w:type="dxa"/>
            <w:vAlign w:val="bottom"/>
            <w:gridSpan w:val="2"/>
            <w:vMerge w:val="restart"/>
            <w:shd w:val="clear" w:color="auto" w:fill="BFBFBF"/>
          </w:tcPr>
          <w:p>
            <w:pPr>
              <w:jc w:val="right"/>
              <w:ind w:right="120"/>
              <w:spacing w:after="0"/>
              <w:rPr>
                <w:sz w:val="20"/>
                <w:szCs w:val="20"/>
                <w:color w:val="auto"/>
              </w:rPr>
            </w:pPr>
            <w:r>
              <w:rPr>
                <w:rFonts w:ascii="Arial" w:cs="Arial" w:eastAsia="Arial" w:hAnsi="Arial"/>
                <w:sz w:val="18"/>
                <w:szCs w:val="18"/>
                <w:color w:val="auto"/>
              </w:rPr>
              <w:t>$160,593</w:t>
            </w:r>
          </w:p>
        </w:tc>
        <w:tc>
          <w:tcPr>
            <w:tcW w:w="1500" w:type="dxa"/>
            <w:vAlign w:val="bottom"/>
            <w:gridSpan w:val="2"/>
            <w:vMerge w:val="restart"/>
            <w:shd w:val="clear" w:color="auto" w:fill="BFBFB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Borders>
              <w:right w:val="single" w:sz="8" w:color="BFBFBF"/>
            </w:tcBorders>
            <w:vMerge w:val="restart"/>
            <w:shd w:val="clear" w:color="auto" w:fill="BFBFBF"/>
          </w:tcPr>
          <w:p>
            <w:pPr>
              <w:jc w:val="right"/>
              <w:spacing w:after="0"/>
              <w:rPr>
                <w:sz w:val="20"/>
                <w:szCs w:val="20"/>
                <w:color w:val="auto"/>
              </w:rPr>
            </w:pPr>
            <w:r>
              <w:rPr>
                <w:rFonts w:ascii="Arial" w:cs="Arial" w:eastAsia="Arial" w:hAnsi="Arial"/>
                <w:sz w:val="18"/>
                <w:szCs w:val="18"/>
                <w:color w:val="auto"/>
              </w:rPr>
              <w:t>$160,593</w:t>
            </w:r>
          </w:p>
        </w:tc>
        <w:tc>
          <w:tcPr>
            <w:tcW w:w="2680" w:type="dxa"/>
            <w:vAlign w:val="bottom"/>
            <w:vMerge w:val="continue"/>
            <w:shd w:val="clear" w:color="auto" w:fill="BFBFBF"/>
          </w:tcPr>
          <w:p>
            <w:pPr>
              <w:spacing w:after="0"/>
              <w:rPr>
                <w:sz w:val="15"/>
                <w:szCs w:val="15"/>
                <w:color w:val="auto"/>
              </w:rPr>
            </w:pPr>
          </w:p>
        </w:tc>
        <w:tc>
          <w:tcPr>
            <w:tcW w:w="1460" w:type="dxa"/>
            <w:vAlign w:val="bottom"/>
            <w:gridSpan w:val="2"/>
            <w:vMerge w:val="restart"/>
            <w:shd w:val="clear" w:color="auto" w:fill="BFBFBF"/>
          </w:tcPr>
          <w:p>
            <w:pPr>
              <w:jc w:val="right"/>
              <w:ind w:right="100"/>
              <w:spacing w:after="0"/>
              <w:rPr>
                <w:sz w:val="20"/>
                <w:szCs w:val="20"/>
                <w:color w:val="auto"/>
              </w:rPr>
            </w:pPr>
            <w:r>
              <w:rPr>
                <w:rFonts w:ascii="Arial" w:cs="Arial" w:eastAsia="Arial" w:hAnsi="Arial"/>
                <w:sz w:val="18"/>
                <w:szCs w:val="18"/>
                <w:color w:val="auto"/>
              </w:rPr>
              <w:t>$160,593</w:t>
            </w:r>
          </w:p>
        </w:tc>
        <w:tc>
          <w:tcPr>
            <w:tcW w:w="1480" w:type="dxa"/>
            <w:vAlign w:val="bottom"/>
            <w:gridSpan w:val="2"/>
            <w:vMerge w:val="restart"/>
            <w:shd w:val="clear" w:color="auto" w:fill="BFBFBF"/>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vMerge w:val="restart"/>
            <w:shd w:val="clear" w:color="auto" w:fill="BFBFBF"/>
          </w:tcPr>
          <w:p>
            <w:pPr>
              <w:jc w:val="right"/>
              <w:spacing w:after="0"/>
              <w:rPr>
                <w:sz w:val="20"/>
                <w:szCs w:val="20"/>
                <w:color w:val="auto"/>
              </w:rPr>
            </w:pPr>
            <w:r>
              <w:rPr>
                <w:rFonts w:ascii="Arial" w:cs="Arial" w:eastAsia="Arial" w:hAnsi="Arial"/>
                <w:sz w:val="18"/>
                <w:szCs w:val="18"/>
                <w:color w:val="auto"/>
              </w:rPr>
              <w:t>$160,593</w:t>
            </w:r>
          </w:p>
        </w:tc>
        <w:tc>
          <w:tcPr>
            <w:tcW w:w="0" w:type="dxa"/>
            <w:vAlign w:val="bottom"/>
          </w:tcPr>
          <w:p>
            <w:pPr>
              <w:spacing w:after="0"/>
              <w:rPr>
                <w:sz w:val="1"/>
                <w:szCs w:val="1"/>
                <w:color w:val="auto"/>
              </w:rPr>
            </w:pPr>
          </w:p>
        </w:tc>
      </w:tr>
      <w:tr>
        <w:trPr>
          <w:trHeight w:val="190"/>
        </w:trPr>
        <w:tc>
          <w:tcPr>
            <w:tcW w:w="1500" w:type="dxa"/>
            <w:vAlign w:val="bottom"/>
            <w:gridSpan w:val="2"/>
            <w:vMerge w:val="continue"/>
            <w:shd w:val="clear" w:color="auto" w:fill="BFBFBF"/>
          </w:tcPr>
          <w:p>
            <w:pPr>
              <w:spacing w:after="0"/>
              <w:rPr>
                <w:sz w:val="16"/>
                <w:szCs w:val="16"/>
                <w:color w:val="auto"/>
              </w:rPr>
            </w:pPr>
          </w:p>
        </w:tc>
        <w:tc>
          <w:tcPr>
            <w:tcW w:w="1500" w:type="dxa"/>
            <w:vAlign w:val="bottom"/>
            <w:gridSpan w:val="2"/>
            <w:vMerge w:val="continue"/>
            <w:shd w:val="clear" w:color="auto" w:fill="BFBFBF"/>
          </w:tcPr>
          <w:p>
            <w:pPr>
              <w:spacing w:after="0"/>
              <w:rPr>
                <w:sz w:val="16"/>
                <w:szCs w:val="16"/>
                <w:color w:val="auto"/>
              </w:rPr>
            </w:pPr>
          </w:p>
        </w:tc>
        <w:tc>
          <w:tcPr>
            <w:tcW w:w="1440" w:type="dxa"/>
            <w:vAlign w:val="bottom"/>
            <w:tcBorders>
              <w:right w:val="single" w:sz="8" w:color="BFBFBF"/>
            </w:tcBorders>
            <w:vMerge w:val="continue"/>
            <w:shd w:val="clear" w:color="auto" w:fill="BFBFBF"/>
          </w:tcPr>
          <w:p>
            <w:pPr>
              <w:spacing w:after="0"/>
              <w:rPr>
                <w:sz w:val="16"/>
                <w:szCs w:val="16"/>
                <w:color w:val="auto"/>
              </w:rPr>
            </w:pPr>
          </w:p>
        </w:tc>
        <w:tc>
          <w:tcPr>
            <w:tcW w:w="2680" w:type="dxa"/>
            <w:vAlign w:val="bottom"/>
            <w:shd w:val="clear" w:color="auto" w:fill="BFBFBF"/>
          </w:tcPr>
          <w:p>
            <w:pPr>
              <w:ind w:left="60"/>
              <w:spacing w:after="0" w:line="190" w:lineRule="exact"/>
              <w:rPr>
                <w:sz w:val="20"/>
                <w:szCs w:val="20"/>
                <w:color w:val="auto"/>
              </w:rPr>
            </w:pPr>
            <w:r>
              <w:rPr>
                <w:rFonts w:ascii="Arial" w:cs="Arial" w:eastAsia="Arial" w:hAnsi="Arial"/>
                <w:sz w:val="18"/>
                <w:szCs w:val="18"/>
                <w:color w:val="auto"/>
              </w:rPr>
              <w:t>end of period</w:t>
            </w:r>
          </w:p>
        </w:tc>
        <w:tc>
          <w:tcPr>
            <w:tcW w:w="1460" w:type="dxa"/>
            <w:vAlign w:val="bottom"/>
            <w:gridSpan w:val="2"/>
            <w:vMerge w:val="continue"/>
            <w:shd w:val="clear" w:color="auto" w:fill="BFBFBF"/>
          </w:tcPr>
          <w:p>
            <w:pPr>
              <w:spacing w:after="0"/>
              <w:rPr>
                <w:sz w:val="16"/>
                <w:szCs w:val="16"/>
                <w:color w:val="auto"/>
              </w:rPr>
            </w:pPr>
          </w:p>
        </w:tc>
        <w:tc>
          <w:tcPr>
            <w:tcW w:w="1480" w:type="dxa"/>
            <w:vAlign w:val="bottom"/>
            <w:gridSpan w:val="2"/>
            <w:vMerge w:val="continue"/>
            <w:shd w:val="clear" w:color="auto" w:fill="BFBFBF"/>
          </w:tcPr>
          <w:p>
            <w:pPr>
              <w:spacing w:after="0"/>
              <w:rPr>
                <w:sz w:val="16"/>
                <w:szCs w:val="16"/>
                <w:color w:val="auto"/>
              </w:rPr>
            </w:pPr>
          </w:p>
        </w:tc>
        <w:tc>
          <w:tcPr>
            <w:tcW w:w="1360" w:type="dxa"/>
            <w:vAlign w:val="bottom"/>
            <w:vMerge w:val="continue"/>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220"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As described in Note 2, the Company adopted the provisions of ASC 606, “Revenue from contracts with customers”, effective January 1, 2018, using the cumulative effect method for transition. Periods prior to 2018 have not been restated. The following tables show data by reportable segment, reconciled to consolidated totals, and the impact that ASC 606 had on the three -and nine-month periods ended September 30, 2018:</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right"/>
              <w:ind w:right="19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5260" w:type="dxa"/>
            <w:vAlign w:val="bottom"/>
            <w:gridSpan w:val="3"/>
          </w:tcPr>
          <w:p>
            <w:pPr>
              <w:jc w:val="right"/>
              <w:ind w:right="250"/>
              <w:spacing w:after="0" w:line="202" w:lineRule="exact"/>
              <w:rPr>
                <w:sz w:val="20"/>
                <w:szCs w:val="20"/>
                <w:color w:val="auto"/>
              </w:rPr>
            </w:pPr>
            <w:r>
              <w:rPr>
                <w:rFonts w:ascii="Arial" w:cs="Arial" w:eastAsia="Arial" w:hAnsi="Arial"/>
                <w:sz w:val="18"/>
                <w:szCs w:val="18"/>
                <w:b w:val="1"/>
                <w:bCs w:val="1"/>
                <w:color w:val="auto"/>
              </w:rPr>
              <w:t>Three months ended September 30,</w:t>
            </w:r>
          </w:p>
        </w:tc>
        <w:tc>
          <w:tcPr>
            <w:tcW w:w="23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Increase/(decrease)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attributable to</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6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application of ASC 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$158,971</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$3,336</w:t>
            </w:r>
          </w:p>
        </w:tc>
        <w:tc>
          <w:tcPr>
            <w:tcW w:w="0" w:type="dxa"/>
            <w:vAlign w:val="bottom"/>
          </w:tcPr>
          <w:p>
            <w:pPr>
              <w:spacing w:after="0"/>
              <w:rPr>
                <w:sz w:val="1"/>
                <w:szCs w:val="1"/>
                <w:color w:val="auto"/>
              </w:rPr>
            </w:pPr>
          </w:p>
        </w:tc>
      </w:tr>
      <w:tr>
        <w:trPr>
          <w:trHeight w:val="181"/>
        </w:trPr>
        <w:tc>
          <w:tcPr>
            <w:tcW w:w="3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w w:val="98"/>
              </w:rPr>
              <w:t>$150,694</w:t>
            </w:r>
          </w:p>
        </w:tc>
        <w:tc>
          <w:tcPr>
            <w:tcW w:w="2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94,282</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71,447</w:t>
            </w:r>
          </w:p>
        </w:tc>
        <w:tc>
          <w:tcPr>
            <w:tcW w:w="2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(5,028)</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$253,253</w:t>
            </w: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$222,141</w:t>
            </w:r>
          </w:p>
        </w:tc>
        <w:tc>
          <w:tcPr>
            <w:tcW w:w="2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3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$50,310</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$2,158</w:t>
            </w:r>
          </w:p>
        </w:tc>
        <w:tc>
          <w:tcPr>
            <w:tcW w:w="0" w:type="dxa"/>
            <w:vAlign w:val="bottom"/>
          </w:tcPr>
          <w:p>
            <w:pPr>
              <w:spacing w:after="0"/>
              <w:rPr>
                <w:sz w:val="1"/>
                <w:szCs w:val="1"/>
                <w:color w:val="auto"/>
              </w:rPr>
            </w:pPr>
          </w:p>
        </w:tc>
      </w:tr>
      <w:tr>
        <w:trPr>
          <w:trHeight w:val="181"/>
        </w:trPr>
        <w:tc>
          <w:tcPr>
            <w:tcW w:w="3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$42,679</w:t>
            </w:r>
          </w:p>
        </w:tc>
        <w:tc>
          <w:tcPr>
            <w:tcW w:w="2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3,612</w:t>
            </w:r>
          </w:p>
        </w:tc>
        <w:tc>
          <w:tcPr>
            <w:tcW w:w="8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(9,301)</w:t>
            </w:r>
          </w:p>
        </w:tc>
        <w:tc>
          <w:tcPr>
            <w:tcW w:w="2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(12,477)</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2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w:t>
            </w:r>
          </w:p>
        </w:tc>
        <w:tc>
          <w:tcPr>
            <w:tcW w:w="35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$41,445</w:t>
            </w:r>
          </w:p>
        </w:tc>
        <w:tc>
          <w:tcPr>
            <w:tcW w:w="86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$22,928</w:t>
            </w:r>
          </w:p>
        </w:tc>
        <w:tc>
          <w:tcPr>
            <w:tcW w:w="234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$1,198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(579)</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340"/>
              <w:spacing w:after="0" w:line="181" w:lineRule="exact"/>
              <w:rPr>
                <w:sz w:val="20"/>
                <w:szCs w:val="20"/>
                <w:color w:val="auto"/>
              </w:rPr>
            </w:pPr>
            <w:r>
              <w:rPr>
                <w:rFonts w:ascii="Arial" w:cs="Arial" w:eastAsia="Arial" w:hAnsi="Arial"/>
                <w:sz w:val="18"/>
                <w:szCs w:val="18"/>
                <w:color w:val="auto"/>
              </w:rPr>
              <w:t>Interest income</w:t>
            </w:r>
          </w:p>
        </w:tc>
        <w:tc>
          <w:tcPr>
            <w:tcW w:w="35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(355)</w:t>
            </w:r>
          </w:p>
        </w:tc>
        <w:tc>
          <w:tcPr>
            <w:tcW w:w="2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3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5,200</w:t>
            </w:r>
          </w:p>
        </w:tc>
        <w:tc>
          <w:tcPr>
            <w:tcW w:w="8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4,784</w:t>
            </w: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(income)/expense, net</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(3,151)</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3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$39,975</w:t>
            </w: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$19,029</w:t>
            </w:r>
          </w:p>
        </w:tc>
        <w:tc>
          <w:tcPr>
            <w:tcW w:w="2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4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440" w:type="dxa"/>
            <w:vAlign w:val="bottom"/>
            <w:gridSpan w:val="2"/>
          </w:tcPr>
          <w:p>
            <w:pPr>
              <w:jc w:val="right"/>
              <w:ind w:right="230"/>
              <w:spacing w:after="0" w:line="202" w:lineRule="exact"/>
              <w:rPr>
                <w:sz w:val="20"/>
                <w:szCs w:val="20"/>
                <w:color w:val="auto"/>
              </w:rPr>
            </w:pPr>
            <w:r>
              <w:rPr>
                <w:rFonts w:ascii="Arial" w:cs="Arial" w:eastAsia="Arial" w:hAnsi="Arial"/>
                <w:sz w:val="18"/>
                <w:szCs w:val="18"/>
                <w:b w:val="1"/>
                <w:bCs w:val="1"/>
                <w:color w:val="auto"/>
              </w:rPr>
              <w:t>Nine months ended September 30,</w:t>
            </w:r>
          </w:p>
        </w:tc>
        <w:tc>
          <w:tcPr>
            <w:tcW w:w="820" w:type="dxa"/>
            <w:vAlign w:val="bottom"/>
          </w:tcPr>
          <w:p>
            <w:pPr>
              <w:spacing w:after="0"/>
              <w:rPr>
                <w:sz w:val="17"/>
                <w:szCs w:val="17"/>
                <w:color w:val="auto"/>
              </w:rPr>
            </w:pPr>
          </w:p>
        </w:tc>
        <w:tc>
          <w:tcPr>
            <w:tcW w:w="236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Increase/(decrease)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2"/>
          </w:tcPr>
          <w:p>
            <w:pPr>
              <w:jc w:val="center"/>
              <w:ind w:right="560"/>
              <w:spacing w:after="0" w:line="202" w:lineRule="exact"/>
              <w:rPr>
                <w:sz w:val="20"/>
                <w:szCs w:val="20"/>
                <w:color w:val="auto"/>
              </w:rPr>
            </w:pPr>
            <w:r>
              <w:rPr>
                <w:rFonts w:ascii="Arial" w:cs="Arial" w:eastAsia="Arial" w:hAnsi="Arial"/>
                <w:sz w:val="18"/>
                <w:szCs w:val="18"/>
                <w:b w:val="1"/>
                <w:bCs w:val="1"/>
                <w:color w:val="auto"/>
                <w:w w:val="99"/>
              </w:rPr>
              <w:t>attributable to</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16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rPr>
              <w:t>application of ASC 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5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$469,758</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$8,404</w:t>
            </w:r>
          </w:p>
        </w:tc>
        <w:tc>
          <w:tcPr>
            <w:tcW w:w="0" w:type="dxa"/>
            <w:vAlign w:val="bottom"/>
          </w:tcPr>
          <w:p>
            <w:pPr>
              <w:spacing w:after="0"/>
              <w:rPr>
                <w:sz w:val="1"/>
                <w:szCs w:val="1"/>
                <w:color w:val="auto"/>
              </w:rPr>
            </w:pPr>
          </w:p>
        </w:tc>
      </w:tr>
      <w:tr>
        <w:trPr>
          <w:trHeight w:val="181"/>
        </w:trPr>
        <w:tc>
          <w:tcPr>
            <w:tcW w:w="3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58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$440,093</w:t>
            </w:r>
          </w:p>
        </w:tc>
        <w:tc>
          <w:tcPr>
            <w:tcW w:w="8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269,701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196,896</w:t>
            </w:r>
          </w:p>
        </w:tc>
        <w:tc>
          <w:tcPr>
            <w:tcW w:w="8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(2,062)</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5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$739,459</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$636,989</w:t>
            </w:r>
          </w:p>
        </w:tc>
        <w:tc>
          <w:tcPr>
            <w:tcW w:w="8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35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$131,921</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$4,923</w:t>
            </w:r>
          </w:p>
        </w:tc>
        <w:tc>
          <w:tcPr>
            <w:tcW w:w="0" w:type="dxa"/>
            <w:vAlign w:val="bottom"/>
          </w:tcPr>
          <w:p>
            <w:pPr>
              <w:spacing w:after="0"/>
              <w:rPr>
                <w:sz w:val="1"/>
                <w:szCs w:val="1"/>
                <w:color w:val="auto"/>
              </w:rPr>
            </w:pPr>
          </w:p>
        </w:tc>
      </w:tr>
      <w:tr>
        <w:trPr>
          <w:trHeight w:val="181"/>
        </w:trPr>
        <w:tc>
          <w:tcPr>
            <w:tcW w:w="3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58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$119,366</w:t>
            </w:r>
          </w:p>
        </w:tc>
        <w:tc>
          <w:tcPr>
            <w:tcW w:w="8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5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9,979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(32,242)</w:t>
            </w:r>
          </w:p>
        </w:tc>
        <w:tc>
          <w:tcPr>
            <w:tcW w:w="820" w:type="dxa"/>
            <w:vAlign w:val="bottom"/>
          </w:tcPr>
          <w:p>
            <w:pPr>
              <w:spacing w:after="0"/>
              <w:rPr>
                <w:sz w:val="17"/>
                <w:szCs w:val="17"/>
                <w:color w:val="auto"/>
              </w:rPr>
            </w:pPr>
          </w:p>
        </w:tc>
        <w:tc>
          <w:tcPr>
            <w:tcW w:w="23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(36,940)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(31,663)</w:t>
            </w:r>
          </w:p>
        </w:tc>
        <w:tc>
          <w:tcPr>
            <w:tcW w:w="8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w:t>
            </w:r>
          </w:p>
        </w:tc>
        <w:tc>
          <w:tcPr>
            <w:tcW w:w="3580" w:type="dxa"/>
            <w:vAlign w:val="bottom"/>
          </w:tcPr>
          <w:p>
            <w:pPr>
              <w:jc w:val="right"/>
              <w:ind w:right="550"/>
              <w:spacing w:after="0" w:line="195" w:lineRule="exact"/>
              <w:rPr>
                <w:sz w:val="20"/>
                <w:szCs w:val="20"/>
                <w:color w:val="auto"/>
              </w:rPr>
            </w:pPr>
            <w:r>
              <w:rPr>
                <w:rFonts w:ascii="Arial" w:cs="Arial" w:eastAsia="Arial" w:hAnsi="Arial"/>
                <w:sz w:val="18"/>
                <w:szCs w:val="18"/>
                <w:b w:val="1"/>
                <w:bCs w:val="1"/>
                <w:color w:val="auto"/>
              </w:rPr>
              <w:t>$104,960</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$55,461</w:t>
            </w:r>
          </w:p>
        </w:tc>
        <w:tc>
          <w:tcPr>
            <w:tcW w:w="820" w:type="dxa"/>
            <w:vAlign w:val="bottom"/>
          </w:tcPr>
          <w:p>
            <w:pPr>
              <w:spacing w:after="0"/>
              <w:rPr>
                <w:sz w:val="16"/>
                <w:szCs w:val="16"/>
                <w:color w:val="auto"/>
              </w:rPr>
            </w:pPr>
          </w:p>
        </w:tc>
        <w:tc>
          <w:tcPr>
            <w:tcW w:w="234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$4,955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5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(1,399)</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340"/>
              <w:spacing w:after="0" w:line="181" w:lineRule="exact"/>
              <w:rPr>
                <w:sz w:val="20"/>
                <w:szCs w:val="20"/>
                <w:color w:val="auto"/>
              </w:rPr>
            </w:pPr>
            <w:r>
              <w:rPr>
                <w:rFonts w:ascii="Arial" w:cs="Arial" w:eastAsia="Arial" w:hAnsi="Arial"/>
                <w:sz w:val="18"/>
                <w:szCs w:val="18"/>
                <w:color w:val="auto"/>
              </w:rPr>
              <w:t>Interest income</w:t>
            </w:r>
          </w:p>
        </w:tc>
        <w:tc>
          <w:tcPr>
            <w:tcW w:w="358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(801)</w:t>
            </w:r>
          </w:p>
        </w:tc>
        <w:tc>
          <w:tcPr>
            <w:tcW w:w="8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35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14,929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13,843</w:t>
            </w:r>
          </w:p>
        </w:tc>
        <w:tc>
          <w:tcPr>
            <w:tcW w:w="820" w:type="dxa"/>
            <w:vAlign w:val="bottom"/>
          </w:tcPr>
          <w:p>
            <w:pPr>
              <w:spacing w:after="0"/>
              <w:rPr>
                <w:sz w:val="17"/>
                <w:szCs w:val="17"/>
                <w:color w:val="auto"/>
              </w:rPr>
            </w:pP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(income)/expense, net</w:t>
            </w:r>
          </w:p>
        </w:tc>
        <w:tc>
          <w:tcPr>
            <w:tcW w:w="3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(973)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8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35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$92,403</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$39,565</w:t>
            </w:r>
          </w:p>
        </w:tc>
        <w:tc>
          <w:tcPr>
            <w:tcW w:w="8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$4,955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7" w:name="page18"/>
    <w:bookmarkEnd w:id="17"/>
    <w:p>
      <w:pPr>
        <w:ind w:right="120" w:firstLine="648"/>
        <w:spacing w:after="0" w:line="246" w:lineRule="auto"/>
        <w:rPr>
          <w:sz w:val="20"/>
          <w:szCs w:val="20"/>
          <w:color w:val="auto"/>
        </w:rPr>
      </w:pPr>
      <w:r>
        <w:rPr>
          <w:rFonts w:ascii="Arial" w:cs="Arial" w:eastAsia="Arial" w:hAnsi="Arial"/>
          <w:sz w:val="18"/>
          <w:szCs w:val="18"/>
          <w:color w:val="auto"/>
        </w:rPr>
        <w:t>At the January 1, 2018 date of adoption of ASC 606, Machine Clothing (MC) assets increased by $22 million, and Albany Engineered Composites (AEC) assets decreased by $13 million.</w:t>
      </w:r>
    </w:p>
    <w:p>
      <w:pPr>
        <w:spacing w:after="0" w:line="18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In the third quarter of 2018, AEC finalized a modification to the lease of its primary manufacturing facility in Salt Lake City, Utah. The modification, which includes additional manufacturing space, extends the minimum lease period until December 31, 2029. The lease modification resulted in a non-cash increase of $12.7 million to Property, plant and equipment, net and to Long-term debt in the Consolidated Balance Sheets. Due to the non-cash nature of the transaction, those increases are excluded from amounts reported in the Consolidated Statements of Cash Flows.</w:t>
      </w:r>
    </w:p>
    <w:p>
      <w:pPr>
        <w:spacing w:after="0" w:line="18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As described in Note 4, effective January 1, 2018, the Company adopted an accounting update that affects the classification of components of pension and postretirement benefit costs. As a result of adopting that update, some costs that were previously included in operating expenses shall now be included in Other (income)/expense, net. Periods prior to 2018 have been restated to conform to the current year presentation (see Note 4).</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AEC segment, including Albany Safran Composites, LLC (ASC), in which our customer SAFRAN Group (Safran) owns a 10 percent noncontrolling interest, provides highly engineered, advanced composite structures to customers in the aerospace and defense industries. AEC’s largest program relates to CFM International’s LEAP engine. Under this program, ASC is the exclusive supplier of advanced composite fan blades and cases under a long-term supply contract. The manufacturing spaces used for the production of parts under the long-term supply agreement are owned by Safran, and leased to ASC at either market rent or a minimal cost. All lease expense is reimbursable by Safran to ASC due to the cost-plus nature of the supply agreement. ASC net sales to Safran were $136.9 million in the first nine months of 2018 and $84.1 million in the first nine months of 2017. The total of Accounts receivable, Contract assets and Noncurrent receivables due from Safran amounted to $99.0 million and $58.6 million as of September 30, 2018 and December 31, 2017, respectively.</w:t>
      </w:r>
    </w:p>
    <w:p>
      <w:pPr>
        <w:spacing w:after="0" w:line="19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the second quarter of 2017, the Company recorded a charge to Cost of goods sold of approximately $15.8 million associated with revisions in the estimated profitability of two AEC contracts. The charge was principally due to second-quarter 2017 downward revisions of estimated customer demand for the components manufactured by AEC related to the BR 725 and A380 programs. The charge included a $4.0 million write-off of program inventory costs, and a reserve for future losses of $11.8 million, which is included in Accrued liabilities in the Consolidated Balance Sheets.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3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1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2"/>
          </w:tcPr>
          <w:p>
            <w:pPr>
              <w:jc w:val="right"/>
              <w:ind w:right="510"/>
              <w:spacing w:after="0" w:line="194" w:lineRule="exact"/>
              <w:rPr>
                <w:sz w:val="20"/>
                <w:szCs w:val="20"/>
                <w:color w:val="auto"/>
              </w:rPr>
            </w:pPr>
            <w:r>
              <w:rPr>
                <w:rFonts w:ascii="Arial" w:cs="Arial" w:eastAsia="Arial" w:hAnsi="Arial"/>
                <w:sz w:val="18"/>
                <w:szCs w:val="18"/>
                <w:b w:val="1"/>
                <w:bCs w:val="1"/>
                <w:color w:val="auto"/>
              </w:rPr>
              <w:t>Three months ended</w:t>
            </w:r>
          </w:p>
        </w:tc>
        <w:tc>
          <w:tcPr>
            <w:tcW w:w="234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6"/>
                <w:szCs w:val="16"/>
                <w:color w:val="auto"/>
              </w:rPr>
            </w:pPr>
          </w:p>
        </w:tc>
      </w:tr>
      <w:tr>
        <w:trPr>
          <w:trHeight w:val="203"/>
        </w:trPr>
        <w:tc>
          <w:tcPr>
            <w:tcW w:w="3180" w:type="dxa"/>
            <w:vAlign w:val="bottom"/>
          </w:tcPr>
          <w:p>
            <w:pPr>
              <w:spacing w:after="0"/>
              <w:rPr>
                <w:sz w:val="17"/>
                <w:szCs w:val="17"/>
                <w:color w:val="auto"/>
              </w:rPr>
            </w:pPr>
          </w:p>
        </w:tc>
        <w:tc>
          <w:tcPr>
            <w:tcW w:w="3020" w:type="dxa"/>
            <w:vAlign w:val="bottom"/>
            <w:gridSpan w:val="2"/>
          </w:tcPr>
          <w:p>
            <w:pPr>
              <w:jc w:val="right"/>
              <w:ind w:right="790"/>
              <w:spacing w:after="0" w:line="202" w:lineRule="exact"/>
              <w:rPr>
                <w:sz w:val="20"/>
                <w:szCs w:val="20"/>
                <w:color w:val="auto"/>
              </w:rPr>
            </w:pPr>
            <w:r>
              <w:rPr>
                <w:rFonts w:ascii="Arial" w:cs="Arial" w:eastAsia="Arial" w:hAnsi="Arial"/>
                <w:sz w:val="18"/>
                <w:szCs w:val="18"/>
                <w:b w:val="1"/>
                <w:bCs w:val="1"/>
                <w:color w:val="auto"/>
              </w:rPr>
              <w:t>September 30,</w:t>
            </w:r>
          </w:p>
        </w:tc>
        <w:tc>
          <w:tcPr>
            <w:tcW w:w="2360" w:type="dxa"/>
            <w:vAlign w:val="bottom"/>
            <w:gridSpan w:val="3"/>
          </w:tcPr>
          <w:p>
            <w:pPr>
              <w:jc w:val="right"/>
              <w:ind w:right="68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73"/>
        </w:trPr>
        <w:tc>
          <w:tcPr>
            <w:tcW w:w="31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76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$371</w:t>
            </w:r>
          </w:p>
        </w:tc>
        <w:tc>
          <w:tcPr>
            <w:tcW w:w="12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$96</w:t>
            </w:r>
          </w:p>
        </w:tc>
        <w:tc>
          <w:tcPr>
            <w:tcW w:w="130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$10,523</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5"/>
                <w:szCs w:val="15"/>
                <w:color w:val="auto"/>
              </w:rPr>
            </w:pP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7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2,189</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5,407</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2,968</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9,208</w:t>
            </w: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223</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3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$2,552</w:t>
            </w:r>
          </w:p>
        </w:tc>
        <w:tc>
          <w:tcPr>
            <w:tcW w:w="12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$5,503</w:t>
            </w:r>
          </w:p>
        </w:tc>
        <w:tc>
          <w:tcPr>
            <w:tcW w:w="1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$13,714</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$10,220</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216"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In the third quarter of 2018, the Company made a $5 million voluntary contribution to its U.S. pension plan and, with that contribution, the plan is close to being fully funded. The eligibility, benefit formulas, and contribution requirements for plans outside of the U.S. vary by location.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216"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composition of the net periodic benefit plan cost for the nine months ended September 30, 2018 and 2017, was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Pension plans</w:t>
            </w:r>
          </w:p>
        </w:tc>
        <w:tc>
          <w:tcPr>
            <w:tcW w:w="10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gridSpan w:val="2"/>
          </w:tcPr>
          <w:p>
            <w:pPr>
              <w:jc w:val="right"/>
              <w:ind w:right="15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2017</w:t>
            </w:r>
          </w:p>
        </w:tc>
        <w:tc>
          <w:tcPr>
            <w:tcW w:w="1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28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$2,085</w:t>
            </w:r>
          </w:p>
        </w:tc>
        <w:tc>
          <w:tcPr>
            <w:tcW w:w="1000" w:type="dxa"/>
            <w:vAlign w:val="bottom"/>
          </w:tcPr>
          <w:p>
            <w:pPr>
              <w:spacing w:after="0"/>
              <w:rPr>
                <w:sz w:val="16"/>
                <w:szCs w:val="16"/>
                <w:color w:val="auto"/>
              </w:rPr>
            </w:pPr>
          </w:p>
        </w:tc>
        <w:tc>
          <w:tcPr>
            <w:tcW w:w="1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$174</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880" w:type="dxa"/>
            <w:vAlign w:val="bottom"/>
            <w:vMerge w:val="continue"/>
          </w:tcPr>
          <w:p>
            <w:pPr>
              <w:spacing w:after="0"/>
              <w:rPr>
                <w:sz w:val="15"/>
                <w:szCs w:val="15"/>
                <w:color w:val="auto"/>
              </w:rPr>
            </w:pPr>
          </w:p>
        </w:tc>
        <w:tc>
          <w:tcPr>
            <w:tcW w:w="10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$1,960</w:t>
            </w:r>
          </w:p>
        </w:tc>
        <w:tc>
          <w:tcPr>
            <w:tcW w:w="1780" w:type="dxa"/>
            <w:vAlign w:val="bottom"/>
            <w:vMerge w:val="continue"/>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8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5,430</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5,507</w:t>
            </w:r>
          </w:p>
        </w:tc>
        <w:tc>
          <w:tcPr>
            <w:tcW w:w="17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1,520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8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(6,702)</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(6,004)</w:t>
            </w:r>
          </w:p>
        </w:tc>
        <w:tc>
          <w:tcPr>
            <w:tcW w:w="17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Curtailment gain</w:t>
            </w:r>
          </w:p>
        </w:tc>
        <w:tc>
          <w:tcPr>
            <w:tcW w:w="28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(750)</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8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25</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17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(3,366)</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2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1,665</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1,943</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2,217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8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$1,753</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$3,433</w:t>
            </w:r>
          </w:p>
        </w:tc>
        <w:tc>
          <w:tcPr>
            <w:tcW w:w="17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$545</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2018, the Company adopted the provisions of ASU 2017-07, “</w:t>
      </w:r>
      <w:r>
        <w:rPr>
          <w:rFonts w:ascii="Arial" w:cs="Arial" w:eastAsia="Arial" w:hAnsi="Arial"/>
          <w:sz w:val="18"/>
          <w:szCs w:val="18"/>
          <w:i w:val="1"/>
          <w:iCs w:val="1"/>
          <w:color w:val="auto"/>
        </w:rPr>
        <w:t>Compensation – Retirement Benefits: improving the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net periodic pension cost and net periodic postretirement benefit cost</w:t>
      </w:r>
      <w:r>
        <w:rPr>
          <w:rFonts w:ascii="Arial" w:cs="Arial" w:eastAsia="Arial" w:hAnsi="Arial"/>
          <w:sz w:val="18"/>
          <w:szCs w:val="18"/>
          <w:color w:val="auto"/>
        </w:rPr>
        <w:t>”. This accounting update requires that service cost for defined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and postretirement plans be reported in the same line item or items as other compensation costs arising from services rendered by the pertinent employees during the period. Additionally, the other components of net periodic benefit cost are required to be presented in the income statement separately from the service cost component and outside a subtotal of income from operations. The Company elected to report the components of net periodic benefit cost other than the service component in the line item, Other expense, net in the Consolidated Statements of Income.</w:t>
      </w:r>
    </w:p>
    <w:p>
      <w:pPr>
        <w:spacing w:after="0" w:line="19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restated 2017 expenses using the application of a practical expedient, which permits the usage of amounts disclosed in the prior year Pension and Other Postretirement benefit plans footnote as the estimation basis for applying the retrospective presentation requirements. The tables below show the 2017 amounts reclassified by segment and financial statement line item that resulted from adopting this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ind w:left="620"/>
        <w:spacing w:after="0"/>
        <w:rPr>
          <w:sz w:val="20"/>
          <w:szCs w:val="20"/>
          <w:color w:val="auto"/>
        </w:rPr>
      </w:pPr>
      <w:r>
        <w:rPr>
          <w:rFonts w:ascii="Arial" w:cs="Arial" w:eastAsia="Arial" w:hAnsi="Arial"/>
          <w:sz w:val="18"/>
          <w:szCs w:val="18"/>
          <w:b w:val="1"/>
          <w:bCs w:val="1"/>
          <w:color w:val="auto"/>
        </w:rPr>
        <w:t>Effect by segment operating expenses: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140" w:type="dxa"/>
            <w:vAlign w:val="bottom"/>
          </w:tcPr>
          <w:p>
            <w:pPr>
              <w:spacing w:after="0"/>
              <w:rPr>
                <w:sz w:val="16"/>
                <w:szCs w:val="16"/>
                <w:color w:val="auto"/>
              </w:rPr>
            </w:pPr>
          </w:p>
        </w:tc>
        <w:tc>
          <w:tcPr>
            <w:tcW w:w="3480" w:type="dxa"/>
            <w:vAlign w:val="bottom"/>
            <w:tcBorders>
              <w:top w:val="single" w:sz="8" w:color="auto"/>
            </w:tcBorders>
          </w:tcPr>
          <w:p>
            <w:pPr>
              <w:spacing w:after="0"/>
              <w:rPr>
                <w:sz w:val="16"/>
                <w:szCs w:val="16"/>
                <w:color w:val="auto"/>
              </w:rPr>
            </w:pPr>
          </w:p>
        </w:tc>
        <w:tc>
          <w:tcPr>
            <w:tcW w:w="6440" w:type="dxa"/>
            <w:vAlign w:val="bottom"/>
            <w:tcBorders>
              <w:top w:val="single" w:sz="8" w:color="auto"/>
            </w:tcBorders>
          </w:tcPr>
          <w:p>
            <w:pPr>
              <w:ind w:left="200"/>
              <w:spacing w:after="0" w:line="194" w:lineRule="exact"/>
              <w:rPr>
                <w:sz w:val="20"/>
                <w:szCs w:val="20"/>
                <w:color w:val="auto"/>
              </w:rPr>
            </w:pPr>
            <w:r>
              <w:rPr>
                <w:rFonts w:ascii="Arial" w:cs="Arial" w:eastAsia="Arial" w:hAnsi="Arial"/>
                <w:sz w:val="18"/>
                <w:szCs w:val="18"/>
                <w:b w:val="1"/>
                <w:bCs w:val="1"/>
                <w:color w:val="auto"/>
              </w:rPr>
              <w:t>Increase/(decrease) in expense for the nine months ended</w:t>
            </w:r>
          </w:p>
        </w:tc>
        <w:tc>
          <w:tcPr>
            <w:tcW w:w="20" w:type="dxa"/>
            <w:vAlign w:val="bottom"/>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646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 2017</w:t>
            </w:r>
          </w:p>
        </w:tc>
      </w:tr>
      <w:tr>
        <w:trPr>
          <w:trHeight w:val="195"/>
        </w:trPr>
        <w:tc>
          <w:tcPr>
            <w:tcW w:w="140" w:type="dxa"/>
            <w:vAlign w:val="bottom"/>
          </w:tcPr>
          <w:p>
            <w:pPr>
              <w:spacing w:after="0"/>
              <w:rPr>
                <w:sz w:val="16"/>
                <w:szCs w:val="16"/>
                <w:color w:val="auto"/>
              </w:rPr>
            </w:pPr>
          </w:p>
        </w:tc>
        <w:tc>
          <w:tcPr>
            <w:tcW w:w="3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6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r>
      <w:tr>
        <w:trPr>
          <w:trHeight w:val="203"/>
        </w:trPr>
        <w:tc>
          <w:tcPr>
            <w:tcW w:w="14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6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34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64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(1,860)</w:t>
            </w:r>
          </w:p>
        </w:tc>
      </w:tr>
      <w:tr>
        <w:trPr>
          <w:trHeight w:val="196"/>
        </w:trPr>
        <w:tc>
          <w:tcPr>
            <w:tcW w:w="140" w:type="dxa"/>
            <w:vAlign w:val="bottom"/>
          </w:tcPr>
          <w:p>
            <w:pPr>
              <w:spacing w:after="0"/>
              <w:rPr>
                <w:sz w:val="17"/>
                <w:szCs w:val="17"/>
                <w:color w:val="auto"/>
              </w:rPr>
            </w:pPr>
          </w:p>
        </w:tc>
        <w:tc>
          <w:tcPr>
            <w:tcW w:w="3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6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($1,874)</w:t>
            </w:r>
          </w:p>
        </w:tc>
        <w:tc>
          <w:tcPr>
            <w:tcW w:w="20" w:type="dxa"/>
            <w:vAlign w:val="bottom"/>
            <w:tcBorders>
              <w:bottom w:val="single" w:sz="8" w:color="auto"/>
            </w:tcBorders>
          </w:tcPr>
          <w:p>
            <w:pPr>
              <w:spacing w:after="0"/>
              <w:rPr>
                <w:sz w:val="17"/>
                <w:szCs w:val="17"/>
                <w:color w:val="auto"/>
              </w:rPr>
            </w:pPr>
          </w:p>
        </w:tc>
      </w:tr>
      <w:tr>
        <w:trPr>
          <w:trHeight w:val="399"/>
        </w:trPr>
        <w:tc>
          <w:tcPr>
            <w:tcW w:w="14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6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24"/>
                <w:szCs w:val="24"/>
                <w:color w:val="auto"/>
              </w:rPr>
            </w:pPr>
          </w:p>
        </w:tc>
      </w:tr>
      <w:tr>
        <w:trPr>
          <w:trHeight w:val="412"/>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Effect by Statement of Income line item:</w:t>
            </w: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920" w:type="dxa"/>
            <w:vAlign w:val="bottom"/>
            <w:gridSpan w:val="2"/>
          </w:tcPr>
          <w:p>
            <w:pPr>
              <w:ind w:left="280"/>
              <w:spacing w:after="0"/>
              <w:rPr>
                <w:sz w:val="20"/>
                <w:szCs w:val="20"/>
                <w:color w:val="auto"/>
              </w:rPr>
            </w:pPr>
            <w:r>
              <w:rPr>
                <w:rFonts w:ascii="Arial" w:cs="Arial" w:eastAsia="Arial" w:hAnsi="Arial"/>
                <w:sz w:val="18"/>
                <w:szCs w:val="18"/>
                <w:b w:val="1"/>
                <w:bCs w:val="1"/>
                <w:color w:val="auto"/>
              </w:rPr>
              <w:t>Increase/(decrease) in expense for the nine months ended</w:t>
            </w:r>
          </w:p>
        </w:tc>
      </w:tr>
      <w:tr>
        <w:trPr>
          <w:trHeight w:val="225"/>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6920" w:type="dxa"/>
            <w:vAlign w:val="bottom"/>
            <w:gridSpan w:val="2"/>
          </w:tcPr>
          <w:p>
            <w:pPr>
              <w:ind w:left="280"/>
              <w:spacing w:after="0"/>
              <w:rPr>
                <w:sz w:val="20"/>
                <w:szCs w:val="20"/>
                <w:color w:val="auto"/>
              </w:rPr>
            </w:pPr>
            <w:r>
              <w:rPr>
                <w:rFonts w:ascii="Arial" w:cs="Arial" w:eastAsia="Arial" w:hAnsi="Arial"/>
                <w:sz w:val="18"/>
                <w:szCs w:val="18"/>
                <w:b w:val="1"/>
                <w:bCs w:val="1"/>
                <w:color w:val="auto"/>
              </w:rPr>
              <w:t>September 30, 2017</w:t>
            </w:r>
          </w:p>
        </w:tc>
      </w:tr>
      <w:tr>
        <w:trPr>
          <w:trHeight w:val="195"/>
        </w:trPr>
        <w:tc>
          <w:tcPr>
            <w:tcW w:w="3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Cost of goods sold</w:t>
            </w:r>
          </w:p>
        </w:tc>
        <w:tc>
          <w:tcPr>
            <w:tcW w:w="6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($371)</w:t>
            </w:r>
          </w:p>
        </w:tc>
        <w:tc>
          <w:tcPr>
            <w:tcW w:w="20" w:type="dxa"/>
            <w:vAlign w:val="bottom"/>
          </w:tcPr>
          <w:p>
            <w:pPr>
              <w:spacing w:after="0"/>
              <w:rPr>
                <w:sz w:val="16"/>
                <w:szCs w:val="16"/>
                <w:color w:val="auto"/>
              </w:rPr>
            </w:pPr>
          </w:p>
        </w:tc>
      </w:tr>
      <w:tr>
        <w:trPr>
          <w:trHeight w:val="203"/>
        </w:trPr>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expenses</w:t>
            </w:r>
          </w:p>
        </w:tc>
        <w:tc>
          <w:tcPr>
            <w:tcW w:w="69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(1,503)</w:t>
            </w:r>
          </w:p>
        </w:tc>
      </w:tr>
      <w:tr>
        <w:trPr>
          <w:trHeight w:val="196"/>
        </w:trPr>
        <w:tc>
          <w:tcPr>
            <w:tcW w:w="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6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($1,874)</w:t>
            </w:r>
          </w:p>
        </w:tc>
        <w:tc>
          <w:tcPr>
            <w:tcW w:w="20" w:type="dxa"/>
            <w:vAlign w:val="bottom"/>
            <w:tcBorders>
              <w:bottom w:val="single" w:sz="8" w:color="auto"/>
            </w:tcBorders>
          </w:tcPr>
          <w:p>
            <w:pPr>
              <w:spacing w:after="0"/>
              <w:rPr>
                <w:sz w:val="17"/>
                <w:szCs w:val="17"/>
                <w:color w:val="auto"/>
              </w:rPr>
            </w:pPr>
          </w:p>
        </w:tc>
      </w:tr>
      <w:tr>
        <w:trPr>
          <w:trHeight w:val="399"/>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expense, net</w:t>
            </w:r>
          </w:p>
        </w:tc>
        <w:tc>
          <w:tcPr>
            <w:tcW w:w="6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$1,874</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October 5, 2017, the Company filed a Current Report on Form 8-K to announce the initiation of discussions regarding a proposal to discontinue operations at its Machine Clothing production facility in Sélestat, France. The restructuring program was driven by the Company’s need o balance manufacturing capacity with demand.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the first quarter of 2018 the plan was approved by the French Labor Ministry. In the first nine months of 2018, we recorded restructuring expense of $9.0 million, which includes severance and outplacement costs for the approximately 50 positions to be terminated under this plan. Since 2017, we have recorded $10.1 million of restructuring charges related to this action. The Company continues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w:t>
      </w:r>
    </w:p>
    <w:p>
      <w:pPr>
        <w:spacing w:after="0" w:line="19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AEC restructuring charges included expenses for the first nine months of 2018 and 2017 related to work force reductions in Salt Lake City, Utah and Rochester, New Hampshire. To date, we have recorded $6.1 million of restructuring charges related to these actions.</w:t>
      </w:r>
    </w:p>
    <w:p>
      <w:pPr>
        <w:spacing w:after="0" w:line="18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AEC restructuring charges in the third quarter of 2018 were principally related to the discontinuation of certain manufacturing processes in Salt Lake City, resulting in a non-cash restructuring charge of $1.7 million, and an additional $0.2 million for severance. The non-cash restructuring charge results from an impairment of related manufacturing equipment. The Company</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20" w:name="page21"/>
    <w:bookmarkEnd w:id="20"/>
    <w:p>
      <w:pPr>
        <w:ind w:right="400"/>
        <w:spacing w:after="0"/>
        <w:rPr>
          <w:sz w:val="20"/>
          <w:szCs w:val="20"/>
          <w:color w:val="auto"/>
        </w:rPr>
      </w:pPr>
      <w:r>
        <w:rPr>
          <w:rFonts w:ascii="Arial" w:cs="Arial" w:eastAsia="Arial" w:hAnsi="Arial"/>
          <w:sz w:val="18"/>
          <w:szCs w:val="18"/>
          <w:color w:val="auto"/>
        </w:rPr>
        <w:t>has decided to dispose of that equipment by sale and the impairment charge reflects management’s estimate of proceeds that may be recovered in the sale. As of September 30, 2018, the asset value, net of the impairment charge, is included in Prepaid expenses and other current assets in the accompanying Consolidated Balance Sheets.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decided to discontinue the Bear Claw® line of hydraulic fracturing components used in the oil and gas industry,</w:t>
      </w:r>
    </w:p>
    <w:p>
      <w:pPr>
        <w:spacing w:after="0" w:line="234" w:lineRule="auto"/>
        <w:rPr>
          <w:sz w:val="20"/>
          <w:szCs w:val="20"/>
          <w:color w:val="auto"/>
        </w:rPr>
      </w:pPr>
      <w:r>
        <w:rPr>
          <w:rFonts w:ascii="Arial" w:cs="Arial" w:eastAsia="Arial" w:hAnsi="Arial"/>
          <w:sz w:val="18"/>
          <w:szCs w:val="18"/>
          <w:color w:val="auto"/>
        </w:rPr>
        <w:t>which was part of the Harris aerostructures business acquired by AEC in 2016. This decision resulted in a non-cash restructuring charge of</w:t>
      </w:r>
    </w:p>
    <w:p>
      <w:pPr>
        <w:spacing w:after="0" w:line="235" w:lineRule="auto"/>
        <w:rPr>
          <w:sz w:val="20"/>
          <w:szCs w:val="20"/>
          <w:color w:val="auto"/>
        </w:rPr>
      </w:pPr>
      <w:r>
        <w:rPr>
          <w:rFonts w:ascii="Arial" w:cs="Arial" w:eastAsia="Arial" w:hAnsi="Arial"/>
          <w:sz w:val="18"/>
          <w:szCs w:val="18"/>
          <w:color w:val="auto"/>
        </w:rPr>
        <w:t>$4.5 million for the write-off of intangible assets and equipment, and a $3.2 million charge to Cost of goods sold for the write-off of inventory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2017.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Borders>
              <w:top w:val="single" w:sz="8" w:color="auto"/>
            </w:tcBorders>
          </w:tcPr>
          <w:p>
            <w:pPr>
              <w:spacing w:after="0"/>
              <w:rPr>
                <w:sz w:val="16"/>
                <w:szCs w:val="16"/>
                <w:color w:val="auto"/>
              </w:rPr>
            </w:pPr>
          </w:p>
        </w:tc>
        <w:tc>
          <w:tcPr>
            <w:tcW w:w="446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center"/>
              <w:ind w:right="210"/>
              <w:spacing w:after="0" w:line="194" w:lineRule="exact"/>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16"/>
                <w:szCs w:val="16"/>
                <w:color w:val="auto"/>
              </w:rPr>
            </w:pPr>
          </w:p>
        </w:tc>
      </w:tr>
      <w:tr>
        <w:trPr>
          <w:trHeight w:val="203"/>
        </w:trPr>
        <w:tc>
          <w:tcPr>
            <w:tcW w:w="4480" w:type="dxa"/>
            <w:vAlign w:val="bottom"/>
          </w:tcPr>
          <w:p>
            <w:pPr>
              <w:spacing w:after="0"/>
              <w:rPr>
                <w:sz w:val="17"/>
                <w:szCs w:val="17"/>
                <w:color w:val="auto"/>
              </w:rPr>
            </w:pPr>
          </w:p>
        </w:tc>
        <w:tc>
          <w:tcPr>
            <w:tcW w:w="4460" w:type="dxa"/>
            <w:vAlign w:val="bottom"/>
            <w:gridSpan w:val="2"/>
          </w:tcPr>
          <w:p>
            <w:pPr>
              <w:jc w:val="right"/>
              <w:ind w:right="9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73"/>
        </w:trPr>
        <w:tc>
          <w:tcPr>
            <w:tcW w:w="44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16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$371</w:t>
            </w:r>
          </w:p>
        </w:tc>
        <w:tc>
          <w:tcPr>
            <w:tcW w:w="130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$96</w:t>
            </w:r>
          </w:p>
        </w:tc>
        <w:tc>
          <w:tcPr>
            <w:tcW w:w="136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$10,523</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5"/>
                <w:szCs w:val="15"/>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2,189</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5,407</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2,968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9,208</w:t>
            </w:r>
          </w:p>
        </w:tc>
        <w:tc>
          <w:tcPr>
            <w:tcW w:w="20" w:type="dxa"/>
            <w:vAlign w:val="bottom"/>
          </w:tcPr>
          <w:p>
            <w:pPr>
              <w:spacing w:after="0"/>
              <w:rPr>
                <w:sz w:val="17"/>
                <w:szCs w:val="17"/>
                <w:color w:val="auto"/>
              </w:rPr>
            </w:pPr>
          </w:p>
        </w:tc>
      </w:tr>
      <w:tr>
        <w:trPr>
          <w:trHeight w:val="225"/>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w:t>
            </w: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223</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44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$2,552</w:t>
            </w:r>
          </w:p>
        </w:tc>
        <w:tc>
          <w:tcPr>
            <w:tcW w:w="13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$5,503</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$13,714</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$10,220</w:t>
            </w:r>
          </w:p>
        </w:tc>
        <w:tc>
          <w:tcPr>
            <w:tcW w:w="20" w:type="dxa"/>
            <w:vAlign w:val="bottom"/>
            <w:tcBorders>
              <w:bottom w:val="single" w:sz="8" w:color="auto"/>
            </w:tcBorders>
          </w:tcPr>
          <w:p>
            <w:pPr>
              <w:spacing w:after="0"/>
              <w:rPr>
                <w:sz w:val="17"/>
                <w:szCs w:val="17"/>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Nine months ended September 30, 2018</w:t>
            </w:r>
          </w:p>
        </w:tc>
        <w:tc>
          <w:tcPr>
            <w:tcW w:w="14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7"/>
              </w:rPr>
              <w:t>Total</w:t>
            </w:r>
          </w:p>
        </w:tc>
        <w:tc>
          <w:tcPr>
            <w:tcW w:w="1240" w:type="dxa"/>
            <w:vAlign w:val="bottom"/>
            <w:tcBorders>
              <w:top w:val="single" w:sz="8" w:color="auto"/>
            </w:tcBorders>
          </w:tcPr>
          <w:p>
            <w:pPr>
              <w:jc w:val="center"/>
              <w:ind w:right="50"/>
              <w:spacing w:after="0" w:line="194" w:lineRule="exact"/>
              <w:rPr>
                <w:sz w:val="20"/>
                <w:szCs w:val="20"/>
                <w:color w:val="auto"/>
              </w:rPr>
            </w:pPr>
            <w:r>
              <w:rPr>
                <w:rFonts w:ascii="Arial" w:cs="Arial" w:eastAsia="Arial" w:hAnsi="Arial"/>
                <w:sz w:val="18"/>
                <w:szCs w:val="18"/>
                <w:b w:val="1"/>
                <w:bCs w:val="1"/>
                <w:color w:val="auto"/>
                <w:w w:val="98"/>
              </w:rPr>
              <w:t>Termination</w:t>
            </w:r>
          </w:p>
        </w:tc>
        <w:tc>
          <w:tcPr>
            <w:tcW w:w="12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2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and other</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Impairment</w:t>
            </w:r>
          </w:p>
        </w:tc>
        <w:tc>
          <w:tcPr>
            <w:tcW w:w="196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8"/>
              </w:rPr>
              <w:t>Benefit plan</w:t>
            </w:r>
          </w:p>
        </w:tc>
        <w:tc>
          <w:tcPr>
            <w:tcW w:w="0" w:type="dxa"/>
            <w:vAlign w:val="bottom"/>
          </w:tcPr>
          <w:p>
            <w:pPr>
              <w:spacing w:after="0"/>
              <w:rPr>
                <w:sz w:val="1"/>
                <w:szCs w:val="1"/>
                <w:color w:val="auto"/>
              </w:rPr>
            </w:pPr>
          </w:p>
        </w:tc>
      </w:tr>
      <w:tr>
        <w:trPr>
          <w:trHeight w:val="225"/>
        </w:trPr>
        <w:tc>
          <w:tcPr>
            <w:tcW w:w="5540" w:type="dxa"/>
            <w:vAlign w:val="bottom"/>
            <w:vMerge w:val="restart"/>
          </w:tcPr>
          <w:p>
            <w:pPr>
              <w:spacing w:after="0"/>
              <w:rPr>
                <w:sz w:val="20"/>
                <w:szCs w:val="20"/>
                <w:color w:val="auto"/>
              </w:rPr>
            </w:pPr>
            <w:r>
              <w:rPr>
                <w:rFonts w:ascii="Arial" w:cs="Arial" w:eastAsia="Arial" w:hAnsi="Arial"/>
                <w:sz w:val="18"/>
                <w:szCs w:val="18"/>
                <w:color w:val="auto"/>
              </w:rPr>
              <w:t>Machine Clothing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costs incurred</w:t>
            </w: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costs</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of assets</w:t>
            </w:r>
          </w:p>
        </w:tc>
        <w:tc>
          <w:tcPr>
            <w:tcW w:w="19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curtailment/settlement</w:t>
            </w:r>
          </w:p>
        </w:tc>
        <w:tc>
          <w:tcPr>
            <w:tcW w:w="0" w:type="dxa"/>
            <w:vAlign w:val="bottom"/>
          </w:tcPr>
          <w:p>
            <w:pPr>
              <w:spacing w:after="0"/>
              <w:rPr>
                <w:sz w:val="1"/>
                <w:szCs w:val="1"/>
                <w:color w:val="auto"/>
              </w:rPr>
            </w:pPr>
          </w:p>
        </w:tc>
      </w:tr>
      <w:tr>
        <w:trPr>
          <w:trHeight w:val="195"/>
        </w:trPr>
        <w:tc>
          <w:tcPr>
            <w:tcW w:w="5540" w:type="dxa"/>
            <w:vAlign w:val="bottom"/>
            <w:vMerge w:val="continue"/>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$10,523</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$11,129</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$144</w:t>
            </w: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($750)</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2,968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1,206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1,762</w:t>
            </w:r>
          </w:p>
        </w:tc>
        <w:tc>
          <w:tcPr>
            <w:tcW w:w="1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$13,714</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$12,558</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w:t>
            </w:r>
          </w:p>
        </w:tc>
        <w:tc>
          <w:tcPr>
            <w:tcW w:w="19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($750)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 2017</w:t>
            </w:r>
          </w:p>
        </w:tc>
        <w:tc>
          <w:tcPr>
            <w:tcW w:w="2760" w:type="dxa"/>
            <w:vAlign w:val="bottom"/>
            <w:tcBorders>
              <w:top w:val="single" w:sz="8" w:color="auto"/>
            </w:tcBorders>
            <w:vMerge w:val="restart"/>
          </w:tcPr>
          <w:p>
            <w:pPr>
              <w:jc w:val="center"/>
              <w:ind w:left="1050"/>
              <w:spacing w:after="0"/>
              <w:rPr>
                <w:sz w:val="20"/>
                <w:szCs w:val="20"/>
                <w:color w:val="auto"/>
              </w:rPr>
            </w:pPr>
            <w:r>
              <w:rPr>
                <w:rFonts w:ascii="Arial" w:cs="Arial" w:eastAsia="Arial" w:hAnsi="Arial"/>
                <w:sz w:val="18"/>
                <w:szCs w:val="18"/>
                <w:b w:val="1"/>
                <w:bCs w:val="1"/>
                <w:color w:val="auto"/>
                <w:w w:val="97"/>
              </w:rPr>
              <w:t>Total</w:t>
            </w:r>
          </w:p>
        </w:tc>
        <w:tc>
          <w:tcPr>
            <w:tcW w:w="128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8"/>
              </w:rPr>
              <w:t>Termination</w:t>
            </w:r>
          </w:p>
        </w:tc>
        <w:tc>
          <w:tcPr>
            <w:tcW w:w="134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rPr>
              <w:t>Impairment</w:t>
            </w: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Impairment</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760" w:type="dxa"/>
            <w:vAlign w:val="bottom"/>
          </w:tcPr>
          <w:p>
            <w:pPr>
              <w:jc w:val="center"/>
              <w:ind w:left="107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2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and other</w:t>
            </w:r>
          </w:p>
        </w:tc>
        <w:tc>
          <w:tcPr>
            <w:tcW w:w="13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of plant and</w:t>
            </w:r>
          </w:p>
        </w:tc>
        <w:tc>
          <w:tcPr>
            <w:tcW w:w="13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rPr>
              <w:t>of intangible</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76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costs incurred</w:t>
            </w: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rPr>
              <w:t>costs</w:t>
            </w: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equipment</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asset</w:t>
            </w:r>
          </w:p>
        </w:tc>
        <w:tc>
          <w:tcPr>
            <w:tcW w:w="0" w:type="dxa"/>
            <w:vAlign w:val="bottom"/>
          </w:tcPr>
          <w:p>
            <w:pPr>
              <w:spacing w:after="0"/>
              <w:rPr>
                <w:sz w:val="1"/>
                <w:szCs w:val="1"/>
                <w:color w:val="auto"/>
              </w:rPr>
            </w:pPr>
          </w:p>
        </w:tc>
      </w:tr>
      <w:tr>
        <w:trPr>
          <w:trHeight w:val="195"/>
        </w:trPr>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2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$1,012</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$1,012</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60" w:type="dxa"/>
            <w:vAlign w:val="bottom"/>
          </w:tcPr>
          <w:p>
            <w:pPr>
              <w:jc w:val="right"/>
              <w:spacing w:after="0" w:line="202" w:lineRule="exact"/>
              <w:rPr>
                <w:sz w:val="20"/>
                <w:szCs w:val="20"/>
                <w:color w:val="auto"/>
              </w:rPr>
            </w:pPr>
            <w:r>
              <w:rPr>
                <w:rFonts w:ascii="Arial" w:cs="Arial" w:eastAsia="Arial" w:hAnsi="Arial"/>
                <w:sz w:val="18"/>
                <w:szCs w:val="18"/>
                <w:color w:val="auto"/>
              </w:rPr>
              <w:t>9,208</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4,173</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2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$10,220</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$5,185</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expect that approximately $6.1 million of Accrued liabilities for restructuring at September 30, 2018 will be paid within one year and approximately $0.3 million will be paid in the following year.</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The table below presents the year-to-date changes in restructuring liabilities for 2018 and 2017, all of which related to termination</w:t>
      </w:r>
    </w:p>
    <w:p>
      <w:pPr>
        <w:spacing w:after="0"/>
        <w:rPr>
          <w:sz w:val="20"/>
          <w:szCs w:val="20"/>
          <w:color w:val="auto"/>
        </w:rPr>
      </w:pPr>
      <w:r>
        <w:rPr>
          <w:rFonts w:ascii="Arial" w:cs="Arial" w:eastAsia="Arial" w:hAnsi="Arial"/>
          <w:sz w:val="18"/>
          <w:szCs w:val="18"/>
          <w:color w:val="auto"/>
        </w:rPr>
        <w:t>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left="290"/>
              <w:spacing w:after="0" w:line="194" w:lineRule="exact"/>
              <w:rPr>
                <w:sz w:val="20"/>
                <w:szCs w:val="20"/>
                <w:color w:val="auto"/>
              </w:rPr>
            </w:pPr>
            <w:r>
              <w:rPr>
                <w:rFonts w:ascii="Arial" w:cs="Arial" w:eastAsia="Arial" w:hAnsi="Arial"/>
                <w:sz w:val="18"/>
                <w:szCs w:val="18"/>
                <w:b w:val="1"/>
                <w:bCs w:val="1"/>
                <w:color w:val="auto"/>
                <w:w w:val="99"/>
              </w:rPr>
              <w:t>December 31,</w:t>
            </w:r>
          </w:p>
        </w:tc>
        <w:tc>
          <w:tcPr>
            <w:tcW w:w="152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6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rPr>
              <w:t>Currency</w:t>
            </w:r>
          </w:p>
        </w:tc>
        <w:tc>
          <w:tcPr>
            <w:tcW w:w="1700" w:type="dxa"/>
            <w:vAlign w:val="bottom"/>
            <w:tcBorders>
              <w:top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9"/>
              </w:rPr>
              <w:t>2017</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charges accrued</w:t>
            </w:r>
          </w:p>
        </w:tc>
        <w:tc>
          <w:tcPr>
            <w:tcW w:w="1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Payments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translation /other</w:t>
            </w: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0"/>
                <w:szCs w:val="20"/>
                <w:color w:val="auto"/>
              </w:rPr>
            </w:pPr>
            <w:r>
              <w:rPr>
                <w:rFonts w:ascii="Arial" w:cs="Arial" w:eastAsia="Arial" w:hAnsi="Arial"/>
                <w:sz w:val="18"/>
                <w:szCs w:val="18"/>
                <w:color w:val="auto"/>
              </w:rPr>
              <w:t>Total termination and other costs</w:t>
            </w:r>
          </w:p>
        </w:tc>
        <w:tc>
          <w:tcPr>
            <w:tcW w:w="1900" w:type="dxa"/>
            <w:vAlign w:val="bottom"/>
          </w:tcPr>
          <w:p>
            <w:pPr>
              <w:jc w:val="right"/>
              <w:spacing w:after="0"/>
              <w:rPr>
                <w:sz w:val="20"/>
                <w:szCs w:val="20"/>
                <w:color w:val="auto"/>
              </w:rPr>
            </w:pPr>
            <w:r>
              <w:rPr>
                <w:rFonts w:ascii="Arial" w:cs="Arial" w:eastAsia="Arial" w:hAnsi="Arial"/>
                <w:sz w:val="18"/>
                <w:szCs w:val="18"/>
                <w:color w:val="auto"/>
              </w:rPr>
              <w:t>$3,326</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$12,558</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($9,153)</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w:t>
            </w:r>
          </w:p>
        </w:tc>
        <w:tc>
          <w:tcPr>
            <w:tcW w:w="1720" w:type="dxa"/>
            <w:vAlign w:val="bottom"/>
            <w:gridSpan w:val="4"/>
          </w:tcPr>
          <w:p>
            <w:pPr>
              <w:jc w:val="right"/>
              <w:ind w:right="2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196"/>
        </w:trPr>
        <w:tc>
          <w:tcPr>
            <w:tcW w:w="338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2"/>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900" w:type="dxa"/>
            <w:vAlign w:val="bottom"/>
          </w:tcPr>
          <w:p>
            <w:pPr>
              <w:jc w:val="center"/>
              <w:ind w:left="290"/>
              <w:spacing w:after="0" w:line="173" w:lineRule="exact"/>
              <w:rPr>
                <w:sz w:val="20"/>
                <w:szCs w:val="20"/>
                <w:color w:val="auto"/>
              </w:rPr>
            </w:pPr>
            <w:r>
              <w:rPr>
                <w:rFonts w:ascii="Arial" w:cs="Arial" w:eastAsia="Arial" w:hAnsi="Arial"/>
                <w:sz w:val="18"/>
                <w:szCs w:val="18"/>
                <w:b w:val="1"/>
                <w:bCs w:val="1"/>
                <w:color w:val="auto"/>
                <w:w w:val="99"/>
              </w:rPr>
              <w:t>December 31,</w:t>
            </w:r>
          </w:p>
        </w:tc>
        <w:tc>
          <w:tcPr>
            <w:tcW w:w="152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Restructuring</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rPr>
              <w:t>Currency</w:t>
            </w:r>
          </w:p>
        </w:tc>
        <w:tc>
          <w:tcPr>
            <w:tcW w:w="1700" w:type="dxa"/>
            <w:vAlign w:val="bottom"/>
            <w:gridSpan w:val="3"/>
          </w:tcPr>
          <w:p>
            <w:pPr>
              <w:jc w:val="center"/>
              <w:spacing w:after="0" w:line="173" w:lineRule="exact"/>
              <w:rPr>
                <w:sz w:val="20"/>
                <w:szCs w:val="20"/>
                <w:color w:val="auto"/>
              </w:rPr>
            </w:pPr>
            <w:r>
              <w:rPr>
                <w:rFonts w:ascii="Arial" w:cs="Arial" w:eastAsia="Arial" w:hAnsi="Arial"/>
                <w:sz w:val="18"/>
                <w:szCs w:val="18"/>
                <w:b w:val="1"/>
                <w:bCs w:val="1"/>
                <w:color w:val="auto"/>
                <w:w w:val="99"/>
              </w:rPr>
              <w:t>September 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9"/>
              </w:rPr>
              <w:t>2016</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charges accrued</w:t>
            </w:r>
          </w:p>
        </w:tc>
        <w:tc>
          <w:tcPr>
            <w:tcW w:w="1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Payments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translation /other</w:t>
            </w: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0"/>
                <w:szCs w:val="20"/>
                <w:color w:val="auto"/>
              </w:rPr>
            </w:pPr>
            <w:r>
              <w:rPr>
                <w:rFonts w:ascii="Arial" w:cs="Arial" w:eastAsia="Arial" w:hAnsi="Arial"/>
                <w:sz w:val="18"/>
                <w:szCs w:val="18"/>
                <w:color w:val="auto"/>
              </w:rPr>
              <w:t>Total termination and other costs</w:t>
            </w:r>
          </w:p>
        </w:tc>
        <w:tc>
          <w:tcPr>
            <w:tcW w:w="1900" w:type="dxa"/>
            <w:vAlign w:val="bottom"/>
          </w:tcPr>
          <w:p>
            <w:pPr>
              <w:jc w:val="right"/>
              <w:spacing w:after="0"/>
              <w:rPr>
                <w:sz w:val="20"/>
                <w:szCs w:val="20"/>
                <w:color w:val="auto"/>
              </w:rPr>
            </w:pPr>
            <w:r>
              <w:rPr>
                <w:rFonts w:ascii="Arial" w:cs="Arial" w:eastAsia="Arial" w:hAnsi="Arial"/>
                <w:sz w:val="18"/>
                <w:szCs w:val="18"/>
                <w:color w:val="auto"/>
              </w:rPr>
              <w:t>$5,559</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$5,185</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720" w:type="dxa"/>
            <w:vAlign w:val="bottom"/>
            <w:gridSpan w:val="4"/>
          </w:tcPr>
          <w:p>
            <w:pPr>
              <w:jc w:val="right"/>
              <w:ind w:right="2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817"/>
        </w:trPr>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6. Other expense, net</w:t>
            </w:r>
          </w:p>
        </w:tc>
        <w:tc>
          <w:tcPr>
            <w:tcW w:w="19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The components of Other expense, net are:</w:t>
            </w: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spacing w:after="0"/>
              <w:rPr>
                <w:sz w:val="16"/>
                <w:szCs w:val="16"/>
                <w:color w:val="auto"/>
              </w:rPr>
            </w:pPr>
          </w:p>
        </w:tc>
        <w:tc>
          <w:tcPr>
            <w:tcW w:w="2820" w:type="dxa"/>
            <w:vAlign w:val="bottom"/>
            <w:tcBorders>
              <w:bottom w:val="single" w:sz="8" w:color="auto"/>
            </w:tcBorders>
            <w:gridSpan w:val="4"/>
          </w:tcPr>
          <w:p>
            <w:pPr>
              <w:spacing w:after="0"/>
              <w:rPr>
                <w:sz w:val="16"/>
                <w:szCs w:val="16"/>
                <w:color w:val="auto"/>
              </w:rPr>
            </w:pPr>
          </w:p>
        </w:tc>
        <w:tc>
          <w:tcPr>
            <w:tcW w:w="116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4080" w:type="dxa"/>
            <w:vAlign w:val="bottom"/>
            <w:gridSpan w:val="4"/>
          </w:tcPr>
          <w:p>
            <w:pPr>
              <w:jc w:val="right"/>
              <w:ind w:right="30"/>
              <w:spacing w:after="0" w:line="173" w:lineRule="exact"/>
              <w:rPr>
                <w:sz w:val="20"/>
                <w:szCs w:val="20"/>
                <w:color w:val="auto"/>
              </w:rPr>
            </w:pPr>
            <w:r>
              <w:rPr>
                <w:rFonts w:ascii="Arial" w:cs="Arial" w:eastAsia="Arial" w:hAnsi="Arial"/>
                <w:sz w:val="18"/>
                <w:szCs w:val="18"/>
                <w:b w:val="1"/>
                <w:bCs w:val="1"/>
                <w:color w:val="auto"/>
              </w:rPr>
              <w:t>Three months ended September</w:t>
            </w:r>
          </w:p>
        </w:tc>
        <w:tc>
          <w:tcPr>
            <w:tcW w:w="2820" w:type="dxa"/>
            <w:vAlign w:val="bottom"/>
            <w:gridSpan w:val="4"/>
          </w:tcPr>
          <w:p>
            <w:pPr>
              <w:jc w:val="right"/>
              <w:ind w:right="30"/>
              <w:spacing w:after="0" w:line="173" w:lineRule="exact"/>
              <w:rPr>
                <w:sz w:val="20"/>
                <w:szCs w:val="20"/>
                <w:color w:val="auto"/>
              </w:rPr>
            </w:pPr>
            <w:r>
              <w:rPr>
                <w:rFonts w:ascii="Arial" w:cs="Arial" w:eastAsia="Arial" w:hAnsi="Arial"/>
                <w:sz w:val="18"/>
                <w:szCs w:val="18"/>
                <w:b w:val="1"/>
                <w:bCs w:val="1"/>
                <w:color w:val="auto"/>
              </w:rPr>
              <w:t>Nine months ended September</w:t>
            </w: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30,</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2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line="173" w:lineRule="exact"/>
              <w:rPr>
                <w:sz w:val="20"/>
                <w:szCs w:val="20"/>
                <w:color w:val="auto"/>
              </w:rPr>
            </w:pPr>
            <w:r>
              <w:rPr>
                <w:rFonts w:ascii="Arial" w:cs="Arial" w:eastAsia="Arial" w:hAnsi="Arial"/>
                <w:sz w:val="18"/>
                <w:szCs w:val="18"/>
                <w:color w:val="auto"/>
              </w:rPr>
              <w:t>Currency transaction (gains)/losses</w:t>
            </w:r>
          </w:p>
        </w:tc>
        <w:tc>
          <w:tcPr>
            <w:tcW w:w="1900" w:type="dxa"/>
            <w:vAlign w:val="bottom"/>
          </w:tcPr>
          <w:p>
            <w:pPr>
              <w:spacing w:after="0"/>
              <w:rPr>
                <w:sz w:val="15"/>
                <w:szCs w:val="15"/>
                <w:color w:val="auto"/>
              </w:rPr>
            </w:pPr>
          </w:p>
        </w:tc>
        <w:tc>
          <w:tcPr>
            <w:tcW w:w="82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($3,611)</w:t>
            </w:r>
          </w:p>
        </w:tc>
        <w:tc>
          <w:tcPr>
            <w:tcW w:w="700" w:type="dxa"/>
            <w:vAlign w:val="bottom"/>
          </w:tcPr>
          <w:p>
            <w:pPr>
              <w:spacing w:after="0"/>
              <w:rPr>
                <w:sz w:val="15"/>
                <w:szCs w:val="15"/>
                <w:color w:val="auto"/>
              </w:rPr>
            </w:pPr>
          </w:p>
        </w:tc>
        <w:tc>
          <w:tcPr>
            <w:tcW w:w="660" w:type="dxa"/>
            <w:vAlign w:val="bottom"/>
          </w:tcPr>
          <w:p>
            <w:pPr>
              <w:jc w:val="right"/>
              <w:spacing w:after="0" w:line="173" w:lineRule="exact"/>
              <w:rPr>
                <w:sz w:val="20"/>
                <w:szCs w:val="20"/>
                <w:color w:val="auto"/>
              </w:rPr>
            </w:pPr>
            <w:r>
              <w:rPr>
                <w:rFonts w:ascii="Arial" w:cs="Arial" w:eastAsia="Arial" w:hAnsi="Arial"/>
                <w:sz w:val="18"/>
                <w:szCs w:val="18"/>
                <w:color w:val="auto"/>
              </w:rPr>
              <w:t>$261</w:t>
            </w:r>
          </w:p>
        </w:tc>
        <w:tc>
          <w:tcPr>
            <w:tcW w:w="1620" w:type="dxa"/>
            <w:vAlign w:val="bottom"/>
            <w:gridSpan w:val="2"/>
          </w:tcPr>
          <w:p>
            <w:pPr>
              <w:jc w:val="right"/>
              <w:ind w:right="150"/>
              <w:spacing w:after="0" w:line="173" w:lineRule="exact"/>
              <w:rPr>
                <w:sz w:val="20"/>
                <w:szCs w:val="20"/>
                <w:color w:val="auto"/>
              </w:rPr>
            </w:pPr>
            <w:r>
              <w:rPr>
                <w:rFonts w:ascii="Arial" w:cs="Arial" w:eastAsia="Arial" w:hAnsi="Arial"/>
                <w:sz w:val="18"/>
                <w:szCs w:val="18"/>
                <w:b w:val="1"/>
                <w:bCs w:val="1"/>
                <w:color w:val="auto"/>
              </w:rPr>
              <w:t>($2,930)</w:t>
            </w:r>
          </w:p>
        </w:tc>
        <w:tc>
          <w:tcPr>
            <w:tcW w:w="64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8"/>
                <w:szCs w:val="18"/>
                <w:color w:val="auto"/>
                <w:w w:val="98"/>
              </w:rPr>
              <w:t>$2,310</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Bank fees</w:t>
            </w:r>
          </w:p>
        </w:tc>
        <w:tc>
          <w:tcPr>
            <w:tcW w:w="190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100</w:t>
            </w:r>
          </w:p>
        </w:tc>
        <w:tc>
          <w:tcPr>
            <w:tcW w:w="7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780" w:type="dxa"/>
            <w:vAlign w:val="bottom"/>
          </w:tcPr>
          <w:p>
            <w:pPr>
              <w:spacing w:after="0"/>
              <w:rPr>
                <w:sz w:val="17"/>
                <w:szCs w:val="17"/>
                <w:color w:val="auto"/>
              </w:rPr>
            </w:pP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303</w:t>
            </w:r>
          </w:p>
        </w:tc>
        <w:tc>
          <w:tcPr>
            <w:tcW w:w="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Arial" w:cs="Arial" w:eastAsia="Arial" w:hAnsi="Arial"/>
                <w:sz w:val="18"/>
                <w:szCs w:val="18"/>
                <w:color w:val="auto"/>
              </w:rPr>
              <w:t>Gain on insurance recovery</w:t>
            </w:r>
          </w:p>
        </w:tc>
        <w:tc>
          <w:tcPr>
            <w:tcW w:w="19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7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Components of net periodic pension and postretirement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282</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807</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line="181" w:lineRule="exact"/>
              <w:rPr>
                <w:sz w:val="20"/>
                <w:szCs w:val="20"/>
                <w:color w:val="auto"/>
              </w:rPr>
            </w:pPr>
            <w:r>
              <w:rPr>
                <w:rFonts w:ascii="Arial" w:cs="Arial" w:eastAsia="Arial" w:hAnsi="Arial"/>
                <w:sz w:val="18"/>
                <w:szCs w:val="18"/>
                <w:color w:val="auto"/>
              </w:rPr>
              <w:t>cost other than service</w:t>
            </w:r>
          </w:p>
        </w:tc>
        <w:tc>
          <w:tcPr>
            <w:tcW w:w="19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625</w:t>
            </w:r>
          </w:p>
        </w:tc>
        <w:tc>
          <w:tcPr>
            <w:tcW w:w="7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1,874</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w:t>
            </w: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847</w:t>
            </w: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($3,151)</w:t>
            </w: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c>
          <w:tcPr>
            <w:tcW w:w="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($973)</w:t>
            </w:r>
          </w:p>
        </w:tc>
        <w:tc>
          <w:tcPr>
            <w:tcW w:w="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$2,854</w:t>
            </w: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2018, the Company adopted the provisions of ASU 2017-07. This accounting update affected the classification of components of net periodic benefit cost, other than service cost, to be reported separately from the service cost component and outside of operating income. The Company elected to report other components of net periodic pension and postretirement cost in Other expense, net. The comparative consolidated statement of income was restated as required by this update. Further detail of this accounting update is disclosed in Note 4.</w:t>
      </w:r>
    </w:p>
    <w:p>
      <w:pPr>
        <w:spacing w:after="0" w:line="18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the third quarter of 2017, the Company recorded an insurance recovery gain of $2.0 million related to a 2016 loss due a theft of cash in Japan.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2018 and 2017:</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2"/>
          </w:tcPr>
          <w:p>
            <w:pPr>
              <w:jc w:val="right"/>
              <w:ind w:right="410"/>
              <w:spacing w:after="0" w:line="173" w:lineRule="exact"/>
              <w:rPr>
                <w:sz w:val="20"/>
                <w:szCs w:val="20"/>
                <w:color w:val="auto"/>
              </w:rPr>
            </w:pPr>
            <w:r>
              <w:rPr>
                <w:rFonts w:ascii="Arial" w:cs="Arial" w:eastAsia="Arial" w:hAnsi="Arial"/>
                <w:sz w:val="18"/>
                <w:szCs w:val="18"/>
                <w:b w:val="1"/>
                <w:bCs w:val="1"/>
                <w:color w:val="auto"/>
              </w:rPr>
              <w:t>Three months ended</w:t>
            </w:r>
          </w:p>
        </w:tc>
        <w:tc>
          <w:tcPr>
            <w:tcW w:w="2200" w:type="dxa"/>
            <w:vAlign w:val="bottom"/>
            <w:tcBorders>
              <w:top w:val="single" w:sz="8" w:color="auto"/>
            </w:tcBorders>
            <w:gridSpan w:val="2"/>
          </w:tcPr>
          <w:p>
            <w:pPr>
              <w:jc w:val="center"/>
              <w:ind w:right="90"/>
              <w:spacing w:after="0" w:line="173" w:lineRule="exact"/>
              <w:rPr>
                <w:sz w:val="20"/>
                <w:szCs w:val="20"/>
                <w:color w:val="auto"/>
              </w:rPr>
            </w:pPr>
            <w:r>
              <w:rPr>
                <w:rFonts w:ascii="Arial" w:cs="Arial" w:eastAsia="Arial" w:hAnsi="Arial"/>
                <w:sz w:val="18"/>
                <w:szCs w:val="18"/>
                <w:b w:val="1"/>
                <w:bCs w:val="1"/>
                <w:color w:val="auto"/>
                <w:w w:val="99"/>
              </w:rPr>
              <w:t>Nine months ended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500" w:type="dxa"/>
            <w:vAlign w:val="bottom"/>
            <w:gridSpan w:val="2"/>
          </w:tcPr>
          <w:p>
            <w:pPr>
              <w:jc w:val="right"/>
              <w:ind w:right="670"/>
              <w:spacing w:after="0" w:line="202" w:lineRule="exact"/>
              <w:rPr>
                <w:sz w:val="20"/>
                <w:szCs w:val="20"/>
                <w:color w:val="auto"/>
              </w:rPr>
            </w:pPr>
            <w:r>
              <w:rPr>
                <w:rFonts w:ascii="Arial" w:cs="Arial" w:eastAsia="Arial" w:hAnsi="Arial"/>
                <w:sz w:val="18"/>
                <w:szCs w:val="18"/>
                <w:b w:val="1"/>
                <w:bCs w:val="1"/>
                <w:color w:val="auto"/>
              </w:rPr>
              <w:t>September 30,</w:t>
            </w:r>
          </w:p>
        </w:tc>
        <w:tc>
          <w:tcPr>
            <w:tcW w:w="2240" w:type="dxa"/>
            <w:vAlign w:val="bottom"/>
            <w:gridSpan w:val="4"/>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720" w:type="dxa"/>
            <w:vAlign w:val="bottom"/>
            <w:gridSpan w:val="2"/>
          </w:tcPr>
          <w:p>
            <w:pPr>
              <w:spacing w:after="0" w:line="195" w:lineRule="exact"/>
              <w:rPr>
                <w:sz w:val="20"/>
                <w:szCs w:val="20"/>
                <w:color w:val="auto"/>
              </w:rPr>
            </w:pPr>
            <w:r>
              <w:rPr>
                <w:rFonts w:ascii="Arial" w:cs="Arial" w:eastAsia="Arial" w:hAnsi="Arial"/>
                <w:sz w:val="18"/>
                <w:szCs w:val="18"/>
                <w:color w:val="auto"/>
              </w:rPr>
              <w:t>Income tax based on income from continuing operations, at estimated tax rates of</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$ 11,857</w:t>
            </w:r>
          </w:p>
        </w:tc>
        <w:tc>
          <w:tcPr>
            <w:tcW w:w="1140" w:type="dxa"/>
            <w:vAlign w:val="bottom"/>
          </w:tcPr>
          <w:p>
            <w:pPr>
              <w:spacing w:after="0"/>
              <w:rPr>
                <w:sz w:val="16"/>
                <w:szCs w:val="16"/>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$ 27,409</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720" w:type="dxa"/>
            <w:vAlign w:val="bottom"/>
            <w:gridSpan w:val="2"/>
          </w:tcPr>
          <w:p>
            <w:pPr>
              <w:spacing w:after="0" w:line="181" w:lineRule="exact"/>
              <w:rPr>
                <w:sz w:val="20"/>
                <w:szCs w:val="20"/>
                <w:color w:val="auto"/>
              </w:rPr>
            </w:pPr>
            <w:r>
              <w:rPr>
                <w:rFonts w:ascii="Arial" w:cs="Arial" w:eastAsia="Arial" w:hAnsi="Arial"/>
                <w:sz w:val="18"/>
                <w:szCs w:val="18"/>
                <w:color w:val="auto"/>
              </w:rPr>
              <w:t>29.7% and 36.4%, respectively</w:t>
            </w:r>
          </w:p>
        </w:tc>
        <w:tc>
          <w:tcPr>
            <w:tcW w:w="1360" w:type="dxa"/>
            <w:vAlign w:val="bottom"/>
            <w:vMerge w:val="continue"/>
          </w:tcPr>
          <w:p>
            <w:pPr>
              <w:spacing w:after="0"/>
              <w:rPr>
                <w:sz w:val="15"/>
                <w:szCs w:val="15"/>
                <w:color w:val="auto"/>
              </w:rPr>
            </w:pPr>
          </w:p>
        </w:tc>
        <w:tc>
          <w:tcPr>
            <w:tcW w:w="1140" w:type="dxa"/>
            <w:vAlign w:val="bottom"/>
          </w:tcPr>
          <w:p>
            <w:pPr>
              <w:jc w:val="right"/>
              <w:ind w:right="90"/>
              <w:spacing w:after="0" w:line="181" w:lineRule="exact"/>
              <w:rPr>
                <w:sz w:val="20"/>
                <w:szCs w:val="20"/>
                <w:color w:val="auto"/>
              </w:rPr>
            </w:pPr>
            <w:r>
              <w:rPr>
                <w:rFonts w:ascii="Arial" w:cs="Arial" w:eastAsia="Arial" w:hAnsi="Arial"/>
                <w:sz w:val="18"/>
                <w:szCs w:val="18"/>
                <w:color w:val="auto"/>
              </w:rPr>
              <w:t>$ 6,935</w:t>
            </w:r>
          </w:p>
        </w:tc>
        <w:tc>
          <w:tcPr>
            <w:tcW w:w="1160" w:type="dxa"/>
            <w:vAlign w:val="bottom"/>
            <w:vMerge w:val="continue"/>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$ 14,420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change in estimated tax rate</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(227)</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741</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2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11,630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7,676</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27,409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6720" w:type="dxa"/>
            <w:vAlign w:val="bottom"/>
            <w:gridSpan w:val="2"/>
          </w:tcPr>
          <w:p>
            <w:pPr>
              <w:spacing w:after="0"/>
              <w:rPr>
                <w:sz w:val="20"/>
                <w:szCs w:val="20"/>
                <w:color w:val="auto"/>
              </w:rPr>
            </w:pPr>
            <w:r>
              <w:rPr>
                <w:rFonts w:ascii="Arial" w:cs="Arial" w:eastAsia="Arial" w:hAnsi="Arial"/>
                <w:sz w:val="18"/>
                <w:szCs w:val="18"/>
                <w:color w:val="auto"/>
              </w:rPr>
              <w:t>Discrete tax expense:</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(29)</w:t>
            </w:r>
          </w:p>
        </w:tc>
        <w:tc>
          <w:tcPr>
            <w:tcW w:w="1140" w:type="dxa"/>
            <w:vAlign w:val="bottom"/>
          </w:tcPr>
          <w:p>
            <w:pPr>
              <w:spacing w:after="0"/>
              <w:rPr>
                <w:sz w:val="24"/>
                <w:szCs w:val="24"/>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(155)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00" w:type="dxa"/>
            <w:vAlign w:val="bottom"/>
          </w:tcPr>
          <w:p>
            <w:pPr>
              <w:ind w:left="160"/>
              <w:spacing w:after="0" w:line="181" w:lineRule="exact"/>
              <w:rPr>
                <w:sz w:val="20"/>
                <w:szCs w:val="20"/>
                <w:color w:val="auto"/>
              </w:rPr>
            </w:pPr>
            <w:r>
              <w:rPr>
                <w:rFonts w:ascii="Arial" w:cs="Arial" w:eastAsia="Arial" w:hAnsi="Arial"/>
                <w:sz w:val="18"/>
                <w:szCs w:val="18"/>
                <w:color w:val="auto"/>
              </w:rPr>
              <w:t>Exercise of U.S. Stock Options</w:t>
            </w:r>
          </w:p>
        </w:tc>
        <w:tc>
          <w:tcPr>
            <w:tcW w:w="1360" w:type="dxa"/>
            <w:vAlign w:val="bottom"/>
            <w:vMerge w:val="continue"/>
          </w:tcPr>
          <w:p>
            <w:pPr>
              <w:spacing w:after="0"/>
              <w:rPr>
                <w:sz w:val="15"/>
                <w:szCs w:val="15"/>
                <w:color w:val="auto"/>
              </w:rPr>
            </w:pPr>
          </w:p>
        </w:tc>
        <w:tc>
          <w:tcPr>
            <w:tcW w:w="1140" w:type="dxa"/>
            <w:vAlign w:val="bottom"/>
          </w:tcPr>
          <w:p>
            <w:pPr>
              <w:jc w:val="right"/>
              <w:ind w:right="90"/>
              <w:spacing w:after="0" w:line="181" w:lineRule="exact"/>
              <w:rPr>
                <w:sz w:val="20"/>
                <w:szCs w:val="20"/>
                <w:color w:val="auto"/>
              </w:rPr>
            </w:pPr>
            <w:r>
              <w:rPr>
                <w:rFonts w:ascii="Arial" w:cs="Arial" w:eastAsia="Arial" w:hAnsi="Arial"/>
                <w:sz w:val="18"/>
                <w:szCs w:val="18"/>
                <w:color w:val="auto"/>
              </w:rPr>
              <w:t>-</w:t>
            </w:r>
          </w:p>
        </w:tc>
        <w:tc>
          <w:tcPr>
            <w:tcW w:w="1160" w:type="dxa"/>
            <w:vAlign w:val="bottom"/>
            <w:vMerge w:val="continue"/>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Impact of Mandatory Repatriation</w:t>
            </w:r>
          </w:p>
        </w:tc>
        <w:tc>
          <w:tcPr>
            <w:tcW w:w="13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(1,099)</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3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(7)</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(73)</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(259)</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3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(166)</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2,282</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Changes in Opening Valuation Allowance</w:t>
            </w:r>
          </w:p>
        </w:tc>
        <w:tc>
          <w:tcPr>
            <w:tcW w:w="13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63</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(3,787)</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(4,923)</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(124)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13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$ 11,491</w:t>
            </w:r>
          </w:p>
        </w:tc>
        <w:tc>
          <w:tcPr>
            <w:tcW w:w="11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$ 3,809</w:t>
            </w:r>
          </w:p>
        </w:tc>
        <w:tc>
          <w:tcPr>
            <w:tcW w:w="11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$ 23,131</w:t>
            </w:r>
          </w:p>
        </w:tc>
        <w:tc>
          <w:tcPr>
            <w:tcW w:w="106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$ 12,138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The third quarter estimated effective tax rate on continuing operations was 29.7 percent in 2018, compared to 36.4 percent for the same period in 2017.</w:t>
      </w:r>
    </w:p>
    <w:p>
      <w:pPr>
        <w:spacing w:after="0" w:line="183" w:lineRule="exact"/>
        <w:rPr>
          <w:sz w:val="20"/>
          <w:szCs w:val="20"/>
          <w:color w:val="auto"/>
        </w:rPr>
      </w:pPr>
    </w:p>
    <w:p>
      <w:pPr>
        <w:jc w:val="both"/>
        <w:ind w:right="280" w:firstLine="648"/>
        <w:spacing w:after="0"/>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18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Additionally, tax adjustments resulting from the 2017 Tax Cut and Jobs Act (TCJA) have affected the Company’s 2018 AETR, including the global intangible low-taxed income (GILTI) inclusion, the foreign-derived intangible income (FDII) deduction and the corporate U.S. tax rate reduction from 35% to 21%.</w:t>
      </w:r>
    </w:p>
    <w:p>
      <w:pPr>
        <w:spacing w:after="0" w:line="189"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TCJA significantly revised the U.S. corporate income tax regime by, among other things, lowering the U.S. corporate tax rate from 35% to 21% effective January 1, 2018, while also repealing the deduction for domestic production activities, implementing a territorial tax system and imposing a transition tax on deemed repatriated earnings of foreign subsidiaries. U.S. GAAP requires that the impact of tax legislation be recognized in the period in which the law was enacted.</w:t>
      </w:r>
    </w:p>
    <w:p>
      <w:pPr>
        <w:spacing w:after="0" w:line="188"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 changes in the TCJA. The measurement period ends when a company has obtained, prepared and analyzed the information necessary to finalize its accounting, but cannot extend beyond one year. The Company elected to apply the measurement period guidance provided in SAB 118.</w:t>
      </w:r>
    </w:p>
    <w:p>
      <w:pPr>
        <w:spacing w:after="0" w:line="189"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Deferred tax assets and liabilities: At December 31, 2017, the Company re-measured certain deferred tax assets and liabilities based on the federal rate of 21%. However, the Company is still analyzing certain aspects of the TCJA, such as IRC section 162(m), and refining its calculations which could potentially affect the measurement of these balances or potentially give rise to new deferred tax</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amounts. As such, no adjustment has been recorded to the provisional amount previously recorded in 2017.</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Foreign tax effects: At December 31, 2017, the Company recorded a provisional federal tax charge due to the transition tax on deemed repatriation of foreign earnings. As of September 30, 2018, the Company is still analyzing its U.S. tax attributes such as foreign earnings and profits, foreign tax paid, and other tax components involved in foreign tax credit calculations, however, the Company recorded a net $1.1 million reduction to the provisional transition tax in second quarter of 2018. The $1.1 million adjustment was comprised of a $1.9 million federal tax benefit attributable to adjustments discovered while analyzing the Post 1986 E&amp;P and tax pools through 2016 and a $0.8 million state tax charge based on interpretive guidance issued by various states during the quarter on how the deemed mandatory repatriation would be taxed in those jurisdictions. These amounts are still considered provisional as the Company continues to analyze guidance and legislation published by the taxing jurisdictions.</w:t>
      </w:r>
    </w:p>
    <w:p>
      <w:pPr>
        <w:spacing w:after="0" w:line="19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Company has elected to account for the global intangible low taxed income (GILTI) as a current-period expense when incurred (the “period cost method”). The estimated net GILTI inclusion calculated by the Company (including the gross up on the GILTI Inclusion and the apportioned foreign tax credits applied to GILTI) was $22 million and increased the AETR by 2.2%. The Company also calculated an estimated foreign-derived intangible income (FDII) deduction of $ 4.5 million which decreased the AETR by 0.8%. Because of the complexity of the GILTI and FDII tax rules and the lack of legislative guidance, the Company continues to evaluate these provisions of the TCJA and the application of ASC 740, Income Taxes. The final impact on the Company from the TCJA’s GILTI and FDII tax legislation may differ from the estimate calculated by the Company. Such differences could be material, due to, among other things, changes in interpretations of the TCJA, future legislative action to address questions that arise because of the TCJA, changes in accounting standards for income taxes or related interpretations in response to the TCJA, or any updates or changes to estimates the Company has utilized to calculate the GILTI inclusion and FDII deduction.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continues to believe that the Base Erosion Anti-Abuse Tax (BEAT) does not apply under the Company’s current policies.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Therefore no adjustments for BEAT have been recorded.</w:t>
      </w:r>
    </w:p>
    <w:p>
      <w:pPr>
        <w:spacing w:after="0" w:line="19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$100.7 million of current year and prior year earnings of the Company’s foreign operations. If these earnings were distributed, the Company would be subject to foreign withholding taxes of $2.3 million which have already been recorded.</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2018. The Company is currently under audit in non-U.S. tax jurisdictions, including but not limited to Canada and Italy. In the second quarter of 2018, the Company recorded additional uncertain tax positions of $2.4 million as a result of developments in ongoing tax audits.</w:t>
      </w:r>
    </w:p>
    <w:p>
      <w:pPr>
        <w:spacing w:after="0" w:line="19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nil to a net decrease of $1.2 million, from the reevaluation of uncertain tax positions arising in examinations, in appeals, or in the courts, or from the closure of tax statutes of limitations.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4" w:name="page25"/>
    <w:bookmarkEnd w:id="24"/>
    <w:p>
      <w:pPr>
        <w:ind w:right="400" w:firstLine="648"/>
        <w:spacing w:after="0" w:line="239"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In the second quarter of 2018, management determined that there was sufficient positive evidence to conclude that it is more likely than not that deferred tax assets in Germany are realizable. Therefore, the Company reversed the previously recorded valuation allowances in the second quarter of 2018 which resulted in a discrete tax benefit of $5.0 million.</w:t>
      </w:r>
    </w:p>
    <w:p>
      <w:pPr>
        <w:spacing w:after="0" w:line="188" w:lineRule="exact"/>
        <w:rPr>
          <w:sz w:val="20"/>
          <w:szCs w:val="20"/>
          <w:color w:val="auto"/>
        </w:rPr>
      </w:pPr>
    </w:p>
    <w:p>
      <w:pPr>
        <w:ind w:right="620" w:firstLine="648"/>
        <w:spacing w:after="0"/>
        <w:rPr>
          <w:sz w:val="20"/>
          <w:szCs w:val="20"/>
          <w:color w:val="auto"/>
        </w:rPr>
      </w:pPr>
      <w:r>
        <w:rPr>
          <w:rFonts w:ascii="Arial" w:cs="Arial" w:eastAsia="Arial" w:hAnsi="Arial"/>
          <w:sz w:val="18"/>
          <w:szCs w:val="18"/>
          <w:color w:val="auto"/>
        </w:rPr>
        <w:t>In October 2016, an accounting update, ASU 2016-16 was issued which modifies the recognition of income tax effects on intercompany transfers of assets, other than inventory. The Company adopted this update effective January 1, 2018, which resulted in a decrease of $0.5 million to deferred taxes liabilities, with an offsetting increase to retained earnings.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2"/>
          </w:tcPr>
          <w:p>
            <w:pPr>
              <w:jc w:val="right"/>
              <w:ind w:right="470"/>
              <w:spacing w:after="0" w:line="194" w:lineRule="exact"/>
              <w:rPr>
                <w:sz w:val="20"/>
                <w:szCs w:val="20"/>
                <w:color w:val="auto"/>
              </w:rPr>
            </w:pPr>
            <w:r>
              <w:rPr>
                <w:rFonts w:ascii="Arial" w:cs="Arial" w:eastAsia="Arial" w:hAnsi="Arial"/>
                <w:sz w:val="18"/>
                <w:szCs w:val="18"/>
                <w:b w:val="1"/>
                <w:bCs w:val="1"/>
                <w:color w:val="auto"/>
              </w:rPr>
              <w:t>Three months ended</w:t>
            </w:r>
          </w:p>
        </w:tc>
        <w:tc>
          <w:tcPr>
            <w:tcW w:w="2300" w:type="dxa"/>
            <w:vAlign w:val="bottom"/>
            <w:tcBorders>
              <w:top w:val="single" w:sz="8" w:color="auto"/>
            </w:tcBorders>
            <w:gridSpan w:val="2"/>
          </w:tcPr>
          <w:p>
            <w:pPr>
              <w:jc w:val="right"/>
              <w:ind w:right="350"/>
              <w:spacing w:after="0" w:line="194"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3200" w:type="dxa"/>
            <w:vAlign w:val="bottom"/>
            <w:gridSpan w:val="2"/>
          </w:tcPr>
          <w:p>
            <w:pPr>
              <w:jc w:val="right"/>
              <w:ind w:right="750"/>
              <w:spacing w:after="0" w:line="202" w:lineRule="exact"/>
              <w:rPr>
                <w:sz w:val="20"/>
                <w:szCs w:val="20"/>
                <w:color w:val="auto"/>
              </w:rPr>
            </w:pPr>
            <w:r>
              <w:rPr>
                <w:rFonts w:ascii="Arial" w:cs="Arial" w:eastAsia="Arial" w:hAnsi="Arial"/>
                <w:sz w:val="18"/>
                <w:szCs w:val="18"/>
                <w:b w:val="1"/>
                <w:bCs w:val="1"/>
                <w:color w:val="auto"/>
              </w:rPr>
              <w:t>September 30,</w:t>
            </w:r>
          </w:p>
        </w:tc>
        <w:tc>
          <w:tcPr>
            <w:tcW w:w="2320" w:type="dxa"/>
            <w:vAlign w:val="bottom"/>
            <w:gridSpan w:val="3"/>
          </w:tcPr>
          <w:p>
            <w:pPr>
              <w:jc w:val="right"/>
              <w:ind w:right="66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1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$28,215</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$15,269</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$68,825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9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Weighted average number of shares used in</w:t>
            </w: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32,264</w:t>
            </w:r>
          </w:p>
        </w:tc>
        <w:tc>
          <w:tcPr>
            <w:tcW w:w="1240" w:type="dxa"/>
            <w:vAlign w:val="bottom"/>
          </w:tcPr>
          <w:p>
            <w:pPr>
              <w:spacing w:after="0"/>
              <w:rPr>
                <w:sz w:val="19"/>
                <w:szCs w:val="19"/>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32,247</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tcPr>
          <w:p>
            <w:pPr>
              <w:ind w:left="360"/>
              <w:spacing w:after="0"/>
              <w:rPr>
                <w:sz w:val="20"/>
                <w:szCs w:val="20"/>
                <w:color w:val="auto"/>
              </w:rPr>
            </w:pPr>
            <w:r>
              <w:rPr>
                <w:rFonts w:ascii="Arial" w:cs="Arial" w:eastAsia="Arial" w:hAnsi="Arial"/>
                <w:sz w:val="18"/>
                <w:szCs w:val="18"/>
                <w:color w:val="auto"/>
              </w:rPr>
              <w:t>calculating basic net income per share</w:t>
            </w:r>
          </w:p>
        </w:tc>
        <w:tc>
          <w:tcPr>
            <w:tcW w:w="1960" w:type="dxa"/>
            <w:vAlign w:val="bottom"/>
            <w:vMerge w:val="continue"/>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32,187</w:t>
            </w:r>
          </w:p>
        </w:tc>
        <w:tc>
          <w:tcPr>
            <w:tcW w:w="1260" w:type="dxa"/>
            <w:vAlign w:val="bottom"/>
            <w:vMerge w:val="continue"/>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32,160</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16</w:t>
            </w:r>
          </w:p>
        </w:tc>
        <w:tc>
          <w:tcPr>
            <w:tcW w:w="1240" w:type="dxa"/>
            <w:vAlign w:val="bottom"/>
          </w:tcPr>
          <w:p>
            <w:pPr>
              <w:spacing w:after="0"/>
              <w:rPr>
                <w:sz w:val="19"/>
                <w:szCs w:val="19"/>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16</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rPr>
              <w:t>Stock options</w:t>
            </w:r>
          </w:p>
        </w:tc>
        <w:tc>
          <w:tcPr>
            <w:tcW w:w="19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27</w:t>
            </w:r>
          </w:p>
        </w:tc>
        <w:tc>
          <w:tcPr>
            <w:tcW w:w="12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592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32,280</w:t>
            </w:r>
          </w:p>
        </w:tc>
        <w:tc>
          <w:tcPr>
            <w:tcW w:w="1240" w:type="dxa"/>
            <w:vAlign w:val="bottom"/>
          </w:tcPr>
          <w:p>
            <w:pPr>
              <w:spacing w:after="0"/>
              <w:rPr>
                <w:sz w:val="24"/>
                <w:szCs w:val="24"/>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32,263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1960" w:type="dxa"/>
            <w:vAlign w:val="bottom"/>
            <w:vMerge w:val="continue"/>
          </w:tcPr>
          <w:p>
            <w:pPr>
              <w:spacing w:after="0"/>
              <w:rPr>
                <w:sz w:val="17"/>
                <w:szCs w:val="17"/>
                <w:color w:val="auto"/>
              </w:rPr>
            </w:pPr>
          </w:p>
        </w:tc>
        <w:tc>
          <w:tcPr>
            <w:tcW w:w="12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32,214</w:t>
            </w:r>
          </w:p>
        </w:tc>
        <w:tc>
          <w:tcPr>
            <w:tcW w:w="1260" w:type="dxa"/>
            <w:vAlign w:val="bottom"/>
            <w:vMerge w:val="continue"/>
          </w:tcPr>
          <w:p>
            <w:pPr>
              <w:spacing w:after="0"/>
              <w:rPr>
                <w:sz w:val="17"/>
                <w:szCs w:val="17"/>
                <w:color w:val="auto"/>
              </w:rPr>
            </w:pP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32,193</w:t>
            </w:r>
          </w:p>
        </w:tc>
        <w:tc>
          <w:tcPr>
            <w:tcW w:w="0" w:type="dxa"/>
            <w:vAlign w:val="bottom"/>
          </w:tcPr>
          <w:p>
            <w:pPr>
              <w:spacing w:after="0"/>
              <w:rPr>
                <w:sz w:val="1"/>
                <w:szCs w:val="1"/>
                <w:color w:val="auto"/>
              </w:rPr>
            </w:pPr>
          </w:p>
        </w:tc>
      </w:tr>
      <w:tr>
        <w:trPr>
          <w:trHeight w:val="479"/>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market price of common stock used</w:t>
            </w:r>
          </w:p>
        </w:tc>
        <w:tc>
          <w:tcPr>
            <w:tcW w:w="196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$72.30</w:t>
            </w:r>
          </w:p>
        </w:tc>
        <w:tc>
          <w:tcPr>
            <w:tcW w:w="1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$66.01</w:t>
            </w: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1960" w:type="dxa"/>
            <w:vAlign w:val="bottom"/>
            <w:vMerge w:val="continue"/>
          </w:tcPr>
          <w:p>
            <w:pPr>
              <w:spacing w:after="0"/>
              <w:rPr>
                <w:sz w:val="17"/>
                <w:szCs w:val="17"/>
                <w:color w:val="auto"/>
              </w:rPr>
            </w:pPr>
          </w:p>
        </w:tc>
        <w:tc>
          <w:tcPr>
            <w:tcW w:w="12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$53.49</w:t>
            </w:r>
          </w:p>
        </w:tc>
        <w:tc>
          <w:tcPr>
            <w:tcW w:w="1260" w:type="dxa"/>
            <w:vAlign w:val="bottom"/>
            <w:vMerge w:val="continue"/>
          </w:tcPr>
          <w:p>
            <w:pPr>
              <w:spacing w:after="0"/>
              <w:rPr>
                <w:sz w:val="17"/>
                <w:szCs w:val="17"/>
                <w:color w:val="auto"/>
              </w:rPr>
            </w:pP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479"/>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Company per share:</w:t>
            </w:r>
          </w:p>
        </w:tc>
        <w:tc>
          <w:tcPr>
            <w:tcW w:w="196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$0.87</w:t>
            </w:r>
          </w:p>
        </w:tc>
        <w:tc>
          <w:tcPr>
            <w:tcW w:w="1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$2.13</w:t>
            </w: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360"/>
              <w:spacing w:after="0" w:line="181" w:lineRule="exact"/>
              <w:rPr>
                <w:sz w:val="20"/>
                <w:szCs w:val="20"/>
                <w:color w:val="auto"/>
              </w:rPr>
            </w:pPr>
            <w:r>
              <w:rPr>
                <w:rFonts w:ascii="Arial" w:cs="Arial" w:eastAsia="Arial" w:hAnsi="Arial"/>
                <w:sz w:val="18"/>
                <w:szCs w:val="18"/>
                <w:color w:val="auto"/>
              </w:rPr>
              <w:t>Basic</w:t>
            </w:r>
          </w:p>
        </w:tc>
        <w:tc>
          <w:tcPr>
            <w:tcW w:w="1960" w:type="dxa"/>
            <w:vAlign w:val="bottom"/>
            <w:vMerge w:val="continue"/>
          </w:tcPr>
          <w:p>
            <w:pPr>
              <w:spacing w:after="0"/>
              <w:rPr>
                <w:sz w:val="15"/>
                <w:szCs w:val="15"/>
                <w:color w:val="auto"/>
              </w:rPr>
            </w:pPr>
          </w:p>
        </w:tc>
        <w:tc>
          <w:tcPr>
            <w:tcW w:w="12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$0.47</w:t>
            </w:r>
          </w:p>
        </w:tc>
        <w:tc>
          <w:tcPr>
            <w:tcW w:w="1260" w:type="dxa"/>
            <w:vAlign w:val="bottom"/>
            <w:vMerge w:val="continue"/>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$0.85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$0.87</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$0.47</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220"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 and the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 w:name="page26"/>
    <w:bookmarkEnd w:id="25"/>
    <w:p>
      <w:pPr>
        <w:ind w:right="400"/>
        <w:spacing w:after="0" w:line="246" w:lineRule="auto"/>
        <w:rPr>
          <w:sz w:val="20"/>
          <w:szCs w:val="20"/>
          <w:color w:val="auto"/>
        </w:rPr>
      </w:pPr>
      <w:r>
        <w:rPr>
          <w:rFonts w:ascii="Arial" w:cs="Arial" w:eastAsia="Arial" w:hAnsi="Arial"/>
          <w:sz w:val="18"/>
          <w:szCs w:val="18"/>
          <w:color w:val="auto"/>
        </w:rPr>
        <w:t>impact that the ASC 606 revenue standard had on Company results for the first nine months of 2018, included in the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52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gridSpan w:val="2"/>
          </w:tcPr>
          <w:p>
            <w:pPr>
              <w:jc w:val="center"/>
              <w:ind w:left="610"/>
              <w:spacing w:after="0" w:line="194" w:lineRule="exact"/>
              <w:rPr>
                <w:sz w:val="20"/>
                <w:szCs w:val="20"/>
                <w:color w:val="auto"/>
              </w:rPr>
            </w:pPr>
            <w:r>
              <w:rPr>
                <w:rFonts w:ascii="Arial" w:cs="Arial" w:eastAsia="Arial" w:hAnsi="Arial"/>
                <w:sz w:val="18"/>
                <w:szCs w:val="18"/>
                <w:b w:val="1"/>
                <w:bCs w:val="1"/>
                <w:color w:val="auto"/>
                <w:w w:val="99"/>
              </w:rPr>
              <w:t>Nine months ended</w:t>
            </w:r>
          </w:p>
        </w:tc>
        <w:tc>
          <w:tcPr>
            <w:tcW w:w="40" w:type="dxa"/>
            <w:vAlign w:val="bottom"/>
            <w:gridSpan w:val="2"/>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92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20" w:type="dxa"/>
            <w:vAlign w:val="bottom"/>
            <w:tcBorders>
              <w:bottom w:val="single" w:sz="8" w:color="auto"/>
            </w:tcBorders>
          </w:tcPr>
          <w:p>
            <w:pPr>
              <w:spacing w:after="0"/>
              <w:rPr>
                <w:sz w:val="17"/>
                <w:szCs w:val="17"/>
                <w:color w:val="auto"/>
              </w:rPr>
            </w:pPr>
          </w:p>
        </w:tc>
        <w:tc>
          <w:tcPr>
            <w:tcW w:w="7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580" w:type="dxa"/>
            <w:vAlign w:val="bottom"/>
            <w:tcBorders>
              <w:top w:val="single" w:sz="8" w:color="auto"/>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2018</w:t>
            </w:r>
          </w:p>
        </w:tc>
        <w:tc>
          <w:tcPr>
            <w:tcW w:w="13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3"/>
        </w:trPr>
        <w:tc>
          <w:tcPr>
            <w:tcW w:w="7540" w:type="dxa"/>
            <w:vAlign w:val="bottom"/>
            <w:gridSpan w:val="2"/>
          </w:tcPr>
          <w:p>
            <w:pPr>
              <w:spacing w:after="0" w:line="173" w:lineRule="exact"/>
              <w:rPr>
                <w:sz w:val="20"/>
                <w:szCs w:val="20"/>
                <w:color w:val="auto"/>
              </w:rPr>
            </w:pPr>
            <w:r>
              <w:rPr>
                <w:rFonts w:ascii="Arial" w:cs="Arial" w:eastAsia="Arial" w:hAnsi="Arial"/>
                <w:sz w:val="18"/>
                <w:szCs w:val="18"/>
                <w:color w:val="auto"/>
              </w:rPr>
              <w:t>Net income of Albany Safran Composites (ASC)</w:t>
            </w:r>
          </w:p>
        </w:tc>
        <w:tc>
          <w:tcPr>
            <w:tcW w:w="258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$5,433</w:t>
            </w:r>
          </w:p>
        </w:tc>
        <w:tc>
          <w:tcPr>
            <w:tcW w:w="1300" w:type="dxa"/>
            <w:vAlign w:val="bottom"/>
          </w:tcPr>
          <w:p>
            <w:pPr>
              <w:jc w:val="right"/>
              <w:spacing w:after="0" w:line="173" w:lineRule="exact"/>
              <w:rPr>
                <w:sz w:val="20"/>
                <w:szCs w:val="20"/>
                <w:color w:val="auto"/>
              </w:rPr>
            </w:pPr>
            <w:r>
              <w:rPr>
                <w:rFonts w:ascii="Arial" w:cs="Arial" w:eastAsia="Arial" w:hAnsi="Arial"/>
                <w:sz w:val="18"/>
                <w:szCs w:val="18"/>
                <w:color w:val="auto"/>
              </w:rPr>
              <w:t>$2,805</w:t>
            </w:r>
          </w:p>
        </w:tc>
        <w:tc>
          <w:tcPr>
            <w:tcW w:w="40" w:type="dxa"/>
            <w:vAlign w:val="bottom"/>
            <w:gridSpan w:val="2"/>
          </w:tcPr>
          <w:p>
            <w:pPr>
              <w:spacing w:after="0"/>
              <w:rPr>
                <w:sz w:val="15"/>
                <w:szCs w:val="15"/>
                <w:color w:val="auto"/>
              </w:rPr>
            </w:pPr>
          </w:p>
        </w:tc>
      </w:tr>
      <w:tr>
        <w:trPr>
          <w:trHeight w:val="225"/>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2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965</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9"/>
                <w:szCs w:val="19"/>
                <w:color w:val="auto"/>
              </w:rPr>
            </w:pPr>
          </w:p>
        </w:tc>
      </w:tr>
      <w:tr>
        <w:trPr>
          <w:trHeight w:val="173"/>
        </w:trPr>
        <w:tc>
          <w:tcPr>
            <w:tcW w:w="7540" w:type="dxa"/>
            <w:vAlign w:val="bottom"/>
            <w:gridSpan w:val="2"/>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258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$4,468</w:t>
            </w:r>
          </w:p>
        </w:tc>
        <w:tc>
          <w:tcPr>
            <w:tcW w:w="132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5"/>
                <w:szCs w:val="15"/>
                <w:color w:val="auto"/>
              </w:rPr>
            </w:pPr>
          </w:p>
        </w:tc>
      </w:tr>
      <w:tr>
        <w:trPr>
          <w:trHeight w:val="225"/>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Ownership percentage of noncontrolling shareholder</w:t>
            </w:r>
          </w:p>
        </w:tc>
        <w:tc>
          <w:tcPr>
            <w:tcW w:w="2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96"/>
        </w:trPr>
        <w:tc>
          <w:tcPr>
            <w:tcW w:w="7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5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$447</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$202</w:t>
            </w:r>
          </w:p>
        </w:tc>
        <w:tc>
          <w:tcPr>
            <w:tcW w:w="20" w:type="dxa"/>
            <w:vAlign w:val="bottom"/>
          </w:tcPr>
          <w:p>
            <w:pPr>
              <w:spacing w:after="0"/>
              <w:rPr>
                <w:sz w:val="17"/>
                <w:szCs w:val="17"/>
                <w:color w:val="auto"/>
              </w:rPr>
            </w:pPr>
          </w:p>
        </w:tc>
      </w:tr>
      <w:tr>
        <w:trPr>
          <w:trHeight w:val="376"/>
        </w:trPr>
        <w:tc>
          <w:tcPr>
            <w:tcW w:w="7540" w:type="dxa"/>
            <w:vAlign w:val="bottom"/>
            <w:gridSpan w:val="2"/>
          </w:tcPr>
          <w:p>
            <w:pPr>
              <w:spacing w:after="0"/>
              <w:rPr>
                <w:sz w:val="20"/>
                <w:szCs w:val="20"/>
                <w:color w:val="auto"/>
              </w:rPr>
            </w:pPr>
            <w:r>
              <w:rPr>
                <w:rFonts w:ascii="Arial" w:cs="Arial" w:eastAsia="Arial" w:hAnsi="Arial"/>
                <w:sz w:val="18"/>
                <w:szCs w:val="18"/>
                <w:color w:val="auto"/>
              </w:rPr>
              <w:t>Noncontrolling interest, beginning of year</w:t>
            </w:r>
          </w:p>
        </w:tc>
        <w:tc>
          <w:tcPr>
            <w:tcW w:w="2580" w:type="dxa"/>
            <w:vAlign w:val="bottom"/>
          </w:tcPr>
          <w:p>
            <w:pPr>
              <w:jc w:val="right"/>
              <w:ind w:right="210"/>
              <w:spacing w:after="0"/>
              <w:rPr>
                <w:sz w:val="20"/>
                <w:szCs w:val="20"/>
                <w:color w:val="auto"/>
              </w:rPr>
            </w:pPr>
            <w:r>
              <w:rPr>
                <w:rFonts w:ascii="Arial" w:cs="Arial" w:eastAsia="Arial" w:hAnsi="Arial"/>
                <w:sz w:val="18"/>
                <w:szCs w:val="18"/>
                <w:b w:val="1"/>
                <w:bCs w:val="1"/>
                <w:color w:val="auto"/>
              </w:rPr>
              <w:t>$3,247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$3,767</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Decrease attributable to application of ASC 606</w:t>
            </w:r>
          </w:p>
        </w:tc>
        <w:tc>
          <w:tcPr>
            <w:tcW w:w="25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(327)</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5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447</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c>
          <w:tcPr>
            <w:tcW w:w="20" w:type="dxa"/>
            <w:vAlign w:val="bottom"/>
          </w:tcPr>
          <w:p>
            <w:pPr>
              <w:spacing w:after="0"/>
              <w:rPr>
                <w:sz w:val="17"/>
                <w:szCs w:val="17"/>
                <w:color w:val="auto"/>
              </w:rPr>
            </w:pPr>
          </w:p>
        </w:tc>
      </w:tr>
      <w:tr>
        <w:trPr>
          <w:trHeight w:val="225"/>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w:t>
            </w: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196"/>
        </w:trPr>
        <w:tc>
          <w:tcPr>
            <w:tcW w:w="7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Noncontrolling interest</w:t>
            </w:r>
          </w:p>
        </w:tc>
        <w:tc>
          <w:tcPr>
            <w:tcW w:w="25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$3,366</w:t>
            </w:r>
          </w:p>
        </w:tc>
        <w:tc>
          <w:tcPr>
            <w:tcW w:w="134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$3,988</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Accumulated Other Comprehensive Income (AOCI)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2017 to September 30, 2018:</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rPr>
              <w:t>Pension and</w:t>
            </w: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Derivative</w:t>
            </w:r>
          </w:p>
        </w:tc>
        <w:tc>
          <w:tcPr>
            <w:tcW w:w="17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140" w:type="dxa"/>
            <w:vAlign w:val="bottom"/>
          </w:tcPr>
          <w:p>
            <w:pPr>
              <w:spacing w:after="0"/>
              <w:rPr>
                <w:sz w:val="17"/>
                <w:szCs w:val="17"/>
                <w:color w:val="auto"/>
              </w:rPr>
            </w:pPr>
          </w:p>
        </w:tc>
        <w:tc>
          <w:tcPr>
            <w:tcW w:w="16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Translation</w:t>
            </w:r>
          </w:p>
        </w:tc>
        <w:tc>
          <w:tcPr>
            <w:tcW w:w="16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liability</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valuation</w:t>
            </w:r>
          </w:p>
        </w:tc>
        <w:tc>
          <w:tcPr>
            <w:tcW w:w="17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Comprehensive</w:t>
            </w:r>
          </w:p>
        </w:tc>
      </w:tr>
      <w:tr>
        <w:trPr>
          <w:trHeight w:val="225"/>
        </w:trPr>
        <w:tc>
          <w:tcPr>
            <w:tcW w:w="51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adjustments</w:t>
            </w: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adjustments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adjustment</w:t>
            </w:r>
          </w:p>
        </w:tc>
        <w:tc>
          <w:tcPr>
            <w:tcW w:w="17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Income</w:t>
            </w:r>
          </w:p>
        </w:tc>
      </w:tr>
      <w:tr>
        <w:trPr>
          <w:trHeight w:val="196"/>
        </w:trPr>
        <w:tc>
          <w:tcPr>
            <w:tcW w:w="51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16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($87,318)</w:t>
            </w:r>
          </w:p>
        </w:tc>
        <w:tc>
          <w:tcPr>
            <w:tcW w:w="1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($50,536)</w:t>
            </w:r>
          </w:p>
        </w:tc>
        <w:tc>
          <w:tcPr>
            <w:tcW w:w="130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$1,953</w:t>
            </w: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($135,901)</w:t>
            </w:r>
          </w:p>
        </w:tc>
        <w:tc>
          <w:tcPr>
            <w:tcW w:w="40" w:type="dxa"/>
            <w:vAlign w:val="bottom"/>
            <w:gridSpan w:val="2"/>
          </w:tcPr>
          <w:p>
            <w:pPr>
              <w:spacing w:after="0"/>
              <w:rPr>
                <w:sz w:val="17"/>
                <w:szCs w:val="17"/>
                <w:color w:val="auto"/>
              </w:rPr>
            </w:pPr>
          </w:p>
        </w:tc>
      </w:tr>
      <w:tr>
        <w:trPr>
          <w:trHeight w:val="195"/>
        </w:trPr>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6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(23,582)</w:t>
            </w:r>
          </w:p>
        </w:tc>
        <w:tc>
          <w:tcPr>
            <w:tcW w:w="1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2,389</w:t>
            </w:r>
          </w:p>
        </w:tc>
        <w:tc>
          <w:tcPr>
            <w:tcW w:w="13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7,374</w:t>
            </w:r>
          </w:p>
        </w:tc>
        <w:tc>
          <w:tcPr>
            <w:tcW w:w="17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(13,819)</w:t>
            </w:r>
          </w:p>
        </w:tc>
        <w:tc>
          <w:tcPr>
            <w:tcW w:w="20" w:type="dxa"/>
            <w:vAlign w:val="bottom"/>
          </w:tcPr>
          <w:p>
            <w:pPr>
              <w:spacing w:after="0"/>
              <w:rPr>
                <w:sz w:val="16"/>
                <w:szCs w:val="16"/>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Pension/postretirement curtailment gain, net of tax</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(525)</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Consolidated Statements of Income, net of tax</w:t>
            </w:r>
          </w:p>
        </w:tc>
        <w:tc>
          <w:tcPr>
            <w:tcW w:w="16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w:t>
            </w:r>
          </w:p>
        </w:tc>
        <w:tc>
          <w:tcPr>
            <w:tcW w:w="13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379</w:t>
            </w:r>
          </w:p>
        </w:tc>
        <w:tc>
          <w:tcPr>
            <w:tcW w:w="20" w:type="dxa"/>
            <w:vAlign w:val="bottom"/>
          </w:tcPr>
          <w:p>
            <w:pPr>
              <w:spacing w:after="0"/>
              <w:rPr>
                <w:sz w:val="17"/>
                <w:szCs w:val="17"/>
                <w:color w:val="auto"/>
              </w:rPr>
            </w:pPr>
          </w:p>
        </w:tc>
      </w:tr>
      <w:tr>
        <w:trPr>
          <w:trHeight w:val="196"/>
        </w:trPr>
        <w:tc>
          <w:tcPr>
            <w:tcW w:w="5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(23,582)</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2,243</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7,479</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(13,860)</w:t>
            </w:r>
          </w:p>
        </w:tc>
        <w:tc>
          <w:tcPr>
            <w:tcW w:w="20" w:type="dxa"/>
            <w:vAlign w:val="bottom"/>
          </w:tcPr>
          <w:p>
            <w:pPr>
              <w:spacing w:after="0"/>
              <w:rPr>
                <w:sz w:val="17"/>
                <w:szCs w:val="17"/>
                <w:color w:val="auto"/>
              </w:rPr>
            </w:pPr>
          </w:p>
        </w:tc>
      </w:tr>
      <w:tr>
        <w:trPr>
          <w:trHeight w:val="196"/>
        </w:trPr>
        <w:tc>
          <w:tcPr>
            <w:tcW w:w="5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2018</w:t>
            </w: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($110,900)</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($48,293)</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$9,432</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($149,761)</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2016 to September 30, 2017: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rPr>
              <w:t>Pension and</w:t>
            </w: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Derivative</w:t>
            </w:r>
          </w:p>
        </w:tc>
        <w:tc>
          <w:tcPr>
            <w:tcW w:w="17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140" w:type="dxa"/>
            <w:vAlign w:val="bottom"/>
          </w:tcPr>
          <w:p>
            <w:pPr>
              <w:spacing w:after="0"/>
              <w:rPr>
                <w:sz w:val="17"/>
                <w:szCs w:val="17"/>
                <w:color w:val="auto"/>
              </w:rPr>
            </w:pPr>
          </w:p>
        </w:tc>
        <w:tc>
          <w:tcPr>
            <w:tcW w:w="16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Translation</w:t>
            </w:r>
          </w:p>
        </w:tc>
        <w:tc>
          <w:tcPr>
            <w:tcW w:w="16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liability</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valuation</w:t>
            </w:r>
          </w:p>
        </w:tc>
        <w:tc>
          <w:tcPr>
            <w:tcW w:w="17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Comprehensive</w:t>
            </w:r>
          </w:p>
        </w:tc>
      </w:tr>
      <w:tr>
        <w:trPr>
          <w:trHeight w:val="225"/>
        </w:trPr>
        <w:tc>
          <w:tcPr>
            <w:tcW w:w="51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adjustments</w:t>
            </w: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adjustments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adjustment</w:t>
            </w:r>
          </w:p>
        </w:tc>
        <w:tc>
          <w:tcPr>
            <w:tcW w:w="17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Income</w:t>
            </w:r>
          </w:p>
        </w:tc>
      </w:tr>
      <w:tr>
        <w:trPr>
          <w:trHeight w:val="196"/>
        </w:trPr>
        <w:tc>
          <w:tcPr>
            <w:tcW w:w="5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16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($133,298)</w:t>
            </w: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($51,719)</w:t>
            </w:r>
          </w:p>
        </w:tc>
        <w:tc>
          <w:tcPr>
            <w:tcW w:w="13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$828</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($184,189)</w:t>
            </w:r>
          </w:p>
        </w:tc>
        <w:tc>
          <w:tcPr>
            <w:tcW w:w="40" w:type="dxa"/>
            <w:vAlign w:val="bottom"/>
            <w:tcBorders>
              <w:bottom w:val="single" w:sz="8" w:color="auto"/>
            </w:tcBorders>
            <w:gridSpan w:val="2"/>
          </w:tcPr>
          <w:p>
            <w:pPr>
              <w:spacing w:after="0"/>
              <w:rPr>
                <w:sz w:val="17"/>
                <w:szCs w:val="17"/>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6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40,775</w:t>
            </w: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(1,427)</w:t>
            </w:r>
          </w:p>
        </w:tc>
        <w:tc>
          <w:tcPr>
            <w:tcW w:w="1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(679)</w:t>
            </w:r>
          </w:p>
        </w:tc>
        <w:tc>
          <w:tcPr>
            <w:tcW w:w="174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38,669</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768</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768</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Consolidated Statements of Income, net of tax</w:t>
            </w:r>
          </w:p>
        </w:tc>
        <w:tc>
          <w:tcPr>
            <w:tcW w:w="16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13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498</w:t>
            </w:r>
          </w:p>
        </w:tc>
        <w:tc>
          <w:tcPr>
            <w:tcW w:w="20" w:type="dxa"/>
            <w:vAlign w:val="bottom"/>
          </w:tcPr>
          <w:p>
            <w:pPr>
              <w:spacing w:after="0"/>
              <w:rPr>
                <w:sz w:val="17"/>
                <w:szCs w:val="17"/>
                <w:color w:val="auto"/>
              </w:rPr>
            </w:pPr>
          </w:p>
        </w:tc>
      </w:tr>
      <w:tr>
        <w:trPr>
          <w:trHeight w:val="196"/>
        </w:trPr>
        <w:tc>
          <w:tcPr>
            <w:tcW w:w="5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40,775</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(929)</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89</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39,935</w:t>
            </w:r>
          </w:p>
        </w:tc>
        <w:tc>
          <w:tcPr>
            <w:tcW w:w="20" w:type="dxa"/>
            <w:vAlign w:val="bottom"/>
            <w:tcBorders>
              <w:bottom w:val="single" w:sz="8" w:color="auto"/>
            </w:tcBorders>
          </w:tcPr>
          <w:p>
            <w:pPr>
              <w:spacing w:after="0"/>
              <w:rPr>
                <w:sz w:val="17"/>
                <w:szCs w:val="17"/>
                <w:color w:val="auto"/>
              </w:rPr>
            </w:pPr>
          </w:p>
        </w:tc>
      </w:tr>
      <w:tr>
        <w:trPr>
          <w:trHeight w:val="196"/>
        </w:trPr>
        <w:tc>
          <w:tcPr>
            <w:tcW w:w="5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2017</w:t>
            </w: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($92,523)</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($52,648)</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$917</w:t>
            </w:r>
          </w:p>
        </w:tc>
        <w:tc>
          <w:tcPr>
            <w:tcW w:w="174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($144,254)</w:t>
            </w: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periods ended September 30,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0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right"/>
              <w:ind w:right="430"/>
              <w:spacing w:after="0" w:line="194"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920" w:type="dxa"/>
            <w:vAlign w:val="bottom"/>
            <w:gridSpan w:val="2"/>
          </w:tcPr>
          <w:p>
            <w:pPr>
              <w:jc w:val="right"/>
              <w:ind w:right="9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3"/>
          </w:tcPr>
          <w:p>
            <w:pPr>
              <w:jc w:val="right"/>
              <w:ind w:right="76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2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40"/>
              <w:spacing w:after="0" w:line="202" w:lineRule="exact"/>
              <w:rPr>
                <w:sz w:val="20"/>
                <w:szCs w:val="20"/>
                <w:color w:val="auto"/>
              </w:rPr>
            </w:pPr>
            <w:r>
              <w:rPr>
                <w:rFonts w:ascii="Arial" w:cs="Arial" w:eastAsia="Arial" w:hAnsi="Arial"/>
                <w:sz w:val="18"/>
                <w:szCs w:val="18"/>
                <w:color w:val="auto"/>
              </w:rPr>
              <w:t>Expense related to interest rate swaps included in Income</w:t>
            </w:r>
          </w:p>
        </w:tc>
        <w:tc>
          <w:tcPr>
            <w:tcW w:w="15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($96)</w:t>
            </w:r>
          </w:p>
        </w:tc>
        <w:tc>
          <w:tcPr>
            <w:tcW w:w="1380" w:type="dxa"/>
            <w:vAlign w:val="bottom"/>
          </w:tcPr>
          <w:p>
            <w:pPr>
              <w:spacing w:after="0"/>
              <w:rPr>
                <w:sz w:val="17"/>
                <w:szCs w:val="17"/>
                <w:color w:val="auto"/>
              </w:rPr>
            </w:pP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$138</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tcPr>
          <w:p>
            <w:pPr>
              <w:ind w:left="140"/>
              <w:spacing w:after="0" w:line="181" w:lineRule="exact"/>
              <w:rPr>
                <w:sz w:val="20"/>
                <w:szCs w:val="20"/>
                <w:color w:val="auto"/>
              </w:rPr>
            </w:pPr>
            <w:r>
              <w:rPr>
                <w:rFonts w:ascii="Arial" w:cs="Arial" w:eastAsia="Arial" w:hAnsi="Arial"/>
                <w:sz w:val="18"/>
                <w:szCs w:val="18"/>
                <w:color w:val="auto"/>
              </w:rPr>
              <w:t>before taxes (a)</w:t>
            </w:r>
          </w:p>
        </w:tc>
        <w:tc>
          <w:tcPr>
            <w:tcW w:w="1540" w:type="dxa"/>
            <w:vAlign w:val="bottom"/>
            <w:vMerge w:val="continue"/>
          </w:tcPr>
          <w:p>
            <w:pPr>
              <w:spacing w:after="0"/>
              <w:rPr>
                <w:sz w:val="15"/>
                <w:szCs w:val="15"/>
                <w:color w:val="auto"/>
              </w:rPr>
            </w:pPr>
          </w:p>
        </w:tc>
        <w:tc>
          <w:tcPr>
            <w:tcW w:w="138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$295</w:t>
            </w:r>
          </w:p>
        </w:tc>
        <w:tc>
          <w:tcPr>
            <w:tcW w:w="1360" w:type="dxa"/>
            <w:vAlign w:val="bottom"/>
            <w:vMerge w:val="continue"/>
          </w:tcPr>
          <w:p>
            <w:pPr>
              <w:spacing w:after="0"/>
              <w:rPr>
                <w:sz w:val="15"/>
                <w:szCs w:val="15"/>
                <w:color w:val="auto"/>
              </w:rPr>
            </w:pPr>
          </w:p>
        </w:tc>
        <w:tc>
          <w:tcPr>
            <w:tcW w:w="114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effect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23</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(112)</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($73)</w:t>
            </w:r>
          </w:p>
        </w:tc>
        <w:tc>
          <w:tcPr>
            <w:tcW w:w="1380" w:type="dxa"/>
            <w:vAlign w:val="bottom"/>
          </w:tcPr>
          <w:p>
            <w:pPr>
              <w:spacing w:after="0"/>
              <w:rPr>
                <w:sz w:val="16"/>
                <w:szCs w:val="16"/>
                <w:color w:val="auto"/>
              </w:rPr>
            </w:pP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$105</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15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$183</w:t>
            </w:r>
          </w:p>
        </w:tc>
        <w:tc>
          <w:tcPr>
            <w:tcW w:w="13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5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($232)</w:t>
            </w:r>
          </w:p>
        </w:tc>
        <w:tc>
          <w:tcPr>
            <w:tcW w:w="1380" w:type="dxa"/>
            <w:vAlign w:val="bottom"/>
          </w:tcPr>
          <w:p>
            <w:pPr>
              <w:spacing w:after="0"/>
              <w:rPr>
                <w:sz w:val="19"/>
                <w:szCs w:val="19"/>
                <w:color w:val="auto"/>
              </w:rPr>
            </w:pP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($750)</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tcPr>
          <w:p>
            <w:pPr>
              <w:ind w:left="140"/>
              <w:spacing w:after="0" w:line="181" w:lineRule="exact"/>
              <w:rPr>
                <w:sz w:val="20"/>
                <w:szCs w:val="20"/>
                <w:color w:val="auto"/>
              </w:rPr>
            </w:pPr>
            <w:r>
              <w:rPr>
                <w:rFonts w:ascii="Arial" w:cs="Arial" w:eastAsia="Arial" w:hAnsi="Arial"/>
                <w:sz w:val="18"/>
                <w:szCs w:val="18"/>
                <w:color w:val="auto"/>
              </w:rPr>
              <w:t>Pension/postretirement curtailment gain (c)</w:t>
            </w:r>
          </w:p>
        </w:tc>
        <w:tc>
          <w:tcPr>
            <w:tcW w:w="1540" w:type="dxa"/>
            <w:vAlign w:val="bottom"/>
            <w:vMerge w:val="continue"/>
          </w:tcPr>
          <w:p>
            <w:pPr>
              <w:spacing w:after="0"/>
              <w:rPr>
                <w:sz w:val="15"/>
                <w:szCs w:val="15"/>
                <w:color w:val="auto"/>
              </w:rPr>
            </w:pPr>
          </w:p>
        </w:tc>
        <w:tc>
          <w:tcPr>
            <w:tcW w:w="138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w:t>
            </w:r>
          </w:p>
        </w:tc>
        <w:tc>
          <w:tcPr>
            <w:tcW w:w="1360" w:type="dxa"/>
            <w:vAlign w:val="bottom"/>
            <w:vMerge w:val="continue"/>
          </w:tcPr>
          <w:p>
            <w:pPr>
              <w:spacing w:after="0"/>
              <w:rPr>
                <w:sz w:val="15"/>
                <w:szCs w:val="15"/>
                <w:color w:val="auto"/>
              </w:rPr>
            </w:pPr>
          </w:p>
        </w:tc>
        <w:tc>
          <w:tcPr>
            <w:tcW w:w="1120" w:type="dxa"/>
            <w:vAlign w:val="bottom"/>
          </w:tcPr>
          <w:p>
            <w:pPr>
              <w:jc w:val="right"/>
              <w:ind w:right="5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prior service credit (b)</w:t>
            </w: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(1,114)</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(1,113)</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(3,341)</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net actuarial loss (b)</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1,294</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1,350</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3,882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w:t>
            </w:r>
          </w:p>
        </w:tc>
        <w:tc>
          <w:tcPr>
            <w:tcW w:w="154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(52)</w:t>
            </w:r>
          </w:p>
        </w:tc>
        <w:tc>
          <w:tcPr>
            <w:tcW w:w="13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237</w:t>
            </w:r>
          </w:p>
        </w:tc>
        <w:tc>
          <w:tcPr>
            <w:tcW w:w="136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(209)</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711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2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($36)</w:t>
            </w:r>
          </w:p>
        </w:tc>
        <w:tc>
          <w:tcPr>
            <w:tcW w:w="1380" w:type="dxa"/>
            <w:vAlign w:val="bottom"/>
          </w:tcPr>
          <w:p>
            <w:pPr>
              <w:spacing w:after="0"/>
              <w:rPr>
                <w:sz w:val="16"/>
                <w:szCs w:val="16"/>
                <w:color w:val="auto"/>
              </w:rPr>
            </w:pP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($146)</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15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$166</w:t>
            </w:r>
          </w:p>
        </w:tc>
        <w:tc>
          <w:tcPr>
            <w:tcW w:w="13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80" w:right="220" w:hanging="334"/>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Interest expense are payments related to the interest rate swap agreements and amortization of swap buyouts (see Note 16).</w:t>
      </w: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Other (income)/expense, net (see Note 4).</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curtailment adjustment was included in restructuring expenses, net (see Note 5).</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396"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Accounts receivable includes trade receivables and bank promissory notes. As a result of adopting ASC 606, Revenue in excess of progress billings on long-term contracts in the Albany Engineered Composites segment was reclassified to Contract assets in 2018. Including that reclassification, the cumulative effect from the adoption of ASC 606 was an increase to Accounts receivable of $7.7 million as Accounts receivable recorded in the cumulative adjustment exceeded that reclassification.</w:t>
      </w:r>
    </w:p>
    <w:p>
      <w:pPr>
        <w:spacing w:after="0" w:line="175"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and December 31, 2017, Accounts receivable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tcPr>
          <w:p>
            <w:pPr>
              <w:jc w:val="right"/>
              <w:ind w:right="530"/>
              <w:spacing w:after="0" w:line="194" w:lineRule="exact"/>
              <w:rPr>
                <w:sz w:val="20"/>
                <w:szCs w:val="20"/>
                <w:color w:val="auto"/>
              </w:rPr>
            </w:pPr>
            <w:r>
              <w:rPr>
                <w:rFonts w:ascii="Arial" w:cs="Arial" w:eastAsia="Arial" w:hAnsi="Arial"/>
                <w:sz w:val="18"/>
                <w:szCs w:val="18"/>
                <w:b w:val="1"/>
                <w:bCs w:val="1"/>
                <w:color w:val="auto"/>
              </w:rPr>
              <w:t>September 30,</w:t>
            </w:r>
          </w:p>
        </w:tc>
        <w:tc>
          <w:tcPr>
            <w:tcW w:w="1840" w:type="dxa"/>
            <w:vAlign w:val="bottom"/>
            <w:tcBorders>
              <w:top w:val="single" w:sz="8" w:color="auto"/>
            </w:tcBorders>
          </w:tcPr>
          <w:p>
            <w:pPr>
              <w:jc w:val="right"/>
              <w:ind w:right="350"/>
              <w:spacing w:after="0" w:line="194"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3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1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73"/>
        </w:trPr>
        <w:tc>
          <w:tcPr>
            <w:tcW w:w="540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1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$241,748</w:t>
            </w:r>
          </w:p>
        </w:tc>
        <w:tc>
          <w:tcPr>
            <w:tcW w:w="1840" w:type="dxa"/>
            <w:vAlign w:val="bottom"/>
          </w:tcPr>
          <w:p>
            <w:pPr>
              <w:jc w:val="right"/>
              <w:spacing w:after="0" w:line="173" w:lineRule="exact"/>
              <w:rPr>
                <w:sz w:val="20"/>
                <w:szCs w:val="20"/>
                <w:color w:val="auto"/>
              </w:rPr>
            </w:pPr>
            <w:r>
              <w:rPr>
                <w:rFonts w:ascii="Arial" w:cs="Arial" w:eastAsia="Arial" w:hAnsi="Arial"/>
                <w:sz w:val="18"/>
                <w:szCs w:val="18"/>
                <w:color w:val="auto"/>
              </w:rPr>
              <w:t>$152,375</w:t>
            </w:r>
          </w:p>
        </w:tc>
        <w:tc>
          <w:tcPr>
            <w:tcW w:w="20" w:type="dxa"/>
            <w:vAlign w:val="bottom"/>
          </w:tcPr>
          <w:p>
            <w:pPr>
              <w:spacing w:after="0"/>
              <w:rPr>
                <w:sz w:val="15"/>
                <w:szCs w:val="15"/>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18,390</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20,255</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37,964</w:t>
            </w:r>
          </w:p>
        </w:tc>
      </w:tr>
      <w:tr>
        <w:trPr>
          <w:trHeight w:val="22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(7,674)</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(7,919)</w:t>
            </w:r>
          </w:p>
        </w:tc>
      </w:tr>
      <w:tr>
        <w:trPr>
          <w:trHeight w:val="196"/>
        </w:trPr>
        <w:tc>
          <w:tcPr>
            <w:tcW w:w="5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$252,464</w:t>
            </w:r>
          </w:p>
        </w:tc>
        <w:tc>
          <w:tcPr>
            <w:tcW w:w="18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$202,675</w:t>
            </w:r>
          </w:p>
        </w:tc>
      </w:tr>
    </w:tbl>
    <w:p>
      <w:pPr>
        <w:spacing w:after="0" w:line="175"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In connection with certain sales in Asia, the Company accepts a bank promissory note as customer payment. The notes may be presented for payment at maturity, which is less than one year.</w:t>
      </w:r>
    </w:p>
    <w:p>
      <w:pPr>
        <w:spacing w:after="0" w:line="156"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The Company also has Noncurrent receivables in the AEC segment that represent revenue earned which has extended payment terms. The Noncurrent receivables will be invoiced to the customer, with 2% interest, over a 10-year period starting in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and December 31, 2017, Noncurrent receivables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Borders>
              <w:top w:val="single" w:sz="8" w:color="auto"/>
            </w:tcBorders>
          </w:tcPr>
          <w:p>
            <w:pPr>
              <w:spacing w:after="0"/>
              <w:rPr>
                <w:sz w:val="17"/>
                <w:szCs w:val="17"/>
                <w:color w:val="auto"/>
              </w:rPr>
            </w:pPr>
          </w:p>
        </w:tc>
        <w:tc>
          <w:tcPr>
            <w:tcW w:w="4780" w:type="dxa"/>
            <w:vAlign w:val="bottom"/>
            <w:tcBorders>
              <w:top w:val="single" w:sz="8" w:color="auto"/>
            </w:tcBorders>
          </w:tcPr>
          <w:p>
            <w:pPr>
              <w:jc w:val="center"/>
              <w:ind w:left="2210"/>
              <w:spacing w:after="0"/>
              <w:rPr>
                <w:sz w:val="20"/>
                <w:szCs w:val="20"/>
                <w:color w:val="auto"/>
              </w:rPr>
            </w:pPr>
            <w:r>
              <w:rPr>
                <w:rFonts w:ascii="Arial" w:cs="Arial" w:eastAsia="Arial" w:hAnsi="Arial"/>
                <w:sz w:val="18"/>
                <w:szCs w:val="18"/>
                <w:b w:val="1"/>
                <w:bCs w:val="1"/>
                <w:color w:val="auto"/>
              </w:rPr>
              <w:t>September 30,</w:t>
            </w:r>
          </w:p>
        </w:tc>
        <w:tc>
          <w:tcPr>
            <w:tcW w:w="18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r>
      <w:tr>
        <w:trPr>
          <w:trHeight w:val="246"/>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7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1"/>
                <w:szCs w:val="21"/>
                <w:color w:val="auto"/>
              </w:rPr>
            </w:pPr>
          </w:p>
        </w:tc>
      </w:tr>
      <w:tr>
        <w:trPr>
          <w:trHeight w:val="216"/>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receivables</w:t>
            </w:r>
          </w:p>
        </w:tc>
        <w:tc>
          <w:tcPr>
            <w:tcW w:w="4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$41,657</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$32,811</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Beginning in 2018, Contract assets includes unbilled amounts typically resulting from sales under contracts when the cost-to-cost method of revenue recognition is utilized, and revenue recognized exceeds the amount billed to the customer. For periods prior to 2018, that asset was included in Accounts receivable. At the date of adoption of ASC 606, we recorded Contract assets of $47.4 million, which included the amount that was in Accounts receivable as of December 31, 2017, and additional transition adjustments that resulted from the retrospective application of ASC 606 to contracts in process at the time of adoption.</w:t>
      </w:r>
    </w:p>
    <w:p>
      <w:pPr>
        <w:spacing w:after="0" w:line="162"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Contract assets are transferred to Accounts receivable, net when the entitlement to pay becomes unconditional. Contract liabilities include advance payments and billings in excess of</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revenue recognized. Contract liabilities are included in Accrued liabilities in the Consolidated Balance Sheet.</w:t>
      </w:r>
    </w:p>
    <w:p>
      <w:pPr>
        <w:spacing w:after="0" w:line="171"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 Contract assets and contract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20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9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c>
          <w:tcPr>
            <w:tcW w:w="20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2017</w:t>
            </w: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 assets</w:t>
            </w:r>
          </w:p>
        </w:tc>
        <w:tc>
          <w:tcPr>
            <w:tcW w:w="4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$56,100</w:t>
            </w: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w:t>
            </w:r>
          </w:p>
        </w:tc>
      </w:tr>
      <w:tr>
        <w:trPr>
          <w:trHeight w:val="21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 liabilities</w:t>
            </w:r>
          </w:p>
        </w:tc>
        <w:tc>
          <w:tcPr>
            <w:tcW w:w="4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6,310</w:t>
            </w: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Contract assets increased $ 8.7 million during the nine month period ended September 30, 2018 as compared to the January 1, 2018 opening balance sheet, as adjusted for the adoption of ASC 606 (see Note 2). The increase was primarily due to an increase in unbilled revenue related to the satisfaction of performance obligations, in excess of the amounts billed to customers. There were no impairment losses related to our Contract assets during the nine month period ended September 30, 2018.</w:t>
      </w:r>
    </w:p>
    <w:p>
      <w:pPr>
        <w:spacing w:after="0" w:line="16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Contract liabilities increased $5.6 million during the nine month period ended September 30, 2018, as compared to the January 1, 2018 opening balance sheet, as adjusted for the adoption of ASC 606, primarily due to increased billings in excess of revenue recognized. Revenue recognized for the nine month period ended September 30, 2018, that was included in the Contract liability balance at the beginning of the year was less than $1 million, and represented revenue primarily in the ASC reporting unit.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93"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 The decrease in Inventories in 2018, compared to the balances as of December 31, 2017, was principally due to the cumulative effect of adopting ASC 606 (see Note 2) which decreased Inventories by $47.1 million.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and December 31, 2017,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Borders>
              <w:top w:val="single" w:sz="8" w:color="auto"/>
            </w:tcBorders>
          </w:tcPr>
          <w:p>
            <w:pPr>
              <w:spacing w:after="0"/>
              <w:rPr>
                <w:sz w:val="17"/>
                <w:szCs w:val="17"/>
                <w:color w:val="auto"/>
              </w:rPr>
            </w:pPr>
          </w:p>
        </w:tc>
        <w:tc>
          <w:tcPr>
            <w:tcW w:w="50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8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r>
      <w:tr>
        <w:trPr>
          <w:trHeight w:val="246"/>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0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1"/>
                <w:szCs w:val="21"/>
                <w:color w:val="auto"/>
              </w:rPr>
            </w:pPr>
          </w:p>
        </w:tc>
      </w:tr>
      <w:tr>
        <w:trPr>
          <w:trHeight w:val="193"/>
        </w:trPr>
        <w:tc>
          <w:tcPr>
            <w:tcW w:w="4520" w:type="dxa"/>
            <w:vAlign w:val="bottom"/>
          </w:tcPr>
          <w:p>
            <w:pPr>
              <w:spacing w:after="0" w:line="194" w:lineRule="exact"/>
              <w:rPr>
                <w:sz w:val="20"/>
                <w:szCs w:val="20"/>
                <w:color w:val="auto"/>
              </w:rPr>
            </w:pPr>
            <w:r>
              <w:rPr>
                <w:rFonts w:ascii="Arial" w:cs="Arial" w:eastAsia="Arial" w:hAnsi="Arial"/>
                <w:sz w:val="18"/>
                <w:szCs w:val="18"/>
                <w:color w:val="auto"/>
              </w:rPr>
              <w:t>Raw materials</w:t>
            </w:r>
          </w:p>
        </w:tc>
        <w:tc>
          <w:tcPr>
            <w:tcW w:w="506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rPr>
              <w:t>$42,011</w:t>
            </w:r>
          </w:p>
        </w:tc>
        <w:tc>
          <w:tcPr>
            <w:tcW w:w="1840" w:type="dxa"/>
            <w:vAlign w:val="bottom"/>
          </w:tcPr>
          <w:p>
            <w:pPr>
              <w:jc w:val="right"/>
              <w:spacing w:after="0" w:line="194" w:lineRule="exact"/>
              <w:rPr>
                <w:sz w:val="20"/>
                <w:szCs w:val="20"/>
                <w:color w:val="auto"/>
              </w:rPr>
            </w:pPr>
            <w:r>
              <w:rPr>
                <w:rFonts w:ascii="Arial" w:cs="Arial" w:eastAsia="Arial" w:hAnsi="Arial"/>
                <w:sz w:val="18"/>
                <w:szCs w:val="18"/>
                <w:color w:val="auto"/>
              </w:rPr>
              <w:t>$42,215</w:t>
            </w:r>
          </w:p>
        </w:tc>
        <w:tc>
          <w:tcPr>
            <w:tcW w:w="20" w:type="dxa"/>
            <w:vAlign w:val="bottom"/>
          </w:tcPr>
          <w:p>
            <w:pPr>
              <w:spacing w:after="0"/>
              <w:rPr>
                <w:sz w:val="16"/>
                <w:szCs w:val="16"/>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Work in process</w:t>
            </w:r>
          </w:p>
        </w:tc>
        <w:tc>
          <w:tcPr>
            <w:tcW w:w="5060" w:type="dxa"/>
            <w:vAlign w:val="bottom"/>
          </w:tcPr>
          <w:p>
            <w:pPr>
              <w:jc w:val="right"/>
              <w:ind w:right="130"/>
              <w:spacing w:after="0"/>
              <w:rPr>
                <w:sz w:val="20"/>
                <w:szCs w:val="20"/>
                <w:color w:val="auto"/>
              </w:rPr>
            </w:pPr>
            <w:r>
              <w:rPr>
                <w:rFonts w:ascii="Arial" w:cs="Arial" w:eastAsia="Arial" w:hAnsi="Arial"/>
                <w:sz w:val="18"/>
                <w:szCs w:val="18"/>
                <w:b w:val="1"/>
                <w:bCs w:val="1"/>
                <w:color w:val="auto"/>
              </w:rPr>
              <w:t>45,621</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65,448</w:t>
            </w:r>
          </w:p>
        </w:tc>
      </w:tr>
      <w:tr>
        <w:trPr>
          <w:trHeight w:val="239"/>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5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12,133</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28,856</w:t>
            </w:r>
          </w:p>
        </w:tc>
      </w:tr>
      <w:tr>
        <w:trPr>
          <w:trHeight w:val="2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inventories</w:t>
            </w:r>
          </w:p>
        </w:tc>
        <w:tc>
          <w:tcPr>
            <w:tcW w:w="5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$99,765</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$136,519</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220"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8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the second quarter of 2018, the Company applied the qualitative assessment approach in performing its annual evaluation of goodwill and concluded that no impairment provision was required. There were no amounts at risk due to the large spread between the fair and carrying value of each reporting unit.</w:t>
      </w:r>
    </w:p>
    <w:p>
      <w:pPr>
        <w:spacing w:after="0" w:line="189" w:lineRule="exact"/>
        <w:rPr>
          <w:sz w:val="20"/>
          <w:szCs w:val="20"/>
          <w:color w:val="auto"/>
        </w:rPr>
      </w:pPr>
    </w:p>
    <w:p>
      <w:pPr>
        <w:ind w:right="320" w:firstLine="648"/>
        <w:spacing w:after="0"/>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September 30, 2018 and December 31, 2017, were as follows: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Weighted average</w:t>
            </w:r>
          </w:p>
        </w:tc>
        <w:tc>
          <w:tcPr>
            <w:tcW w:w="15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Gross</w:t>
            </w:r>
          </w:p>
        </w:tc>
        <w:tc>
          <w:tcPr>
            <w:tcW w:w="19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2018</w:t>
            </w:r>
          </w:p>
        </w:tc>
        <w:tc>
          <w:tcPr>
            <w:tcW w:w="2700" w:type="dxa"/>
            <w:vAlign w:val="bottom"/>
          </w:tcPr>
          <w:p>
            <w:pPr>
              <w:jc w:val="center"/>
              <w:ind w:left="330"/>
              <w:spacing w:after="0"/>
              <w:rPr>
                <w:sz w:val="20"/>
                <w:szCs w:val="20"/>
                <w:color w:val="auto"/>
              </w:rPr>
            </w:pPr>
            <w:r>
              <w:rPr>
                <w:rFonts w:ascii="Arial" w:cs="Arial" w:eastAsia="Arial" w:hAnsi="Arial"/>
                <w:sz w:val="18"/>
                <w:szCs w:val="18"/>
                <w:b w:val="1"/>
                <w:bCs w:val="1"/>
                <w:color w:val="auto"/>
              </w:rPr>
              <w:t>amortization life in</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carrying</w:t>
            </w: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Accumulated</w:t>
            </w: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 carrying</w:t>
            </w:r>
          </w:p>
        </w:tc>
      </w:tr>
      <w:tr>
        <w:trPr>
          <w:trHeight w:val="246"/>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7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rPr>
              <w:t>years</w:t>
            </w:r>
          </w:p>
        </w:tc>
        <w:tc>
          <w:tcPr>
            <w:tcW w:w="1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amount</w:t>
            </w:r>
          </w:p>
        </w:tc>
        <w:tc>
          <w:tcPr>
            <w:tcW w:w="1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amortization</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431"/>
        </w:trPr>
        <w:tc>
          <w:tcPr>
            <w:tcW w:w="36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AEC trade names</w:t>
            </w:r>
          </w:p>
        </w:tc>
        <w:tc>
          <w:tcPr>
            <w:tcW w:w="2700" w:type="dxa"/>
            <w:vAlign w:val="bottom"/>
          </w:tcPr>
          <w:p>
            <w:pPr>
              <w:jc w:val="center"/>
              <w:ind w:left="330"/>
              <w:spacing w:after="0"/>
              <w:rPr>
                <w:sz w:val="20"/>
                <w:szCs w:val="20"/>
                <w:color w:val="auto"/>
              </w:rPr>
            </w:pPr>
            <w:r>
              <w:rPr>
                <w:rFonts w:ascii="Arial" w:cs="Arial" w:eastAsia="Arial" w:hAnsi="Arial"/>
                <w:sz w:val="18"/>
                <w:szCs w:val="18"/>
                <w:color w:val="auto"/>
                <w:w w:val="99"/>
              </w:rPr>
              <w:t>15</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$140</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AEC technology</w:t>
            </w:r>
          </w:p>
        </w:tc>
        <w:tc>
          <w:tcPr>
            <w:tcW w:w="2700" w:type="dxa"/>
            <w:vAlign w:val="bottom"/>
          </w:tcPr>
          <w:p>
            <w:pPr>
              <w:jc w:val="center"/>
              <w:ind w:left="330"/>
              <w:spacing w:after="0"/>
              <w:rPr>
                <w:sz w:val="20"/>
                <w:szCs w:val="20"/>
                <w:color w:val="auto"/>
              </w:rPr>
            </w:pPr>
            <w:r>
              <w:rPr>
                <w:rFonts w:ascii="Arial" w:cs="Arial" w:eastAsia="Arial" w:hAnsi="Arial"/>
                <w:sz w:val="18"/>
                <w:szCs w:val="18"/>
                <w:color w:val="auto"/>
                <w:w w:val="99"/>
              </w:rPr>
              <w:t>15</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370</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700" w:type="dxa"/>
            <w:vAlign w:val="bottom"/>
          </w:tcPr>
          <w:p>
            <w:pPr>
              <w:jc w:val="center"/>
              <w:ind w:left="330"/>
              <w:spacing w:after="0"/>
              <w:rPr>
                <w:sz w:val="20"/>
                <w:szCs w:val="20"/>
                <w:color w:val="auto"/>
              </w:rPr>
            </w:pPr>
            <w:r>
              <w:rPr>
                <w:rFonts w:ascii="Arial" w:cs="Arial" w:eastAsia="Arial" w:hAnsi="Arial"/>
                <w:sz w:val="18"/>
                <w:szCs w:val="18"/>
                <w:color w:val="auto"/>
                <w:w w:val="99"/>
              </w:rPr>
              <w:t>15</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48,421</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(8,076)</w:t>
            </w:r>
          </w:p>
        </w:tc>
        <w:tc>
          <w:tcPr>
            <w:tcW w:w="1520" w:type="dxa"/>
            <w:vAlign w:val="bottom"/>
          </w:tcPr>
          <w:p>
            <w:pPr>
              <w:jc w:val="right"/>
              <w:spacing w:after="0"/>
              <w:rPr>
                <w:sz w:val="20"/>
                <w:szCs w:val="20"/>
                <w:color w:val="auto"/>
              </w:rPr>
            </w:pPr>
            <w:r>
              <w:rPr>
                <w:rFonts w:ascii="Arial" w:cs="Arial" w:eastAsia="Arial" w:hAnsi="Arial"/>
                <w:sz w:val="18"/>
                <w:szCs w:val="18"/>
                <w:color w:val="auto"/>
              </w:rPr>
              <w:t>40,345</w:t>
            </w: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Customer contracts</w:t>
            </w:r>
          </w:p>
        </w:tc>
        <w:tc>
          <w:tcPr>
            <w:tcW w:w="2700" w:type="dxa"/>
            <w:vAlign w:val="bottom"/>
          </w:tcPr>
          <w:p>
            <w:pPr>
              <w:jc w:val="center"/>
              <w:ind w:left="310"/>
              <w:spacing w:after="0"/>
              <w:rPr>
                <w:sz w:val="20"/>
                <w:szCs w:val="20"/>
                <w:color w:val="auto"/>
              </w:rPr>
            </w:pPr>
            <w:r>
              <w:rPr>
                <w:rFonts w:ascii="Arial" w:cs="Arial" w:eastAsia="Arial" w:hAnsi="Arial"/>
                <w:sz w:val="18"/>
                <w:szCs w:val="18"/>
                <w:color w:val="auto"/>
                <w:w w:val="99"/>
              </w:rPr>
              <w:t>6</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17,471</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(7,287)</w:t>
            </w:r>
          </w:p>
        </w:tc>
        <w:tc>
          <w:tcPr>
            <w:tcW w:w="1520" w:type="dxa"/>
            <w:vAlign w:val="bottom"/>
          </w:tcPr>
          <w:p>
            <w:pPr>
              <w:jc w:val="right"/>
              <w:spacing w:after="0"/>
              <w:rPr>
                <w:sz w:val="20"/>
                <w:szCs w:val="20"/>
                <w:color w:val="auto"/>
              </w:rPr>
            </w:pPr>
            <w:r>
              <w:rPr>
                <w:rFonts w:ascii="Arial" w:cs="Arial" w:eastAsia="Arial" w:hAnsi="Arial"/>
                <w:sz w:val="18"/>
                <w:szCs w:val="18"/>
                <w:color w:val="auto"/>
              </w:rPr>
              <w:t>10,184</w:t>
            </w:r>
          </w:p>
        </w:tc>
      </w:tr>
      <w:tr>
        <w:trPr>
          <w:trHeight w:val="217"/>
        </w:trPr>
        <w:tc>
          <w:tcPr>
            <w:tcW w:w="20" w:type="dxa"/>
            <w:vAlign w:val="bottom"/>
          </w:tcPr>
          <w:p>
            <w:pPr>
              <w:spacing w:after="0"/>
              <w:rPr>
                <w:sz w:val="18"/>
                <w:szCs w:val="18"/>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intangibles</w:t>
            </w:r>
          </w:p>
        </w:tc>
        <w:tc>
          <w:tcPr>
            <w:tcW w:w="27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5</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322</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10"/>
        </w:trPr>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amortized intangible assets</w:t>
            </w:r>
          </w:p>
        </w:tc>
        <w:tc>
          <w:tcPr>
            <w:tcW w:w="2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$66,724</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($15,959)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$50,765</w:t>
            </w:r>
          </w:p>
        </w:tc>
      </w:tr>
      <w:tr>
        <w:trPr>
          <w:trHeight w:val="425"/>
        </w:trPr>
        <w:tc>
          <w:tcPr>
            <w:tcW w:w="364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MC Goodwill</w:t>
            </w:r>
          </w:p>
        </w:tc>
        <w:tc>
          <w:tcPr>
            <w:tcW w:w="2700" w:type="dxa"/>
            <w:vAlign w:val="bottom"/>
          </w:tcPr>
          <w:p>
            <w:pPr>
              <w:spacing w:after="0"/>
              <w:rPr>
                <w:sz w:val="18"/>
                <w:szCs w:val="18"/>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$69,373</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$69,373</w:t>
            </w:r>
          </w:p>
        </w:tc>
      </w:tr>
      <w:tr>
        <w:trPr>
          <w:trHeight w:val="217"/>
        </w:trPr>
        <w:tc>
          <w:tcPr>
            <w:tcW w:w="20" w:type="dxa"/>
            <w:vAlign w:val="bottom"/>
          </w:tcPr>
          <w:p>
            <w:pPr>
              <w:spacing w:after="0"/>
              <w:rPr>
                <w:sz w:val="18"/>
                <w:szCs w:val="18"/>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AEC Goodwill</w:t>
            </w:r>
          </w:p>
        </w:tc>
        <w:tc>
          <w:tcPr>
            <w:tcW w:w="2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95,730</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95,730</w:t>
            </w:r>
          </w:p>
        </w:tc>
      </w:tr>
      <w:tr>
        <w:trPr>
          <w:trHeight w:val="210"/>
        </w:trPr>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unamortized intangible assets:</w:t>
            </w:r>
          </w:p>
        </w:tc>
        <w:tc>
          <w:tcPr>
            <w:tcW w:w="2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$165,103</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$165,103</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8"/>
              </w:rPr>
              <w:t>Weighted average</w:t>
            </w:r>
          </w:p>
        </w:tc>
        <w:tc>
          <w:tcPr>
            <w:tcW w:w="14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Gross</w:t>
            </w:r>
          </w:p>
        </w:tc>
        <w:tc>
          <w:tcPr>
            <w:tcW w:w="17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2360" w:type="dxa"/>
            <w:vAlign w:val="bottom"/>
          </w:tcPr>
          <w:p>
            <w:pPr>
              <w:jc w:val="center"/>
              <w:ind w:left="70"/>
              <w:spacing w:after="0"/>
              <w:rPr>
                <w:sz w:val="20"/>
                <w:szCs w:val="20"/>
                <w:color w:val="auto"/>
              </w:rPr>
            </w:pPr>
            <w:r>
              <w:rPr>
                <w:rFonts w:ascii="Arial" w:cs="Arial" w:eastAsia="Arial" w:hAnsi="Arial"/>
                <w:sz w:val="18"/>
                <w:szCs w:val="18"/>
                <w:b w:val="1"/>
                <w:bCs w:val="1"/>
                <w:color w:val="auto"/>
              </w:rPr>
              <w:t>amortization life in</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carrying</w:t>
            </w:r>
          </w:p>
        </w:tc>
        <w:tc>
          <w:tcPr>
            <w:tcW w:w="1780" w:type="dxa"/>
            <w:vAlign w:val="bottom"/>
          </w:tcPr>
          <w:p>
            <w:pPr>
              <w:jc w:val="right"/>
              <w:ind w:right="369"/>
              <w:spacing w:after="0"/>
              <w:rPr>
                <w:sz w:val="20"/>
                <w:szCs w:val="20"/>
                <w:color w:val="auto"/>
              </w:rPr>
            </w:pPr>
            <w:r>
              <w:rPr>
                <w:rFonts w:ascii="Arial" w:cs="Arial" w:eastAsia="Arial" w:hAnsi="Arial"/>
                <w:sz w:val="18"/>
                <w:szCs w:val="18"/>
                <w:b w:val="1"/>
                <w:bCs w:val="1"/>
                <w:color w:val="auto"/>
              </w:rPr>
              <w:t>Accumulated</w:t>
            </w: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Net carrying</w:t>
            </w:r>
          </w:p>
        </w:tc>
      </w:tr>
      <w:tr>
        <w:trPr>
          <w:trHeight w:val="246"/>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years</w:t>
            </w: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amount</w:t>
            </w:r>
          </w:p>
        </w:tc>
        <w:tc>
          <w:tcPr>
            <w:tcW w:w="1780" w:type="dxa"/>
            <w:vAlign w:val="bottom"/>
            <w:tcBorders>
              <w:bottom w:val="single" w:sz="8" w:color="auto"/>
            </w:tcBorders>
          </w:tcPr>
          <w:p>
            <w:pPr>
              <w:jc w:val="right"/>
              <w:ind w:right="389"/>
              <w:spacing w:after="0"/>
              <w:rPr>
                <w:sz w:val="20"/>
                <w:szCs w:val="20"/>
                <w:color w:val="auto"/>
              </w:rPr>
            </w:pPr>
            <w:r>
              <w:rPr>
                <w:rFonts w:ascii="Arial" w:cs="Arial" w:eastAsia="Arial" w:hAnsi="Arial"/>
                <w:sz w:val="18"/>
                <w:szCs w:val="18"/>
                <w:b w:val="1"/>
                <w:bCs w:val="1"/>
                <w:color w:val="auto"/>
              </w:rPr>
              <w:t>amortization</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431"/>
        </w:trPr>
        <w:tc>
          <w:tcPr>
            <w:tcW w:w="332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AEC trade names</w:t>
            </w:r>
          </w:p>
        </w:tc>
        <w:tc>
          <w:tcPr>
            <w:tcW w:w="2360" w:type="dxa"/>
            <w:vAlign w:val="bottom"/>
          </w:tcPr>
          <w:p>
            <w:pPr>
              <w:jc w:val="center"/>
              <w:ind w:left="70"/>
              <w:spacing w:after="0"/>
              <w:rPr>
                <w:sz w:val="20"/>
                <w:szCs w:val="20"/>
                <w:color w:val="auto"/>
              </w:rPr>
            </w:pPr>
            <w:r>
              <w:rPr>
                <w:rFonts w:ascii="Arial" w:cs="Arial" w:eastAsia="Arial" w:hAnsi="Arial"/>
                <w:sz w:val="18"/>
                <w:szCs w:val="18"/>
                <w:color w:val="auto"/>
                <w:w w:val="99"/>
              </w:rPr>
              <w:t>15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$140</w:t>
            </w:r>
          </w:p>
        </w:tc>
        <w:tc>
          <w:tcPr>
            <w:tcW w:w="1780" w:type="dxa"/>
            <w:vAlign w:val="bottom"/>
          </w:tcPr>
          <w:p>
            <w:pPr>
              <w:jc w:val="right"/>
              <w:ind w:right="49"/>
              <w:spacing w:after="0"/>
              <w:rPr>
                <w:sz w:val="20"/>
                <w:szCs w:val="20"/>
                <w:color w:val="auto"/>
              </w:rPr>
            </w:pPr>
            <w:r>
              <w:rPr>
                <w:rFonts w:ascii="Arial" w:cs="Arial" w:eastAsia="Arial" w:hAnsi="Arial"/>
                <w:sz w:val="18"/>
                <w:szCs w:val="18"/>
                <w:color w:val="auto"/>
              </w:rPr>
              <w:t>($125)</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AEC technology</w:t>
            </w:r>
          </w:p>
        </w:tc>
        <w:tc>
          <w:tcPr>
            <w:tcW w:w="2360" w:type="dxa"/>
            <w:vAlign w:val="bottom"/>
          </w:tcPr>
          <w:p>
            <w:pPr>
              <w:jc w:val="center"/>
              <w:ind w:left="70"/>
              <w:spacing w:after="0"/>
              <w:rPr>
                <w:sz w:val="20"/>
                <w:szCs w:val="20"/>
                <w:color w:val="auto"/>
              </w:rPr>
            </w:pPr>
            <w:r>
              <w:rPr>
                <w:rFonts w:ascii="Arial" w:cs="Arial" w:eastAsia="Arial" w:hAnsi="Arial"/>
                <w:sz w:val="18"/>
                <w:szCs w:val="18"/>
                <w:color w:val="auto"/>
                <w:w w:val="99"/>
              </w:rPr>
              <w:t>15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370</w:t>
            </w:r>
          </w:p>
        </w:tc>
        <w:tc>
          <w:tcPr>
            <w:tcW w:w="1780" w:type="dxa"/>
            <w:vAlign w:val="bottom"/>
          </w:tcPr>
          <w:p>
            <w:pPr>
              <w:jc w:val="right"/>
              <w:ind w:right="49"/>
              <w:spacing w:after="0"/>
              <w:rPr>
                <w:sz w:val="20"/>
                <w:szCs w:val="20"/>
                <w:color w:val="auto"/>
              </w:rPr>
            </w:pPr>
            <w:r>
              <w:rPr>
                <w:rFonts w:ascii="Arial" w:cs="Arial" w:eastAsia="Arial" w:hAnsi="Arial"/>
                <w:sz w:val="18"/>
                <w:szCs w:val="18"/>
                <w:color w:val="auto"/>
              </w:rPr>
              <w:t>(290)</w:t>
            </w: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360" w:type="dxa"/>
            <w:vAlign w:val="bottom"/>
          </w:tcPr>
          <w:p>
            <w:pPr>
              <w:jc w:val="center"/>
              <w:ind w:left="70"/>
              <w:spacing w:after="0"/>
              <w:rPr>
                <w:sz w:val="20"/>
                <w:szCs w:val="20"/>
                <w:color w:val="auto"/>
              </w:rPr>
            </w:pPr>
            <w:r>
              <w:rPr>
                <w:rFonts w:ascii="Arial" w:cs="Arial" w:eastAsia="Arial" w:hAnsi="Arial"/>
                <w:sz w:val="18"/>
                <w:szCs w:val="18"/>
                <w:color w:val="auto"/>
                <w:w w:val="99"/>
              </w:rPr>
              <w:t>15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48,421</w:t>
            </w:r>
          </w:p>
        </w:tc>
        <w:tc>
          <w:tcPr>
            <w:tcW w:w="1780" w:type="dxa"/>
            <w:vAlign w:val="bottom"/>
          </w:tcPr>
          <w:p>
            <w:pPr>
              <w:jc w:val="right"/>
              <w:ind w:right="49"/>
              <w:spacing w:after="0"/>
              <w:rPr>
                <w:sz w:val="20"/>
                <w:szCs w:val="20"/>
                <w:color w:val="auto"/>
              </w:rPr>
            </w:pPr>
            <w:r>
              <w:rPr>
                <w:rFonts w:ascii="Arial" w:cs="Arial" w:eastAsia="Arial" w:hAnsi="Arial"/>
                <w:sz w:val="18"/>
                <w:szCs w:val="18"/>
                <w:color w:val="auto"/>
              </w:rPr>
              <w:t>(5,654)</w:t>
            </w:r>
          </w:p>
        </w:tc>
        <w:tc>
          <w:tcPr>
            <w:tcW w:w="1400" w:type="dxa"/>
            <w:vAlign w:val="bottom"/>
          </w:tcPr>
          <w:p>
            <w:pPr>
              <w:jc w:val="right"/>
              <w:spacing w:after="0"/>
              <w:rPr>
                <w:sz w:val="20"/>
                <w:szCs w:val="20"/>
                <w:color w:val="auto"/>
              </w:rPr>
            </w:pPr>
            <w:r>
              <w:rPr>
                <w:rFonts w:ascii="Arial" w:cs="Arial" w:eastAsia="Arial" w:hAnsi="Arial"/>
                <w:sz w:val="18"/>
                <w:szCs w:val="18"/>
                <w:color w:val="auto"/>
              </w:rPr>
              <w:t>42,767</w:t>
            </w: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Customer contracts</w:t>
            </w:r>
          </w:p>
        </w:tc>
        <w:tc>
          <w:tcPr>
            <w:tcW w:w="2360" w:type="dxa"/>
            <w:vAlign w:val="bottom"/>
          </w:tcPr>
          <w:p>
            <w:pPr>
              <w:jc w:val="center"/>
              <w:ind w:left="50"/>
              <w:spacing w:after="0"/>
              <w:rPr>
                <w:sz w:val="20"/>
                <w:szCs w:val="20"/>
                <w:color w:val="auto"/>
              </w:rPr>
            </w:pPr>
            <w:r>
              <w:rPr>
                <w:rFonts w:ascii="Arial" w:cs="Arial" w:eastAsia="Arial" w:hAnsi="Arial"/>
                <w:sz w:val="18"/>
                <w:szCs w:val="18"/>
                <w:color w:val="auto"/>
                <w:w w:val="99"/>
              </w:rPr>
              <w:t>6</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17,471</w:t>
            </w:r>
          </w:p>
        </w:tc>
        <w:tc>
          <w:tcPr>
            <w:tcW w:w="1780" w:type="dxa"/>
            <w:vAlign w:val="bottom"/>
          </w:tcPr>
          <w:p>
            <w:pPr>
              <w:jc w:val="right"/>
              <w:ind w:right="49"/>
              <w:spacing w:after="0"/>
              <w:rPr>
                <w:sz w:val="20"/>
                <w:szCs w:val="20"/>
                <w:color w:val="auto"/>
              </w:rPr>
            </w:pPr>
            <w:r>
              <w:rPr>
                <w:rFonts w:ascii="Arial" w:cs="Arial" w:eastAsia="Arial" w:hAnsi="Arial"/>
                <w:sz w:val="18"/>
                <w:szCs w:val="18"/>
                <w:color w:val="auto"/>
              </w:rPr>
              <w:t>(5,102)</w:t>
            </w:r>
          </w:p>
        </w:tc>
        <w:tc>
          <w:tcPr>
            <w:tcW w:w="1400" w:type="dxa"/>
            <w:vAlign w:val="bottom"/>
          </w:tcPr>
          <w:p>
            <w:pPr>
              <w:jc w:val="right"/>
              <w:spacing w:after="0"/>
              <w:rPr>
                <w:sz w:val="20"/>
                <w:szCs w:val="20"/>
                <w:color w:val="auto"/>
              </w:rPr>
            </w:pPr>
            <w:r>
              <w:rPr>
                <w:rFonts w:ascii="Arial" w:cs="Arial" w:eastAsia="Arial" w:hAnsi="Arial"/>
                <w:sz w:val="18"/>
                <w:szCs w:val="18"/>
                <w:color w:val="auto"/>
              </w:rPr>
              <w:t>12,369</w:t>
            </w:r>
          </w:p>
        </w:tc>
      </w:tr>
      <w:tr>
        <w:trPr>
          <w:trHeight w:val="217"/>
        </w:trPr>
        <w:tc>
          <w:tcPr>
            <w:tcW w:w="20" w:type="dxa"/>
            <w:vAlign w:val="bottom"/>
          </w:tcPr>
          <w:p>
            <w:pPr>
              <w:spacing w:after="0"/>
              <w:rPr>
                <w:sz w:val="18"/>
                <w:szCs w:val="18"/>
                <w:color w:val="auto"/>
              </w:rPr>
            </w:pPr>
          </w:p>
        </w:tc>
        <w:tc>
          <w:tcPr>
            <w:tcW w:w="3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intangibles</w:t>
            </w:r>
          </w:p>
        </w:tc>
        <w:tc>
          <w:tcPr>
            <w:tcW w:w="23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5</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322</w:t>
            </w:r>
          </w:p>
        </w:tc>
        <w:tc>
          <w:tcPr>
            <w:tcW w:w="178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(112)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10"/>
        </w:trPr>
        <w:tc>
          <w:tcPr>
            <w:tcW w:w="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amortized intangible assets</w:t>
            </w:r>
          </w:p>
        </w:tc>
        <w:tc>
          <w:tcPr>
            <w:tcW w:w="2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$66,724</w:t>
            </w:r>
          </w:p>
        </w:tc>
        <w:tc>
          <w:tcPr>
            <w:tcW w:w="178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($11,283)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$55,441</w:t>
            </w:r>
          </w:p>
        </w:tc>
      </w:tr>
      <w:tr>
        <w:trPr>
          <w:trHeight w:val="425"/>
        </w:trPr>
        <w:tc>
          <w:tcPr>
            <w:tcW w:w="332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MC Goodwill</w:t>
            </w:r>
          </w:p>
        </w:tc>
        <w:tc>
          <w:tcPr>
            <w:tcW w:w="23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$71,066</w:t>
            </w:r>
          </w:p>
        </w:tc>
        <w:tc>
          <w:tcPr>
            <w:tcW w:w="1780" w:type="dxa"/>
            <w:vAlign w:val="bottom"/>
          </w:tcPr>
          <w:p>
            <w:pPr>
              <w:jc w:val="right"/>
              <w:ind w:right="49"/>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$71,066</w:t>
            </w:r>
          </w:p>
        </w:tc>
      </w:tr>
      <w:tr>
        <w:trPr>
          <w:trHeight w:val="217"/>
        </w:trPr>
        <w:tc>
          <w:tcPr>
            <w:tcW w:w="20" w:type="dxa"/>
            <w:vAlign w:val="bottom"/>
          </w:tcPr>
          <w:p>
            <w:pPr>
              <w:spacing w:after="0"/>
              <w:rPr>
                <w:sz w:val="18"/>
                <w:szCs w:val="18"/>
                <w:color w:val="auto"/>
              </w:rPr>
            </w:pPr>
          </w:p>
        </w:tc>
        <w:tc>
          <w:tcPr>
            <w:tcW w:w="3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AEC Goodwill</w:t>
            </w:r>
          </w:p>
        </w:tc>
        <w:tc>
          <w:tcPr>
            <w:tcW w:w="2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95,730</w:t>
            </w:r>
          </w:p>
        </w:tc>
        <w:tc>
          <w:tcPr>
            <w:tcW w:w="178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95,730</w:t>
            </w:r>
          </w:p>
        </w:tc>
      </w:tr>
      <w:tr>
        <w:trPr>
          <w:trHeight w:val="210"/>
        </w:trPr>
        <w:tc>
          <w:tcPr>
            <w:tcW w:w="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unamortized intangible assets:</w:t>
            </w:r>
          </w:p>
        </w:tc>
        <w:tc>
          <w:tcPr>
            <w:tcW w:w="2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$166,796</w:t>
            </w:r>
          </w:p>
        </w:tc>
        <w:tc>
          <w:tcPr>
            <w:tcW w:w="1780" w:type="dxa"/>
            <w:vAlign w:val="bottom"/>
            <w:tcBorders>
              <w:bottom w:val="single" w:sz="8" w:color="auto"/>
            </w:tcBorders>
          </w:tcPr>
          <w:p>
            <w:pPr>
              <w:jc w:val="right"/>
              <w:ind w:right="49"/>
              <w:spacing w:after="0" w:line="209"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$166,796</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intangible assets, net and goodwill from December 31, 2017 to September 30, 2018, were as follows: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December</w:t>
            </w:r>
          </w:p>
        </w:tc>
        <w:tc>
          <w:tcPr>
            <w:tcW w:w="19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Currency</w:t>
            </w: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31, 2017</w:t>
            </w:r>
          </w:p>
        </w:tc>
        <w:tc>
          <w:tcPr>
            <w:tcW w:w="1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Amortization</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Translation</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431"/>
        </w:trPr>
        <w:tc>
          <w:tcPr>
            <w:tcW w:w="380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ind w:left="160"/>
              <w:spacing w:after="0" w:line="195" w:lineRule="exact"/>
              <w:rPr>
                <w:sz w:val="20"/>
                <w:szCs w:val="20"/>
                <w:color w:val="auto"/>
              </w:rPr>
            </w:pPr>
            <w:r>
              <w:rPr>
                <w:rFonts w:ascii="Arial" w:cs="Arial" w:eastAsia="Arial" w:hAnsi="Arial"/>
                <w:sz w:val="18"/>
                <w:szCs w:val="18"/>
                <w:color w:val="auto"/>
              </w:rPr>
              <w:t>AEC trade names</w:t>
            </w:r>
          </w:p>
        </w:tc>
        <w:tc>
          <w:tcPr>
            <w:tcW w:w="24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$15</w:t>
            </w:r>
          </w:p>
        </w:tc>
        <w:tc>
          <w:tcPr>
            <w:tcW w:w="1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w:t>
            </w:r>
          </w:p>
        </w:tc>
        <w:tc>
          <w:tcPr>
            <w:tcW w:w="15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AEC technology</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42,767</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(2,422)</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Customer contracts</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12,369</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(2,185)</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10,184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intangibles</w:t>
            </w:r>
          </w:p>
        </w:tc>
        <w:tc>
          <w:tcPr>
            <w:tcW w:w="2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w:t>
            </w: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amortized intangible assets</w:t>
            </w:r>
          </w:p>
        </w:tc>
        <w:tc>
          <w:tcPr>
            <w:tcW w:w="2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$55,441</w:t>
            </w: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($4,676)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$50,765</w:t>
            </w:r>
          </w:p>
        </w:tc>
        <w:tc>
          <w:tcPr>
            <w:tcW w:w="0" w:type="dxa"/>
            <w:vAlign w:val="bottom"/>
          </w:tcPr>
          <w:p>
            <w:pPr>
              <w:spacing w:after="0"/>
              <w:rPr>
                <w:sz w:val="1"/>
                <w:szCs w:val="1"/>
                <w:color w:val="auto"/>
              </w:rPr>
            </w:pPr>
          </w:p>
        </w:tc>
      </w:tr>
      <w:tr>
        <w:trPr>
          <w:trHeight w:val="425"/>
        </w:trPr>
        <w:tc>
          <w:tcPr>
            <w:tcW w:w="380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$69,373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ind w:left="160"/>
              <w:spacing w:after="0" w:line="195" w:lineRule="exact"/>
              <w:rPr>
                <w:sz w:val="20"/>
                <w:szCs w:val="20"/>
                <w:color w:val="auto"/>
              </w:rPr>
            </w:pPr>
            <w:r>
              <w:rPr>
                <w:rFonts w:ascii="Arial" w:cs="Arial" w:eastAsia="Arial" w:hAnsi="Arial"/>
                <w:sz w:val="18"/>
                <w:szCs w:val="18"/>
                <w:color w:val="auto"/>
              </w:rPr>
              <w:t>MC Goodwill</w:t>
            </w:r>
          </w:p>
        </w:tc>
        <w:tc>
          <w:tcPr>
            <w:tcW w:w="24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$71,066</w:t>
            </w:r>
          </w:p>
        </w:tc>
        <w:tc>
          <w:tcPr>
            <w:tcW w:w="1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5" w:lineRule="exact"/>
              <w:rPr>
                <w:sz w:val="20"/>
                <w:szCs w:val="20"/>
                <w:color w:val="auto"/>
              </w:rPr>
            </w:pPr>
            <w:r>
              <w:rPr>
                <w:rFonts w:ascii="Arial" w:cs="Arial" w:eastAsia="Arial" w:hAnsi="Arial"/>
                <w:sz w:val="18"/>
                <w:szCs w:val="18"/>
                <w:color w:val="auto"/>
              </w:rPr>
              <w:t>($1,693)</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AEC Goodwill</w:t>
            </w:r>
          </w:p>
        </w:tc>
        <w:tc>
          <w:tcPr>
            <w:tcW w:w="2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95,730</w:t>
            </w: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unamortized intangible assets:</w:t>
            </w:r>
          </w:p>
        </w:tc>
        <w:tc>
          <w:tcPr>
            <w:tcW w:w="2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$166,796</w:t>
            </w: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$165,103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2018 through 2022, is as follows:</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7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Annual amortization</w:t>
            </w:r>
          </w:p>
        </w:tc>
      </w:tr>
      <w:tr>
        <w:trPr>
          <w:trHeight w:val="239"/>
        </w:trPr>
        <w:tc>
          <w:tcPr>
            <w:tcW w:w="274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Year</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209"/>
        </w:trPr>
        <w:tc>
          <w:tcPr>
            <w:tcW w:w="2740" w:type="dxa"/>
            <w:vAlign w:val="bottom"/>
          </w:tcPr>
          <w:p>
            <w:pPr>
              <w:ind w:left="1100"/>
              <w:spacing w:after="0"/>
              <w:rPr>
                <w:sz w:val="20"/>
                <w:szCs w:val="20"/>
                <w:color w:val="auto"/>
              </w:rPr>
            </w:pPr>
            <w:r>
              <w:rPr>
                <w:rFonts w:ascii="Arial" w:cs="Arial" w:eastAsia="Arial" w:hAnsi="Arial"/>
                <w:sz w:val="18"/>
                <w:szCs w:val="18"/>
                <w:color w:val="auto"/>
              </w:rPr>
              <w:t>2018</w:t>
            </w:r>
          </w:p>
        </w:tc>
        <w:tc>
          <w:tcPr>
            <w:tcW w:w="296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16"/>
        </w:trPr>
        <w:tc>
          <w:tcPr>
            <w:tcW w:w="2740" w:type="dxa"/>
            <w:vAlign w:val="bottom"/>
          </w:tcPr>
          <w:p>
            <w:pPr>
              <w:ind w:left="1100"/>
              <w:spacing w:after="0"/>
              <w:rPr>
                <w:sz w:val="20"/>
                <w:szCs w:val="20"/>
                <w:color w:val="auto"/>
              </w:rPr>
            </w:pPr>
            <w:r>
              <w:rPr>
                <w:rFonts w:ascii="Arial" w:cs="Arial" w:eastAsia="Arial" w:hAnsi="Arial"/>
                <w:sz w:val="18"/>
                <w:szCs w:val="18"/>
                <w:color w:val="auto"/>
              </w:rPr>
              <w:t>2019</w:t>
            </w:r>
          </w:p>
        </w:tc>
        <w:tc>
          <w:tcPr>
            <w:tcW w:w="296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16"/>
        </w:trPr>
        <w:tc>
          <w:tcPr>
            <w:tcW w:w="2740" w:type="dxa"/>
            <w:vAlign w:val="bottom"/>
          </w:tcPr>
          <w:p>
            <w:pPr>
              <w:ind w:left="1100"/>
              <w:spacing w:after="0"/>
              <w:rPr>
                <w:sz w:val="20"/>
                <w:szCs w:val="20"/>
                <w:color w:val="auto"/>
              </w:rPr>
            </w:pPr>
            <w:r>
              <w:rPr>
                <w:rFonts w:ascii="Arial" w:cs="Arial" w:eastAsia="Arial" w:hAnsi="Arial"/>
                <w:sz w:val="18"/>
                <w:szCs w:val="18"/>
                <w:color w:val="auto"/>
              </w:rPr>
              <w:t>2020</w:t>
            </w:r>
          </w:p>
        </w:tc>
        <w:tc>
          <w:tcPr>
            <w:tcW w:w="296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16"/>
        </w:trPr>
        <w:tc>
          <w:tcPr>
            <w:tcW w:w="2740" w:type="dxa"/>
            <w:vAlign w:val="bottom"/>
          </w:tcPr>
          <w:p>
            <w:pPr>
              <w:ind w:left="1100"/>
              <w:spacing w:after="0"/>
              <w:rPr>
                <w:sz w:val="20"/>
                <w:szCs w:val="20"/>
                <w:color w:val="auto"/>
              </w:rPr>
            </w:pPr>
            <w:r>
              <w:rPr>
                <w:rFonts w:ascii="Arial" w:cs="Arial" w:eastAsia="Arial" w:hAnsi="Arial"/>
                <w:sz w:val="18"/>
                <w:szCs w:val="18"/>
                <w:color w:val="auto"/>
              </w:rPr>
              <w:t>2021</w:t>
            </w:r>
          </w:p>
        </w:tc>
        <w:tc>
          <w:tcPr>
            <w:tcW w:w="2960" w:type="dxa"/>
            <w:vAlign w:val="bottom"/>
          </w:tcPr>
          <w:p>
            <w:pPr>
              <w:jc w:val="right"/>
              <w:spacing w:after="0"/>
              <w:rPr>
                <w:sz w:val="20"/>
                <w:szCs w:val="20"/>
                <w:color w:val="auto"/>
              </w:rPr>
            </w:pPr>
            <w:r>
              <w:rPr>
                <w:rFonts w:ascii="Arial" w:cs="Arial" w:eastAsia="Arial" w:hAnsi="Arial"/>
                <w:sz w:val="18"/>
                <w:szCs w:val="18"/>
                <w:color w:val="auto"/>
              </w:rPr>
              <w:t>6,163</w:t>
            </w:r>
          </w:p>
        </w:tc>
      </w:tr>
      <w:tr>
        <w:trPr>
          <w:trHeight w:val="217"/>
        </w:trPr>
        <w:tc>
          <w:tcPr>
            <w:tcW w:w="27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2022</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tbl>
      <w:tblPr>
        <w:tblLayout w:type="fixed"/>
        <w:tblInd w:w="660" w:type="dxa"/>
        <w:tblCellMar>
          <w:top w:w="0" w:type="dxa"/>
          <w:left w:w="0" w:type="dxa"/>
          <w:bottom w:w="0" w:type="dxa"/>
          <w:right w:w="0" w:type="dxa"/>
        </w:tblCellMar>
      </w:tblPr>
      <w:tr>
        <w:trPr>
          <w:trHeight w:val="200"/>
        </w:trPr>
        <w:tc>
          <w:tcPr>
            <w:tcW w:w="69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rPr>
              <w:t>September 30,</w:t>
            </w:r>
          </w:p>
        </w:tc>
        <w:tc>
          <w:tcPr>
            <w:tcW w:w="1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425"/>
        </w:trPr>
        <w:tc>
          <w:tcPr>
            <w:tcW w:w="6960" w:type="dxa"/>
            <w:vAlign w:val="bottom"/>
          </w:tcPr>
          <w:p>
            <w:pPr>
              <w:spacing w:after="0"/>
              <w:rPr>
                <w:sz w:val="20"/>
                <w:szCs w:val="20"/>
                <w:color w:val="auto"/>
              </w:rPr>
            </w:pPr>
            <w:r>
              <w:rPr>
                <w:rFonts w:ascii="Arial" w:cs="Arial" w:eastAsia="Arial" w:hAnsi="Arial"/>
                <w:sz w:val="18"/>
                <w:szCs w:val="18"/>
                <w:color w:val="auto"/>
              </w:rPr>
              <w:t>Revolving credit agreement with borrowings outstanding at an end of period interest</w:t>
            </w:r>
          </w:p>
        </w:tc>
        <w:tc>
          <w:tcPr>
            <w:tcW w:w="1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rate of 3.61% in 2018 and 3.40% in 2017 (including the effect of interest rate hedging</w:t>
            </w: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$504,000</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transactions, as described below), due in 2022</w:t>
            </w:r>
          </w:p>
        </w:tc>
        <w:tc>
          <w:tcPr>
            <w:tcW w:w="1720" w:type="dxa"/>
            <w:vAlign w:val="bottom"/>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$501,000</w:t>
            </w:r>
          </w:p>
        </w:tc>
        <w:tc>
          <w:tcPr>
            <w:tcW w:w="0" w:type="dxa"/>
            <w:vAlign w:val="bottom"/>
          </w:tcPr>
          <w:p>
            <w:pPr>
              <w:spacing w:after="0"/>
              <w:rPr>
                <w:sz w:val="1"/>
                <w:szCs w:val="1"/>
                <w:color w:val="auto"/>
              </w:rPr>
            </w:pPr>
          </w:p>
        </w:tc>
      </w:tr>
      <w:tr>
        <w:trPr>
          <w:trHeight w:val="432"/>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Finance lease obligation</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26,234</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426"/>
        </w:trPr>
        <w:tc>
          <w:tcPr>
            <w:tcW w:w="6960" w:type="dxa"/>
            <w:vAlign w:val="bottom"/>
          </w:tcPr>
          <w:p>
            <w:pPr>
              <w:spacing w:after="0"/>
              <w:rPr>
                <w:sz w:val="20"/>
                <w:szCs w:val="20"/>
                <w:color w:val="auto"/>
              </w:rPr>
            </w:pPr>
            <w:r>
              <w:rPr>
                <w:rFonts w:ascii="Arial" w:cs="Arial" w:eastAsia="Arial" w:hAnsi="Arial"/>
                <w:sz w:val="18"/>
                <w:szCs w:val="18"/>
                <w:color w:val="auto"/>
              </w:rPr>
              <w:t>Long-term debt</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530,234</w:t>
            </w:r>
          </w:p>
        </w:tc>
        <w:tc>
          <w:tcPr>
            <w:tcW w:w="1920" w:type="dxa"/>
            <w:vAlign w:val="bottom"/>
          </w:tcPr>
          <w:p>
            <w:pPr>
              <w:jc w:val="right"/>
              <w:spacing w:after="0"/>
              <w:rPr>
                <w:sz w:val="20"/>
                <w:szCs w:val="20"/>
                <w:color w:val="auto"/>
              </w:rPr>
            </w:pPr>
            <w:r>
              <w:rPr>
                <w:rFonts w:ascii="Arial" w:cs="Arial" w:eastAsia="Arial" w:hAnsi="Arial"/>
                <w:sz w:val="18"/>
                <w:szCs w:val="18"/>
                <w:color w:val="auto"/>
              </w:rPr>
              <w:t>515,919</w:t>
            </w:r>
          </w:p>
        </w:tc>
        <w:tc>
          <w:tcPr>
            <w:tcW w:w="0" w:type="dxa"/>
            <w:vAlign w:val="bottom"/>
          </w:tcPr>
          <w:p>
            <w:pPr>
              <w:spacing w:after="0"/>
              <w:rPr>
                <w:sz w:val="1"/>
                <w:szCs w:val="1"/>
                <w:color w:val="auto"/>
              </w:rPr>
            </w:pPr>
          </w:p>
        </w:tc>
      </w:tr>
      <w:tr>
        <w:trPr>
          <w:trHeight w:val="432"/>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426"/>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$529,003</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$504 million of borrowings were outstanding as of September 30, 2018. The applicable interest rate for borrowings was LIBOR plus a spread, based on our leverage ratio at the time of borrowing. At the time of the last borrowing on September 17, 2018, the spread was 1.500%. The spread was based on a pricing grid, which ranged from 1.250% to 1.750%, based on our leverage ratio. Based on our maximum leverage ratio and our Consolidated EBITDA, and without modification to any other credit agreements, as of September 30, 2018, we would have been able to borrow an additional $181 million under the Agreement.</w:t>
      </w:r>
    </w:p>
    <w:p>
      <w:pPr>
        <w:spacing w:after="0" w:line="176"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comparable to those in the Prior Agreement. The Borrowings are guaranteed by certain of the Company's subsidiaries.</w:t>
      </w:r>
    </w:p>
    <w:p>
      <w:pPr>
        <w:spacing w:after="0" w:line="183"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97"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In September 2018, we finalized a modification to the lease of our primary manufacturing facility in Salt Lake City, Utah. The original lease agreement had an initial expiration date of December 31, 2022 and an implied interest rate of 5.0%. The modification, which includes additional manufacturing space, retains the same implied interest rate and extends the minimum lease period until December 31, 2029. The following schedule presents future minimum annual lease payments under the finance lease obligation and the present value of the minimum lease payments, as of September 30, 2018.</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216"/>
        </w:trPr>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73"/>
        </w:trPr>
        <w:tc>
          <w:tcPr>
            <w:tcW w:w="4780" w:type="dxa"/>
            <w:vAlign w:val="bottom"/>
          </w:tcPr>
          <w:p>
            <w:pPr>
              <w:spacing w:after="0" w:line="173" w:lineRule="exact"/>
              <w:rPr>
                <w:sz w:val="20"/>
                <w:szCs w:val="20"/>
                <w:color w:val="auto"/>
              </w:rPr>
            </w:pPr>
            <w:r>
              <w:rPr>
                <w:rFonts w:ascii="Arial" w:cs="Arial" w:eastAsia="Arial" w:hAnsi="Arial"/>
                <w:sz w:val="18"/>
                <w:szCs w:val="18"/>
                <w:color w:val="auto"/>
              </w:rPr>
              <w:t>2018</w:t>
            </w:r>
          </w:p>
        </w:tc>
        <w:tc>
          <w:tcPr>
            <w:tcW w:w="26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$623</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2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2,472</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2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2,995</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2,997</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3,054</w:t>
            </w: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22,207</w:t>
            </w:r>
          </w:p>
        </w:tc>
      </w:tr>
      <w:tr>
        <w:trPr>
          <w:trHeight w:val="173"/>
        </w:trPr>
        <w:tc>
          <w:tcPr>
            <w:tcW w:w="4780" w:type="dxa"/>
            <w:vAlign w:val="bottom"/>
          </w:tcPr>
          <w:p>
            <w:pPr>
              <w:spacing w:after="0" w:line="173" w:lineRule="exact"/>
              <w:rPr>
                <w:sz w:val="20"/>
                <w:szCs w:val="20"/>
                <w:color w:val="auto"/>
              </w:rPr>
            </w:pPr>
            <w:r>
              <w:rPr>
                <w:rFonts w:ascii="Arial" w:cs="Arial" w:eastAsia="Arial" w:hAnsi="Arial"/>
                <w:sz w:val="18"/>
                <w:szCs w:val="18"/>
                <w:color w:val="auto"/>
              </w:rPr>
              <w:t>Total minimum lease payments</w:t>
            </w:r>
          </w:p>
        </w:tc>
        <w:tc>
          <w:tcPr>
            <w:tcW w:w="26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34,348</w:t>
            </w: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 representing interest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(8,114)</w:t>
            </w:r>
          </w:p>
        </w:tc>
      </w:tr>
      <w:tr>
        <w:trPr>
          <w:trHeight w:val="39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 value of minimum lease payments</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$26,234</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cash of $6.3 million when the swap agreements were terminated and that payment will be amortized into interest expense through March 2021.</w:t>
      </w:r>
    </w:p>
    <w:p>
      <w:pPr>
        <w:spacing w:after="0" w:line="20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September 17, 2018 was 2.16%, during the swap period. On September 17, 2018, the all-in-rate on the $350 million of debt was 3.61%.</w:t>
      </w:r>
    </w:p>
    <w:p>
      <w:pPr>
        <w:spacing w:after="0" w:line="203"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of the Notes to Consolidated Financial Statements. No cash collateral was received or pledged in relation to the swap agreements.</w:t>
      </w:r>
    </w:p>
    <w:p>
      <w:pPr>
        <w:spacing w:after="0" w:line="197"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3.75 to 1.00 for each fiscal quarter ending prior to (but not including) September 30, 2019, and 3.50 to 1.00 for each fiscal quarter ending on or after September 30, 2019, and minimum interest coverage (as defined) of 3.00 to 1.00.</w:t>
      </w:r>
    </w:p>
    <w:p>
      <w:pPr>
        <w:spacing w:after="0" w:line="203"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color w:val="auto"/>
        </w:rPr>
        <w:t>As of September 30, 2018, our leverage ratio was 2.05 to 1.00 and our interest coverage ratio was 11.50 to 1.00. We may purchase our Common Stock or pay dividends to the extent our leverage ratio remains at or below 3.50 to 1.00, and may make acquisitions with cash provided our leverage ratio does not exceed the limits noted above.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September 30, 2018.</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2017 or September 30, 2018.</w:t>
      </w:r>
    </w:p>
    <w:p>
      <w:pPr>
        <w:spacing w:after="0" w:line="205"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364" w:lineRule="exact"/>
        <w:rPr>
          <w:sz w:val="20"/>
          <w:szCs w:val="20"/>
          <w:color w:val="auto"/>
        </w:rPr>
      </w:pPr>
    </w:p>
    <w:p>
      <w:pPr>
        <w:ind w:left="6460"/>
        <w:spacing w:after="0"/>
        <w:tabs>
          <w:tab w:leader="none" w:pos="9240" w:val="left"/>
        </w:tabs>
        <w:rPr>
          <w:sz w:val="20"/>
          <w:szCs w:val="20"/>
          <w:color w:val="auto"/>
        </w:rPr>
      </w:pPr>
      <w:r>
        <w:rPr>
          <w:rFonts w:ascii="Arial" w:cs="Arial" w:eastAsia="Arial" w:hAnsi="Arial"/>
          <w:sz w:val="18"/>
          <w:szCs w:val="18"/>
          <w:b w:val="1"/>
          <w:bCs w:val="1"/>
          <w:color w:val="auto"/>
        </w:rPr>
        <w:t>September 30,2018</w:t>
      </w:r>
      <w:r>
        <w:rPr>
          <w:sz w:val="20"/>
          <w:szCs w:val="20"/>
          <w:color w:val="auto"/>
        </w:rPr>
        <w:tab/>
      </w:r>
      <w:r>
        <w:rPr>
          <w:rFonts w:ascii="Arial" w:cs="Arial" w:eastAsia="Arial" w:hAnsi="Arial"/>
          <w:sz w:val="17"/>
          <w:szCs w:val="17"/>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86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Quoted</w:t>
            </w:r>
          </w:p>
        </w:tc>
        <w:tc>
          <w:tcPr>
            <w:tcW w:w="1560" w:type="dxa"/>
            <w:vAlign w:val="bottom"/>
          </w:tcPr>
          <w:p>
            <w:pPr>
              <w:jc w:val="center"/>
              <w:ind w:right="145"/>
              <w:spacing w:after="0"/>
              <w:rPr>
                <w:sz w:val="20"/>
                <w:szCs w:val="20"/>
                <w:color w:val="auto"/>
              </w:rPr>
            </w:pPr>
            <w:r>
              <w:rPr>
                <w:rFonts w:ascii="Arial" w:cs="Arial" w:eastAsia="Arial" w:hAnsi="Arial"/>
                <w:sz w:val="20"/>
                <w:szCs w:val="20"/>
                <w:b w:val="1"/>
                <w:bCs w:val="1"/>
                <w:color w:val="auto"/>
                <w:w w:val="97"/>
              </w:rPr>
              <w:t>Significant</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rPr>
              <w:t>Quoted</w:t>
            </w:r>
          </w:p>
        </w:tc>
        <w:tc>
          <w:tcPr>
            <w:tcW w:w="1440" w:type="dxa"/>
            <w:vAlign w:val="bottom"/>
          </w:tcPr>
          <w:p>
            <w:pPr>
              <w:jc w:val="center"/>
              <w:ind w:right="145"/>
              <w:spacing w:after="0"/>
              <w:rPr>
                <w:sz w:val="20"/>
                <w:szCs w:val="20"/>
                <w:color w:val="auto"/>
              </w:rPr>
            </w:pPr>
            <w:r>
              <w:rPr>
                <w:rFonts w:ascii="Arial" w:cs="Arial" w:eastAsia="Arial" w:hAnsi="Arial"/>
                <w:sz w:val="20"/>
                <w:szCs w:val="20"/>
                <w:color w:val="auto"/>
                <w:w w:val="99"/>
              </w:rPr>
              <w:t>Significant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860" w:type="dxa"/>
            <w:vAlign w:val="bottom"/>
          </w:tcPr>
          <w:p>
            <w:pPr>
              <w:jc w:val="center"/>
              <w:ind w:left="230"/>
              <w:spacing w:after="0" w:line="202" w:lineRule="exact"/>
              <w:rPr>
                <w:sz w:val="20"/>
                <w:szCs w:val="20"/>
                <w:color w:val="auto"/>
              </w:rPr>
            </w:pPr>
            <w:r>
              <w:rPr>
                <w:rFonts w:ascii="Arial" w:cs="Arial" w:eastAsia="Arial" w:hAnsi="Arial"/>
                <w:sz w:val="18"/>
                <w:szCs w:val="18"/>
                <w:b w:val="1"/>
                <w:bCs w:val="1"/>
                <w:color w:val="auto"/>
                <w:w w:val="99"/>
              </w:rPr>
              <w:t>prices in</w:t>
            </w:r>
          </w:p>
        </w:tc>
        <w:tc>
          <w:tcPr>
            <w:tcW w:w="1560" w:type="dxa"/>
            <w:vAlign w:val="bottom"/>
          </w:tcPr>
          <w:p>
            <w:pPr>
              <w:jc w:val="center"/>
              <w:ind w:right="145"/>
              <w:spacing w:after="0" w:line="203" w:lineRule="exact"/>
              <w:rPr>
                <w:sz w:val="20"/>
                <w:szCs w:val="20"/>
                <w:color w:val="auto"/>
              </w:rPr>
            </w:pPr>
            <w:r>
              <w:rPr>
                <w:rFonts w:ascii="Arial" w:cs="Arial" w:eastAsia="Arial" w:hAnsi="Arial"/>
                <w:sz w:val="20"/>
                <w:szCs w:val="20"/>
                <w:b w:val="1"/>
                <w:bCs w:val="1"/>
                <w:color w:val="auto"/>
                <w:w w:val="95"/>
              </w:rPr>
              <w:t>other</w:t>
            </w:r>
          </w:p>
        </w:tc>
        <w:tc>
          <w:tcPr>
            <w:tcW w:w="1180" w:type="dxa"/>
            <w:vAlign w:val="bottom"/>
          </w:tcPr>
          <w:p>
            <w:pPr>
              <w:jc w:val="center"/>
              <w:ind w:right="130"/>
              <w:spacing w:after="0" w:line="202" w:lineRule="exact"/>
              <w:rPr>
                <w:sz w:val="20"/>
                <w:szCs w:val="20"/>
                <w:color w:val="auto"/>
              </w:rPr>
            </w:pPr>
            <w:r>
              <w:rPr>
                <w:rFonts w:ascii="Arial" w:cs="Arial" w:eastAsia="Arial" w:hAnsi="Arial"/>
                <w:sz w:val="18"/>
                <w:szCs w:val="18"/>
                <w:color w:val="auto"/>
              </w:rPr>
              <w:t>prices in</w:t>
            </w:r>
          </w:p>
        </w:tc>
        <w:tc>
          <w:tcPr>
            <w:tcW w:w="1440" w:type="dxa"/>
            <w:vAlign w:val="bottom"/>
          </w:tcPr>
          <w:p>
            <w:pPr>
              <w:jc w:val="center"/>
              <w:ind w:right="145"/>
              <w:spacing w:after="0" w:line="203" w:lineRule="exact"/>
              <w:rPr>
                <w:sz w:val="20"/>
                <w:szCs w:val="20"/>
                <w:color w:val="auto"/>
              </w:rPr>
            </w:pPr>
            <w:r>
              <w:rPr>
                <w:rFonts w:ascii="Arial" w:cs="Arial" w:eastAsia="Arial" w:hAnsi="Arial"/>
                <w:sz w:val="20"/>
                <w:szCs w:val="20"/>
                <w:color w:val="auto"/>
                <w:w w:val="96"/>
              </w:rPr>
              <w:t>other</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860" w:type="dxa"/>
            <w:vAlign w:val="bottom"/>
          </w:tcPr>
          <w:p>
            <w:pPr>
              <w:jc w:val="center"/>
              <w:ind w:left="230"/>
              <w:spacing w:after="0" w:line="202" w:lineRule="exact"/>
              <w:rPr>
                <w:sz w:val="20"/>
                <w:szCs w:val="20"/>
                <w:color w:val="auto"/>
              </w:rPr>
            </w:pPr>
            <w:r>
              <w:rPr>
                <w:rFonts w:ascii="Arial" w:cs="Arial" w:eastAsia="Arial" w:hAnsi="Arial"/>
                <w:sz w:val="18"/>
                <w:szCs w:val="18"/>
                <w:b w:val="1"/>
                <w:bCs w:val="1"/>
                <w:color w:val="auto"/>
                <w:w w:val="97"/>
              </w:rPr>
              <w:t>active</w:t>
            </w:r>
          </w:p>
        </w:tc>
        <w:tc>
          <w:tcPr>
            <w:tcW w:w="1560" w:type="dxa"/>
            <w:vAlign w:val="bottom"/>
          </w:tcPr>
          <w:p>
            <w:pPr>
              <w:jc w:val="center"/>
              <w:ind w:right="145"/>
              <w:spacing w:after="0" w:line="203" w:lineRule="exact"/>
              <w:rPr>
                <w:sz w:val="20"/>
                <w:szCs w:val="20"/>
                <w:color w:val="auto"/>
              </w:rPr>
            </w:pPr>
            <w:r>
              <w:rPr>
                <w:rFonts w:ascii="Arial" w:cs="Arial" w:eastAsia="Arial" w:hAnsi="Arial"/>
                <w:sz w:val="20"/>
                <w:szCs w:val="20"/>
                <w:b w:val="1"/>
                <w:bCs w:val="1"/>
                <w:color w:val="auto"/>
                <w:w w:val="98"/>
              </w:rPr>
              <w:t>observable</w:t>
            </w:r>
          </w:p>
        </w:tc>
        <w:tc>
          <w:tcPr>
            <w:tcW w:w="1180" w:type="dxa"/>
            <w:vAlign w:val="bottom"/>
          </w:tcPr>
          <w:p>
            <w:pPr>
              <w:jc w:val="center"/>
              <w:ind w:right="130"/>
              <w:spacing w:after="0" w:line="202" w:lineRule="exact"/>
              <w:rPr>
                <w:sz w:val="20"/>
                <w:szCs w:val="20"/>
                <w:color w:val="auto"/>
              </w:rPr>
            </w:pPr>
            <w:r>
              <w:rPr>
                <w:rFonts w:ascii="Arial" w:cs="Arial" w:eastAsia="Arial" w:hAnsi="Arial"/>
                <w:sz w:val="18"/>
                <w:szCs w:val="18"/>
                <w:color w:val="auto"/>
              </w:rPr>
              <w:t>active</w:t>
            </w:r>
          </w:p>
        </w:tc>
        <w:tc>
          <w:tcPr>
            <w:tcW w:w="1440" w:type="dxa"/>
            <w:vAlign w:val="bottom"/>
          </w:tcPr>
          <w:p>
            <w:pPr>
              <w:jc w:val="center"/>
              <w:ind w:right="145"/>
              <w:spacing w:after="0" w:line="203" w:lineRule="exact"/>
              <w:rPr>
                <w:sz w:val="20"/>
                <w:szCs w:val="20"/>
                <w:color w:val="auto"/>
              </w:rPr>
            </w:pPr>
            <w:r>
              <w:rPr>
                <w:rFonts w:ascii="Arial" w:cs="Arial" w:eastAsia="Arial" w:hAnsi="Arial"/>
                <w:sz w:val="20"/>
                <w:szCs w:val="20"/>
                <w:color w:val="auto"/>
                <w:w w:val="98"/>
              </w:rPr>
              <w:t>observable</w:t>
            </w:r>
          </w:p>
        </w:tc>
        <w:tc>
          <w:tcPr>
            <w:tcW w:w="0" w:type="dxa"/>
            <w:vAlign w:val="bottom"/>
          </w:tcPr>
          <w:p>
            <w:pPr>
              <w:spacing w:after="0"/>
              <w:rPr>
                <w:sz w:val="1"/>
                <w:szCs w:val="1"/>
                <w:color w:val="auto"/>
              </w:rPr>
            </w:pPr>
          </w:p>
        </w:tc>
      </w:tr>
      <w:tr>
        <w:trPr>
          <w:trHeight w:val="220"/>
        </w:trPr>
        <w:tc>
          <w:tcPr>
            <w:tcW w:w="5380" w:type="dxa"/>
            <w:vAlign w:val="bottom"/>
          </w:tcPr>
          <w:p>
            <w:pPr>
              <w:spacing w:after="0"/>
              <w:rPr>
                <w:sz w:val="19"/>
                <w:szCs w:val="19"/>
                <w:color w:val="auto"/>
              </w:rPr>
            </w:pPr>
          </w:p>
        </w:tc>
        <w:tc>
          <w:tcPr>
            <w:tcW w:w="1860" w:type="dxa"/>
            <w:vAlign w:val="bottom"/>
          </w:tcPr>
          <w:p>
            <w:pPr>
              <w:jc w:val="center"/>
              <w:ind w:left="230"/>
              <w:spacing w:after="0"/>
              <w:rPr>
                <w:sz w:val="20"/>
                <w:szCs w:val="20"/>
                <w:color w:val="auto"/>
              </w:rPr>
            </w:pPr>
            <w:r>
              <w:rPr>
                <w:rFonts w:ascii="Arial" w:cs="Arial" w:eastAsia="Arial" w:hAnsi="Arial"/>
                <w:sz w:val="18"/>
                <w:szCs w:val="18"/>
                <w:b w:val="1"/>
                <w:bCs w:val="1"/>
                <w:color w:val="auto"/>
              </w:rPr>
              <w:t>markets</w:t>
            </w:r>
          </w:p>
        </w:tc>
        <w:tc>
          <w:tcPr>
            <w:tcW w:w="1560" w:type="dxa"/>
            <w:vAlign w:val="bottom"/>
          </w:tcPr>
          <w:p>
            <w:pPr>
              <w:jc w:val="center"/>
              <w:ind w:right="145"/>
              <w:spacing w:after="0" w:line="220" w:lineRule="exact"/>
              <w:rPr>
                <w:sz w:val="20"/>
                <w:szCs w:val="20"/>
                <w:color w:val="auto"/>
              </w:rPr>
            </w:pPr>
            <w:r>
              <w:rPr>
                <w:rFonts w:ascii="Arial" w:cs="Arial" w:eastAsia="Arial" w:hAnsi="Arial"/>
                <w:sz w:val="20"/>
                <w:szCs w:val="20"/>
                <w:b w:val="1"/>
                <w:bCs w:val="1"/>
                <w:color w:val="auto"/>
                <w:w w:val="99"/>
              </w:rPr>
              <w:t>inputs</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9"/>
              </w:rPr>
              <w:t>markets</w:t>
            </w:r>
          </w:p>
        </w:tc>
        <w:tc>
          <w:tcPr>
            <w:tcW w:w="1440" w:type="dxa"/>
            <w:vAlign w:val="bottom"/>
          </w:tcPr>
          <w:p>
            <w:pPr>
              <w:jc w:val="center"/>
              <w:ind w:right="145"/>
              <w:spacing w:after="0" w:line="220" w:lineRule="exact"/>
              <w:rPr>
                <w:sz w:val="20"/>
                <w:szCs w:val="20"/>
                <w:color w:val="auto"/>
              </w:rPr>
            </w:pPr>
            <w:r>
              <w:rPr>
                <w:rFonts w:ascii="Arial" w:cs="Arial" w:eastAsia="Arial" w:hAnsi="Arial"/>
                <w:sz w:val="20"/>
                <w:szCs w:val="20"/>
                <w:color w:val="auto"/>
                <w:w w:val="97"/>
              </w:rPr>
              <w:t>inputs</w:t>
            </w:r>
          </w:p>
        </w:tc>
        <w:tc>
          <w:tcPr>
            <w:tcW w:w="0" w:type="dxa"/>
            <w:vAlign w:val="bottom"/>
          </w:tcPr>
          <w:p>
            <w:pPr>
              <w:spacing w:after="0"/>
              <w:rPr>
                <w:sz w:val="1"/>
                <w:szCs w:val="1"/>
                <w:color w:val="auto"/>
              </w:rPr>
            </w:pPr>
          </w:p>
        </w:tc>
      </w:tr>
      <w:tr>
        <w:trPr>
          <w:trHeight w:val="225"/>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(Level 1)</w:t>
            </w:r>
          </w:p>
        </w:tc>
        <w:tc>
          <w:tcPr>
            <w:tcW w:w="1560" w:type="dxa"/>
            <w:vAlign w:val="bottom"/>
            <w:tcBorders>
              <w:bottom w:val="single" w:sz="8" w:color="auto"/>
            </w:tcBorders>
          </w:tcPr>
          <w:p>
            <w:pPr>
              <w:jc w:val="center"/>
              <w:ind w:right="145"/>
              <w:spacing w:after="0"/>
              <w:rPr>
                <w:sz w:val="20"/>
                <w:szCs w:val="20"/>
                <w:color w:val="auto"/>
              </w:rPr>
            </w:pPr>
            <w:r>
              <w:rPr>
                <w:rFonts w:ascii="Arial" w:cs="Arial" w:eastAsia="Arial" w:hAnsi="Arial"/>
                <w:sz w:val="18"/>
                <w:szCs w:val="18"/>
                <w:b w:val="1"/>
                <w:bCs w:val="1"/>
                <w:color w:val="auto"/>
                <w:w w:val="98"/>
              </w:rPr>
              <w:t>(Level 2)</w:t>
            </w: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(Level 1)</w:t>
            </w:r>
          </w:p>
        </w:tc>
        <w:tc>
          <w:tcPr>
            <w:tcW w:w="1440" w:type="dxa"/>
            <w:vAlign w:val="bottom"/>
            <w:tcBorders>
              <w:bottom w:val="single" w:sz="8" w:color="auto"/>
            </w:tcBorders>
          </w:tcPr>
          <w:p>
            <w:pPr>
              <w:jc w:val="center"/>
              <w:ind w:right="125"/>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8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$25,056</w:t>
            </w:r>
          </w:p>
        </w:tc>
        <w:tc>
          <w:tcPr>
            <w:tcW w:w="1560" w:type="dxa"/>
            <w:vAlign w:val="bottom"/>
            <w:vMerge w:val="restart"/>
          </w:tcPr>
          <w:p>
            <w:pPr>
              <w:jc w:val="right"/>
              <w:ind w:right="225"/>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380" w:type="dxa"/>
            <w:vAlign w:val="bottom"/>
          </w:tcPr>
          <w:p>
            <w:pPr>
              <w:ind w:left="280"/>
              <w:spacing w:after="0" w:line="185" w:lineRule="exact"/>
              <w:rPr>
                <w:sz w:val="20"/>
                <w:szCs w:val="20"/>
                <w:color w:val="auto"/>
              </w:rPr>
            </w:pPr>
            <w:r>
              <w:rPr>
                <w:rFonts w:ascii="Arial" w:cs="Arial" w:eastAsia="Arial" w:hAnsi="Arial"/>
                <w:sz w:val="18"/>
                <w:szCs w:val="18"/>
                <w:color w:val="auto"/>
              </w:rPr>
              <w:t>Cash equivalents</w:t>
            </w:r>
          </w:p>
        </w:tc>
        <w:tc>
          <w:tcPr>
            <w:tcW w:w="186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180" w:type="dxa"/>
            <w:vAlign w:val="bottom"/>
          </w:tcPr>
          <w:p>
            <w:pPr>
              <w:jc w:val="right"/>
              <w:ind w:right="30"/>
              <w:spacing w:after="0" w:line="185" w:lineRule="exact"/>
              <w:rPr>
                <w:sz w:val="20"/>
                <w:szCs w:val="20"/>
                <w:color w:val="auto"/>
              </w:rPr>
            </w:pPr>
            <w:r>
              <w:rPr>
                <w:rFonts w:ascii="Arial" w:cs="Arial" w:eastAsia="Arial" w:hAnsi="Arial"/>
                <w:sz w:val="18"/>
                <w:szCs w:val="18"/>
                <w:color w:val="auto"/>
              </w:rPr>
              <w:t>$13,601</w:t>
            </w:r>
          </w:p>
        </w:tc>
        <w:tc>
          <w:tcPr>
            <w:tcW w:w="1440" w:type="dxa"/>
            <w:vAlign w:val="bottom"/>
          </w:tcPr>
          <w:p>
            <w:pPr>
              <w:jc w:val="right"/>
              <w:ind w:right="125"/>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380" w:type="dxa"/>
            <w:vAlign w:val="bottom"/>
          </w:tcPr>
          <w:p>
            <w:pPr>
              <w:ind w:left="280"/>
              <w:spacing w:after="0"/>
              <w:rPr>
                <w:sz w:val="20"/>
                <w:szCs w:val="20"/>
                <w:color w:val="auto"/>
              </w:rPr>
            </w:pPr>
            <w:r>
              <w:rPr>
                <w:rFonts w:ascii="Arial" w:cs="Arial" w:eastAsia="Arial" w:hAnsi="Arial"/>
                <w:sz w:val="18"/>
                <w:szCs w:val="18"/>
                <w:i w:val="1"/>
                <w:iCs w:val="1"/>
                <w:color w:val="auto"/>
              </w:rPr>
              <w:t>Other Assets:</w:t>
            </w:r>
          </w:p>
        </w:tc>
        <w:tc>
          <w:tcPr>
            <w:tcW w:w="1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60"/>
              <w:spacing w:after="0"/>
              <w:rPr>
                <w:sz w:val="20"/>
                <w:szCs w:val="20"/>
                <w:color w:val="auto"/>
              </w:rPr>
            </w:pPr>
            <w:r>
              <w:rPr>
                <w:rFonts w:ascii="Arial" w:cs="Arial" w:eastAsia="Arial" w:hAnsi="Arial"/>
                <w:sz w:val="18"/>
                <w:szCs w:val="18"/>
                <w:color w:val="auto"/>
              </w:rPr>
              <w:t>Common stock of unaffiliated foreign public company</w:t>
            </w:r>
          </w:p>
        </w:tc>
        <w:tc>
          <w:tcPr>
            <w:tcW w:w="18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918</w:t>
            </w:r>
          </w:p>
        </w:tc>
        <w:tc>
          <w:tcPr>
            <w:tcW w:w="1560" w:type="dxa"/>
            <w:vAlign w:val="bottom"/>
            <w:vMerge w:val="restart"/>
          </w:tcPr>
          <w:p>
            <w:pPr>
              <w:jc w:val="right"/>
              <w:ind w:right="445"/>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999</w:t>
            </w:r>
          </w:p>
        </w:tc>
        <w:tc>
          <w:tcPr>
            <w:tcW w:w="144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5380" w:type="dxa"/>
            <w:vAlign w:val="bottom"/>
          </w:tcPr>
          <w:p>
            <w:pPr>
              <w:ind w:left="460"/>
              <w:spacing w:after="0"/>
              <w:rPr>
                <w:sz w:val="20"/>
                <w:szCs w:val="20"/>
                <w:color w:val="auto"/>
              </w:rPr>
            </w:pPr>
            <w:r>
              <w:rPr>
                <w:rFonts w:ascii="Arial" w:cs="Arial" w:eastAsia="Arial" w:hAnsi="Arial"/>
                <w:sz w:val="15"/>
                <w:szCs w:val="15"/>
                <w:color w:val="auto"/>
              </w:rPr>
              <w:t>(a)</w:t>
            </w:r>
          </w:p>
        </w:tc>
        <w:tc>
          <w:tcPr>
            <w:tcW w:w="186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80" w:type="dxa"/>
            <w:vAlign w:val="bottom"/>
          </w:tcPr>
          <w:p>
            <w:pPr>
              <w:ind w:left="460"/>
              <w:spacing w:after="0"/>
              <w:rPr>
                <w:sz w:val="20"/>
                <w:szCs w:val="20"/>
                <w:color w:val="auto"/>
              </w:rPr>
            </w:pPr>
            <w:r>
              <w:rPr>
                <w:rFonts w:ascii="Arial" w:cs="Arial" w:eastAsia="Arial" w:hAnsi="Arial"/>
                <w:sz w:val="18"/>
                <w:szCs w:val="18"/>
                <w:color w:val="auto"/>
              </w:rPr>
              <w:t>Interest rate swaps</w:t>
            </w: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45"/>
              <w:spacing w:after="0"/>
              <w:rPr>
                <w:sz w:val="20"/>
                <w:szCs w:val="20"/>
                <w:color w:val="auto"/>
              </w:rPr>
            </w:pPr>
            <w:r>
              <w:rPr>
                <w:rFonts w:ascii="Arial" w:cs="Arial" w:eastAsia="Arial" w:hAnsi="Arial"/>
                <w:sz w:val="18"/>
                <w:szCs w:val="18"/>
                <w:b w:val="1"/>
                <w:bCs w:val="1"/>
                <w:color w:val="auto"/>
              </w:rPr>
              <w:t>10,819</w:t>
            </w:r>
            <w:r>
              <w:rPr>
                <w:rFonts w:ascii="Arial" w:cs="Arial" w:eastAsia="Arial" w:hAnsi="Arial"/>
                <w:sz w:val="15"/>
                <w:szCs w:val="15"/>
                <w:color w:val="auto"/>
              </w:rPr>
              <w:t>(b)</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ind w:left="9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1300" w:hanging="408"/>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Original cost basis $0.5 million</w:t>
      </w:r>
    </w:p>
    <w:p>
      <w:pPr>
        <w:spacing w:after="0" w:line="190" w:lineRule="exact"/>
        <w:rPr>
          <w:rFonts w:ascii="Arial" w:cs="Arial" w:eastAsia="Arial" w:hAnsi="Arial"/>
          <w:sz w:val="14"/>
          <w:szCs w:val="14"/>
          <w:color w:val="auto"/>
        </w:rPr>
      </w:pPr>
    </w:p>
    <w:p>
      <w:pPr>
        <w:ind w:left="1300" w:hanging="408"/>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$39.8 million receivable floating leg and $29.0 million liability fixed leg</w:t>
      </w:r>
    </w:p>
    <w:p>
      <w:pPr>
        <w:spacing w:after="0" w:line="190" w:lineRule="exact"/>
        <w:rPr>
          <w:rFonts w:ascii="Arial" w:cs="Arial" w:eastAsia="Arial" w:hAnsi="Arial"/>
          <w:sz w:val="14"/>
          <w:szCs w:val="14"/>
          <w:color w:val="auto"/>
        </w:rPr>
      </w:pPr>
    </w:p>
    <w:p>
      <w:pPr>
        <w:ind w:left="1300" w:hanging="404"/>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$34.9 million receivable floating leg and $34.6 million liability fixed leg</w:t>
      </w:r>
    </w:p>
    <w:p>
      <w:pPr>
        <w:spacing w:after="0" w:line="225"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When the security is sold or impaired, gains and losses are reported on the Consolidated Statements of Income. Investments are considered to be impaired when a decline in fair value is judged to be other than temporary.</w:t>
      </w:r>
    </w:p>
    <w:p>
      <w:pPr>
        <w:spacing w:after="0" w:line="20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ind w:right="60" w:firstLine="648"/>
        <w:spacing w:after="0" w:line="246" w:lineRule="auto"/>
        <w:rPr>
          <w:sz w:val="20"/>
          <w:szCs w:val="20"/>
          <w:color w:val="auto"/>
        </w:rPr>
      </w:pPr>
      <w:r>
        <w:rPr>
          <w:rFonts w:ascii="Arial" w:cs="Arial" w:eastAsia="Arial" w:hAnsi="Arial"/>
          <w:sz w:val="18"/>
          <w:szCs w:val="18"/>
          <w:color w:val="auto"/>
        </w:rPr>
        <w:t>Sheets as Other current assets and Accounts payable, as applicable. Changes in fair value of these instruments are recorded as gains or losses within Other expense, net.</w:t>
      </w:r>
    </w:p>
    <w:p>
      <w:pPr>
        <w:spacing w:after="0" w:line="197" w:lineRule="exact"/>
        <w:rPr>
          <w:sz w:val="20"/>
          <w:szCs w:val="20"/>
          <w:color w:val="auto"/>
        </w:rPr>
      </w:pPr>
    </w:p>
    <w:p>
      <w:pPr>
        <w:ind w:right="340"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ind w:right="38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expense, net. Revaluation gains and losses occur when our business units have cash, intercompany (recorded in Other expense, net) or third-party trade (recorded in Selling, General and Administrative expenses) receivable or payable balances in a currency other than their local reporting (or functional) currency.</w:t>
      </w:r>
    </w:p>
    <w:p>
      <w:pPr>
        <w:spacing w:after="0" w:line="2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September 30, 2018,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payments under the active swap agreements totaled $ 0.6 million for the nine month period ended September 30, 2018 and $0.6 million for the nine month period ended September 30, 2017. Additionally, non-cash interest expense/(income) related to the amortization of swap buyouts totaled ($0.5) million for the nine-month period ended September 30, 2018 and $0.6 million for the nine-month period ended September 30, 2017.</w:t>
      </w:r>
    </w:p>
    <w:p>
      <w:pPr>
        <w:spacing w:after="0" w:line="20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Gains/(losses) related to changes in fair value of derivative instruments that were recognized in Other expense, net in the Consolidated Statements of Income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left="1630"/>
              <w:spacing w:after="0" w:line="194" w:lineRule="exact"/>
              <w:rPr>
                <w:sz w:val="20"/>
                <w:szCs w:val="20"/>
                <w:color w:val="auto"/>
              </w:rPr>
            </w:pPr>
            <w:r>
              <w:rPr>
                <w:rFonts w:ascii="Arial" w:cs="Arial" w:eastAsia="Arial" w:hAnsi="Arial"/>
                <w:sz w:val="18"/>
                <w:szCs w:val="18"/>
                <w:b w:val="1"/>
                <w:bCs w:val="1"/>
                <w:color w:val="auto"/>
                <w:w w:val="99"/>
              </w:rPr>
              <w:t>Three months</w:t>
            </w:r>
          </w:p>
        </w:tc>
        <w:tc>
          <w:tcPr>
            <w:tcW w:w="8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rPr>
              <w:t>Nine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20" w:type="dxa"/>
            <w:vAlign w:val="bottom"/>
            <w:gridSpan w:val="2"/>
          </w:tcPr>
          <w:p>
            <w:pPr>
              <w:jc w:val="center"/>
              <w:ind w:left="790"/>
              <w:spacing w:after="0" w:line="202" w:lineRule="exact"/>
              <w:rPr>
                <w:sz w:val="20"/>
                <w:szCs w:val="20"/>
                <w:color w:val="auto"/>
              </w:rPr>
            </w:pPr>
            <w:r>
              <w:rPr>
                <w:rFonts w:ascii="Arial" w:cs="Arial" w:eastAsia="Arial" w:hAnsi="Arial"/>
                <w:sz w:val="18"/>
                <w:szCs w:val="18"/>
                <w:b w:val="1"/>
                <w:bCs w:val="1"/>
                <w:color w:val="auto"/>
              </w:rPr>
              <w:t>ended September 30,</w:t>
            </w:r>
          </w:p>
        </w:tc>
        <w:tc>
          <w:tcPr>
            <w:tcW w:w="214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4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$10</w:t>
            </w:r>
          </w:p>
        </w:tc>
        <w:tc>
          <w:tcPr>
            <w:tcW w:w="840" w:type="dxa"/>
            <w:vAlign w:val="bottom"/>
          </w:tcPr>
          <w:p>
            <w:pPr>
              <w:spacing w:after="0"/>
              <w:rPr>
                <w:sz w:val="24"/>
                <w:szCs w:val="24"/>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Foreign currency options gains/(losses)</w:t>
            </w:r>
          </w:p>
        </w:tc>
        <w:tc>
          <w:tcPr>
            <w:tcW w:w="29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w:t>
            </w:r>
          </w:p>
        </w:tc>
        <w:tc>
          <w:tcPr>
            <w:tcW w:w="13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17.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382"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3,673 claims as of September 30, 2018.</w:t>
      </w:r>
    </w:p>
    <w:p>
      <w:pPr>
        <w:spacing w:after="0" w:line="185"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940" w:type="dxa"/>
            <w:vAlign w:val="bottom"/>
            <w:tcBorders>
              <w:top w:val="single" w:sz="8" w:color="auto"/>
              <w:left w:val="single" w:sz="8" w:color="auto"/>
              <w:right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36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spacing w:after="0"/>
              <w:rPr>
                <w:sz w:val="16"/>
                <w:szCs w:val="16"/>
                <w:color w:val="auto"/>
              </w:rPr>
            </w:pPr>
          </w:p>
        </w:tc>
        <w:tc>
          <w:tcPr>
            <w:tcW w:w="20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29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Opening Number</w:t>
            </w:r>
          </w:p>
        </w:tc>
        <w:tc>
          <w:tcPr>
            <w:tcW w:w="1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Dismissed, Settled,</w:t>
            </w:r>
          </w:p>
        </w:tc>
        <w:tc>
          <w:tcPr>
            <w:tcW w:w="13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7"/>
              </w:rPr>
              <w:t>Closing Number</w:t>
            </w:r>
          </w:p>
        </w:tc>
        <w:tc>
          <w:tcPr>
            <w:tcW w:w="2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25"/>
        </w:trPr>
        <w:tc>
          <w:tcPr>
            <w:tcW w:w="2940" w:type="dxa"/>
            <w:vAlign w:val="bottom"/>
            <w:tcBorders>
              <w:left w:val="single" w:sz="8" w:color="auto"/>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Year ended December 31,</w:t>
            </w:r>
          </w:p>
        </w:tc>
        <w:tc>
          <w:tcPr>
            <w:tcW w:w="20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of Claims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Resolved</w:t>
            </w:r>
          </w:p>
        </w:tc>
        <w:tc>
          <w:tcPr>
            <w:tcW w:w="13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New Claims</w:t>
            </w:r>
          </w:p>
        </w:tc>
        <w:tc>
          <w:tcPr>
            <w:tcW w:w="140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of Claims</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196"/>
        </w:trPr>
        <w:tc>
          <w:tcPr>
            <w:tcW w:w="2940" w:type="dxa"/>
            <w:vAlign w:val="bottom"/>
            <w:tcBorders>
              <w:left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2013</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2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940" w:type="dxa"/>
            <w:vAlign w:val="bottom"/>
            <w:tcBorders>
              <w:left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2014</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2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196"/>
        </w:trPr>
        <w:tc>
          <w:tcPr>
            <w:tcW w:w="2940" w:type="dxa"/>
            <w:vAlign w:val="bottom"/>
            <w:tcBorders>
              <w:left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3,791</w:t>
            </w:r>
          </w:p>
        </w:tc>
        <w:tc>
          <w:tcPr>
            <w:tcW w:w="2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2940" w:type="dxa"/>
            <w:vAlign w:val="bottom"/>
            <w:tcBorders>
              <w:left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3,791</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148</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3,745</w:t>
            </w:r>
          </w:p>
        </w:tc>
        <w:tc>
          <w:tcPr>
            <w:tcW w:w="2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758</w:t>
            </w:r>
          </w:p>
        </w:tc>
      </w:tr>
      <w:tr>
        <w:trPr>
          <w:trHeight w:val="196"/>
        </w:trPr>
        <w:tc>
          <w:tcPr>
            <w:tcW w:w="2940" w:type="dxa"/>
            <w:vAlign w:val="bottom"/>
            <w:tcBorders>
              <w:left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3,745</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3,730</w:t>
            </w:r>
          </w:p>
        </w:tc>
        <w:tc>
          <w:tcPr>
            <w:tcW w:w="2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940" w:type="dxa"/>
            <w:vAlign w:val="bottom"/>
            <w:tcBorders>
              <w:left w:val="single" w:sz="8" w:color="auto"/>
              <w:bottom w:val="single" w:sz="8" w:color="auto"/>
              <w:right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2018 (as of September 30)</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3,730</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132</w:t>
            </w:r>
          </w:p>
        </w:tc>
        <w:tc>
          <w:tcPr>
            <w:tcW w:w="13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3,673</w:t>
            </w:r>
          </w:p>
        </w:tc>
        <w:tc>
          <w:tcPr>
            <w:tcW w:w="2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w:t>
            </w:r>
          </w:p>
        </w:tc>
      </w:tr>
    </w:tbl>
    <w:p>
      <w:pPr>
        <w:spacing w:after="0" w:line="21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6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2018 we had resolved, by means of settlement or dismissal, 37,726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78"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7,708 claims as of September 30, 2018, only ten claims have been filed against Brandon since January 1, 2012, and no settlement costs have been incurred since 2001. Brandon was acquired by the Company in 1999, and has its own insurance policies covering periods prior to 1999. Since 2004, Brandon’s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insurance carriers have covered 100% of indemnification and defense costs, subject to policy limits and a standard reservation of rights.</w:t>
      </w:r>
    </w:p>
    <w:p>
      <w:pPr>
        <w:spacing w:after="0" w:line="171"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7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w:t>
            </w:r>
          </w:p>
        </w:tc>
        <w:tc>
          <w:tcPr>
            <w:tcW w:w="10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Accumulated</w:t>
            </w:r>
          </w:p>
        </w:tc>
        <w:tc>
          <w:tcPr>
            <w:tcW w:w="9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7"/>
              </w:rPr>
              <w:t>Stock</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Additional</w:t>
            </w:r>
          </w:p>
        </w:tc>
        <w:tc>
          <w:tcPr>
            <w:tcW w:w="10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items of other</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Class</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paid in</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Retained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comprehensive</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Treasury</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Noncontrolling</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4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 and B</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earnings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income/(loss)</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stock</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Interest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Equity</w:t>
            </w:r>
          </w:p>
        </w:tc>
      </w:tr>
      <w:tr>
        <w:trPr>
          <w:trHeight w:val="215"/>
        </w:trPr>
        <w:tc>
          <w:tcPr>
            <w:tcW w:w="386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$428,423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$534,082</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($135,901)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($256,876)</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$3,247</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$573,015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Adoption of accounting standards (a),(b)</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(5,086)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(327)</w:t>
            </w:r>
          </w:p>
        </w:tc>
        <w:tc>
          <w:tcPr>
            <w:tcW w:w="900" w:type="dxa"/>
            <w:vAlign w:val="bottom"/>
          </w:tcPr>
          <w:p>
            <w:pPr>
              <w:jc w:val="right"/>
              <w:spacing w:after="0"/>
              <w:rPr>
                <w:sz w:val="20"/>
                <w:szCs w:val="20"/>
                <w:color w:val="auto"/>
              </w:rPr>
            </w:pPr>
            <w:r>
              <w:rPr>
                <w:rFonts w:ascii="Arial" w:cs="Arial" w:eastAsia="Arial" w:hAnsi="Arial"/>
                <w:sz w:val="18"/>
                <w:szCs w:val="18"/>
                <w:color w:val="auto"/>
              </w:rPr>
              <w:t>(5,413)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68,825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447</w:t>
            </w:r>
          </w:p>
        </w:tc>
        <w:tc>
          <w:tcPr>
            <w:tcW w:w="900" w:type="dxa"/>
            <w:vAlign w:val="bottom"/>
          </w:tcPr>
          <w:p>
            <w:pPr>
              <w:jc w:val="right"/>
              <w:spacing w:after="0"/>
              <w:rPr>
                <w:sz w:val="20"/>
                <w:szCs w:val="20"/>
                <w:color w:val="auto"/>
              </w:rPr>
            </w:pPr>
            <w:r>
              <w:rPr>
                <w:rFonts w:ascii="Arial" w:cs="Arial" w:eastAsia="Arial" w:hAnsi="Arial"/>
                <w:sz w:val="18"/>
                <w:szCs w:val="18"/>
                <w:color w:val="auto"/>
              </w:rPr>
              <w:t>69,272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Compensation and benefits paid or payable in</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shares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1,606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Options exercised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(16,452)</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(16,452)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(23,582)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(23,583)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Pension and postretirement liability adjustments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2,243</w:t>
            </w:r>
          </w:p>
        </w:tc>
      </w:tr>
      <w:tr>
        <w:trPr>
          <w:trHeight w:val="21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valuation adjustment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30, 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$430,231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$581,369</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($149,761)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($256,603)</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$3,366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$608,642</w:t>
            </w:r>
          </w:p>
        </w:tc>
      </w:tr>
    </w:tbl>
    <w:p>
      <w:pPr>
        <w:spacing w:after="0" w:line="377" w:lineRule="exact"/>
        <w:rPr>
          <w:sz w:val="20"/>
          <w:szCs w:val="20"/>
          <w:color w:val="auto"/>
        </w:rPr>
      </w:pPr>
    </w:p>
    <w:p>
      <w:pPr>
        <w:ind w:left="340" w:right="280" w:hanging="332"/>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described in Note 2, the Company adopted ASC 606 effective January 1, 2018, which resulted in a decrease to Retained earnings of $5.6 million and a $0.3 million decrease to Noncontrolling interest.</w:t>
      </w:r>
    </w:p>
    <w:p>
      <w:pPr>
        <w:spacing w:after="0" w:line="115" w:lineRule="exact"/>
        <w:rPr>
          <w:rFonts w:ascii="Arial" w:cs="Arial" w:eastAsia="Arial" w:hAnsi="Arial"/>
          <w:sz w:val="18"/>
          <w:szCs w:val="18"/>
          <w:color w:val="auto"/>
        </w:rPr>
      </w:pPr>
    </w:p>
    <w:p>
      <w:pPr>
        <w:ind w:left="340" w:right="720" w:hanging="332"/>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described in Note 7, the Company adopted ASU 2016-16 effective January 1, 2018, which resulted in a $0.5 million increase to Retained earnings.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19. Recent Accounting Pronouncements</w:t>
      </w:r>
    </w:p>
    <w:p>
      <w:pPr>
        <w:spacing w:after="0" w:line="22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February 2016, an accounting update was issued which will require lessees to record most operating leases on their balance sheets, but recognize the expenses in the income statement in a manner similar to current practice. Under the new standard, lessees will be required to recognize a lease liability for the obligation to make lease payments, and an asset for the right to use the underlying asset for the lease term, for all leases with terms longer than 12 months. Leases will be classified as finance or operating, with classification affecting the pattern and classification of expense recognition in the income statement. Expenses related to operating leases will be recognized on a straight-line basis, while those determined to be financing leases will be recognized following a front-loaded expense profile, in which interest and amortization are presented separately in the income statement. The principal effect on the Company’s financial statements will be an increase in assets and liabilities. The new standard is effective January 1, 2019. A modified retrospective transition approach is required, applying the new standard to all leases existing at the date of initial application. An entity may choose to apply the standard either (1) on the January 1, 2019 effective date, or (2) the beginning of the earliest comparative period presented in its financial statements. The Company will adopt the new standard on January 1, 2019 and use the effective date as our date of initial application. Consequently, financial information will not be updated and the disclosures required under the new standard will not be provided for dates and periods before January 1, 2019. The new standard provides a number of optional practical expedients for transition, some of which, if elected, must be adopted as a package. The Company expects to elect the package of practical expedients which permits us not to reassess under the new standard our prior conclusions about lease identification, lease classification and initial direct costs. The Company does not expect to elect the practical expedients pertaining to use-of-hindsight or land easements. The new standard also provides practical expedients for an entity’s ongoing accounting including not recording a lease-related asset and liability when the original lease term is 12 months or less, a provision which the Company will adopt. The Company also currently expects to elect the practical expedient to not separate lease and non-lease components for all of our leases. The Company does not expect a significant change in our leasing activities between now and adoption. Additionally, the Company is evaluating changes to our processes and internal controls to ensure we meet the standard’s reporting and disclosure requirements.</w:t>
      </w:r>
    </w:p>
    <w:p>
      <w:pPr>
        <w:spacing w:after="0" w:line="174" w:lineRule="exact"/>
        <w:rPr>
          <w:sz w:val="20"/>
          <w:szCs w:val="20"/>
          <w:color w:val="auto"/>
        </w:rPr>
      </w:pPr>
    </w:p>
    <w:p>
      <w:pPr>
        <w:ind w:right="440" w:firstLine="648"/>
        <w:spacing w:after="0" w:line="239" w:lineRule="auto"/>
        <w:rPr>
          <w:sz w:val="20"/>
          <w:szCs w:val="20"/>
          <w:color w:val="auto"/>
        </w:rPr>
      </w:pPr>
      <w:r>
        <w:rPr>
          <w:rFonts w:ascii="Arial" w:cs="Arial" w:eastAsia="Arial" w:hAnsi="Arial"/>
          <w:sz w:val="18"/>
          <w:szCs w:val="18"/>
          <w:color w:val="auto"/>
        </w:rPr>
        <w:t>In August 2017, an accounting update was issued which simplifies the application of hedge accounting to better align the financial reporting of hedging relationships with a company’s risk management activities. We do not expect a significant impact to our consolidated assets and liabilities, net earnings, or cash flows as a result of adopting this new standard. We plan to adopt the new standard effective January 1, 2019.</w:t>
      </w:r>
    </w:p>
    <w:p>
      <w:pPr>
        <w:spacing w:after="0" w:line="175"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In February 2018, an accounting update was issued which allows a reclassification from accumulated other comprehensive income to retained earnings for stranded tax effects resulting from the Tax Cuts and Jobs Act. This update is effective for annual and interim periods in fiscal years beginning after December 15, 2018. We are currently evaluating the impact of this update.</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August 2018, an accounting update was issued which clarifies that implementation costs incurred by customers in cloud computing arrangements are deferred if they would be capitalized by customers in software licensing arrangements under the internal-use software guidance. This update is effective for annual and interim periods in fiscal years beginning after December 15, 2019. We are currently evaluating the impact of this update.</w:t>
      </w:r>
    </w:p>
    <w:p>
      <w:pPr>
        <w:spacing w:after="0" w:line="161"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This update is effective for annual and interim periods in fiscal years beginning after December 15, 2020. We are currently evaluating the impact of this update.</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9" w:name="page40"/>
    <w:bookmarkEnd w:id="39"/>
    <w:p>
      <w:pPr>
        <w:ind w:right="40" w:firstLine="648"/>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fair value measurement disclosures. This update is effective for annual and interim periods in fiscal years beginning after December 15, 2019. We are currently evaluating the impact of this update.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163"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580" w:right="160" w:hanging="428"/>
        <w:spacing w:after="0" w:line="246"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156" w:lineRule="exact"/>
        <w:rPr>
          <w:rFonts w:ascii="Arial" w:cs="Arial" w:eastAsia="Arial" w:hAnsi="Arial"/>
          <w:sz w:val="18"/>
          <w:szCs w:val="18"/>
          <w:color w:val="auto"/>
        </w:rPr>
      </w:pPr>
    </w:p>
    <w:p>
      <w:pPr>
        <w:ind w:left="1580" w:right="80" w:hanging="478"/>
        <w:spacing w:after="0" w:line="246" w:lineRule="auto"/>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156" w:lineRule="exact"/>
        <w:rPr>
          <w:rFonts w:ascii="Arial" w:cs="Arial" w:eastAsia="Arial" w:hAnsi="Arial"/>
          <w:sz w:val="18"/>
          <w:szCs w:val="18"/>
          <w:color w:val="auto"/>
        </w:rPr>
      </w:pPr>
    </w:p>
    <w:p>
      <w:pPr>
        <w:ind w:left="1580" w:right="620" w:hanging="478"/>
        <w:spacing w:after="0" w:line="246" w:lineRule="auto"/>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156" w:lineRule="exact"/>
        <w:rPr>
          <w:rFonts w:ascii="Arial" w:cs="Arial" w:eastAsia="Arial" w:hAnsi="Arial"/>
          <w:sz w:val="18"/>
          <w:szCs w:val="18"/>
          <w:color w:val="auto"/>
        </w:rPr>
      </w:pPr>
    </w:p>
    <w:p>
      <w:pPr>
        <w:ind w:left="1580" w:hanging="478"/>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71" w:lineRule="exact"/>
        <w:rPr>
          <w:rFonts w:ascii="Arial" w:cs="Arial" w:eastAsia="Arial" w:hAnsi="Arial"/>
          <w:sz w:val="18"/>
          <w:szCs w:val="18"/>
          <w:color w:val="auto"/>
        </w:rPr>
      </w:pPr>
    </w:p>
    <w:p>
      <w:pPr>
        <w:ind w:left="1580" w:hanging="478"/>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200" w:lineRule="exact"/>
        <w:rPr>
          <w:sz w:val="20"/>
          <w:szCs w:val="20"/>
          <w:color w:val="auto"/>
        </w:rPr>
      </w:pPr>
    </w:p>
    <w:p>
      <w:pPr>
        <w:spacing w:after="0" w:line="36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40" w:name="page41"/>
    <w:bookmarkEnd w:id="40"/>
    <w:p>
      <w:pPr>
        <w:ind w:right="80"/>
        <w:spacing w:after="0" w:line="237" w:lineRule="auto"/>
        <w:rPr>
          <w:sz w:val="20"/>
          <w:szCs w:val="20"/>
          <w:color w:val="auto"/>
        </w:rPr>
      </w:pPr>
      <w:r>
        <w:rPr>
          <w:rFonts w:ascii="Arial" w:cs="Arial" w:eastAsia="Arial" w:hAnsi="Arial"/>
          <w:sz w:val="18"/>
          <w:szCs w:val="18"/>
          <w:color w:val="auto"/>
        </w:rPr>
        <w:t>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6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38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Nonetheless, the business retains the potential for maintaining stable earnings in the future. It has been a significant generator of cash, and we seek to maintain the cash-generating potential of this business by maintaining the low costs that we achieved through previous restructuring, and competing vigorously by using our differentiated and technically superior products to reduce our customers’ total cost of operation and improve their paper quality.</w:t>
      </w:r>
    </w:p>
    <w:p>
      <w:pPr>
        <w:spacing w:after="0" w:line="16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conventional non-3D technology,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14 percent of the Company’s consolidated net sales in 2017. AEC, through ASC, also supplies 3D-woven composite fan cases for the GE9X engine. AEC’s current portfolio of non-3D programs includes components for the F-35 Joint Strike Fighter, fuselage frames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2017, approximately 30 percent of AEC sales were related to U.S. government contracts or programs.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 xml:space="preserve">Consolidated </w:t>
      </w: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right="480" w:firstLine="648"/>
        <w:spacing w:after="0" w:line="267" w:lineRule="auto"/>
        <w:rPr>
          <w:sz w:val="20"/>
          <w:szCs w:val="20"/>
          <w:color w:val="auto"/>
        </w:rPr>
      </w:pPr>
      <w:r>
        <w:rPr>
          <w:rFonts w:ascii="Arial" w:cs="Arial" w:eastAsia="Arial" w:hAnsi="Arial"/>
          <w:sz w:val="18"/>
          <w:szCs w:val="18"/>
          <w:color w:val="auto"/>
        </w:rPr>
        <w:t>In the first quarter of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are not restated.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on various operational metrics that resulted from the adoption of ASC 606: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Increase/(decrease) attributable to adoption of ASC 606 for</w:t>
            </w:r>
          </w:p>
        </w:tc>
        <w:tc>
          <w:tcPr>
            <w:tcW w:w="1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the three months ended September 30, 2018</w:t>
            </w:r>
          </w:p>
        </w:tc>
        <w:tc>
          <w:tcPr>
            <w:tcW w:w="1300" w:type="dxa"/>
            <w:vAlign w:val="bottom"/>
          </w:tcPr>
          <w:p>
            <w:pPr>
              <w:spacing w:after="0"/>
              <w:rPr>
                <w:sz w:val="19"/>
                <w:szCs w:val="19"/>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8"/>
              </w:rPr>
              <w:t>Albany</w:t>
            </w:r>
          </w:p>
        </w:tc>
        <w:tc>
          <w:tcPr>
            <w:tcW w:w="1880" w:type="dxa"/>
            <w:vAlign w:val="bottom"/>
          </w:tcPr>
          <w:p>
            <w:pPr>
              <w:jc w:val="center"/>
              <w:ind w:right="130"/>
              <w:spacing w:after="0"/>
              <w:rPr>
                <w:sz w:val="20"/>
                <w:szCs w:val="20"/>
                <w:color w:val="auto"/>
              </w:rPr>
            </w:pPr>
            <w:r>
              <w:rPr>
                <w:rFonts w:ascii="Arial" w:cs="Arial" w:eastAsia="Arial" w:hAnsi="Arial"/>
                <w:sz w:val="18"/>
                <w:szCs w:val="18"/>
                <w:color w:val="auto"/>
                <w:w w:val="99"/>
              </w:rPr>
              <w:t>Income tax and</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300" w:type="dxa"/>
            <w:vAlign w:val="bottom"/>
          </w:tcPr>
          <w:p>
            <w:pPr>
              <w:ind w:left="360"/>
              <w:spacing w:after="0" w:line="181" w:lineRule="exact"/>
              <w:rPr>
                <w:sz w:val="20"/>
                <w:szCs w:val="20"/>
                <w:color w:val="auto"/>
              </w:rPr>
            </w:pPr>
            <w:r>
              <w:rPr>
                <w:rFonts w:ascii="Arial" w:cs="Arial" w:eastAsia="Arial" w:hAnsi="Arial"/>
                <w:sz w:val="18"/>
                <w:szCs w:val="18"/>
                <w:color w:val="auto"/>
              </w:rPr>
              <w:t>Machine</w:t>
            </w:r>
          </w:p>
        </w:tc>
        <w:tc>
          <w:tcPr>
            <w:tcW w:w="1200" w:type="dxa"/>
            <w:vAlign w:val="bottom"/>
          </w:tcPr>
          <w:p>
            <w:pPr>
              <w:jc w:val="center"/>
              <w:ind w:right="150"/>
              <w:spacing w:after="0" w:line="181" w:lineRule="exact"/>
              <w:rPr>
                <w:sz w:val="20"/>
                <w:szCs w:val="20"/>
                <w:color w:val="auto"/>
              </w:rPr>
            </w:pPr>
            <w:r>
              <w:rPr>
                <w:rFonts w:ascii="Arial" w:cs="Arial" w:eastAsia="Arial" w:hAnsi="Arial"/>
                <w:sz w:val="18"/>
                <w:szCs w:val="18"/>
                <w:color w:val="auto"/>
                <w:w w:val="99"/>
              </w:rPr>
              <w:t>Engineered</w:t>
            </w:r>
          </w:p>
        </w:tc>
        <w:tc>
          <w:tcPr>
            <w:tcW w:w="1880" w:type="dxa"/>
            <w:vAlign w:val="bottom"/>
          </w:tcPr>
          <w:p>
            <w:pPr>
              <w:jc w:val="center"/>
              <w:ind w:right="150"/>
              <w:spacing w:after="0" w:line="181" w:lineRule="exact"/>
              <w:rPr>
                <w:sz w:val="20"/>
                <w:szCs w:val="20"/>
                <w:color w:val="auto"/>
              </w:rPr>
            </w:pPr>
            <w:r>
              <w:rPr>
                <w:rFonts w:ascii="Arial" w:cs="Arial" w:eastAsia="Arial" w:hAnsi="Arial"/>
                <w:sz w:val="18"/>
                <w:szCs w:val="18"/>
                <w:color w:val="auto"/>
                <w:w w:val="99"/>
              </w:rPr>
              <w:t>noncontrolling</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1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300" w:type="dxa"/>
            <w:vAlign w:val="bottom"/>
          </w:tcPr>
          <w:p>
            <w:pPr>
              <w:ind w:left="380"/>
              <w:spacing w:after="0"/>
              <w:rPr>
                <w:sz w:val="20"/>
                <w:szCs w:val="20"/>
                <w:color w:val="auto"/>
              </w:rPr>
            </w:pPr>
            <w:r>
              <w:rPr>
                <w:rFonts w:ascii="Arial" w:cs="Arial" w:eastAsia="Arial" w:hAnsi="Arial"/>
                <w:sz w:val="18"/>
                <w:szCs w:val="18"/>
                <w:color w:val="auto"/>
              </w:rPr>
              <w:t>Clothing</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8"/>
              </w:rPr>
              <w:t>Composites</w:t>
            </w:r>
          </w:p>
        </w:tc>
        <w:tc>
          <w:tcPr>
            <w:tcW w:w="1880" w:type="dxa"/>
            <w:vAlign w:val="bottom"/>
          </w:tcPr>
          <w:p>
            <w:pPr>
              <w:jc w:val="center"/>
              <w:ind w:right="130"/>
              <w:spacing w:after="0"/>
              <w:rPr>
                <w:sz w:val="20"/>
                <w:szCs w:val="20"/>
                <w:color w:val="auto"/>
              </w:rPr>
            </w:pPr>
            <w:r>
              <w:rPr>
                <w:rFonts w:ascii="Arial" w:cs="Arial" w:eastAsia="Arial" w:hAnsi="Arial"/>
                <w:sz w:val="18"/>
                <w:szCs w:val="18"/>
                <w:color w:val="auto"/>
              </w:rPr>
              <w:t>interest effects</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61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Net sales</w:t>
            </w: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$3,336</w:t>
            </w:r>
          </w:p>
        </w:tc>
        <w:tc>
          <w:tcPr>
            <w:tcW w:w="120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color w:val="auto"/>
              </w:rPr>
              <w:t>($5,028)</w:t>
            </w:r>
          </w:p>
        </w:tc>
        <w:tc>
          <w:tcPr>
            <w:tcW w:w="1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 -</w:t>
            </w: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($1,692)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2,170</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(960)</w:t>
            </w:r>
          </w:p>
        </w:tc>
        <w:tc>
          <w:tcPr>
            <w:tcW w:w="1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1,210</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and Income before income taxes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2,158</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(960)</w:t>
            </w:r>
          </w:p>
        </w:tc>
        <w:tc>
          <w:tcPr>
            <w:tcW w:w="1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1,198</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431</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2,158</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(960)</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767</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the noncontrolling interest in ASC</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25"/>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 attributable to the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$2,158</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($960)</w:t>
            </w:r>
          </w:p>
        </w:tc>
        <w:tc>
          <w:tcPr>
            <w:tcW w:w="1880" w:type="dxa"/>
            <w:vAlign w:val="bottom"/>
          </w:tcPr>
          <w:p>
            <w:pPr>
              <w:jc w:val="right"/>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$740</w:t>
            </w:r>
          </w:p>
        </w:tc>
        <w:tc>
          <w:tcPr>
            <w:tcW w:w="0" w:type="dxa"/>
            <w:vAlign w:val="bottom"/>
          </w:tcPr>
          <w:p>
            <w:pPr>
              <w:spacing w:after="0"/>
              <w:rPr>
                <w:sz w:val="1"/>
                <w:szCs w:val="1"/>
                <w:color w:val="auto"/>
              </w:rPr>
            </w:pPr>
          </w:p>
        </w:tc>
      </w:tr>
      <w:tr>
        <w:trPr>
          <w:trHeight w:val="385"/>
        </w:trPr>
        <w:tc>
          <w:tcPr>
            <w:tcW w:w="20" w:type="dxa"/>
            <w:vAlign w:val="bottom"/>
            <w:tcBorders>
              <w:top w:val="single" w:sz="8" w:color="auto"/>
              <w:bottom w:val="single" w:sz="8" w:color="auto"/>
            </w:tcBorders>
            <w:vMerge w:val="restart"/>
          </w:tcPr>
          <w:p>
            <w:pPr>
              <w:spacing w:after="0"/>
              <w:rPr>
                <w:sz w:val="24"/>
                <w:szCs w:val="24"/>
                <w:color w:val="auto"/>
              </w:rPr>
            </w:pPr>
          </w:p>
        </w:tc>
        <w:tc>
          <w:tcPr>
            <w:tcW w:w="61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140" w:type="dxa"/>
            <w:vAlign w:val="bottom"/>
          </w:tcPr>
          <w:p>
            <w:pPr>
              <w:spacing w:after="0" w:line="173" w:lineRule="exact"/>
              <w:rPr>
                <w:sz w:val="20"/>
                <w:szCs w:val="20"/>
                <w:color w:val="auto"/>
              </w:rPr>
            </w:pPr>
            <w:r>
              <w:rPr>
                <w:rFonts w:ascii="Arial" w:cs="Arial" w:eastAsia="Arial" w:hAnsi="Arial"/>
                <w:sz w:val="18"/>
                <w:szCs w:val="18"/>
                <w:b w:val="1"/>
                <w:bCs w:val="1"/>
                <w:color w:val="auto"/>
              </w:rPr>
              <w:t>Increase/(decrease) attributable to adoption of ASC 606 for the nine</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Months ended September 30, 2018</w:t>
            </w:r>
          </w:p>
        </w:tc>
        <w:tc>
          <w:tcPr>
            <w:tcW w:w="1300" w:type="dxa"/>
            <w:vAlign w:val="bottom"/>
          </w:tcPr>
          <w:p>
            <w:pPr>
              <w:spacing w:after="0"/>
              <w:rPr>
                <w:sz w:val="19"/>
                <w:szCs w:val="19"/>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8"/>
              </w:rPr>
              <w:t>Albany</w:t>
            </w:r>
          </w:p>
        </w:tc>
        <w:tc>
          <w:tcPr>
            <w:tcW w:w="1880" w:type="dxa"/>
            <w:vAlign w:val="bottom"/>
          </w:tcPr>
          <w:p>
            <w:pPr>
              <w:jc w:val="center"/>
              <w:ind w:right="130"/>
              <w:spacing w:after="0"/>
              <w:rPr>
                <w:sz w:val="20"/>
                <w:szCs w:val="20"/>
                <w:color w:val="auto"/>
              </w:rPr>
            </w:pPr>
            <w:r>
              <w:rPr>
                <w:rFonts w:ascii="Arial" w:cs="Arial" w:eastAsia="Arial" w:hAnsi="Arial"/>
                <w:sz w:val="18"/>
                <w:szCs w:val="18"/>
                <w:color w:val="auto"/>
                <w:w w:val="99"/>
              </w:rPr>
              <w:t>Income tax and</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300" w:type="dxa"/>
            <w:vAlign w:val="bottom"/>
          </w:tcPr>
          <w:p>
            <w:pPr>
              <w:ind w:left="360"/>
              <w:spacing w:after="0" w:line="181" w:lineRule="exact"/>
              <w:rPr>
                <w:sz w:val="20"/>
                <w:szCs w:val="20"/>
                <w:color w:val="auto"/>
              </w:rPr>
            </w:pPr>
            <w:r>
              <w:rPr>
                <w:rFonts w:ascii="Arial" w:cs="Arial" w:eastAsia="Arial" w:hAnsi="Arial"/>
                <w:sz w:val="18"/>
                <w:szCs w:val="18"/>
                <w:color w:val="auto"/>
              </w:rPr>
              <w:t>Machine</w:t>
            </w:r>
          </w:p>
        </w:tc>
        <w:tc>
          <w:tcPr>
            <w:tcW w:w="1200" w:type="dxa"/>
            <w:vAlign w:val="bottom"/>
          </w:tcPr>
          <w:p>
            <w:pPr>
              <w:jc w:val="center"/>
              <w:ind w:right="150"/>
              <w:spacing w:after="0" w:line="181" w:lineRule="exact"/>
              <w:rPr>
                <w:sz w:val="20"/>
                <w:szCs w:val="20"/>
                <w:color w:val="auto"/>
              </w:rPr>
            </w:pPr>
            <w:r>
              <w:rPr>
                <w:rFonts w:ascii="Arial" w:cs="Arial" w:eastAsia="Arial" w:hAnsi="Arial"/>
                <w:sz w:val="18"/>
                <w:szCs w:val="18"/>
                <w:color w:val="auto"/>
                <w:w w:val="99"/>
              </w:rPr>
              <w:t>Engineered</w:t>
            </w:r>
          </w:p>
        </w:tc>
        <w:tc>
          <w:tcPr>
            <w:tcW w:w="1880" w:type="dxa"/>
            <w:vAlign w:val="bottom"/>
          </w:tcPr>
          <w:p>
            <w:pPr>
              <w:jc w:val="center"/>
              <w:ind w:right="150"/>
              <w:spacing w:after="0" w:line="181" w:lineRule="exact"/>
              <w:rPr>
                <w:sz w:val="20"/>
                <w:szCs w:val="20"/>
                <w:color w:val="auto"/>
              </w:rPr>
            </w:pPr>
            <w:r>
              <w:rPr>
                <w:rFonts w:ascii="Arial" w:cs="Arial" w:eastAsia="Arial" w:hAnsi="Arial"/>
                <w:sz w:val="18"/>
                <w:szCs w:val="18"/>
                <w:color w:val="auto"/>
                <w:w w:val="99"/>
              </w:rPr>
              <w:t>noncontrolling</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1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300" w:type="dxa"/>
            <w:vAlign w:val="bottom"/>
          </w:tcPr>
          <w:p>
            <w:pPr>
              <w:ind w:left="380"/>
              <w:spacing w:after="0"/>
              <w:rPr>
                <w:sz w:val="20"/>
                <w:szCs w:val="20"/>
                <w:color w:val="auto"/>
              </w:rPr>
            </w:pPr>
            <w:r>
              <w:rPr>
                <w:rFonts w:ascii="Arial" w:cs="Arial" w:eastAsia="Arial" w:hAnsi="Arial"/>
                <w:sz w:val="18"/>
                <w:szCs w:val="18"/>
                <w:color w:val="auto"/>
              </w:rPr>
              <w:t>Clothing</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8"/>
              </w:rPr>
              <w:t>Composites</w:t>
            </w:r>
          </w:p>
        </w:tc>
        <w:tc>
          <w:tcPr>
            <w:tcW w:w="1880" w:type="dxa"/>
            <w:vAlign w:val="bottom"/>
          </w:tcPr>
          <w:p>
            <w:pPr>
              <w:jc w:val="center"/>
              <w:ind w:right="130"/>
              <w:spacing w:after="0"/>
              <w:rPr>
                <w:sz w:val="20"/>
                <w:szCs w:val="20"/>
                <w:color w:val="auto"/>
              </w:rPr>
            </w:pPr>
            <w:r>
              <w:rPr>
                <w:rFonts w:ascii="Arial" w:cs="Arial" w:eastAsia="Arial" w:hAnsi="Arial"/>
                <w:sz w:val="18"/>
                <w:szCs w:val="18"/>
                <w:color w:val="auto"/>
              </w:rPr>
              <w:t>interest effects</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61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Net sales</w:t>
            </w: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$8,404</w:t>
            </w:r>
          </w:p>
        </w:tc>
        <w:tc>
          <w:tcPr>
            <w:tcW w:w="120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color w:val="auto"/>
              </w:rPr>
              <w:t>($2,062)</w:t>
            </w:r>
          </w:p>
        </w:tc>
        <w:tc>
          <w:tcPr>
            <w:tcW w:w="1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 -</w:t>
            </w: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$6,342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4,990</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w:t>
            </w:r>
          </w:p>
        </w:tc>
        <w:tc>
          <w:tcPr>
            <w:tcW w:w="1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5,022</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and Income before income taxes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4,923</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w:t>
            </w:r>
          </w:p>
        </w:tc>
        <w:tc>
          <w:tcPr>
            <w:tcW w:w="1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4,955</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1,539</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1,539</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4,923</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(1,539)</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3,416</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the noncontrolling interest in ASC</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25"/>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the Company</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$3,305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3"/>
        </w:trPr>
        <w:tc>
          <w:tcPr>
            <w:tcW w:w="328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2"/>
          </w:tcPr>
          <w:p>
            <w:pPr>
              <w:jc w:val="right"/>
              <w:ind w:right="30"/>
              <w:spacing w:after="0" w:line="194" w:lineRule="exact"/>
              <w:rPr>
                <w:sz w:val="20"/>
                <w:szCs w:val="20"/>
                <w:color w:val="auto"/>
              </w:rPr>
            </w:pPr>
            <w:r>
              <w:rPr>
                <w:rFonts w:ascii="Arial" w:cs="Arial" w:eastAsia="Arial" w:hAnsi="Arial"/>
                <w:sz w:val="18"/>
                <w:szCs w:val="18"/>
                <w:b w:val="1"/>
                <w:bCs w:val="1"/>
                <w:color w:val="auto"/>
              </w:rPr>
              <w:t>Three months ended</w:t>
            </w:r>
          </w:p>
        </w:tc>
        <w:tc>
          <w:tcPr>
            <w:tcW w:w="134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rPr>
              <w:t>Nine months ended</w:t>
            </w: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vMerge w:val="restart"/>
          </w:tcPr>
          <w:p>
            <w:pPr>
              <w:jc w:val="right"/>
              <w:ind w:right="77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4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340" w:type="dxa"/>
            <w:vAlign w:val="bottom"/>
            <w:vMerge w:val="continue"/>
          </w:tcPr>
          <w:p>
            <w:pPr>
              <w:spacing w:after="0"/>
              <w:rPr>
                <w:sz w:val="17"/>
                <w:szCs w:val="17"/>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Change</w:t>
            </w:r>
          </w:p>
        </w:tc>
        <w:tc>
          <w:tcPr>
            <w:tcW w:w="12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7"/>
        </w:trPr>
        <w:tc>
          <w:tcPr>
            <w:tcW w:w="32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Machine Clothing</w:t>
            </w:r>
          </w:p>
        </w:tc>
        <w:tc>
          <w:tcPr>
            <w:tcW w:w="1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b w:val="1"/>
                <w:bCs w:val="1"/>
                <w:color w:val="auto"/>
              </w:rPr>
              <w:t>$158,971</w:t>
            </w:r>
          </w:p>
        </w:tc>
        <w:tc>
          <w:tcPr>
            <w:tcW w:w="1640" w:type="dxa"/>
            <w:vAlign w:val="bottom"/>
            <w:tcBorders>
              <w:top w:val="single" w:sz="8" w:color="auto"/>
            </w:tcBorders>
          </w:tcPr>
          <w:p>
            <w:pPr>
              <w:jc w:val="right"/>
              <w:ind w:right="150"/>
              <w:spacing w:after="0" w:line="187" w:lineRule="exact"/>
              <w:rPr>
                <w:sz w:val="20"/>
                <w:szCs w:val="20"/>
                <w:color w:val="auto"/>
              </w:rPr>
            </w:pPr>
            <w:r>
              <w:rPr>
                <w:rFonts w:ascii="Arial" w:cs="Arial" w:eastAsia="Arial" w:hAnsi="Arial"/>
                <w:sz w:val="18"/>
                <w:szCs w:val="18"/>
                <w:color w:val="auto"/>
              </w:rPr>
              <w:t>$150,694</w:t>
            </w:r>
          </w:p>
        </w:tc>
        <w:tc>
          <w:tcPr>
            <w:tcW w:w="1340" w:type="dxa"/>
            <w:vAlign w:val="bottom"/>
            <w:tcBorders>
              <w:top w:val="single" w:sz="8" w:color="auto"/>
            </w:tcBorders>
          </w:tcPr>
          <w:p>
            <w:pPr>
              <w:jc w:val="right"/>
              <w:ind w:right="170"/>
              <w:spacing w:after="0" w:line="187" w:lineRule="exact"/>
              <w:rPr>
                <w:sz w:val="20"/>
                <w:szCs w:val="20"/>
                <w:color w:val="auto"/>
              </w:rPr>
            </w:pPr>
            <w:r>
              <w:rPr>
                <w:rFonts w:ascii="Arial" w:cs="Arial" w:eastAsia="Arial" w:hAnsi="Arial"/>
                <w:sz w:val="18"/>
                <w:szCs w:val="18"/>
                <w:color w:val="auto"/>
              </w:rPr>
              <w:t>5.5%</w:t>
            </w:r>
          </w:p>
        </w:tc>
        <w:tc>
          <w:tcPr>
            <w:tcW w:w="1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b w:val="1"/>
                <w:bCs w:val="1"/>
                <w:color w:val="auto"/>
              </w:rPr>
              <w:t>$469,758</w:t>
            </w:r>
          </w:p>
        </w:tc>
        <w:tc>
          <w:tcPr>
            <w:tcW w:w="1640" w:type="dxa"/>
            <w:vAlign w:val="bottom"/>
            <w:tcBorders>
              <w:top w:val="single" w:sz="8" w:color="auto"/>
            </w:tcBorders>
          </w:tcPr>
          <w:p>
            <w:pPr>
              <w:jc w:val="right"/>
              <w:ind w:right="130"/>
              <w:spacing w:after="0" w:line="187" w:lineRule="exact"/>
              <w:rPr>
                <w:sz w:val="20"/>
                <w:szCs w:val="20"/>
                <w:color w:val="auto"/>
              </w:rPr>
            </w:pPr>
            <w:r>
              <w:rPr>
                <w:rFonts w:ascii="Arial" w:cs="Arial" w:eastAsia="Arial" w:hAnsi="Arial"/>
                <w:sz w:val="18"/>
                <w:szCs w:val="18"/>
                <w:color w:val="auto"/>
              </w:rPr>
              <w:t>$440,093</w:t>
            </w:r>
          </w:p>
        </w:tc>
        <w:tc>
          <w:tcPr>
            <w:tcW w:w="11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Albany Engineered Composites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94,282</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71,447</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269,701</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196,896</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$253,253</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$222,141</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$739,459</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$636,989</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780" w:firstLine="648"/>
        <w:spacing w:after="0" w:line="246" w:lineRule="auto"/>
        <w:rPr>
          <w:sz w:val="20"/>
          <w:szCs w:val="20"/>
          <w:color w:val="auto"/>
        </w:rPr>
      </w:pPr>
      <w:r>
        <w:rPr>
          <w:rFonts w:ascii="Arial" w:cs="Arial" w:eastAsia="Arial" w:hAnsi="Arial"/>
          <w:sz w:val="18"/>
          <w:szCs w:val="18"/>
          <w:color w:val="auto"/>
        </w:rPr>
        <w:t>The following table summarizes third-quarter and year-to-date 2018 Net sales, excluding the impact of ASC 606 and currency translation effects: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excluding</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currency</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Decrease due to</w:t>
            </w:r>
          </w:p>
        </w:tc>
        <w:tc>
          <w:tcPr>
            <w:tcW w:w="1640" w:type="dxa"/>
            <w:vAlign w:val="bottom"/>
          </w:tcPr>
          <w:p>
            <w:pPr>
              <w:spacing w:after="0"/>
              <w:rPr>
                <w:sz w:val="17"/>
                <w:szCs w:val="17"/>
                <w:color w:val="auto"/>
              </w:rPr>
            </w:pPr>
          </w:p>
        </w:tc>
        <w:tc>
          <w:tcPr>
            <w:tcW w:w="13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rate and</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changes in</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8"/>
              </w:rPr>
              <w:t>ASC 606</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6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Net sales as</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Increase /</w:t>
            </w:r>
          </w:p>
        </w:tc>
        <w:tc>
          <w:tcPr>
            <w:tcW w:w="13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currency</w:t>
            </w:r>
          </w:p>
        </w:tc>
        <w:tc>
          <w:tcPr>
            <w:tcW w:w="340" w:type="dxa"/>
            <w:vAlign w:val="bottom"/>
          </w:tcPr>
          <w:p>
            <w:pPr>
              <w:spacing w:after="0"/>
              <w:rPr>
                <w:sz w:val="17"/>
                <w:szCs w:val="17"/>
                <w:color w:val="auto"/>
              </w:rPr>
            </w:pPr>
          </w:p>
        </w:tc>
        <w:tc>
          <w:tcPr>
            <w:tcW w:w="16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Q3 2018 sales</w:t>
            </w:r>
          </w:p>
        </w:tc>
        <w:tc>
          <w:tcPr>
            <w:tcW w:w="13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effects</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6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8"/>
              </w:rPr>
              <w:t>reported, Q3</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(decrease) due</w:t>
            </w:r>
          </w:p>
        </w:tc>
        <w:tc>
          <w:tcPr>
            <w:tcW w:w="13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340" w:type="dxa"/>
            <w:vAlign w:val="bottom"/>
          </w:tcPr>
          <w:p>
            <w:pPr>
              <w:spacing w:after="0"/>
              <w:rPr>
                <w:sz w:val="17"/>
                <w:szCs w:val="17"/>
                <w:color w:val="auto"/>
              </w:rPr>
            </w:pPr>
          </w:p>
        </w:tc>
        <w:tc>
          <w:tcPr>
            <w:tcW w:w="16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on same basis</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compared to</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860" w:type="dxa"/>
            <w:vAlign w:val="bottom"/>
          </w:tcPr>
          <w:p>
            <w:pPr>
              <w:jc w:val="center"/>
              <w:ind w:left="150"/>
              <w:spacing w:after="0"/>
              <w:rPr>
                <w:sz w:val="20"/>
                <w:szCs w:val="20"/>
                <w:color w:val="auto"/>
              </w:rPr>
            </w:pPr>
            <w:r>
              <w:rPr>
                <w:rFonts w:ascii="Arial" w:cs="Arial" w:eastAsia="Arial" w:hAnsi="Arial"/>
                <w:sz w:val="18"/>
                <w:szCs w:val="18"/>
                <w:b w:val="1"/>
                <w:bCs w:val="1"/>
                <w:color w:val="auto"/>
              </w:rPr>
              <w:t>2018</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to ASC 606</w:t>
            </w:r>
          </w:p>
        </w:tc>
        <w:tc>
          <w:tcPr>
            <w:tcW w:w="132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rates</w:t>
            </w:r>
          </w:p>
        </w:tc>
        <w:tc>
          <w:tcPr>
            <w:tcW w:w="340" w:type="dxa"/>
            <w:vAlign w:val="bottom"/>
          </w:tcPr>
          <w:p>
            <w:pPr>
              <w:spacing w:after="0"/>
              <w:rPr>
                <w:sz w:val="19"/>
                <w:szCs w:val="19"/>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as Q3 2017</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Q3 2017</w:t>
            </w:r>
          </w:p>
        </w:tc>
        <w:tc>
          <w:tcPr>
            <w:tcW w:w="0" w:type="dxa"/>
            <w:vAlign w:val="bottom"/>
          </w:tcPr>
          <w:p>
            <w:pPr>
              <w:spacing w:after="0"/>
              <w:rPr>
                <w:sz w:val="1"/>
                <w:szCs w:val="1"/>
                <w:color w:val="auto"/>
              </w:rPr>
            </w:pPr>
          </w:p>
        </w:tc>
      </w:tr>
      <w:tr>
        <w:trPr>
          <w:trHeight w:val="173"/>
        </w:trPr>
        <w:tc>
          <w:tcPr>
            <w:tcW w:w="33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18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$158,971</w:t>
            </w:r>
          </w:p>
        </w:tc>
        <w:tc>
          <w:tcPr>
            <w:tcW w:w="16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$3,336</w:t>
            </w:r>
          </w:p>
        </w:tc>
        <w:tc>
          <w:tcPr>
            <w:tcW w:w="166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color w:val="auto"/>
              </w:rPr>
              <w:t>($1,225)</w:t>
            </w:r>
          </w:p>
        </w:tc>
        <w:tc>
          <w:tcPr>
            <w:tcW w:w="16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$156,860</w:t>
            </w: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94,282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99,751</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96"/>
        </w:trPr>
        <w:tc>
          <w:tcPr>
            <w:tcW w:w="33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$253,253</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($1,692)</w:t>
            </w:r>
          </w:p>
        </w:tc>
        <w:tc>
          <w:tcPr>
            <w:tcW w:w="1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($1,666)</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$256,611</w:t>
            </w: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330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center"/>
              <w:ind w:right="150"/>
              <w:spacing w:after="0" w:line="187" w:lineRule="exact"/>
              <w:rPr>
                <w:sz w:val="20"/>
                <w:szCs w:val="20"/>
                <w:color w:val="auto"/>
              </w:rPr>
            </w:pPr>
            <w:r>
              <w:rPr>
                <w:rFonts w:ascii="Arial" w:cs="Arial" w:eastAsia="Arial" w:hAnsi="Arial"/>
                <w:sz w:val="18"/>
                <w:szCs w:val="18"/>
                <w:b w:val="1"/>
                <w:bCs w:val="1"/>
                <w:color w:val="auto"/>
                <w:w w:val="98"/>
              </w:rPr>
              <w:t>% Change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98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9"/>
              </w:rPr>
              <w:t>Increase due to</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currency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Net sales as</w:t>
            </w:r>
          </w:p>
        </w:tc>
        <w:tc>
          <w:tcPr>
            <w:tcW w:w="16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changes in</w:t>
            </w:r>
          </w:p>
        </w:tc>
        <w:tc>
          <w:tcPr>
            <w:tcW w:w="340" w:type="dxa"/>
            <w:vAlign w:val="bottom"/>
          </w:tcPr>
          <w:p>
            <w:pPr>
              <w:spacing w:after="0"/>
              <w:rPr>
                <w:sz w:val="18"/>
                <w:szCs w:val="18"/>
                <w:color w:val="auto"/>
              </w:rPr>
            </w:pPr>
          </w:p>
        </w:tc>
        <w:tc>
          <w:tcPr>
            <w:tcW w:w="1640" w:type="dxa"/>
            <w:vAlign w:val="bottom"/>
          </w:tcPr>
          <w:p>
            <w:pPr>
              <w:jc w:val="center"/>
              <w:ind w:right="490"/>
              <w:spacing w:after="0"/>
              <w:rPr>
                <w:sz w:val="20"/>
                <w:szCs w:val="20"/>
                <w:color w:val="auto"/>
              </w:rPr>
            </w:pPr>
            <w:r>
              <w:rPr>
                <w:rFonts w:ascii="Arial" w:cs="Arial" w:eastAsia="Arial" w:hAnsi="Arial"/>
                <w:sz w:val="18"/>
                <w:szCs w:val="18"/>
                <w:b w:val="1"/>
                <w:bCs w:val="1"/>
                <w:color w:val="auto"/>
                <w:w w:val="98"/>
              </w:rPr>
              <w:t>Year to date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rate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reported, first</w:t>
            </w:r>
          </w:p>
        </w:tc>
        <w:tc>
          <w:tcPr>
            <w:tcW w:w="166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Increase /</w:t>
            </w: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currency</w:t>
            </w:r>
          </w:p>
        </w:tc>
        <w:tc>
          <w:tcPr>
            <w:tcW w:w="198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9"/>
              </w:rPr>
              <w:t>September 30, 2018</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ASC 606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nine months of</w:t>
            </w:r>
          </w:p>
        </w:tc>
        <w:tc>
          <w:tcPr>
            <w:tcW w:w="166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(decrease) due</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rPr>
              <w:t>translation</w:t>
            </w:r>
          </w:p>
        </w:tc>
        <w:tc>
          <w:tcPr>
            <w:tcW w:w="19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9"/>
              </w:rPr>
              <w:t>sales on same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effects</w:t>
            </w:r>
          </w:p>
        </w:tc>
        <w:tc>
          <w:tcPr>
            <w:tcW w:w="0" w:type="dxa"/>
            <w:vAlign w:val="bottom"/>
          </w:tcPr>
          <w:p>
            <w:pPr>
              <w:spacing w:after="0"/>
              <w:rPr>
                <w:sz w:val="1"/>
                <w:szCs w:val="1"/>
                <w:color w:val="auto"/>
              </w:rPr>
            </w:pPr>
          </w:p>
        </w:tc>
      </w:tr>
      <w:tr>
        <w:trPr>
          <w:trHeight w:val="239"/>
        </w:trPr>
        <w:tc>
          <w:tcPr>
            <w:tcW w:w="3300" w:type="dxa"/>
            <w:vAlign w:val="bottom"/>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2018</w:t>
            </w:r>
          </w:p>
        </w:tc>
        <w:tc>
          <w:tcPr>
            <w:tcW w:w="166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to ASC 606</w:t>
            </w: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rPr>
              <w:t>rates</w:t>
            </w:r>
          </w:p>
        </w:tc>
        <w:tc>
          <w:tcPr>
            <w:tcW w:w="33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basis as 2017   compared to 2017</w:t>
            </w:r>
          </w:p>
        </w:tc>
        <w:tc>
          <w:tcPr>
            <w:tcW w:w="0" w:type="dxa"/>
            <w:vAlign w:val="bottom"/>
          </w:tcPr>
          <w:p>
            <w:pPr>
              <w:spacing w:after="0"/>
              <w:rPr>
                <w:sz w:val="1"/>
                <w:szCs w:val="1"/>
                <w:color w:val="auto"/>
              </w:rPr>
            </w:pPr>
          </w:p>
        </w:tc>
      </w:tr>
      <w:tr>
        <w:trPr>
          <w:trHeight w:val="187"/>
        </w:trPr>
        <w:tc>
          <w:tcPr>
            <w:tcW w:w="330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Machine Clothing</w:t>
            </w:r>
          </w:p>
        </w:tc>
        <w:tc>
          <w:tcPr>
            <w:tcW w:w="1860" w:type="dxa"/>
            <w:vAlign w:val="bottom"/>
            <w:tcBorders>
              <w:top w:val="single" w:sz="8" w:color="auto"/>
            </w:tcBorders>
          </w:tcPr>
          <w:p>
            <w:pPr>
              <w:jc w:val="right"/>
              <w:ind w:right="70"/>
              <w:spacing w:after="0" w:line="187" w:lineRule="exact"/>
              <w:rPr>
                <w:sz w:val="20"/>
                <w:szCs w:val="20"/>
                <w:color w:val="auto"/>
              </w:rPr>
            </w:pPr>
            <w:r>
              <w:rPr>
                <w:rFonts w:ascii="Arial" w:cs="Arial" w:eastAsia="Arial" w:hAnsi="Arial"/>
                <w:sz w:val="18"/>
                <w:szCs w:val="18"/>
                <w:b w:val="1"/>
                <w:bCs w:val="1"/>
                <w:color w:val="auto"/>
              </w:rPr>
              <w:t>$469,758</w:t>
            </w:r>
          </w:p>
        </w:tc>
        <w:tc>
          <w:tcPr>
            <w:tcW w:w="1660" w:type="dxa"/>
            <w:vAlign w:val="bottom"/>
            <w:tcBorders>
              <w:top w:val="single" w:sz="8" w:color="auto"/>
            </w:tcBorders>
          </w:tcPr>
          <w:p>
            <w:pPr>
              <w:jc w:val="right"/>
              <w:ind w:right="150"/>
              <w:spacing w:after="0" w:line="187" w:lineRule="exact"/>
              <w:rPr>
                <w:sz w:val="20"/>
                <w:szCs w:val="20"/>
                <w:color w:val="auto"/>
              </w:rPr>
            </w:pPr>
            <w:r>
              <w:rPr>
                <w:rFonts w:ascii="Arial" w:cs="Arial" w:eastAsia="Arial" w:hAnsi="Arial"/>
                <w:sz w:val="18"/>
                <w:szCs w:val="18"/>
                <w:color w:val="auto"/>
              </w:rPr>
              <w:t>$8,404</w:t>
            </w:r>
          </w:p>
        </w:tc>
        <w:tc>
          <w:tcPr>
            <w:tcW w:w="13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$8,675</w:t>
            </w:r>
          </w:p>
        </w:tc>
        <w:tc>
          <w:tcPr>
            <w:tcW w:w="3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150"/>
              <w:spacing w:after="0" w:line="187" w:lineRule="exact"/>
              <w:rPr>
                <w:sz w:val="20"/>
                <w:szCs w:val="20"/>
                <w:color w:val="auto"/>
              </w:rPr>
            </w:pPr>
            <w:r>
              <w:rPr>
                <w:rFonts w:ascii="Arial" w:cs="Arial" w:eastAsia="Arial" w:hAnsi="Arial"/>
                <w:sz w:val="18"/>
                <w:szCs w:val="18"/>
                <w:color w:val="auto"/>
              </w:rPr>
              <w:t>$452,679</w:t>
            </w:r>
          </w:p>
        </w:tc>
        <w:tc>
          <w:tcPr>
            <w:tcW w:w="13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269,701</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(2,062)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268,678</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$739,459</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$6,342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$721,357</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800" w:right="240" w:hanging="44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$1.7 million during the third quarter of 2018, as compared to 2017, principally due to the weakening of the euro and Chinese renminbi in the third quarter of 2018, compared to the third quarter of 2017.</w:t>
      </w:r>
    </w:p>
    <w:p>
      <w:pPr>
        <w:spacing w:after="0" w:line="94" w:lineRule="exact"/>
        <w:rPr>
          <w:rFonts w:ascii="Arial" w:cs="Arial" w:eastAsia="Arial" w:hAnsi="Arial"/>
          <w:sz w:val="18"/>
          <w:szCs w:val="18"/>
          <w:color w:val="auto"/>
        </w:rPr>
      </w:pPr>
    </w:p>
    <w:p>
      <w:pPr>
        <w:ind w:left="800" w:hanging="44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279" w:lineRule="exact"/>
        <w:rPr>
          <w:rFonts w:ascii="Arial" w:cs="Arial" w:eastAsia="Arial" w:hAnsi="Arial"/>
          <w:sz w:val="18"/>
          <w:szCs w:val="18"/>
          <w:color w:val="auto"/>
        </w:rPr>
      </w:pPr>
    </w:p>
    <w:p>
      <w:pPr>
        <w:ind w:left="1180" w:right="760" w:hanging="224"/>
        <w:spacing w:after="0" w:line="246" w:lineRule="auto"/>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increased 14.8% compared to the same period in 2017. Excluding the additional effect of ASC 606, Net sales increased 15.5%.</w:t>
      </w:r>
    </w:p>
    <w:p>
      <w:pPr>
        <w:spacing w:after="0" w:line="88" w:lineRule="exact"/>
        <w:rPr>
          <w:rFonts w:ascii="Arial" w:cs="Arial" w:eastAsia="Arial" w:hAnsi="Arial"/>
          <w:sz w:val="18"/>
          <w:szCs w:val="18"/>
          <w:color w:val="auto"/>
        </w:rPr>
      </w:pPr>
    </w:p>
    <w:p>
      <w:pPr>
        <w:ind w:left="1180" w:right="80" w:hanging="224"/>
        <w:spacing w:after="0" w:line="246" w:lineRule="auto"/>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MC increased 6.3%. Excluding the additional effect of adopting ASC 606, Net sales increased 4.1%, principally due to global growth in sales for packaging, tissue, publication and pulp grades, with particular strength in South America and Asia.</w:t>
      </w:r>
    </w:p>
    <w:p>
      <w:pPr>
        <w:spacing w:after="0" w:line="88" w:lineRule="exact"/>
        <w:rPr>
          <w:rFonts w:ascii="Arial" w:cs="Arial" w:eastAsia="Arial" w:hAnsi="Arial"/>
          <w:sz w:val="18"/>
          <w:szCs w:val="18"/>
          <w:color w:val="auto"/>
        </w:rPr>
      </w:pPr>
    </w:p>
    <w:p>
      <w:pPr>
        <w:ind w:left="1180" w:right="260" w:hanging="224"/>
        <w:spacing w:after="0" w:line="246" w:lineRule="auto"/>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AEC increased 32.6%. Excluding the additional effect of adopting ASC 606, Net sales increased 39.6%, primarily driven by growth in the LEAP, Boeing 787, F-35, and CH-53K programs.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1340" w:right="400" w:hanging="40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$11.8 million during the first nine months of 2018, as compared to 2017. That currency translation effect was principally due to the euro and Chinese renminbi being stronger in 2018 than in 2017.</w:t>
      </w:r>
    </w:p>
    <w:p>
      <w:pPr>
        <w:spacing w:after="0" w:line="94" w:lineRule="exact"/>
        <w:rPr>
          <w:rFonts w:ascii="Arial" w:cs="Arial" w:eastAsia="Arial" w:hAnsi="Arial"/>
          <w:sz w:val="18"/>
          <w:szCs w:val="18"/>
          <w:color w:val="auto"/>
        </w:rPr>
      </w:pPr>
    </w:p>
    <w:p>
      <w:pPr>
        <w:ind w:left="1340" w:hanging="40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540" w:right="340" w:hanging="220"/>
        <w:spacing w:after="0" w:line="246"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increased 14.2% compared to the same period in 2017. Excluding the impact of the adoption of ASC 606, Net sales increased 13.2%.</w:t>
      </w:r>
    </w:p>
    <w:p>
      <w:pPr>
        <w:spacing w:after="0" w:line="88" w:lineRule="exact"/>
        <w:rPr>
          <w:rFonts w:ascii="Arial" w:cs="Arial" w:eastAsia="Arial" w:hAnsi="Arial"/>
          <w:sz w:val="18"/>
          <w:szCs w:val="18"/>
          <w:color w:val="auto"/>
        </w:rPr>
      </w:pPr>
    </w:p>
    <w:p>
      <w:pPr>
        <w:ind w:left="1540" w:right="460" w:hanging="220"/>
        <w:spacing w:after="0" w:line="246"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increased 4.8%. Excluding the impact of ASC 606, Net sales increased 2.9%, principally due to global growth in sales for packaging and tissue grades.</w:t>
      </w:r>
    </w:p>
    <w:p>
      <w:pPr>
        <w:spacing w:after="0" w:line="88" w:lineRule="exact"/>
        <w:rPr>
          <w:rFonts w:ascii="Arial" w:cs="Arial" w:eastAsia="Arial" w:hAnsi="Arial"/>
          <w:sz w:val="18"/>
          <w:szCs w:val="18"/>
          <w:color w:val="auto"/>
        </w:rPr>
      </w:pPr>
    </w:p>
    <w:p>
      <w:pPr>
        <w:ind w:left="1540" w:right="340" w:hanging="220"/>
        <w:spacing w:after="0" w:line="246"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increased 14.2% compared to the same period in 2017. Excluding the impact of the adoption of ASC 606, Net sales increased 13.2%.</w:t>
      </w:r>
    </w:p>
    <w:p>
      <w:pPr>
        <w:spacing w:after="0" w:line="88" w:lineRule="exact"/>
        <w:rPr>
          <w:rFonts w:ascii="Arial" w:cs="Arial" w:eastAsia="Arial" w:hAnsi="Arial"/>
          <w:sz w:val="18"/>
          <w:szCs w:val="18"/>
          <w:color w:val="auto"/>
        </w:rPr>
      </w:pPr>
    </w:p>
    <w:p>
      <w:pPr>
        <w:ind w:left="1540" w:right="580" w:hanging="220"/>
        <w:spacing w:after="0" w:line="246"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35.4%. Excluding the impact of ASC 606, Net sales increased 36.5%, primarily driven by growth in the LEAP, Boeing 787, F-35, and CH-53K programs.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gridSpan w:val="2"/>
          </w:tcPr>
          <w:p>
            <w:pPr>
              <w:jc w:val="right"/>
              <w:ind w:right="470"/>
              <w:spacing w:after="0" w:line="194" w:lineRule="exact"/>
              <w:rPr>
                <w:sz w:val="20"/>
                <w:szCs w:val="20"/>
                <w:color w:val="auto"/>
              </w:rPr>
            </w:pPr>
            <w:r>
              <w:rPr>
                <w:rFonts w:ascii="Arial" w:cs="Arial" w:eastAsia="Arial" w:hAnsi="Arial"/>
                <w:sz w:val="18"/>
                <w:szCs w:val="18"/>
                <w:b w:val="1"/>
                <w:bCs w:val="1"/>
                <w:color w:val="auto"/>
              </w:rPr>
              <w:t>Three months ended</w:t>
            </w:r>
          </w:p>
        </w:tc>
        <w:tc>
          <w:tcPr>
            <w:tcW w:w="230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Nine months ended</w:t>
            </w:r>
          </w:p>
        </w:tc>
        <w:tc>
          <w:tcPr>
            <w:tcW w:w="40" w:type="dxa"/>
            <w:vAlign w:val="bottom"/>
            <w:gridSpan w:val="2"/>
          </w:tcPr>
          <w:p>
            <w:pPr>
              <w:spacing w:after="0"/>
              <w:rPr>
                <w:sz w:val="16"/>
                <w:szCs w:val="16"/>
                <w:color w:val="auto"/>
              </w:rPr>
            </w:pPr>
          </w:p>
        </w:tc>
      </w:tr>
      <w:tr>
        <w:trPr>
          <w:trHeight w:val="203"/>
        </w:trPr>
        <w:tc>
          <w:tcPr>
            <w:tcW w:w="4900" w:type="dxa"/>
            <w:vAlign w:val="bottom"/>
          </w:tcPr>
          <w:p>
            <w:pPr>
              <w:spacing w:after="0"/>
              <w:rPr>
                <w:sz w:val="17"/>
                <w:szCs w:val="17"/>
                <w:color w:val="auto"/>
              </w:rPr>
            </w:pPr>
          </w:p>
        </w:tc>
        <w:tc>
          <w:tcPr>
            <w:tcW w:w="4220" w:type="dxa"/>
            <w:vAlign w:val="bottom"/>
            <w:gridSpan w:val="2"/>
          </w:tcPr>
          <w:p>
            <w:pPr>
              <w:jc w:val="right"/>
              <w:ind w:right="750"/>
              <w:spacing w:after="0" w:line="202" w:lineRule="exact"/>
              <w:rPr>
                <w:sz w:val="20"/>
                <w:szCs w:val="20"/>
                <w:color w:val="auto"/>
              </w:rPr>
            </w:pPr>
            <w:r>
              <w:rPr>
                <w:rFonts w:ascii="Arial" w:cs="Arial" w:eastAsia="Arial" w:hAnsi="Arial"/>
                <w:sz w:val="18"/>
                <w:szCs w:val="18"/>
                <w:b w:val="1"/>
                <w:bCs w:val="1"/>
                <w:color w:val="auto"/>
              </w:rPr>
              <w:t>September 30,</w:t>
            </w:r>
          </w:p>
        </w:tc>
        <w:tc>
          <w:tcPr>
            <w:tcW w:w="2340" w:type="dxa"/>
            <w:vAlign w:val="bottom"/>
            <w:gridSpan w:val="4"/>
          </w:tcPr>
          <w:p>
            <w:pPr>
              <w:ind w:left="44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49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9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$79,352</w:t>
            </w:r>
          </w:p>
        </w:tc>
        <w:tc>
          <w:tcPr>
            <w:tcW w:w="124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$73,027</w:t>
            </w:r>
          </w:p>
        </w:tc>
        <w:tc>
          <w:tcPr>
            <w:tcW w:w="126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$229,140</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$213,077</w:t>
            </w:r>
          </w:p>
        </w:tc>
        <w:tc>
          <w:tcPr>
            <w:tcW w:w="40" w:type="dxa"/>
            <w:vAlign w:val="bottom"/>
            <w:gridSpan w:val="2"/>
          </w:tcPr>
          <w:p>
            <w:pPr>
              <w:spacing w:after="0"/>
              <w:rPr>
                <w:sz w:val="15"/>
                <w:szCs w:val="15"/>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9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13,727</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6,638</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37,877</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5,872</w:t>
            </w:r>
          </w:p>
        </w:tc>
        <w:tc>
          <w:tcPr>
            <w:tcW w:w="20" w:type="dxa"/>
            <w:vAlign w:val="bottom"/>
          </w:tcPr>
          <w:p>
            <w:pPr>
              <w:spacing w:after="0"/>
              <w:rPr>
                <w:sz w:val="17"/>
                <w:szCs w:val="17"/>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(53)</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(106)</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(162)</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$93,026</w:t>
            </w:r>
          </w:p>
        </w:tc>
        <w:tc>
          <w:tcPr>
            <w:tcW w:w="12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$79,559</w:t>
            </w:r>
          </w:p>
        </w:tc>
        <w:tc>
          <w:tcPr>
            <w:tcW w:w="12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$266,855</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$218,765</w:t>
            </w:r>
          </w:p>
        </w:tc>
        <w:tc>
          <w:tcPr>
            <w:tcW w:w="20" w:type="dxa"/>
            <w:vAlign w:val="bottom"/>
          </w:tcPr>
          <w:p>
            <w:pPr>
              <w:spacing w:after="0"/>
              <w:rPr>
                <w:sz w:val="17"/>
                <w:szCs w:val="17"/>
                <w:color w:val="auto"/>
              </w:rPr>
            </w:pP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9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36.7%</w:t>
            </w:r>
          </w:p>
        </w:tc>
        <w:tc>
          <w:tcPr>
            <w:tcW w:w="12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35.8%</w:t>
            </w:r>
          </w:p>
        </w:tc>
        <w:tc>
          <w:tcPr>
            <w:tcW w:w="12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36.1%</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34.3%</w:t>
            </w:r>
          </w:p>
        </w:tc>
        <w:tc>
          <w:tcPr>
            <w:tcW w:w="20" w:type="dxa"/>
            <w:vAlign w:val="bottom"/>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overall increase in 2018 gross profit, as compared to the same period in 2017, was principally due to the net effect of the following individually significant items:</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higher sales.</w:t>
      </w:r>
    </w:p>
    <w:p>
      <w:pPr>
        <w:spacing w:after="0" w:line="117" w:lineRule="exact"/>
        <w:rPr>
          <w:rFonts w:ascii="Arial" w:cs="Arial" w:eastAsia="Arial" w:hAnsi="Arial"/>
          <w:sz w:val="18"/>
          <w:szCs w:val="18"/>
          <w:color w:val="auto"/>
        </w:rPr>
      </w:pPr>
    </w:p>
    <w:p>
      <w:pPr>
        <w:ind w:left="1300" w:right="760" w:hanging="320"/>
        <w:spacing w:after="0" w:line="24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AEC gross profit of $7.1 million, which was principally due to the net effect of the following individually significant items:</w:t>
      </w:r>
    </w:p>
    <w:p>
      <w:pPr>
        <w:spacing w:after="0" w:line="88" w:lineRule="exact"/>
        <w:rPr>
          <w:rFonts w:ascii="Arial" w:cs="Arial" w:eastAsia="Arial" w:hAnsi="Arial"/>
          <w:sz w:val="18"/>
          <w:szCs w:val="18"/>
          <w:color w:val="auto"/>
        </w:rPr>
      </w:pPr>
    </w:p>
    <w:p>
      <w:pPr>
        <w:ind w:left="1620" w:hanging="176"/>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increase in net sales, as described above, and improved labor productivity.</w:t>
      </w:r>
    </w:p>
    <w:p>
      <w:pPr>
        <w:spacing w:after="0" w:line="117" w:lineRule="exact"/>
        <w:rPr>
          <w:rFonts w:ascii="Arial" w:cs="Arial" w:eastAsia="Arial" w:hAnsi="Arial"/>
          <w:sz w:val="18"/>
          <w:szCs w:val="18"/>
          <w:color w:val="auto"/>
        </w:rPr>
      </w:pPr>
    </w:p>
    <w:p>
      <w:pPr>
        <w:ind w:left="1620" w:hanging="176"/>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write-off of inventory in a discontinued product line reduced gross profit in the third quarter of 2017 by $3.2 million.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2018.</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Nine month comparison</w:t>
      </w:r>
    </w:p>
    <w:p>
      <w:pPr>
        <w:spacing w:after="0" w:line="200" w:lineRule="exact"/>
        <w:rPr>
          <w:sz w:val="20"/>
          <w:szCs w:val="20"/>
          <w:color w:val="auto"/>
        </w:rPr>
      </w:pPr>
    </w:p>
    <w:p>
      <w:pPr>
        <w:spacing w:after="0" w:line="22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overall increase in 2018 Gross profit, as compared to the same period in 2017, was principally due to the net effect of the following individually significant items:</w:t>
      </w:r>
    </w:p>
    <w:p>
      <w:pPr>
        <w:spacing w:after="0" w:line="156"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higher sales.</w:t>
      </w:r>
    </w:p>
    <w:p>
      <w:pPr>
        <w:spacing w:after="0" w:line="117" w:lineRule="exact"/>
        <w:rPr>
          <w:rFonts w:ascii="Arial" w:cs="Arial" w:eastAsia="Arial" w:hAnsi="Arial"/>
          <w:sz w:val="18"/>
          <w:szCs w:val="18"/>
          <w:color w:val="auto"/>
        </w:rPr>
      </w:pPr>
    </w:p>
    <w:p>
      <w:pPr>
        <w:ind w:left="1300" w:right="80" w:hanging="320"/>
        <w:spacing w:after="0" w:line="24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AEC Gross profit of $32.0 million, which was principally due to the effect of the following individually significant items:</w:t>
      </w:r>
    </w:p>
    <w:p>
      <w:pPr>
        <w:spacing w:after="0" w:line="196" w:lineRule="exact"/>
        <w:rPr>
          <w:rFonts w:ascii="Arial" w:cs="Arial" w:eastAsia="Arial" w:hAnsi="Arial"/>
          <w:sz w:val="18"/>
          <w:szCs w:val="18"/>
          <w:color w:val="auto"/>
        </w:rPr>
      </w:pPr>
    </w:p>
    <w:p>
      <w:pPr>
        <w:ind w:left="2280" w:right="500" w:hanging="188"/>
        <w:spacing w:after="0" w:line="246" w:lineRule="auto"/>
        <w:tabs>
          <w:tab w:leader="none" w:pos="2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second quarter of 2017, the Company recorded a $15.8 million charge to Cost of goods sold related to revisions in the estimated profitability of two contracts.</w:t>
      </w:r>
    </w:p>
    <w:p>
      <w:pPr>
        <w:spacing w:after="0" w:line="88" w:lineRule="exact"/>
        <w:rPr>
          <w:rFonts w:ascii="Arial" w:cs="Arial" w:eastAsia="Arial" w:hAnsi="Arial"/>
          <w:sz w:val="18"/>
          <w:szCs w:val="18"/>
          <w:color w:val="auto"/>
        </w:rPr>
      </w:pPr>
    </w:p>
    <w:p>
      <w:pPr>
        <w:ind w:left="2280" w:hanging="188"/>
        <w:spacing w:after="0"/>
        <w:tabs>
          <w:tab w:leader="none" w:pos="2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write-off of inventory in a discontinued product line reduced 2017 gross profit by $3.2 million.</w:t>
      </w:r>
    </w:p>
    <w:p>
      <w:pPr>
        <w:spacing w:after="0" w:line="117" w:lineRule="exact"/>
        <w:rPr>
          <w:rFonts w:ascii="Arial" w:cs="Arial" w:eastAsia="Arial" w:hAnsi="Arial"/>
          <w:sz w:val="18"/>
          <w:szCs w:val="18"/>
          <w:color w:val="auto"/>
        </w:rPr>
      </w:pPr>
    </w:p>
    <w:p>
      <w:pPr>
        <w:ind w:left="2280" w:hanging="188"/>
        <w:spacing w:after="0"/>
        <w:tabs>
          <w:tab w:leader="none" w:pos="2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Net sales increase in 2018, as described above, and improved labor productivity.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2018.</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00" w:lineRule="exact"/>
        <w:rPr>
          <w:sz w:val="20"/>
          <w:szCs w:val="20"/>
          <w:color w:val="auto"/>
        </w:rPr>
      </w:pPr>
    </w:p>
    <w:p>
      <w:pPr>
        <w:spacing w:after="0" w:line="223" w:lineRule="exact"/>
        <w:rPr>
          <w:sz w:val="20"/>
          <w:szCs w:val="20"/>
          <w:color w:val="auto"/>
        </w:rPr>
      </w:pPr>
    </w:p>
    <w:p>
      <w:pPr>
        <w:ind w:right="800" w:firstLine="648"/>
        <w:spacing w:after="0" w:line="246"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Borders>
              <w:top w:val="single" w:sz="8" w:color="auto"/>
            </w:tcBorders>
          </w:tcPr>
          <w:p>
            <w:pPr>
              <w:spacing w:after="0"/>
              <w:rPr>
                <w:sz w:val="17"/>
                <w:szCs w:val="17"/>
                <w:color w:val="auto"/>
              </w:rPr>
            </w:pPr>
          </w:p>
        </w:tc>
        <w:tc>
          <w:tcPr>
            <w:tcW w:w="422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30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r>
      <w:tr>
        <w:trPr>
          <w:trHeight w:val="216"/>
        </w:trPr>
        <w:tc>
          <w:tcPr>
            <w:tcW w:w="4900" w:type="dxa"/>
            <w:vAlign w:val="bottom"/>
          </w:tcPr>
          <w:p>
            <w:pPr>
              <w:spacing w:after="0"/>
              <w:rPr>
                <w:sz w:val="18"/>
                <w:szCs w:val="18"/>
                <w:color w:val="auto"/>
              </w:rPr>
            </w:pPr>
          </w:p>
        </w:tc>
        <w:tc>
          <w:tcPr>
            <w:tcW w:w="42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32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87"/>
        </w:trPr>
        <w:tc>
          <w:tcPr>
            <w:tcW w:w="4900" w:type="dxa"/>
            <w:vAlign w:val="bottom"/>
          </w:tcPr>
          <w:p>
            <w:pPr>
              <w:spacing w:after="0" w:line="187" w:lineRule="exact"/>
              <w:rPr>
                <w:sz w:val="20"/>
                <w:szCs w:val="20"/>
                <w:color w:val="auto"/>
              </w:rPr>
            </w:pPr>
            <w:r>
              <w:rPr>
                <w:rFonts w:ascii="Arial" w:cs="Arial" w:eastAsia="Arial" w:hAnsi="Arial"/>
                <w:sz w:val="18"/>
                <w:szCs w:val="18"/>
                <w:color w:val="auto"/>
              </w:rPr>
              <w:t>Machine Clothing</w:t>
            </w:r>
          </w:p>
        </w:tc>
        <w:tc>
          <w:tcPr>
            <w:tcW w:w="2980" w:type="dxa"/>
            <w:vAlign w:val="bottom"/>
          </w:tcPr>
          <w:p>
            <w:pPr>
              <w:jc w:val="right"/>
              <w:ind w:right="130"/>
              <w:spacing w:after="0" w:line="187" w:lineRule="exact"/>
              <w:rPr>
                <w:sz w:val="20"/>
                <w:szCs w:val="20"/>
                <w:color w:val="auto"/>
              </w:rPr>
            </w:pPr>
            <w:r>
              <w:rPr>
                <w:rFonts w:ascii="Arial" w:cs="Arial" w:eastAsia="Arial" w:hAnsi="Arial"/>
                <w:sz w:val="18"/>
                <w:szCs w:val="18"/>
                <w:b w:val="1"/>
                <w:bCs w:val="1"/>
                <w:color w:val="auto"/>
              </w:rPr>
              <w:t>$28,673</w:t>
            </w:r>
          </w:p>
        </w:tc>
        <w:tc>
          <w:tcPr>
            <w:tcW w:w="1240" w:type="dxa"/>
            <w:vAlign w:val="bottom"/>
          </w:tcPr>
          <w:p>
            <w:pPr>
              <w:jc w:val="right"/>
              <w:ind w:right="110"/>
              <w:spacing w:after="0" w:line="187" w:lineRule="exact"/>
              <w:rPr>
                <w:sz w:val="20"/>
                <w:szCs w:val="20"/>
                <w:color w:val="auto"/>
              </w:rPr>
            </w:pPr>
            <w:r>
              <w:rPr>
                <w:rFonts w:ascii="Arial" w:cs="Arial" w:eastAsia="Arial" w:hAnsi="Arial"/>
                <w:sz w:val="18"/>
                <w:szCs w:val="18"/>
                <w:color w:val="auto"/>
              </w:rPr>
              <w:t>$30,252</w:t>
            </w:r>
          </w:p>
        </w:tc>
        <w:tc>
          <w:tcPr>
            <w:tcW w:w="126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$86,696</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$92,698</w:t>
            </w:r>
          </w:p>
        </w:tc>
        <w:tc>
          <w:tcPr>
            <w:tcW w:w="20" w:type="dxa"/>
            <w:vAlign w:val="bottom"/>
          </w:tcPr>
          <w:p>
            <w:pPr>
              <w:spacing w:after="0"/>
              <w:rPr>
                <w:sz w:val="16"/>
                <w:szCs w:val="16"/>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2980" w:type="dxa"/>
            <w:vAlign w:val="bottom"/>
          </w:tcPr>
          <w:p>
            <w:pPr>
              <w:jc w:val="right"/>
              <w:ind w:right="130"/>
              <w:spacing w:after="0"/>
              <w:rPr>
                <w:sz w:val="20"/>
                <w:szCs w:val="20"/>
                <w:color w:val="auto"/>
              </w:rPr>
            </w:pPr>
            <w:r>
              <w:rPr>
                <w:rFonts w:ascii="Arial" w:cs="Arial" w:eastAsia="Arial" w:hAnsi="Arial"/>
                <w:sz w:val="18"/>
                <w:szCs w:val="18"/>
                <w:b w:val="1"/>
                <w:bCs w:val="1"/>
                <w:color w:val="auto"/>
              </w:rPr>
              <w:t>7,926</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10,532</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24,930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28,907</w:t>
            </w:r>
          </w:p>
        </w:tc>
      </w:tr>
      <w:tr>
        <w:trPr>
          <w:trHeight w:val="239"/>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12,430</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10,344</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36,555</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31,479</w:t>
            </w:r>
          </w:p>
        </w:tc>
      </w:tr>
      <w:tr>
        <w:trPr>
          <w:trHeight w:val="21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$49,029</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$51,128</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$148,181</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$153,084</w:t>
            </w:r>
          </w:p>
        </w:tc>
      </w:tr>
      <w:tr>
        <w:trPr>
          <w:trHeight w:val="21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of Net sales</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19.4%</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23.0%</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auto"/>
            </w:tcBorders>
          </w:tcPr>
          <w:p>
            <w:pPr>
              <w:spacing w:after="0"/>
              <w:rPr>
                <w:sz w:val="18"/>
                <w:szCs w:val="18"/>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right="160" w:firstLine="324"/>
        <w:spacing w:after="0" w:line="246" w:lineRule="auto"/>
        <w:rPr>
          <w:sz w:val="20"/>
          <w:szCs w:val="20"/>
          <w:color w:val="auto"/>
        </w:rPr>
      </w:pPr>
      <w:r>
        <w:rPr>
          <w:rFonts w:ascii="Arial" w:cs="Arial" w:eastAsia="Arial" w:hAnsi="Arial"/>
          <w:sz w:val="18"/>
          <w:szCs w:val="18"/>
          <w:color w:val="auto"/>
        </w:rPr>
        <w:t>The decrease in STG&amp;R expenses in the third quarter of 2018, compared to the same period in 2017, was principally due to the net effect of the following individually significant items:</w:t>
      </w:r>
    </w:p>
    <w:p>
      <w:pPr>
        <w:spacing w:after="0" w:line="183" w:lineRule="exact"/>
        <w:rPr>
          <w:sz w:val="20"/>
          <w:szCs w:val="20"/>
          <w:color w:val="auto"/>
        </w:rPr>
      </w:pPr>
    </w:p>
    <w:p>
      <w:pPr>
        <w:ind w:left="1300" w:right="280" w:hanging="320"/>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third-quarter losses of $0.4 million in 2018, and $1.3 million in 2017.</w:t>
      </w:r>
    </w:p>
    <w:p>
      <w:pPr>
        <w:spacing w:after="0" w:line="88" w:lineRule="exact"/>
        <w:rPr>
          <w:rFonts w:ascii="Arial" w:cs="Arial" w:eastAsia="Arial" w:hAnsi="Arial"/>
          <w:sz w:val="18"/>
          <w:szCs w:val="18"/>
          <w:color w:val="auto"/>
        </w:rPr>
      </w:pPr>
    </w:p>
    <w:p>
      <w:pPr>
        <w:ind w:left="1300" w:right="400" w:hanging="320"/>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AEC, lower spending in Research and Development, restructuring and other organization changes contributed to a $2.6 million decrease in third-quarter STG&amp;R expense.</w:t>
      </w:r>
    </w:p>
    <w:p>
      <w:pPr>
        <w:spacing w:after="0" w:line="88" w:lineRule="exact"/>
        <w:rPr>
          <w:rFonts w:ascii="Arial" w:cs="Arial" w:eastAsia="Arial" w:hAnsi="Arial"/>
          <w:sz w:val="18"/>
          <w:szCs w:val="18"/>
          <w:color w:val="auto"/>
        </w:rPr>
      </w:pPr>
    </w:p>
    <w:p>
      <w:pPr>
        <w:ind w:left="1300" w:right="520" w:hanging="320"/>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STG&amp;R expenses increased by approximately $2.1 million principally due to higher costs to support continued growth in AEC.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right="300" w:firstLine="324"/>
        <w:spacing w:after="0" w:line="246" w:lineRule="auto"/>
        <w:rPr>
          <w:sz w:val="20"/>
          <w:szCs w:val="20"/>
          <w:color w:val="auto"/>
        </w:rPr>
      </w:pPr>
      <w:r>
        <w:rPr>
          <w:rFonts w:ascii="Arial" w:cs="Arial" w:eastAsia="Arial" w:hAnsi="Arial"/>
          <w:sz w:val="18"/>
          <w:szCs w:val="18"/>
          <w:color w:val="auto"/>
        </w:rPr>
        <w:t>The decrease in STG&amp;R expenses in the first nine months of 2018, compared to the same period in 2017, was principally due to the net effect of the following individually significant items: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5" w:name="page46"/>
    <w:bookmarkEnd w:id="45"/>
    <w:p>
      <w:pPr>
        <w:ind w:left="1300" w:right="220" w:hanging="320"/>
        <w:spacing w:after="0" w:line="24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gains of $0.9 million in 2018, and losses of $4.4 million in 2017.</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AEC, restructuring and other organization changes contributed to a $4.0 million decrease in third-quarter STG&amp;R expense.</w:t>
      </w:r>
    </w:p>
    <w:p>
      <w:pPr>
        <w:spacing w:after="0" w:line="117" w:lineRule="exact"/>
        <w:rPr>
          <w:rFonts w:ascii="Arial" w:cs="Arial" w:eastAsia="Arial" w:hAnsi="Arial"/>
          <w:sz w:val="18"/>
          <w:szCs w:val="18"/>
          <w:color w:val="auto"/>
        </w:rPr>
      </w:pPr>
    </w:p>
    <w:p>
      <w:pPr>
        <w:ind w:left="1300" w:right="520" w:hanging="320"/>
        <w:spacing w:after="0" w:line="24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STG&amp;R expenses increased by approximately $5.1 million principally due to higher costs to support continued growth in AEC.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following table is a subset of the STG&amp;R expenses table above and summarizes expenses associated with internally funded research and development by business segment: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43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87"/>
        </w:trPr>
        <w:tc>
          <w:tcPr>
            <w:tcW w:w="4780" w:type="dxa"/>
            <w:vAlign w:val="bottom"/>
          </w:tcPr>
          <w:p>
            <w:pPr>
              <w:spacing w:after="0" w:line="187" w:lineRule="exact"/>
              <w:rPr>
                <w:sz w:val="20"/>
                <w:szCs w:val="20"/>
                <w:color w:val="auto"/>
              </w:rPr>
            </w:pPr>
            <w:r>
              <w:rPr>
                <w:rFonts w:ascii="Arial" w:cs="Arial" w:eastAsia="Arial" w:hAnsi="Arial"/>
                <w:sz w:val="18"/>
                <w:szCs w:val="18"/>
                <w:color w:val="auto"/>
              </w:rPr>
              <w:t>Machine Clothing</w:t>
            </w:r>
          </w:p>
        </w:tc>
        <w:tc>
          <w:tcPr>
            <w:tcW w:w="328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$4,208</w:t>
            </w:r>
          </w:p>
        </w:tc>
        <w:tc>
          <w:tcPr>
            <w:tcW w:w="1080" w:type="dxa"/>
            <w:vAlign w:val="bottom"/>
          </w:tcPr>
          <w:p>
            <w:pPr>
              <w:jc w:val="right"/>
              <w:ind w:right="110"/>
              <w:spacing w:after="0" w:line="187" w:lineRule="exact"/>
              <w:rPr>
                <w:sz w:val="20"/>
                <w:szCs w:val="20"/>
                <w:color w:val="auto"/>
              </w:rPr>
            </w:pPr>
            <w:r>
              <w:rPr>
                <w:rFonts w:ascii="Arial" w:cs="Arial" w:eastAsia="Arial" w:hAnsi="Arial"/>
                <w:sz w:val="18"/>
                <w:szCs w:val="18"/>
                <w:color w:val="auto"/>
              </w:rPr>
              <w:t>$4,229</w:t>
            </w:r>
          </w:p>
        </w:tc>
        <w:tc>
          <w:tcPr>
            <w:tcW w:w="124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$12,837</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$13,273</w:t>
            </w:r>
          </w:p>
        </w:tc>
        <w:tc>
          <w:tcPr>
            <w:tcW w:w="20" w:type="dxa"/>
            <w:vAlign w:val="bottom"/>
          </w:tcPr>
          <w:p>
            <w:pPr>
              <w:spacing w:after="0"/>
              <w:rPr>
                <w:sz w:val="16"/>
                <w:szCs w:val="16"/>
                <w:color w:val="auto"/>
              </w:rPr>
            </w:pPr>
          </w:p>
        </w:tc>
      </w:tr>
      <w:tr>
        <w:trPr>
          <w:trHeight w:val="23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3,117</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3,828</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9,447</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9,683</w:t>
            </w:r>
          </w:p>
        </w:tc>
      </w:tr>
      <w:tr>
        <w:trPr>
          <w:trHeight w:val="21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$7,325</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$8,057</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$22,284</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$22,956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$13.7 million in the first nine months of 2018 and $10.2 million for the same period in 2017.</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Borders>
              <w:top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43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87"/>
        </w:trPr>
        <w:tc>
          <w:tcPr>
            <w:tcW w:w="4780" w:type="dxa"/>
            <w:vAlign w:val="bottom"/>
          </w:tcPr>
          <w:p>
            <w:pPr>
              <w:spacing w:after="0" w:line="187" w:lineRule="exact"/>
              <w:rPr>
                <w:sz w:val="20"/>
                <w:szCs w:val="20"/>
                <w:color w:val="auto"/>
              </w:rPr>
            </w:pPr>
            <w:r>
              <w:rPr>
                <w:rFonts w:ascii="Arial" w:cs="Arial" w:eastAsia="Arial" w:hAnsi="Arial"/>
                <w:sz w:val="18"/>
                <w:szCs w:val="18"/>
                <w:color w:val="auto"/>
              </w:rPr>
              <w:t>Machine Clothing</w:t>
            </w:r>
          </w:p>
        </w:tc>
        <w:tc>
          <w:tcPr>
            <w:tcW w:w="328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$371</w:t>
            </w:r>
          </w:p>
        </w:tc>
        <w:tc>
          <w:tcPr>
            <w:tcW w:w="1080" w:type="dxa"/>
            <w:vAlign w:val="bottom"/>
          </w:tcPr>
          <w:p>
            <w:pPr>
              <w:jc w:val="right"/>
              <w:ind w:right="110"/>
              <w:spacing w:after="0" w:line="187" w:lineRule="exact"/>
              <w:rPr>
                <w:sz w:val="20"/>
                <w:szCs w:val="20"/>
                <w:color w:val="auto"/>
              </w:rPr>
            </w:pPr>
            <w:r>
              <w:rPr>
                <w:rFonts w:ascii="Arial" w:cs="Arial" w:eastAsia="Arial" w:hAnsi="Arial"/>
                <w:sz w:val="18"/>
                <w:szCs w:val="18"/>
                <w:color w:val="auto"/>
              </w:rPr>
              <w:t>$96</w:t>
            </w:r>
          </w:p>
        </w:tc>
        <w:tc>
          <w:tcPr>
            <w:tcW w:w="124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$10,523</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6"/>
                <w:szCs w:val="16"/>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3280" w:type="dxa"/>
            <w:vAlign w:val="bottom"/>
          </w:tcPr>
          <w:p>
            <w:pPr>
              <w:jc w:val="right"/>
              <w:ind w:right="70"/>
              <w:spacing w:after="0"/>
              <w:rPr>
                <w:sz w:val="20"/>
                <w:szCs w:val="20"/>
                <w:color w:val="auto"/>
              </w:rPr>
            </w:pPr>
            <w:r>
              <w:rPr>
                <w:rFonts w:ascii="Arial" w:cs="Arial" w:eastAsia="Arial" w:hAnsi="Arial"/>
                <w:sz w:val="18"/>
                <w:szCs w:val="18"/>
                <w:b w:val="1"/>
                <w:bCs w:val="1"/>
                <w:color w:val="auto"/>
              </w:rPr>
              <w:t>2,189</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5,407</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2,968</w:t>
            </w:r>
          </w:p>
        </w:tc>
        <w:tc>
          <w:tcPr>
            <w:tcW w:w="1040" w:type="dxa"/>
            <w:vAlign w:val="bottom"/>
          </w:tcPr>
          <w:p>
            <w:pPr>
              <w:jc w:val="right"/>
              <w:spacing w:after="0"/>
              <w:rPr>
                <w:sz w:val="20"/>
                <w:szCs w:val="20"/>
                <w:color w:val="auto"/>
              </w:rPr>
            </w:pPr>
            <w:r>
              <w:rPr>
                <w:rFonts w:ascii="Arial" w:cs="Arial" w:eastAsia="Arial" w:hAnsi="Arial"/>
                <w:sz w:val="18"/>
                <w:szCs w:val="18"/>
                <w:color w:val="auto"/>
              </w:rPr>
              <w:t>9,208</w:t>
            </w:r>
          </w:p>
        </w:tc>
        <w:tc>
          <w:tcPr>
            <w:tcW w:w="20" w:type="dxa"/>
            <w:vAlign w:val="bottom"/>
          </w:tcPr>
          <w:p>
            <w:pPr>
              <w:spacing w:after="0"/>
              <w:rPr>
                <w:sz w:val="18"/>
                <w:szCs w:val="18"/>
                <w:color w:val="auto"/>
              </w:rPr>
            </w:pPr>
          </w:p>
        </w:tc>
      </w:tr>
      <w:tr>
        <w:trPr>
          <w:trHeight w:val="23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r>
      <w:tr>
        <w:trPr>
          <w:trHeight w:val="21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$2,552</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$5,503</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$13,714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the first quarter of 2018, the Company’s proposal to close its Machine Clothing production facility in Sélestat, France was approved by the French Labor Ministry. The restructuring program was driven by the Company’s need to balance manufacturing capacity with demand. In the first nine months of 2018, we recorded restructuring expense of $9.0 million, which includes severance and outplacement costs for the approximately 50 positions that will be terminated under this plan. Since 2017, we have recorded $10.1 million of restructuring charges related to this action. The Company continues to assess property, plant and equipment in that location to determine if equipment will be</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6" w:name="page47"/>
    <w:bookmarkEnd w:id="46"/>
    <w:p>
      <w:pPr>
        <w:ind w:right="20"/>
        <w:spacing w:after="0"/>
        <w:rPr>
          <w:sz w:val="20"/>
          <w:szCs w:val="20"/>
          <w:color w:val="auto"/>
        </w:rPr>
      </w:pPr>
      <w:r>
        <w:rPr>
          <w:rFonts w:ascii="Arial" w:cs="Arial" w:eastAsia="Arial" w:hAnsi="Arial"/>
          <w:sz w:val="18"/>
          <w:szCs w:val="18"/>
          <w:color w:val="auto"/>
        </w:rPr>
        <w:t>transferred to other facilities, or if the value of the assets can be recovered through a sale. Depending on the outcome of that assessment, additional restructuring charges could be recorded in future periods. Annual cost savings associated with this action principally resulted in lower cost of goods sold in 2018.</w:t>
      </w:r>
    </w:p>
    <w:p>
      <w:pPr>
        <w:spacing w:after="0" w:line="16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AEC restructuring charges included expenses for the first nine months of 2018 and 2017 related to work force reductions in Salt Lake City, Utah and Rochester, New Hampshire. To date, we have recorded $6.1 million of restructuring charges related to these actions. Cost savings associated with this action will result, principally, in lower costs of goods sold in 2018.</w:t>
      </w:r>
    </w:p>
    <w:p>
      <w:pPr>
        <w:spacing w:after="0" w:line="176" w:lineRule="exact"/>
        <w:rPr>
          <w:sz w:val="20"/>
          <w:szCs w:val="20"/>
          <w:color w:val="auto"/>
        </w:rPr>
      </w:pPr>
    </w:p>
    <w:p>
      <w:pPr>
        <w:jc w:val="both"/>
        <w:ind w:right="860" w:firstLine="648"/>
        <w:spacing w:after="0" w:line="246" w:lineRule="auto"/>
        <w:rPr>
          <w:sz w:val="20"/>
          <w:szCs w:val="20"/>
          <w:color w:val="auto"/>
        </w:rPr>
      </w:pPr>
      <w:r>
        <w:rPr>
          <w:rFonts w:ascii="Arial" w:cs="Arial" w:eastAsia="Arial" w:hAnsi="Arial"/>
          <w:sz w:val="18"/>
          <w:szCs w:val="18"/>
          <w:color w:val="auto"/>
        </w:rPr>
        <w:t>AEC restructuring charges in the third quarter of 2018 were principally related to the discontinuation of certain manufacturing processes in Salt Lake City, resulting in a non-cash restructuring charge of $1.7 million, and an additional $0.2 million for severance.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decided to discontinue the Bear Claw® line of hydraulic fracturing components used in the oil and gas industry,</w:t>
      </w:r>
    </w:p>
    <w:p>
      <w:pPr>
        <w:spacing w:after="0" w:line="234" w:lineRule="auto"/>
        <w:rPr>
          <w:sz w:val="20"/>
          <w:szCs w:val="20"/>
          <w:color w:val="auto"/>
        </w:rPr>
      </w:pPr>
      <w:r>
        <w:rPr>
          <w:rFonts w:ascii="Arial" w:cs="Arial" w:eastAsia="Arial" w:hAnsi="Arial"/>
          <w:sz w:val="18"/>
          <w:szCs w:val="18"/>
          <w:color w:val="auto"/>
        </w:rPr>
        <w:t>which was part of the Harris aerostructures business acquired by AEC in 2016. This decision resulted in a non-cash restructuring charge of</w:t>
      </w:r>
    </w:p>
    <w:p>
      <w:pPr>
        <w:spacing w:after="0" w:line="235" w:lineRule="auto"/>
        <w:rPr>
          <w:sz w:val="20"/>
          <w:szCs w:val="20"/>
          <w:color w:val="auto"/>
        </w:rPr>
      </w:pPr>
      <w:r>
        <w:rPr>
          <w:rFonts w:ascii="Arial" w:cs="Arial" w:eastAsia="Arial" w:hAnsi="Arial"/>
          <w:sz w:val="18"/>
          <w:szCs w:val="18"/>
          <w:color w:val="auto"/>
        </w:rPr>
        <w:t>$4.5 million for the write-off of intangible assets and equipment, and a $3.2 million charge to Cost of goods sold for the write-off of inventory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2017.</w:t>
      </w:r>
    </w:p>
    <w:p>
      <w:pPr>
        <w:spacing w:after="0" w:line="171"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2"/>
          </w:tcPr>
          <w:p>
            <w:pPr>
              <w:jc w:val="center"/>
              <w:ind w:left="790"/>
              <w:spacing w:after="0"/>
              <w:rPr>
                <w:sz w:val="20"/>
                <w:szCs w:val="20"/>
                <w:color w:val="auto"/>
              </w:rPr>
            </w:pPr>
            <w:r>
              <w:rPr>
                <w:rFonts w:ascii="Arial" w:cs="Arial" w:eastAsia="Arial" w:hAnsi="Arial"/>
                <w:sz w:val="18"/>
                <w:szCs w:val="18"/>
                <w:b w:val="1"/>
                <w:bCs w:val="1"/>
                <w:color w:val="auto"/>
                <w:w w:val="99"/>
              </w:rPr>
              <w:t>Three months ended</w:t>
            </w:r>
          </w:p>
        </w:tc>
        <w:tc>
          <w:tcPr>
            <w:tcW w:w="2320" w:type="dxa"/>
            <w:vAlign w:val="bottom"/>
            <w:tcBorders>
              <w:top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328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September 30,</w:t>
            </w:r>
          </w:p>
        </w:tc>
        <w:tc>
          <w:tcPr>
            <w:tcW w:w="2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9"/>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line="187" w:lineRule="exact"/>
              <w:rPr>
                <w:sz w:val="20"/>
                <w:szCs w:val="20"/>
                <w:color w:val="auto"/>
              </w:rPr>
            </w:pPr>
            <w:r>
              <w:rPr>
                <w:rFonts w:ascii="Arial" w:cs="Arial" w:eastAsia="Arial" w:hAnsi="Arial"/>
                <w:sz w:val="18"/>
                <w:szCs w:val="18"/>
                <w:color w:val="auto"/>
              </w:rPr>
              <w:t>Machine Clothing</w:t>
            </w:r>
          </w:p>
        </w:tc>
        <w:tc>
          <w:tcPr>
            <w:tcW w:w="22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$50,310</w:t>
            </w:r>
          </w:p>
        </w:tc>
        <w:tc>
          <w:tcPr>
            <w:tcW w:w="1040" w:type="dxa"/>
            <w:vAlign w:val="bottom"/>
          </w:tcPr>
          <w:p>
            <w:pPr>
              <w:jc w:val="right"/>
              <w:ind w:right="70"/>
              <w:spacing w:after="0" w:line="187" w:lineRule="exact"/>
              <w:rPr>
                <w:sz w:val="20"/>
                <w:szCs w:val="20"/>
                <w:color w:val="auto"/>
              </w:rPr>
            </w:pPr>
            <w:r>
              <w:rPr>
                <w:rFonts w:ascii="Arial" w:cs="Arial" w:eastAsia="Arial" w:hAnsi="Arial"/>
                <w:sz w:val="18"/>
                <w:szCs w:val="18"/>
                <w:color w:val="auto"/>
              </w:rPr>
              <w:t>$42,679</w:t>
            </w:r>
          </w:p>
        </w:tc>
        <w:tc>
          <w:tcPr>
            <w:tcW w:w="128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$131,921</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$119,366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rPr>
              <w:t>3,612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(9,301)</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9,979</w:t>
            </w:r>
          </w:p>
        </w:tc>
        <w:tc>
          <w:tcPr>
            <w:tcW w:w="1040" w:type="dxa"/>
            <w:vAlign w:val="bottom"/>
          </w:tcPr>
          <w:p>
            <w:pPr>
              <w:jc w:val="right"/>
              <w:spacing w:after="0"/>
              <w:rPr>
                <w:sz w:val="20"/>
                <w:szCs w:val="20"/>
                <w:color w:val="auto"/>
              </w:rPr>
            </w:pPr>
            <w:r>
              <w:rPr>
                <w:rFonts w:ascii="Arial" w:cs="Arial" w:eastAsia="Arial" w:hAnsi="Arial"/>
                <w:sz w:val="18"/>
                <w:szCs w:val="18"/>
                <w:color w:val="auto"/>
              </w:rPr>
              <w:t>(32,242)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(12,477)</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(10,450)</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(36,940)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$41,445</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$22,928</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$104,960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58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3280" w:type="dxa"/>
            <w:vAlign w:val="bottom"/>
            <w:gridSpan w:val="2"/>
          </w:tcPr>
          <w:p>
            <w:pPr>
              <w:jc w:val="center"/>
              <w:ind w:left="750"/>
              <w:spacing w:after="0" w:line="187" w:lineRule="exact"/>
              <w:rPr>
                <w:sz w:val="20"/>
                <w:szCs w:val="20"/>
                <w:color w:val="auto"/>
              </w:rPr>
            </w:pPr>
            <w:r>
              <w:rPr>
                <w:rFonts w:ascii="Arial" w:cs="Arial" w:eastAsia="Arial" w:hAnsi="Arial"/>
                <w:sz w:val="18"/>
                <w:szCs w:val="18"/>
                <w:b w:val="1"/>
                <w:bCs w:val="1"/>
                <w:color w:val="auto"/>
                <w:w w:val="99"/>
              </w:rPr>
              <w:t>Three months ended</w:t>
            </w:r>
          </w:p>
        </w:tc>
        <w:tc>
          <w:tcPr>
            <w:tcW w:w="2320" w:type="dxa"/>
            <w:vAlign w:val="bottom"/>
            <w:gridSpan w:val="2"/>
          </w:tcPr>
          <w:p>
            <w:pPr>
              <w:jc w:val="center"/>
              <w:ind w:right="130"/>
              <w:spacing w:after="0" w:line="187" w:lineRule="exact"/>
              <w:rPr>
                <w:sz w:val="20"/>
                <w:szCs w:val="20"/>
                <w:color w:val="auto"/>
              </w:rPr>
            </w:pPr>
            <w:r>
              <w:rPr>
                <w:rFonts w:ascii="Arial" w:cs="Arial" w:eastAsia="Arial" w:hAnsi="Arial"/>
                <w:sz w:val="18"/>
                <w:szCs w:val="18"/>
                <w:b w:val="1"/>
                <w:bCs w:val="1"/>
                <w:color w:val="auto"/>
              </w:rPr>
              <w:t>Nine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328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September 30,</w:t>
            </w:r>
          </w:p>
        </w:tc>
        <w:tc>
          <w:tcPr>
            <w:tcW w:w="2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ended September 30,</w:t>
            </w:r>
          </w:p>
        </w:tc>
        <w:tc>
          <w:tcPr>
            <w:tcW w:w="0" w:type="dxa"/>
            <w:vAlign w:val="bottom"/>
          </w:tcPr>
          <w:p>
            <w:pPr>
              <w:spacing w:after="0"/>
              <w:rPr>
                <w:sz w:val="1"/>
                <w:szCs w:val="1"/>
                <w:color w:val="auto"/>
              </w:rPr>
            </w:pPr>
          </w:p>
        </w:tc>
      </w:tr>
      <w:tr>
        <w:trPr>
          <w:trHeight w:val="239"/>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line="187" w:lineRule="exact"/>
              <w:rPr>
                <w:sz w:val="20"/>
                <w:szCs w:val="20"/>
                <w:color w:val="auto"/>
              </w:rPr>
            </w:pPr>
            <w:r>
              <w:rPr>
                <w:rFonts w:ascii="Arial" w:cs="Arial" w:eastAsia="Arial" w:hAnsi="Arial"/>
                <w:sz w:val="18"/>
                <w:szCs w:val="18"/>
                <w:color w:val="auto"/>
              </w:rPr>
              <w:t>Interest expense, net</w:t>
            </w:r>
          </w:p>
        </w:tc>
        <w:tc>
          <w:tcPr>
            <w:tcW w:w="22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$4,621</w:t>
            </w:r>
          </w:p>
        </w:tc>
        <w:tc>
          <w:tcPr>
            <w:tcW w:w="1040" w:type="dxa"/>
            <w:vAlign w:val="bottom"/>
          </w:tcPr>
          <w:p>
            <w:pPr>
              <w:jc w:val="right"/>
              <w:ind w:right="70"/>
              <w:spacing w:after="0" w:line="187" w:lineRule="exact"/>
              <w:rPr>
                <w:sz w:val="20"/>
                <w:szCs w:val="20"/>
                <w:color w:val="auto"/>
              </w:rPr>
            </w:pPr>
            <w:r>
              <w:rPr>
                <w:rFonts w:ascii="Arial" w:cs="Arial" w:eastAsia="Arial" w:hAnsi="Arial"/>
                <w:sz w:val="18"/>
                <w:szCs w:val="18"/>
                <w:color w:val="auto"/>
              </w:rPr>
              <w:t>$4,429</w:t>
            </w:r>
          </w:p>
        </w:tc>
        <w:tc>
          <w:tcPr>
            <w:tcW w:w="128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$13,530</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$13,042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rPr>
              <w:t>(3,151)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(530)</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(973)</w:t>
            </w:r>
          </w:p>
        </w:tc>
        <w:tc>
          <w:tcPr>
            <w:tcW w:w="1040" w:type="dxa"/>
            <w:vAlign w:val="bottom"/>
          </w:tcPr>
          <w:p>
            <w:pPr>
              <w:jc w:val="right"/>
              <w:spacing w:after="0"/>
              <w:rPr>
                <w:sz w:val="20"/>
                <w:szCs w:val="20"/>
                <w:color w:val="auto"/>
              </w:rPr>
            </w:pPr>
            <w:r>
              <w:rPr>
                <w:rFonts w:ascii="Arial" w:cs="Arial" w:eastAsia="Arial" w:hAnsi="Arial"/>
                <w:sz w:val="18"/>
                <w:szCs w:val="18"/>
                <w:color w:val="auto"/>
              </w:rPr>
              <w:t>2,854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rPr>
              <w:t>11,491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3,809</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23,131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239"/>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269</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447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Interest expense, net, increased in 2018, principally due to an increase in average debt outstanding. The higher debt balances related to funding expansion of the AEC business. See the Capital Resources section for further discussion of borrowings and interest rates.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Other expense, net included the following individually significant items: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1300" w:right="140" w:hanging="320"/>
        <w:spacing w:after="0" w:line="24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third quarter of each year, revaluation of nonfunctional currency cash and intercompany balances resulted in a gain of $3.6 million in 2018 and a loss of $0.3 million in 2017.</w:t>
      </w:r>
    </w:p>
    <w:p>
      <w:pPr>
        <w:spacing w:after="0" w:line="34"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a $2.0 million insurance recovery gain in the third quarter of 2017.</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1300" w:hanging="320"/>
        <w:spacing w:after="0" w:line="246"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first nine months of each year, revaluation nonfunctional currency cash and intercompany balances resulted in a gain of $2.9 million in 2018, and a loss of $2.3 million in 2017.</w:t>
      </w:r>
    </w:p>
    <w:p>
      <w:pPr>
        <w:spacing w:after="0" w:line="34"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a $2.0 million insurance recovery gain in the third quarter of 2017.</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Countries outside of the United States had income tax rates that were both above and below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third quarter of 2018 and 2017 were 28.7% and 20.0%, respectively. The tax rate is affected by recurring items, such as the income tax rate in the U.S. and in non-U.S. jurisdictions and the mix of income earned in those jurisdictions. The tax rate is also affected by tax costs on foreign earnings, and by discrete items that may occur in any given year but are not consistent from year to year.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Significant items that impacted the tax rate in the third quarter of 2018 included the following (percentages reflect the effect of each item as a percentage of Income before income taxes):</w:t>
      </w:r>
    </w:p>
    <w:p>
      <w:pPr>
        <w:spacing w:after="0" w:line="170" w:lineRule="exact"/>
        <w:rPr>
          <w:sz w:val="20"/>
          <w:szCs w:val="20"/>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29.7%.</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$0.2 million [-0.4%] tax benefit due to changes of uncertain tax positions.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$0.1 million [0.2%] tax expense due to changes in the opening valuation allowance.</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$0.3 million [-0.8%] tax benefit for other tax adjustments.</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8" w:name="page49"/>
    <w:bookmarkEnd w:id="48"/>
    <w:p>
      <w:pPr>
        <w:ind w:left="1300"/>
        <w:spacing w:after="0"/>
        <w:rPr>
          <w:sz w:val="20"/>
          <w:szCs w:val="20"/>
          <w:color w:val="auto"/>
        </w:rPr>
      </w:pPr>
      <w:r>
        <w:rPr>
          <w:rFonts w:ascii="Arial" w:cs="Arial" w:eastAsia="Arial" w:hAnsi="Arial"/>
          <w:sz w:val="18"/>
          <w:szCs w:val="18"/>
          <w:color w:val="auto"/>
        </w:rPr>
        <w:t>Significant items that impacted the third quarter of 2017 tax rate included the following:</w:t>
      </w:r>
    </w:p>
    <w:p>
      <w:pPr>
        <w:spacing w:after="0" w:line="171" w:lineRule="exact"/>
        <w:rPr>
          <w:sz w:val="20"/>
          <w:szCs w:val="20"/>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36.4%.</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$0.1 million [-0.4%] tax benefit due to changes of uncertain tax positions.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$3.8 million [-19.9%] tax benefit related to the release of valuation allowances.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$0.8 million [3.9%] net tax expense related to a change in the estimated tax rate for the year.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first nine-month periods of 2018 and 2017 were 25.0% and 30.7%, respectively. The tax rate is affected by recurring items, such as the income tax rate in the U.S. and in non-U.S. jurisdictions and the mix of income earned in those jurisdictions. The tax rate is also affected by tax costs on foreign earnings, and by discrete items that may occur in any given year but are not consistent from year to year.</w:t>
      </w:r>
    </w:p>
    <w:p>
      <w:pPr>
        <w:spacing w:after="0" w:line="161" w:lineRule="exact"/>
        <w:rPr>
          <w:sz w:val="20"/>
          <w:szCs w:val="20"/>
          <w:color w:val="auto"/>
        </w:rPr>
      </w:pPr>
    </w:p>
    <w:p>
      <w:pPr>
        <w:jc w:val="both"/>
        <w:ind w:right="20" w:firstLine="1297"/>
        <w:spacing w:after="0" w:line="246" w:lineRule="auto"/>
        <w:rPr>
          <w:sz w:val="20"/>
          <w:szCs w:val="20"/>
          <w:color w:val="auto"/>
        </w:rPr>
      </w:pPr>
      <w:r>
        <w:rPr>
          <w:rFonts w:ascii="Arial" w:cs="Arial" w:eastAsia="Arial" w:hAnsi="Arial"/>
          <w:sz w:val="18"/>
          <w:szCs w:val="18"/>
          <w:color w:val="auto"/>
        </w:rPr>
        <w:t>Significant items that impacted the tax rate in the first nine months of 2018 included the following (percentages reflect the effect of each item as a percentage of Income before income taxes):</w:t>
      </w:r>
    </w:p>
    <w:p>
      <w:pPr>
        <w:spacing w:after="0" w:line="156" w:lineRule="exact"/>
        <w:rPr>
          <w:sz w:val="20"/>
          <w:szCs w:val="20"/>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29.7%.</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[-0.3%] tax benefit related to the true-up of prior years’ estimated taxes.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 million [-1.2%] tax benefit from the impact of the mandatory repatriations.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$2.3 million [2.5%] tax expense due to changes of uncertain tax positions.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$5.0 million [-5.3%] tax benefit due to changes in the opening valuation allowance.</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[-0.4%] net tax benefit for other tax adjustments.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Significant items that impacted the first nine months of 2017 tax rate included the following:</w:t>
      </w:r>
    </w:p>
    <w:p>
      <w:pPr>
        <w:spacing w:after="0" w:line="185" w:lineRule="exact"/>
        <w:rPr>
          <w:sz w:val="20"/>
          <w:szCs w:val="20"/>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36.4%.</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$0.4 million [1.1%] tax expense due to changes of uncertain tax positions.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$0.2 million [0.5%] tax expense related to the true-up of prior years’ estimated taxes.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[2.4%] tax expense related to provisions for and settlements of income tax audits.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$3.8 million [-9.5%] tax benefit related to the release of valuation allowances.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$0.1 million [-0.2%] tax benefit related to the exercise of 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20"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64% of our consolidated revenues during the first nine months of 2018. Machine Clothing products are purchased primarily by manufacturers of paper and paperboard.</w:t>
      </w:r>
    </w:p>
    <w:p>
      <w:pPr>
        <w:spacing w:after="0" w:line="183"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189"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 well-</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9" w:name="page50"/>
    <w:bookmarkEnd w:id="49"/>
    <w:p>
      <w:pPr>
        <w:ind w:right="100"/>
        <w:spacing w:after="0" w:line="239" w:lineRule="auto"/>
        <w:rPr>
          <w:sz w:val="20"/>
          <w:szCs w:val="20"/>
          <w:color w:val="auto"/>
        </w:rPr>
      </w:pPr>
      <w:r>
        <w:rPr>
          <w:rFonts w:ascii="Arial" w:cs="Arial" w:eastAsia="Arial" w:hAnsi="Arial"/>
          <w:sz w:val="18"/>
          <w:szCs w:val="18"/>
          <w:color w:val="auto"/>
        </w:rPr>
        <w:t>positioned in key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8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and administrative positions in the United States, Germany and France.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r>
      <w:tr>
        <w:trPr>
          <w:trHeight w:val="216"/>
        </w:trPr>
        <w:tc>
          <w:tcPr>
            <w:tcW w:w="5020" w:type="dxa"/>
            <w:vAlign w:val="bottom"/>
          </w:tcPr>
          <w:p>
            <w:pPr>
              <w:spacing w:after="0"/>
              <w:rPr>
                <w:sz w:val="18"/>
                <w:szCs w:val="18"/>
                <w:color w:val="auto"/>
              </w:rPr>
            </w:pPr>
          </w:p>
        </w:tc>
        <w:tc>
          <w:tcPr>
            <w:tcW w:w="41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87"/>
        </w:trPr>
        <w:tc>
          <w:tcPr>
            <w:tcW w:w="5020" w:type="dxa"/>
            <w:vAlign w:val="bottom"/>
          </w:tcPr>
          <w:p>
            <w:pPr>
              <w:spacing w:after="0" w:line="187" w:lineRule="exact"/>
              <w:rPr>
                <w:sz w:val="20"/>
                <w:szCs w:val="20"/>
                <w:color w:val="auto"/>
              </w:rPr>
            </w:pPr>
            <w:r>
              <w:rPr>
                <w:rFonts w:ascii="Arial" w:cs="Arial" w:eastAsia="Arial" w:hAnsi="Arial"/>
                <w:sz w:val="18"/>
                <w:szCs w:val="18"/>
                <w:color w:val="auto"/>
              </w:rPr>
              <w:t>Net sales</w:t>
            </w:r>
          </w:p>
        </w:tc>
        <w:tc>
          <w:tcPr>
            <w:tcW w:w="302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rPr>
              <w:t>$158,971</w:t>
            </w:r>
          </w:p>
        </w:tc>
        <w:tc>
          <w:tcPr>
            <w:tcW w:w="1100" w:type="dxa"/>
            <w:vAlign w:val="bottom"/>
          </w:tcPr>
          <w:p>
            <w:pPr>
              <w:jc w:val="right"/>
              <w:ind w:right="110"/>
              <w:spacing w:after="0" w:line="187" w:lineRule="exact"/>
              <w:rPr>
                <w:sz w:val="20"/>
                <w:szCs w:val="20"/>
                <w:color w:val="auto"/>
              </w:rPr>
            </w:pPr>
            <w:r>
              <w:rPr>
                <w:rFonts w:ascii="Arial" w:cs="Arial" w:eastAsia="Arial" w:hAnsi="Arial"/>
                <w:sz w:val="18"/>
                <w:szCs w:val="18"/>
                <w:color w:val="auto"/>
              </w:rPr>
              <w:t>$150,694</w:t>
            </w:r>
          </w:p>
        </w:tc>
        <w:tc>
          <w:tcPr>
            <w:tcW w:w="124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$469,758</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$440,093</w:t>
            </w:r>
          </w:p>
        </w:tc>
        <w:tc>
          <w:tcPr>
            <w:tcW w:w="20" w:type="dxa"/>
            <w:vAlign w:val="bottom"/>
          </w:tcPr>
          <w:p>
            <w:pPr>
              <w:spacing w:after="0"/>
              <w:rPr>
                <w:sz w:val="16"/>
                <w:szCs w:val="16"/>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79,352</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73,027</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229,140</w:t>
            </w:r>
          </w:p>
        </w:tc>
        <w:tc>
          <w:tcPr>
            <w:tcW w:w="1040" w:type="dxa"/>
            <w:vAlign w:val="bottom"/>
          </w:tcPr>
          <w:p>
            <w:pPr>
              <w:jc w:val="right"/>
              <w:spacing w:after="0"/>
              <w:rPr>
                <w:sz w:val="20"/>
                <w:szCs w:val="20"/>
                <w:color w:val="auto"/>
              </w:rPr>
            </w:pPr>
            <w:r>
              <w:rPr>
                <w:rFonts w:ascii="Arial" w:cs="Arial" w:eastAsia="Arial" w:hAnsi="Arial"/>
                <w:sz w:val="18"/>
                <w:szCs w:val="18"/>
                <w:color w:val="auto"/>
              </w:rPr>
              <w:t>213,077</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of net sales</w:t>
            </w: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49.9%</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48.5%</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48.8%</w:t>
            </w:r>
          </w:p>
        </w:tc>
        <w:tc>
          <w:tcPr>
            <w:tcW w:w="104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STG&amp;R expenses</w:t>
            </w: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28,673</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30,252</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86,696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92,696</w:t>
            </w:r>
          </w:p>
        </w:tc>
      </w:tr>
      <w:tr>
        <w:trPr>
          <w:trHeight w:val="239"/>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50,310</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42,679</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131,921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119,366</w:t>
            </w:r>
          </w:p>
        </w:tc>
        <w:tc>
          <w:tcPr>
            <w:tcW w:w="20" w:type="dxa"/>
            <w:vAlign w:val="bottom"/>
            <w:tcBorders>
              <w:bottom w:val="single" w:sz="8" w:color="auto"/>
            </w:tcBorders>
          </w:tcPr>
          <w:p>
            <w:pPr>
              <w:spacing w:after="0"/>
              <w:rPr>
                <w:sz w:val="20"/>
                <w:szCs w:val="20"/>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1180" w:hanging="38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sales increased by 5.5%.</w:t>
      </w:r>
    </w:p>
    <w:p>
      <w:pPr>
        <w:spacing w:after="0" w:line="117" w:lineRule="exact"/>
        <w:rPr>
          <w:rFonts w:ascii="Arial" w:cs="Arial" w:eastAsia="Arial" w:hAnsi="Arial"/>
          <w:sz w:val="18"/>
          <w:szCs w:val="18"/>
          <w:color w:val="auto"/>
        </w:rPr>
      </w:pPr>
    </w:p>
    <w:p>
      <w:pPr>
        <w:ind w:left="1180" w:right="160" w:hanging="38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third-quarter 2018 sales by $1.2 million compared to the same period in 2017. That currency translation effect was principally due to the weakening of the euro and Chinese renminbi in the third quarter of 2018, compared to the third quarter of 2017.</w:t>
      </w:r>
    </w:p>
    <w:p>
      <w:pPr>
        <w:spacing w:after="0" w:line="94" w:lineRule="exact"/>
        <w:rPr>
          <w:rFonts w:ascii="Arial" w:cs="Arial" w:eastAsia="Arial" w:hAnsi="Arial"/>
          <w:sz w:val="18"/>
          <w:szCs w:val="18"/>
          <w:color w:val="auto"/>
        </w:rPr>
      </w:pPr>
    </w:p>
    <w:p>
      <w:pPr>
        <w:jc w:val="both"/>
        <w:ind w:left="1180" w:right="100" w:hanging="38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6.3%. Excluding the additional effect of adopting ASC 606, Net sales increased 4.1%, principally due to global growth in sales for the packaging, tissue, publication and pulp grades, with particular strength in South America and Asia.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1180" w:hanging="38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sales increased by 6.7%.</w:t>
      </w:r>
    </w:p>
    <w:p>
      <w:pPr>
        <w:spacing w:after="0" w:line="117" w:lineRule="exact"/>
        <w:rPr>
          <w:rFonts w:ascii="Arial" w:cs="Arial" w:eastAsia="Arial" w:hAnsi="Arial"/>
          <w:sz w:val="18"/>
          <w:szCs w:val="18"/>
          <w:color w:val="auto"/>
        </w:rPr>
      </w:pPr>
    </w:p>
    <w:p>
      <w:pPr>
        <w:jc w:val="both"/>
        <w:ind w:left="1180" w:hanging="38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the first nine months of 2018 sales by $8.7 million compared to the same period in 2017. That currency translation effect was principally due to the euro and Chinese renminbi being stronger in 2018 than in 2017.</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0" w:name="page51"/>
    <w:bookmarkEnd w:id="50"/>
    <w:p>
      <w:pPr>
        <w:ind w:left="1180" w:right="80" w:hanging="389"/>
        <w:spacing w:after="0" w:line="246"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4.8%. Excluding the additional effect of adopting ASC 606, Net sales increased 2.9%, principally due to global growth in sales for the packaging and tissue grades.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1180" w:hanging="389"/>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MC Gross profit and gross profit as a percentage of sales was principally due to higher sales.</w:t>
      </w:r>
    </w:p>
    <w:p>
      <w:pPr>
        <w:spacing w:after="0" w:line="114" w:lineRule="exact"/>
        <w:rPr>
          <w:rFonts w:ascii="Arial" w:cs="Arial" w:eastAsia="Arial" w:hAnsi="Arial"/>
          <w:sz w:val="18"/>
          <w:szCs w:val="18"/>
          <w:color w:val="auto"/>
        </w:rPr>
      </w:pPr>
    </w:p>
    <w:p>
      <w:pPr>
        <w:ind w:left="1180" w:hanging="389"/>
        <w:spacing w:after="0"/>
        <w:tabs>
          <w:tab w:leader="none" w:pos="11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ASC 606 had the effect of increasing MC Gross profit by $2.2 million.</w:t>
      </w:r>
    </w:p>
    <w:p>
      <w:pPr>
        <w:spacing w:after="0" w:line="110" w:lineRule="exact"/>
        <w:rPr>
          <w:rFonts w:ascii="Arial" w:cs="Arial" w:eastAsia="Arial" w:hAnsi="Arial"/>
          <w:sz w:val="20"/>
          <w:szCs w:val="20"/>
          <w:color w:val="auto"/>
        </w:rPr>
      </w:pPr>
    </w:p>
    <w:p>
      <w:pPr>
        <w:ind w:left="1180" w:hanging="389"/>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for the third quarter of 2018.</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increase in MC gross profit and gross profit as a percentage of sales was principally due to higher sales.</w:t>
      </w:r>
    </w:p>
    <w:p>
      <w:pPr>
        <w:spacing w:after="0" w:line="117" w:lineRule="exact"/>
        <w:rPr>
          <w:rFonts w:ascii="Arial" w:cs="Arial" w:eastAsia="Arial" w:hAnsi="Arial"/>
          <w:sz w:val="18"/>
          <w:szCs w:val="18"/>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ASC 606 had the effect of increasing MC Gross profit by $5.0 million.</w:t>
      </w:r>
    </w:p>
    <w:p>
      <w:pPr>
        <w:spacing w:after="0" w:line="117" w:lineRule="exact"/>
        <w:rPr>
          <w:rFonts w:ascii="Arial" w:cs="Arial" w:eastAsia="Arial" w:hAnsi="Arial"/>
          <w:sz w:val="18"/>
          <w:szCs w:val="18"/>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for the first nine months of 2018.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5" w:lineRule="exact"/>
        <w:rPr>
          <w:sz w:val="20"/>
          <w:szCs w:val="20"/>
          <w:color w:val="auto"/>
        </w:rPr>
      </w:pPr>
    </w:p>
    <w:p>
      <w:pPr>
        <w:ind w:left="1180" w:hanging="389"/>
        <w:spacing w:after="0"/>
        <w:tabs>
          <w:tab w:leader="none" w:pos="11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Gross profit increased $6.3 million due to increased sales, as described above.</w:t>
      </w:r>
    </w:p>
    <w:p>
      <w:pPr>
        <w:spacing w:after="0" w:line="107" w:lineRule="exact"/>
        <w:rPr>
          <w:rFonts w:ascii="Arial" w:cs="Arial" w:eastAsia="Arial" w:hAnsi="Arial"/>
          <w:sz w:val="20"/>
          <w:szCs w:val="20"/>
          <w:color w:val="auto"/>
        </w:rPr>
      </w:pPr>
    </w:p>
    <w:p>
      <w:pPr>
        <w:ind w:left="1180" w:hanging="389"/>
        <w:spacing w:after="0"/>
        <w:tabs>
          <w:tab w:leader="none" w:pos="11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STG&amp;R expenses decreased $1.6 million principally due to:</w:t>
      </w:r>
    </w:p>
    <w:p>
      <w:pPr>
        <w:spacing w:after="0" w:line="285" w:lineRule="exact"/>
        <w:rPr>
          <w:rFonts w:ascii="Arial" w:cs="Arial" w:eastAsia="Arial" w:hAnsi="Arial"/>
          <w:sz w:val="20"/>
          <w:szCs w:val="20"/>
          <w:color w:val="auto"/>
        </w:rPr>
      </w:pPr>
    </w:p>
    <w:p>
      <w:pPr>
        <w:ind w:left="1580" w:hanging="392"/>
        <w:spacing w:after="0" w:line="226"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 MC, revaluation of nonfunctional currency assets and liabilities resulted in third-quarter losses of $0.4 million in 2018 and</w:t>
      </w:r>
      <w:r>
        <w:rPr>
          <w:rFonts w:ascii="Courier New" w:cs="Courier New" w:eastAsia="Courier New" w:hAnsi="Courier New"/>
          <w:sz w:val="18"/>
          <w:szCs w:val="18"/>
          <w:color w:val="auto"/>
        </w:rPr>
        <w:t xml:space="preserve"> </w:t>
      </w:r>
      <w:r>
        <w:rPr>
          <w:rFonts w:ascii="Arial" w:cs="Arial" w:eastAsia="Arial" w:hAnsi="Arial"/>
          <w:sz w:val="18"/>
          <w:szCs w:val="18"/>
          <w:color w:val="auto"/>
        </w:rPr>
        <w:t>$1.3 million in 2017.</w:t>
      </w:r>
    </w:p>
    <w:p>
      <w:pPr>
        <w:spacing w:after="0" w:line="256" w:lineRule="exact"/>
        <w:rPr>
          <w:rFonts w:ascii="Arial" w:cs="Arial" w:eastAsia="Arial" w:hAnsi="Arial"/>
          <w:sz w:val="20"/>
          <w:szCs w:val="20"/>
          <w:color w:val="auto"/>
        </w:rPr>
      </w:pPr>
    </w:p>
    <w:p>
      <w:pPr>
        <w:ind w:left="1180" w:hanging="38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charges were $0.4 million in the third-quarter of 2018, compared to $0.1 million in the same period in 2017.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1180" w:hanging="38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increased $16.1 million due to increased sales, as described above.</w:t>
      </w:r>
    </w:p>
    <w:p>
      <w:pPr>
        <w:spacing w:after="0" w:line="117" w:lineRule="exact"/>
        <w:rPr>
          <w:rFonts w:ascii="Arial" w:cs="Arial" w:eastAsia="Arial" w:hAnsi="Arial"/>
          <w:sz w:val="18"/>
          <w:szCs w:val="18"/>
          <w:color w:val="auto"/>
        </w:rPr>
      </w:pPr>
    </w:p>
    <w:p>
      <w:pPr>
        <w:ind w:left="1180" w:hanging="38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STG&amp;R expenses decreased $6.0 million principally due to:</w:t>
      </w:r>
    </w:p>
    <w:p>
      <w:pPr>
        <w:spacing w:after="0" w:line="292" w:lineRule="exact"/>
        <w:rPr>
          <w:rFonts w:ascii="Arial" w:cs="Arial" w:eastAsia="Arial" w:hAnsi="Arial"/>
          <w:sz w:val="18"/>
          <w:szCs w:val="18"/>
          <w:color w:val="auto"/>
        </w:rPr>
      </w:pPr>
    </w:p>
    <w:p>
      <w:pPr>
        <w:ind w:left="1580" w:right="300" w:hanging="392"/>
        <w:spacing w:after="0" w:line="226"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 MC, revaluation of nonfunctional currency assets and liabilities resulted in gains of $0.9 million in 2018, and losses of</w:t>
      </w:r>
      <w:r>
        <w:rPr>
          <w:rFonts w:ascii="Courier New" w:cs="Courier New" w:eastAsia="Courier New" w:hAnsi="Courier New"/>
          <w:sz w:val="18"/>
          <w:szCs w:val="18"/>
          <w:color w:val="auto"/>
        </w:rPr>
        <w:t xml:space="preserve"> </w:t>
      </w:r>
      <w:r>
        <w:rPr>
          <w:rFonts w:ascii="Arial" w:cs="Arial" w:eastAsia="Arial" w:hAnsi="Arial"/>
          <w:sz w:val="18"/>
          <w:szCs w:val="18"/>
          <w:color w:val="auto"/>
        </w:rPr>
        <w:t>$4.4 million in 2017.</w:t>
      </w:r>
    </w:p>
    <w:p>
      <w:pPr>
        <w:spacing w:after="0" w:line="256" w:lineRule="exact"/>
        <w:rPr>
          <w:rFonts w:ascii="Arial" w:cs="Arial" w:eastAsia="Arial" w:hAnsi="Arial"/>
          <w:sz w:val="18"/>
          <w:szCs w:val="18"/>
          <w:color w:val="auto"/>
        </w:rPr>
      </w:pPr>
    </w:p>
    <w:p>
      <w:pPr>
        <w:ind w:left="1180" w:hanging="38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charges were $10.5 million in the first nine months of 2018, compared to $1.0 million in the same period in 2017.</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9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Other significant AEC programs include components for the F-35 Joint Strike Fighter, fuselage frames for the Boeing 787, components for the CH53-K helicopter, and the fan case for the GE9X engine.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gridSpan w:val="2"/>
          </w:tcPr>
          <w:p>
            <w:pPr>
              <w:jc w:val="right"/>
              <w:ind w:right="270"/>
              <w:spacing w:after="0" w:line="187" w:lineRule="exact"/>
              <w:rPr>
                <w:sz w:val="20"/>
                <w:szCs w:val="20"/>
                <w:color w:val="auto"/>
              </w:rPr>
            </w:pPr>
            <w:r>
              <w:rPr>
                <w:rFonts w:ascii="Arial" w:cs="Arial" w:eastAsia="Arial" w:hAnsi="Arial"/>
                <w:sz w:val="18"/>
                <w:szCs w:val="18"/>
                <w:b w:val="1"/>
                <w:bCs w:val="1"/>
                <w:color w:val="auto"/>
              </w:rPr>
              <w:t>Three months ended</w:t>
            </w:r>
          </w:p>
        </w:tc>
        <w:tc>
          <w:tcPr>
            <w:tcW w:w="2280" w:type="dxa"/>
            <w:vAlign w:val="bottom"/>
            <w:tcBorders>
              <w:top w:val="single" w:sz="8" w:color="auto"/>
            </w:tcBorders>
            <w:gridSpan w:val="2"/>
          </w:tcPr>
          <w:p>
            <w:pPr>
              <w:jc w:val="right"/>
              <w:ind w:right="310"/>
              <w:spacing w:after="0" w:line="187"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6"/>
                <w:szCs w:val="16"/>
                <w:color w:val="auto"/>
              </w:rPr>
            </w:pPr>
          </w:p>
        </w:tc>
      </w:tr>
      <w:tr>
        <w:trPr>
          <w:trHeight w:val="203"/>
        </w:trPr>
        <w:tc>
          <w:tcPr>
            <w:tcW w:w="5020" w:type="dxa"/>
            <w:vAlign w:val="bottom"/>
          </w:tcPr>
          <w:p>
            <w:pPr>
              <w:spacing w:after="0"/>
              <w:rPr>
                <w:sz w:val="17"/>
                <w:szCs w:val="17"/>
                <w:color w:val="auto"/>
              </w:rPr>
            </w:pPr>
          </w:p>
        </w:tc>
        <w:tc>
          <w:tcPr>
            <w:tcW w:w="412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September 30,</w:t>
            </w:r>
          </w:p>
        </w:tc>
        <w:tc>
          <w:tcPr>
            <w:tcW w:w="2300" w:type="dxa"/>
            <w:vAlign w:val="bottom"/>
            <w:gridSpan w:val="3"/>
          </w:tcPr>
          <w:p>
            <w:pPr>
              <w:jc w:val="right"/>
              <w:ind w:right="64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39"/>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87"/>
        </w:trPr>
        <w:tc>
          <w:tcPr>
            <w:tcW w:w="5020" w:type="dxa"/>
            <w:vAlign w:val="bottom"/>
          </w:tcPr>
          <w:p>
            <w:pPr>
              <w:spacing w:after="0" w:line="187" w:lineRule="exact"/>
              <w:rPr>
                <w:sz w:val="20"/>
                <w:szCs w:val="20"/>
                <w:color w:val="auto"/>
              </w:rPr>
            </w:pPr>
            <w:r>
              <w:rPr>
                <w:rFonts w:ascii="Arial" w:cs="Arial" w:eastAsia="Arial" w:hAnsi="Arial"/>
                <w:sz w:val="18"/>
                <w:szCs w:val="18"/>
                <w:color w:val="auto"/>
              </w:rPr>
              <w:t>Net sales</w:t>
            </w:r>
          </w:p>
        </w:tc>
        <w:tc>
          <w:tcPr>
            <w:tcW w:w="30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$94,282</w:t>
            </w:r>
          </w:p>
        </w:tc>
        <w:tc>
          <w:tcPr>
            <w:tcW w:w="1080" w:type="dxa"/>
            <w:vAlign w:val="bottom"/>
          </w:tcPr>
          <w:p>
            <w:pPr>
              <w:jc w:val="right"/>
              <w:ind w:right="110"/>
              <w:spacing w:after="0" w:line="187" w:lineRule="exact"/>
              <w:rPr>
                <w:sz w:val="20"/>
                <w:szCs w:val="20"/>
                <w:color w:val="auto"/>
              </w:rPr>
            </w:pPr>
            <w:r>
              <w:rPr>
                <w:rFonts w:ascii="Arial" w:cs="Arial" w:eastAsia="Arial" w:hAnsi="Arial"/>
                <w:sz w:val="18"/>
                <w:szCs w:val="18"/>
                <w:color w:val="auto"/>
              </w:rPr>
              <w:t>$71,447</w:t>
            </w:r>
          </w:p>
        </w:tc>
        <w:tc>
          <w:tcPr>
            <w:tcW w:w="124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$269,701</w:t>
            </w:r>
          </w:p>
        </w:tc>
        <w:tc>
          <w:tcPr>
            <w:tcW w:w="1040" w:type="dxa"/>
            <w:vAlign w:val="bottom"/>
          </w:tcPr>
          <w:p>
            <w:pPr>
              <w:jc w:val="right"/>
              <w:spacing w:after="0" w:line="187" w:lineRule="exact"/>
              <w:rPr>
                <w:sz w:val="20"/>
                <w:szCs w:val="20"/>
                <w:color w:val="auto"/>
              </w:rPr>
            </w:pPr>
            <w:r>
              <w:rPr>
                <w:rFonts w:ascii="Arial" w:cs="Arial" w:eastAsia="Arial" w:hAnsi="Arial"/>
                <w:sz w:val="18"/>
                <w:szCs w:val="18"/>
                <w:color w:val="auto"/>
              </w:rPr>
              <w:t>$196,896</w:t>
            </w:r>
          </w:p>
        </w:tc>
        <w:tc>
          <w:tcPr>
            <w:tcW w:w="20" w:type="dxa"/>
            <w:vAlign w:val="bottom"/>
          </w:tcPr>
          <w:p>
            <w:pPr>
              <w:spacing w:after="0"/>
              <w:rPr>
                <w:sz w:val="16"/>
                <w:szCs w:val="16"/>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13,727</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6,638</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37,877</w:t>
            </w:r>
          </w:p>
        </w:tc>
        <w:tc>
          <w:tcPr>
            <w:tcW w:w="1040" w:type="dxa"/>
            <w:vAlign w:val="bottom"/>
          </w:tcPr>
          <w:p>
            <w:pPr>
              <w:jc w:val="right"/>
              <w:spacing w:after="0"/>
              <w:rPr>
                <w:sz w:val="20"/>
                <w:szCs w:val="20"/>
                <w:color w:val="auto"/>
              </w:rPr>
            </w:pPr>
            <w:r>
              <w:rPr>
                <w:rFonts w:ascii="Arial" w:cs="Arial" w:eastAsia="Arial" w:hAnsi="Arial"/>
                <w:sz w:val="18"/>
                <w:szCs w:val="18"/>
                <w:color w:val="auto"/>
              </w:rPr>
              <w:t>5,872</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of net sales</w:t>
            </w: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14.6%</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9.3%</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14.0%</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STG&amp;R expenses</w:t>
            </w: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7,926</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10,532</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24,930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28,907</w:t>
            </w:r>
          </w:p>
        </w:tc>
      </w:tr>
      <w:tr>
        <w:trPr>
          <w:trHeight w:val="239"/>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3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3,612</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(9,301)</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9,979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(32,242)</w:t>
            </w:r>
          </w:p>
        </w:tc>
        <w:tc>
          <w:tcPr>
            <w:tcW w:w="20" w:type="dxa"/>
            <w:vAlign w:val="bottom"/>
            <w:tcBorders>
              <w:bottom w:val="single" w:sz="8" w:color="auto"/>
            </w:tcBorders>
          </w:tcPr>
          <w:p>
            <w:pPr>
              <w:spacing w:after="0"/>
              <w:rPr>
                <w:sz w:val="20"/>
                <w:szCs w:val="20"/>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98" w:lineRule="exact"/>
        <w:rPr>
          <w:sz w:val="20"/>
          <w:szCs w:val="20"/>
          <w:color w:val="auto"/>
        </w:rPr>
      </w:pPr>
    </w:p>
    <w:p>
      <w:pPr>
        <w:ind w:left="1300" w:right="420" w:hanging="320"/>
        <w:spacing w:after="0" w:line="275"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 Net sales increased 32.6%. Excluding the impact of adopting ASC 606, Net sales increased 39.6%, primarily driven by growth in the LEAP, Boeing 787, F-35, and CH-53K programs.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98" w:lineRule="exact"/>
        <w:rPr>
          <w:sz w:val="20"/>
          <w:szCs w:val="20"/>
          <w:color w:val="auto"/>
        </w:rPr>
      </w:pPr>
    </w:p>
    <w:p>
      <w:pPr>
        <w:ind w:left="1300" w:right="420" w:hanging="320"/>
        <w:spacing w:after="0" w:line="275"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Excluding the effect of changes in currency translation rates, Net sales increased 35.4%. Excluding the impact of adopting ASC 606, Net sales increased 36.5%, primarily driven by growth in the LEAP, Boeing 787, F-35, and CH-53K programs.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of $7.1 million was principally due to the net effect of the following individually significant items:</w:t>
      </w:r>
    </w:p>
    <w:p>
      <w:pPr>
        <w:spacing w:after="0" w:line="198" w:lineRule="exact"/>
        <w:rPr>
          <w:sz w:val="20"/>
          <w:szCs w:val="20"/>
          <w:color w:val="auto"/>
        </w:rPr>
      </w:pPr>
    </w:p>
    <w:p>
      <w:pPr>
        <w:ind w:left="2280" w:hanging="327"/>
        <w:spacing w:after="0"/>
        <w:tabs>
          <w:tab w:leader="none" w:pos="2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 in net sales, as described above, and improved labor productivity.</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2" w:name="page53"/>
    <w:bookmarkEnd w:id="52"/>
    <w:p>
      <w:pPr>
        <w:ind w:left="2280" w:right="800" w:hanging="327"/>
        <w:spacing w:after="0" w:line="246" w:lineRule="auto"/>
        <w:tabs>
          <w:tab w:leader="none" w:pos="2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third quarter of 2017, the Company recorded a $3.2 million charge for the write-off of inventory in a discontinued product 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of $32.0 million was principally due to the net effect of the following individually significant items:</w:t>
      </w:r>
    </w:p>
    <w:p>
      <w:pPr>
        <w:spacing w:after="0" w:line="198" w:lineRule="exact"/>
        <w:rPr>
          <w:sz w:val="20"/>
          <w:szCs w:val="20"/>
          <w:color w:val="auto"/>
        </w:rPr>
      </w:pPr>
    </w:p>
    <w:p>
      <w:pPr>
        <w:ind w:left="2280" w:hanging="327"/>
        <w:spacing w:after="0"/>
        <w:tabs>
          <w:tab w:leader="none" w:pos="2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 in net sales, as described above, and improved labor productivity.</w:t>
      </w:r>
    </w:p>
    <w:p>
      <w:pPr>
        <w:spacing w:after="0" w:line="117" w:lineRule="exact"/>
        <w:rPr>
          <w:rFonts w:ascii="Arial" w:cs="Arial" w:eastAsia="Arial" w:hAnsi="Arial"/>
          <w:sz w:val="18"/>
          <w:szCs w:val="18"/>
          <w:color w:val="auto"/>
        </w:rPr>
      </w:pPr>
    </w:p>
    <w:p>
      <w:pPr>
        <w:ind w:left="2280" w:right="480" w:hanging="327"/>
        <w:spacing w:after="0" w:line="246" w:lineRule="auto"/>
        <w:tabs>
          <w:tab w:leader="none" w:pos="2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second quarter of 2017, the Company recorded a $15.8 million charge to Cost of goods sold related to revisions in the estimated profitability of two contracts.</w:t>
      </w:r>
    </w:p>
    <w:p>
      <w:pPr>
        <w:spacing w:after="0" w:line="88" w:lineRule="exact"/>
        <w:rPr>
          <w:rFonts w:ascii="Arial" w:cs="Arial" w:eastAsia="Arial" w:hAnsi="Arial"/>
          <w:sz w:val="18"/>
          <w:szCs w:val="18"/>
          <w:color w:val="auto"/>
        </w:rPr>
      </w:pPr>
    </w:p>
    <w:p>
      <w:pPr>
        <w:ind w:left="2280" w:right="800" w:hanging="327"/>
        <w:spacing w:after="0" w:line="246" w:lineRule="auto"/>
        <w:tabs>
          <w:tab w:leader="none" w:pos="2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third quarter of 2017, the Company recorded a $3.2 million charge for the write-off of inventory in a discontinued product line.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 fee agreement. Revenue earned under these arrangements accounted for approximately 50 and 43 percent of segment revenue for the first nine months of 2018 and 2017, respectively.</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w:t>
      </w:r>
    </w:p>
    <w:p>
      <w:pPr>
        <w:spacing w:after="0" w:line="188"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Changes in contract estimates resulted in a increase to gross profit of $0.5 million for the first nine months of 2018. In the first nine months of 2017, we recorded the $15.8 million charge associated with the revision in the estimated profitability of the BR 725 and A380 contracts. Changes in other contract estimates in the first nine months of 2017 resulted in an increase to gross profit of $0.3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220"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The increase in operating income of $12.9 million in the third quarter of 2018 and $42.2 million for the first nine months of 2018 was principally due to the net effect of the following individually significant items:</w:t>
      </w:r>
    </w:p>
    <w:p>
      <w:pPr>
        <w:spacing w:after="0" w:line="183"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increase in Net sales and strong productivity, as described above.</w:t>
      </w:r>
    </w:p>
    <w:p>
      <w:pPr>
        <w:spacing w:after="0" w:line="225" w:lineRule="exact"/>
        <w:rPr>
          <w:rFonts w:ascii="Arial" w:cs="Arial" w:eastAsia="Arial" w:hAnsi="Arial"/>
          <w:sz w:val="18"/>
          <w:szCs w:val="18"/>
          <w:color w:val="auto"/>
        </w:rPr>
      </w:pPr>
    </w:p>
    <w:p>
      <w:pPr>
        <w:ind w:left="1300" w:right="200" w:hanging="320"/>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second quarter of 2017, the Company recorded a $15.8 million charge to Cost of goods sold related to revisions in the estimated profitability of two contracts.</w:t>
      </w:r>
    </w:p>
    <w:p>
      <w:pPr>
        <w:spacing w:after="0" w:line="196" w:lineRule="exact"/>
        <w:rPr>
          <w:rFonts w:ascii="Arial" w:cs="Arial" w:eastAsia="Arial" w:hAnsi="Arial"/>
          <w:sz w:val="18"/>
          <w:szCs w:val="18"/>
          <w:color w:val="auto"/>
        </w:rPr>
      </w:pPr>
    </w:p>
    <w:p>
      <w:pPr>
        <w:ind w:left="1300" w:right="860" w:hanging="320"/>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third quarter of 2017, we recorded a $3.2 million charge to Cost of goods sold for the write-off of inventory in a discontinued product line.</w:t>
      </w:r>
    </w:p>
    <w:p>
      <w:pPr>
        <w:spacing w:after="0" w:line="196"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2018 decrease in Restructuring expenses, compared to 2017, of $3.2 million for the third quarter and $6.2 million for the nine months ended September 30.</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84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gridSpan w:val="2"/>
          </w:tcPr>
          <w:p>
            <w:pPr>
              <w:jc w:val="right"/>
              <w:ind w:right="730"/>
              <w:spacing w:after="0" w:line="187"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5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6860" w:type="dxa"/>
            <w:vAlign w:val="bottom"/>
            <w:gridSpan w:val="2"/>
          </w:tcPr>
          <w:p>
            <w:pPr>
              <w:spacing w:after="0" w:line="187" w:lineRule="exact"/>
              <w:rPr>
                <w:sz w:val="20"/>
                <w:szCs w:val="20"/>
                <w:color w:val="auto"/>
              </w:rPr>
            </w:pPr>
            <w:r>
              <w:rPr>
                <w:rFonts w:ascii="Arial" w:cs="Arial" w:eastAsia="Arial" w:hAnsi="Arial"/>
                <w:sz w:val="18"/>
                <w:szCs w:val="18"/>
                <w:color w:val="auto"/>
              </w:rPr>
              <w:t>Net income</w:t>
            </w:r>
          </w:p>
        </w:tc>
        <w:tc>
          <w:tcPr>
            <w:tcW w:w="3540" w:type="dxa"/>
            <w:vAlign w:val="bottom"/>
          </w:tcPr>
          <w:p>
            <w:pPr>
              <w:jc w:val="right"/>
              <w:ind w:right="590"/>
              <w:spacing w:after="0" w:line="187" w:lineRule="exact"/>
              <w:rPr>
                <w:sz w:val="20"/>
                <w:szCs w:val="20"/>
                <w:color w:val="auto"/>
              </w:rPr>
            </w:pPr>
            <w:r>
              <w:rPr>
                <w:rFonts w:ascii="Arial" w:cs="Arial" w:eastAsia="Arial" w:hAnsi="Arial"/>
                <w:sz w:val="18"/>
                <w:szCs w:val="18"/>
                <w:b w:val="1"/>
                <w:bCs w:val="1"/>
                <w:color w:val="auto"/>
              </w:rPr>
              <w:t>$69,272</w:t>
            </w:r>
          </w:p>
        </w:tc>
        <w:tc>
          <w:tcPr>
            <w:tcW w:w="1020" w:type="dxa"/>
            <w:vAlign w:val="bottom"/>
          </w:tcPr>
          <w:p>
            <w:pPr>
              <w:jc w:val="right"/>
              <w:spacing w:after="0" w:line="187" w:lineRule="exact"/>
              <w:rPr>
                <w:sz w:val="20"/>
                <w:szCs w:val="20"/>
                <w:color w:val="auto"/>
              </w:rPr>
            </w:pPr>
            <w:r>
              <w:rPr>
                <w:rFonts w:ascii="Arial" w:cs="Arial" w:eastAsia="Arial" w:hAnsi="Arial"/>
                <w:sz w:val="18"/>
                <w:szCs w:val="18"/>
                <w:color w:val="auto"/>
              </w:rPr>
              <w:t>$27,427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540" w:type="dxa"/>
            <w:vAlign w:val="bottom"/>
          </w:tcPr>
          <w:p>
            <w:pPr>
              <w:jc w:val="right"/>
              <w:ind w:right="590"/>
              <w:spacing w:after="0"/>
              <w:rPr>
                <w:sz w:val="20"/>
                <w:szCs w:val="20"/>
                <w:color w:val="auto"/>
              </w:rPr>
            </w:pPr>
            <w:r>
              <w:rPr>
                <w:rFonts w:ascii="Arial" w:cs="Arial" w:eastAsia="Arial" w:hAnsi="Arial"/>
                <w:sz w:val="18"/>
                <w:szCs w:val="18"/>
                <w:b w:val="1"/>
                <w:bCs w:val="1"/>
                <w:color w:val="auto"/>
              </w:rPr>
              <w:t>60,423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53,256</w:t>
            </w: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working capital (a)</w:t>
            </w:r>
          </w:p>
        </w:tc>
        <w:tc>
          <w:tcPr>
            <w:tcW w:w="3540" w:type="dxa"/>
            <w:vAlign w:val="bottom"/>
          </w:tcPr>
          <w:p>
            <w:pPr>
              <w:jc w:val="right"/>
              <w:ind w:right="590"/>
              <w:spacing w:after="0"/>
              <w:rPr>
                <w:sz w:val="20"/>
                <w:szCs w:val="20"/>
                <w:color w:val="auto"/>
              </w:rPr>
            </w:pPr>
            <w:r>
              <w:rPr>
                <w:rFonts w:ascii="Arial" w:cs="Arial" w:eastAsia="Arial" w:hAnsi="Arial"/>
                <w:sz w:val="18"/>
                <w:szCs w:val="18"/>
                <w:b w:val="1"/>
                <w:bCs w:val="1"/>
                <w:color w:val="auto"/>
              </w:rPr>
              <w:t>(63,957)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(39,695)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other noncurrent liabilities and deferred taxes</w:t>
            </w:r>
          </w:p>
        </w:tc>
        <w:tc>
          <w:tcPr>
            <w:tcW w:w="3540" w:type="dxa"/>
            <w:vAlign w:val="bottom"/>
          </w:tcPr>
          <w:p>
            <w:pPr>
              <w:jc w:val="right"/>
              <w:ind w:right="590"/>
              <w:spacing w:after="0"/>
              <w:rPr>
                <w:sz w:val="20"/>
                <w:szCs w:val="20"/>
                <w:color w:val="auto"/>
              </w:rPr>
            </w:pPr>
            <w:r>
              <w:rPr>
                <w:rFonts w:ascii="Arial" w:cs="Arial" w:eastAsia="Arial" w:hAnsi="Arial"/>
                <w:sz w:val="18"/>
                <w:szCs w:val="18"/>
                <w:b w:val="1"/>
                <w:bCs w:val="1"/>
                <w:color w:val="auto"/>
              </w:rPr>
              <w:t>(11,904)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(13,142)</w:t>
            </w:r>
          </w:p>
        </w:tc>
        <w:tc>
          <w:tcPr>
            <w:tcW w:w="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operating items</w:t>
            </w:r>
          </w:p>
        </w:tc>
        <w:tc>
          <w:tcPr>
            <w:tcW w:w="3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7,621</w:t>
            </w: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(6,131)</w:t>
            </w:r>
          </w:p>
        </w:tc>
      </w:tr>
      <w:tr>
        <w:trPr>
          <w:trHeight w:val="187"/>
        </w:trPr>
        <w:tc>
          <w:tcPr>
            <w:tcW w:w="20" w:type="dxa"/>
            <w:vAlign w:val="bottom"/>
          </w:tcPr>
          <w:p>
            <w:pPr>
              <w:spacing w:after="0"/>
              <w:rPr>
                <w:sz w:val="16"/>
                <w:szCs w:val="16"/>
                <w:color w:val="auto"/>
              </w:rPr>
            </w:pPr>
          </w:p>
        </w:tc>
        <w:tc>
          <w:tcPr>
            <w:tcW w:w="6840" w:type="dxa"/>
            <w:vAlign w:val="bottom"/>
          </w:tcPr>
          <w:p>
            <w:pPr>
              <w:spacing w:after="0" w:line="187" w:lineRule="exact"/>
              <w:rPr>
                <w:sz w:val="20"/>
                <w:szCs w:val="20"/>
                <w:color w:val="auto"/>
              </w:rPr>
            </w:pPr>
            <w:r>
              <w:rPr>
                <w:rFonts w:ascii="Arial" w:cs="Arial" w:eastAsia="Arial" w:hAnsi="Arial"/>
                <w:sz w:val="18"/>
                <w:szCs w:val="18"/>
                <w:color w:val="auto"/>
              </w:rPr>
              <w:t>Net cash provided in operating activities</w:t>
            </w:r>
          </w:p>
        </w:tc>
        <w:tc>
          <w:tcPr>
            <w:tcW w:w="3540" w:type="dxa"/>
            <w:vAlign w:val="bottom"/>
          </w:tcPr>
          <w:p>
            <w:pPr>
              <w:jc w:val="right"/>
              <w:ind w:right="590"/>
              <w:spacing w:after="0" w:line="187" w:lineRule="exact"/>
              <w:rPr>
                <w:sz w:val="20"/>
                <w:szCs w:val="20"/>
                <w:color w:val="auto"/>
              </w:rPr>
            </w:pPr>
            <w:r>
              <w:rPr>
                <w:rFonts w:ascii="Arial" w:cs="Arial" w:eastAsia="Arial" w:hAnsi="Arial"/>
                <w:sz w:val="18"/>
                <w:szCs w:val="18"/>
                <w:b w:val="1"/>
                <w:bCs w:val="1"/>
                <w:color w:val="auto"/>
              </w:rPr>
              <w:t>61,455</w:t>
            </w:r>
          </w:p>
        </w:tc>
        <w:tc>
          <w:tcPr>
            <w:tcW w:w="1060" w:type="dxa"/>
            <w:vAlign w:val="bottom"/>
            <w:gridSpan w:val="3"/>
          </w:tcPr>
          <w:p>
            <w:pPr>
              <w:jc w:val="right"/>
              <w:ind w:right="40"/>
              <w:spacing w:after="0" w:line="187" w:lineRule="exact"/>
              <w:rPr>
                <w:sz w:val="20"/>
                <w:szCs w:val="20"/>
                <w:color w:val="auto"/>
              </w:rPr>
            </w:pPr>
            <w:r>
              <w:rPr>
                <w:rFonts w:ascii="Arial" w:cs="Arial" w:eastAsia="Arial" w:hAnsi="Arial"/>
                <w:sz w:val="18"/>
                <w:szCs w:val="18"/>
                <w:color w:val="auto"/>
              </w:rPr>
              <w:t>21,715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540" w:type="dxa"/>
            <w:vAlign w:val="bottom"/>
          </w:tcPr>
          <w:p>
            <w:pPr>
              <w:jc w:val="right"/>
              <w:ind w:right="590"/>
              <w:spacing w:after="0"/>
              <w:rPr>
                <w:sz w:val="20"/>
                <w:szCs w:val="20"/>
                <w:color w:val="auto"/>
              </w:rPr>
            </w:pPr>
            <w:r>
              <w:rPr>
                <w:rFonts w:ascii="Arial" w:cs="Arial" w:eastAsia="Arial" w:hAnsi="Arial"/>
                <w:sz w:val="18"/>
                <w:szCs w:val="18"/>
                <w:b w:val="1"/>
                <w:bCs w:val="1"/>
                <w:color w:val="auto"/>
              </w:rPr>
              <w:t>(60,694)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(62,262)</w:t>
            </w:r>
          </w:p>
        </w:tc>
        <w:tc>
          <w:tcPr>
            <w:tcW w:w="20" w:type="dxa"/>
            <w:vAlign w:val="bottom"/>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540" w:type="dxa"/>
            <w:vAlign w:val="bottom"/>
          </w:tcPr>
          <w:p>
            <w:pPr>
              <w:jc w:val="right"/>
              <w:ind w:right="590"/>
              <w:spacing w:after="0"/>
              <w:rPr>
                <w:sz w:val="20"/>
                <w:szCs w:val="20"/>
                <w:color w:val="auto"/>
              </w:rPr>
            </w:pPr>
            <w:r>
              <w:rPr>
                <w:rFonts w:ascii="Arial" w:cs="Arial" w:eastAsia="Arial" w:hAnsi="Arial"/>
                <w:sz w:val="18"/>
                <w:szCs w:val="18"/>
                <w:b w:val="1"/>
                <w:bCs w:val="1"/>
                <w:color w:val="auto"/>
              </w:rPr>
              <w:t>(16,474)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3,395</w:t>
            </w:r>
          </w:p>
        </w:tc>
        <w:tc>
          <w:tcPr>
            <w:tcW w:w="20" w:type="dxa"/>
            <w:vAlign w:val="bottom"/>
          </w:tcPr>
          <w:p>
            <w:pPr>
              <w:spacing w:after="0"/>
              <w:rPr>
                <w:sz w:val="18"/>
                <w:szCs w:val="18"/>
                <w:color w:val="auto"/>
              </w:rPr>
            </w:pPr>
          </w:p>
        </w:tc>
      </w:tr>
      <w:tr>
        <w:trPr>
          <w:trHeight w:val="239"/>
        </w:trPr>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(7,421)</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8,875</w:t>
            </w:r>
          </w:p>
        </w:tc>
        <w:tc>
          <w:tcPr>
            <w:tcW w:w="20" w:type="dxa"/>
            <w:vAlign w:val="bottom"/>
          </w:tcPr>
          <w:p>
            <w:pPr>
              <w:spacing w:after="0"/>
              <w:rPr>
                <w:sz w:val="20"/>
                <w:szCs w:val="20"/>
                <w:color w:val="auto"/>
              </w:rPr>
            </w:pPr>
          </w:p>
        </w:tc>
      </w:tr>
      <w:tr>
        <w:trPr>
          <w:trHeight w:val="187"/>
        </w:trPr>
        <w:tc>
          <w:tcPr>
            <w:tcW w:w="6860" w:type="dxa"/>
            <w:vAlign w:val="bottom"/>
            <w:gridSpan w:val="2"/>
          </w:tcPr>
          <w:p>
            <w:pPr>
              <w:spacing w:after="0" w:line="187" w:lineRule="exact"/>
              <w:rPr>
                <w:sz w:val="20"/>
                <w:szCs w:val="20"/>
                <w:color w:val="auto"/>
              </w:rPr>
            </w:pPr>
            <w:r>
              <w:rPr>
                <w:rFonts w:ascii="Arial" w:cs="Arial" w:eastAsia="Arial" w:hAnsi="Arial"/>
                <w:sz w:val="18"/>
                <w:szCs w:val="18"/>
                <w:color w:val="auto"/>
              </w:rPr>
              <w:t>Decrease in cash and cash equivalents</w:t>
            </w:r>
          </w:p>
        </w:tc>
        <w:tc>
          <w:tcPr>
            <w:tcW w:w="3540" w:type="dxa"/>
            <w:vAlign w:val="bottom"/>
          </w:tcPr>
          <w:p>
            <w:pPr>
              <w:jc w:val="right"/>
              <w:ind w:right="590"/>
              <w:spacing w:after="0" w:line="187" w:lineRule="exact"/>
              <w:rPr>
                <w:sz w:val="20"/>
                <w:szCs w:val="20"/>
                <w:color w:val="auto"/>
              </w:rPr>
            </w:pPr>
            <w:r>
              <w:rPr>
                <w:rFonts w:ascii="Arial" w:cs="Arial" w:eastAsia="Arial" w:hAnsi="Arial"/>
                <w:sz w:val="18"/>
                <w:szCs w:val="18"/>
                <w:b w:val="1"/>
                <w:bCs w:val="1"/>
                <w:color w:val="auto"/>
              </w:rPr>
              <w:t>(23,134)</w:t>
            </w:r>
          </w:p>
        </w:tc>
        <w:tc>
          <w:tcPr>
            <w:tcW w:w="104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auto"/>
              </w:rPr>
              <w:t>(28,277)</w:t>
            </w:r>
          </w:p>
        </w:tc>
        <w:tc>
          <w:tcPr>
            <w:tcW w:w="20" w:type="dxa"/>
            <w:vAlign w:val="bottom"/>
          </w:tcPr>
          <w:p>
            <w:pPr>
              <w:spacing w:after="0"/>
              <w:rPr>
                <w:sz w:val="16"/>
                <w:szCs w:val="16"/>
                <w:color w:val="auto"/>
              </w:rPr>
            </w:pPr>
          </w:p>
        </w:tc>
      </w:tr>
      <w:tr>
        <w:trPr>
          <w:trHeight w:val="239"/>
        </w:trPr>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183,727</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181,742</w:t>
            </w:r>
          </w:p>
        </w:tc>
        <w:tc>
          <w:tcPr>
            <w:tcW w:w="20" w:type="dxa"/>
            <w:vAlign w:val="bottom"/>
          </w:tcPr>
          <w:p>
            <w:pPr>
              <w:spacing w:after="0"/>
              <w:rPr>
                <w:sz w:val="20"/>
                <w:szCs w:val="20"/>
                <w:color w:val="auto"/>
              </w:rPr>
            </w:pPr>
          </w:p>
        </w:tc>
      </w:tr>
      <w:tr>
        <w:trPr>
          <w:trHeight w:val="210"/>
        </w:trPr>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$160,593</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$153,465</w:t>
            </w:r>
          </w:p>
        </w:tc>
        <w:tc>
          <w:tcPr>
            <w:tcW w:w="2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Accounts receivable, Contract assets, Inventories, and Accounts payable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0" w:lineRule="exact"/>
        <w:rPr>
          <w:sz w:val="20"/>
          <w:szCs w:val="20"/>
          <w:color w:val="auto"/>
        </w:rPr>
      </w:pPr>
    </w:p>
    <w:p>
      <w:pPr>
        <w:spacing w:after="0" w:line="385"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Cash flow provided by operating activities was $ 61.5 million and $21.7 million for the first nine months of 2018 and 2017. The net increase in cash provided by operating activities in 2018 was due to increased profitability in both MC and AEC, partially offset by increases in working capital. In the third quarter of 2018, the Company made a $5 million voluntary contribution to its U.S. pension plan and, with that contribution, the plan is close to being fully funded. The increase in use of cash in 2018 for working capital was principally due to the ramp of several key programs in AEC.</w:t>
      </w:r>
    </w:p>
    <w:p>
      <w:pPr>
        <w:spacing w:after="0" w:line="162"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Cash paid for income taxes was $19.9 million and $21.7 million for the first nine months of 2018 and 2017, respectively. The reduction in cash taxes paid is primarily due to lower Corporate income tax payments in 2018 compared to 2017 in jurisdictions like the U.S., Mexico and China.</w:t>
      </w:r>
    </w:p>
    <w:p>
      <w:pPr>
        <w:spacing w:after="0" w:line="162"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At September 30, 2018, we had $160.6 million of cash and cash equivalents, of which $139.2 million was held by subsidiaries outside of the United States.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expenditures for the first nine months were $60.7 million in 2018 and $62.3 million in 2017.</w:t>
      </w:r>
    </w:p>
    <w:p>
      <w:pPr>
        <w:spacing w:after="0" w:line="19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Capital Resources</w:t>
      </w:r>
    </w:p>
    <w:p>
      <w:pPr>
        <w:spacing w:after="0" w:line="396"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2018 was held by non-U.S. subsidiaries. Based on cash on hand and credit facilities, we anticipate that the Company has sufficient capital resources to operate for the foreseeable future. We were in compliance with all debt covenants as of September 30, 2018.</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$504 million of borrowings were outstanding as of September 30, 2018. The applicable interest rate for borrowings was LIBOR plus a spread, based on our leverage ratio at the time of borrowing. At the time of the last borrowing on September 17, 2018, the spread was 1.500%. The spread was based on a pricing grid, which ranged from 1.250% to 1.750%, based on our leverage ratio. Based on our maximum leverage ratio and our Consolidated EBITDA, and without modification to any other credit agreements, as of September 30, 2018, we would have been able to borrow an additional $181 million under the Agreement.</w:t>
      </w:r>
    </w:p>
    <w:p>
      <w:pPr>
        <w:spacing w:after="0" w:line="163"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cash of $6.3 million when the swap agreements were terminated and that payment will be amortized into interest expense through March 2021.</w:t>
      </w:r>
    </w:p>
    <w:p>
      <w:pPr>
        <w:spacing w:after="0" w:line="20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September 17, 2018 was 2.16%, during the swap period. On September 17, 2018, the all-in-rate on the $350 million of debt was 3.61%.</w:t>
      </w:r>
    </w:p>
    <w:p>
      <w:pPr>
        <w:spacing w:after="0" w:line="203"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color w:val="auto"/>
        </w:rPr>
        <w:t>As of September 30, 2018, our leverage ratio was 2.05 to 1.00 and our interest coverage ratio was 11.50 to 1.00. We may purchase our Common Stock or pay dividends to the extent our leverage ratio remains at or below 3.50 to 1.00, and may make acquisitions with cash provided our leverage ratio does not exceed the limits noted above.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As of September 30, 2018, we have no off-balance sheet arrangements required to be disclosed pursuant to Item 303(a)(4)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This Form 10-Q contains certain non-GAAP metrics, including: net sales, and percent change in net sales excluding the impact of ASC 606 and/or currency translation effects (for each segment and the Company as a whole); EBITDA and Adjusted EBITDA (for each segment and the Company as a whole represented in dollars or as a percentage of net sales); net debt; net debt excluding the impact of certain non-cash items; and net income per share attributable to the Company, excluding adjustments. Such items are provided because management believes that, when reconciled from the GAAP items to which they relate, they provide additional useful information to investors regarding the Company’s operational performance.</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Presenting sales and increases or decreases in sales, after currency effects and/or ASC 606 impacts are excluded, can give management and investors insight into underlying sales trends.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currency revaluation,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net income per share attributable to the Company, excluding adjustments, are performance measures that relate to the Company’s continuing operations.</w:t>
      </w:r>
    </w:p>
    <w:p>
      <w:pPr>
        <w:spacing w:after="0" w:line="19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 impact of ASC 606 is determined by calculating what GAAP net sales could have been under the prior ASC 605 standard, and comparing that amount to the amount reported under the new ASC 606 standard. These amounts are then compared to the U.S. dollar amount as reported in the current period. The Company calculates EBITDA by removing the following from Net income: Interest expense net, Income tax expense, Depreciation and amortization. Adjusted EBITDA is calculated by: adding to EBITDA costs associated with restructuring, and inventory write-offs associated with discontinued businesses;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Net income per share attributable to the Company, excluding adjustments, is calculated by adding to (or subtracting from) net income attributable to the Company per share, on an after-tax basis: restructuring charges; inventory write-offs associated with</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6" w:name="page57"/>
    <w:bookmarkEnd w:id="56"/>
    <w:p>
      <w:pPr>
        <w:ind w:right="200"/>
        <w:spacing w:after="0" w:line="246" w:lineRule="auto"/>
        <w:rPr>
          <w:sz w:val="20"/>
          <w:szCs w:val="20"/>
          <w:color w:val="auto"/>
        </w:rPr>
      </w:pPr>
      <w:r>
        <w:rPr>
          <w:rFonts w:ascii="Arial" w:cs="Arial" w:eastAsia="Arial" w:hAnsi="Arial"/>
          <w:sz w:val="18"/>
          <w:szCs w:val="18"/>
          <w:color w:val="auto"/>
        </w:rPr>
        <w:t>discontinued businesses; discrete tax charges (or gains) and the effect of changes in the income tax rate; foreign currency revaluation losses (or gains); acquisition expenses; and losses (or gains) from the sale of investments.</w:t>
      </w:r>
    </w:p>
    <w:p>
      <w:pPr>
        <w:spacing w:after="0" w:line="18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EBITDA, Adjusted EBITDA, and net income per share attributable to the Company, excluding adjustments,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September 30, 2018</w:t>
            </w:r>
          </w:p>
        </w:tc>
        <w:tc>
          <w:tcPr>
            <w:tcW w:w="170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vMerge w:val="restart"/>
          </w:tcPr>
          <w:p>
            <w:pPr>
              <w:jc w:val="center"/>
              <w:ind w:right="350"/>
              <w:spacing w:after="0"/>
              <w:rPr>
                <w:sz w:val="20"/>
                <w:szCs w:val="20"/>
                <w:color w:val="auto"/>
              </w:rPr>
            </w:pPr>
            <w:r>
              <w:rPr>
                <w:rFonts w:ascii="Arial" w:cs="Arial" w:eastAsia="Arial" w:hAnsi="Arial"/>
                <w:sz w:val="18"/>
                <w:szCs w:val="18"/>
                <w:b w:val="1"/>
                <w:bCs w:val="1"/>
                <w:color w:val="auto"/>
                <w:w w:val="99"/>
              </w:rPr>
              <w:t>Albany</w:t>
            </w:r>
          </w:p>
        </w:tc>
        <w:tc>
          <w:tcPr>
            <w:tcW w:w="1860" w:type="dxa"/>
            <w:vAlign w:val="bottom"/>
            <w:tcBorders>
              <w:top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9"/>
              </w:rPr>
              <w:t>Corporate</w:t>
            </w: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0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Machine</w:t>
            </w:r>
          </w:p>
        </w:tc>
        <w:tc>
          <w:tcPr>
            <w:tcW w:w="1840" w:type="dxa"/>
            <w:vAlign w:val="bottom"/>
          </w:tcPr>
          <w:p>
            <w:pPr>
              <w:jc w:val="center"/>
              <w:ind w:right="37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8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expenses and</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Clothing</w:t>
            </w:r>
          </w:p>
        </w:tc>
        <w:tc>
          <w:tcPr>
            <w:tcW w:w="18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rPr>
              <w:t>Composites</w:t>
            </w:r>
          </w:p>
        </w:tc>
        <w:tc>
          <w:tcPr>
            <w:tcW w:w="1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other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46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Operating income/(loss) (GAAP)</w:t>
            </w:r>
          </w:p>
        </w:tc>
        <w:tc>
          <w:tcPr>
            <w:tcW w:w="1700" w:type="dxa"/>
            <w:vAlign w:val="bottom"/>
          </w:tcPr>
          <w:p>
            <w:pPr>
              <w:jc w:val="right"/>
              <w:ind w:right="430"/>
              <w:spacing w:after="0" w:line="173" w:lineRule="exact"/>
              <w:rPr>
                <w:sz w:val="20"/>
                <w:szCs w:val="20"/>
                <w:color w:val="auto"/>
              </w:rPr>
            </w:pPr>
            <w:r>
              <w:rPr>
                <w:rFonts w:ascii="Arial" w:cs="Arial" w:eastAsia="Arial" w:hAnsi="Arial"/>
                <w:sz w:val="18"/>
                <w:szCs w:val="18"/>
                <w:b w:val="1"/>
                <w:bCs w:val="1"/>
                <w:color w:val="auto"/>
              </w:rPr>
              <w:t>$50,310</w:t>
            </w:r>
          </w:p>
        </w:tc>
        <w:tc>
          <w:tcPr>
            <w:tcW w:w="184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$3,612</w:t>
            </w:r>
          </w:p>
        </w:tc>
        <w:tc>
          <w:tcPr>
            <w:tcW w:w="186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($12,477)</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$41,445</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Interest, taxes, other income/(expense)</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8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(12,961)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25"/>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income/(loss) (GAAP)</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50,310</w:t>
            </w: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3,612</w:t>
            </w: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(25,438)</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28,484</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4,621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11,491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 expense</w:t>
            </w:r>
          </w:p>
        </w:tc>
        <w:tc>
          <w:tcPr>
            <w:tcW w:w="17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7,725</w:t>
            </w:r>
          </w:p>
        </w:tc>
        <w:tc>
          <w:tcPr>
            <w:tcW w:w="18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10,894</w:t>
            </w:r>
          </w:p>
        </w:tc>
        <w:tc>
          <w:tcPr>
            <w:tcW w:w="18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1,183</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EBITDA (non-GAAP)</w:t>
            </w:r>
          </w:p>
        </w:tc>
        <w:tc>
          <w:tcPr>
            <w:tcW w:w="1700" w:type="dxa"/>
            <w:vAlign w:val="bottom"/>
          </w:tcPr>
          <w:p>
            <w:pPr>
              <w:jc w:val="right"/>
              <w:ind w:right="430"/>
              <w:spacing w:after="0" w:line="195" w:lineRule="exact"/>
              <w:rPr>
                <w:sz w:val="20"/>
                <w:szCs w:val="20"/>
                <w:color w:val="auto"/>
              </w:rPr>
            </w:pPr>
            <w:r>
              <w:rPr>
                <w:rFonts w:ascii="Arial" w:cs="Arial" w:eastAsia="Arial" w:hAnsi="Arial"/>
                <w:sz w:val="18"/>
                <w:szCs w:val="18"/>
                <w:b w:val="1"/>
                <w:bCs w:val="1"/>
                <w:color w:val="auto"/>
              </w:rPr>
              <w:t>58,035</w:t>
            </w:r>
          </w:p>
        </w:tc>
        <w:tc>
          <w:tcPr>
            <w:tcW w:w="1840" w:type="dxa"/>
            <w:vAlign w:val="bottom"/>
          </w:tcPr>
          <w:p>
            <w:pPr>
              <w:jc w:val="right"/>
              <w:ind w:right="310"/>
              <w:spacing w:after="0" w:line="195" w:lineRule="exact"/>
              <w:rPr>
                <w:sz w:val="20"/>
                <w:szCs w:val="20"/>
                <w:color w:val="auto"/>
              </w:rPr>
            </w:pPr>
            <w:r>
              <w:rPr>
                <w:rFonts w:ascii="Arial" w:cs="Arial" w:eastAsia="Arial" w:hAnsi="Arial"/>
                <w:sz w:val="18"/>
                <w:szCs w:val="18"/>
                <w:b w:val="1"/>
                <w:bCs w:val="1"/>
                <w:color w:val="auto"/>
              </w:rPr>
              <w:t>14,506</w:t>
            </w:r>
          </w:p>
        </w:tc>
        <w:tc>
          <w:tcPr>
            <w:tcW w:w="186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(8,143)</w:t>
            </w: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64,398</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371</w:t>
            </w:r>
          </w:p>
        </w:tc>
        <w:tc>
          <w:tcPr>
            <w:tcW w:w="18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2,189</w:t>
            </w:r>
          </w:p>
        </w:tc>
        <w:tc>
          <w:tcPr>
            <w:tcW w:w="1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7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(38)</w:t>
            </w:r>
          </w:p>
        </w:tc>
        <w:tc>
          <w:tcPr>
            <w:tcW w:w="18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242</w:t>
            </w:r>
          </w:p>
        </w:tc>
        <w:tc>
          <w:tcPr>
            <w:tcW w:w="1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(3,439)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Pretax income attributable to the noncontrolling interest</w:t>
            </w:r>
          </w:p>
        </w:tc>
        <w:tc>
          <w:tcPr>
            <w:tcW w:w="17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ASC</w:t>
            </w:r>
          </w:p>
        </w:tc>
        <w:tc>
          <w:tcPr>
            <w:tcW w:w="17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(397)</w:t>
            </w:r>
          </w:p>
        </w:tc>
        <w:tc>
          <w:tcPr>
            <w:tcW w:w="18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7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$58,368</w:t>
            </w:r>
          </w:p>
        </w:tc>
        <w:tc>
          <w:tcPr>
            <w:tcW w:w="1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$16,540</w:t>
            </w:r>
          </w:p>
        </w:tc>
        <w:tc>
          <w:tcPr>
            <w:tcW w:w="18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($11,590)</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$63,318</w:t>
            </w:r>
          </w:p>
        </w:tc>
        <w:tc>
          <w:tcPr>
            <w:tcW w:w="0" w:type="dxa"/>
            <w:vAlign w:val="bottom"/>
          </w:tcPr>
          <w:p>
            <w:pPr>
              <w:spacing w:after="0"/>
              <w:rPr>
                <w:sz w:val="1"/>
                <w:szCs w:val="1"/>
                <w:color w:val="auto"/>
              </w:rPr>
            </w:pPr>
          </w:p>
        </w:tc>
      </w:tr>
      <w:tr>
        <w:trPr>
          <w:trHeight w:val="399"/>
        </w:trPr>
        <w:tc>
          <w:tcPr>
            <w:tcW w:w="466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September 30, 2017</w:t>
            </w:r>
          </w:p>
        </w:tc>
        <w:tc>
          <w:tcPr>
            <w:tcW w:w="17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vMerge w:val="restart"/>
          </w:tcPr>
          <w:p>
            <w:pPr>
              <w:jc w:val="center"/>
              <w:ind w:left="70"/>
              <w:spacing w:after="0"/>
              <w:rPr>
                <w:sz w:val="20"/>
                <w:szCs w:val="20"/>
                <w:color w:val="auto"/>
              </w:rPr>
            </w:pPr>
            <w:r>
              <w:rPr>
                <w:rFonts w:ascii="Arial" w:cs="Arial" w:eastAsia="Arial" w:hAnsi="Arial"/>
                <w:sz w:val="18"/>
                <w:szCs w:val="18"/>
                <w:b w:val="1"/>
                <w:bCs w:val="1"/>
                <w:color w:val="auto"/>
                <w:w w:val="99"/>
              </w:rPr>
              <w:t>Albany</w:t>
            </w:r>
          </w:p>
        </w:tc>
        <w:tc>
          <w:tcPr>
            <w:tcW w:w="186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w w:val="99"/>
              </w:rPr>
              <w:t>Corporate</w:t>
            </w: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Machine</w:t>
            </w:r>
          </w:p>
        </w:tc>
        <w:tc>
          <w:tcPr>
            <w:tcW w:w="184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8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expenses and</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Clothing</w:t>
            </w:r>
          </w:p>
        </w:tc>
        <w:tc>
          <w:tcPr>
            <w:tcW w:w="18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Composites</w:t>
            </w:r>
          </w:p>
        </w:tc>
        <w:tc>
          <w:tcPr>
            <w:tcW w:w="1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other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 (GAAP)</w:t>
            </w:r>
          </w:p>
        </w:tc>
        <w:tc>
          <w:tcPr>
            <w:tcW w:w="170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rPr>
              <w:t>$42,679</w:t>
            </w:r>
          </w:p>
        </w:tc>
        <w:tc>
          <w:tcPr>
            <w:tcW w:w="184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($9,301)</w:t>
            </w:r>
          </w:p>
        </w:tc>
        <w:tc>
          <w:tcPr>
            <w:tcW w:w="1860" w:type="dxa"/>
            <w:vAlign w:val="bottom"/>
          </w:tcPr>
          <w:p>
            <w:pPr>
              <w:jc w:val="right"/>
              <w:ind w:right="290"/>
              <w:spacing w:after="0" w:line="195" w:lineRule="exact"/>
              <w:rPr>
                <w:sz w:val="20"/>
                <w:szCs w:val="20"/>
                <w:color w:val="auto"/>
              </w:rPr>
            </w:pPr>
            <w:r>
              <w:rPr>
                <w:rFonts w:ascii="Arial" w:cs="Arial" w:eastAsia="Arial" w:hAnsi="Arial"/>
                <w:sz w:val="18"/>
                <w:szCs w:val="18"/>
                <w:b w:val="1"/>
                <w:bCs w:val="1"/>
                <w:color w:val="auto"/>
              </w:rPr>
              <w:t>($10,450)</w:t>
            </w: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$22,928</w:t>
            </w:r>
          </w:p>
        </w:tc>
        <w:tc>
          <w:tcPr>
            <w:tcW w:w="0" w:type="dxa"/>
            <w:vAlign w:val="bottom"/>
          </w:tcPr>
          <w:p>
            <w:pPr>
              <w:spacing w:after="0"/>
              <w:rPr>
                <w:sz w:val="1"/>
                <w:szCs w:val="1"/>
                <w:color w:val="auto"/>
              </w:rPr>
            </w:pPr>
          </w:p>
        </w:tc>
      </w:tr>
      <w:tr>
        <w:trPr>
          <w:trHeight w:val="181"/>
        </w:trPr>
        <w:tc>
          <w:tcPr>
            <w:tcW w:w="4660" w:type="dxa"/>
            <w:vAlign w:val="bottom"/>
            <w:gridSpan w:val="2"/>
          </w:tcPr>
          <w:p>
            <w:pPr>
              <w:spacing w:after="0" w:line="181" w:lineRule="exact"/>
              <w:rPr>
                <w:sz w:val="20"/>
                <w:szCs w:val="20"/>
                <w:color w:val="auto"/>
              </w:rPr>
            </w:pPr>
            <w:r>
              <w:rPr>
                <w:rFonts w:ascii="Arial" w:cs="Arial" w:eastAsia="Arial" w:hAnsi="Arial"/>
                <w:sz w:val="18"/>
                <w:szCs w:val="18"/>
                <w:color w:val="auto"/>
              </w:rPr>
              <w:t>Interest, taxes, other income/(expense)</w:t>
            </w:r>
          </w:p>
        </w:tc>
        <w:tc>
          <w:tcPr>
            <w:tcW w:w="1700" w:type="dxa"/>
            <w:vAlign w:val="bottom"/>
          </w:tcPr>
          <w:p>
            <w:pPr>
              <w:jc w:val="right"/>
              <w:ind w:right="70"/>
              <w:spacing w:after="0" w:line="181"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(7,708)</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25"/>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income/(loss)(GAAP)</w:t>
            </w: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42,679</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(9,301)</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(18,158)</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15,220</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4,429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3,809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 expense</w:t>
            </w:r>
          </w:p>
        </w:tc>
        <w:tc>
          <w:tcPr>
            <w:tcW w:w="17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8,380</w:t>
            </w:r>
          </w:p>
        </w:tc>
        <w:tc>
          <w:tcPr>
            <w:tcW w:w="18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8,591</w:t>
            </w:r>
          </w:p>
        </w:tc>
        <w:tc>
          <w:tcPr>
            <w:tcW w:w="18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1,159</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EBITDA (non-GAAP)</w:t>
            </w:r>
          </w:p>
        </w:tc>
        <w:tc>
          <w:tcPr>
            <w:tcW w:w="170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rPr>
              <w:t>51,059</w:t>
            </w:r>
          </w:p>
        </w:tc>
        <w:tc>
          <w:tcPr>
            <w:tcW w:w="184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(710)</w:t>
            </w:r>
          </w:p>
        </w:tc>
        <w:tc>
          <w:tcPr>
            <w:tcW w:w="1860" w:type="dxa"/>
            <w:vAlign w:val="bottom"/>
          </w:tcPr>
          <w:p>
            <w:pPr>
              <w:jc w:val="right"/>
              <w:ind w:right="290"/>
              <w:spacing w:after="0" w:line="195" w:lineRule="exact"/>
              <w:rPr>
                <w:sz w:val="20"/>
                <w:szCs w:val="20"/>
                <w:color w:val="auto"/>
              </w:rPr>
            </w:pPr>
            <w:r>
              <w:rPr>
                <w:rFonts w:ascii="Arial" w:cs="Arial" w:eastAsia="Arial" w:hAnsi="Arial"/>
                <w:sz w:val="18"/>
                <w:szCs w:val="18"/>
                <w:b w:val="1"/>
                <w:bCs w:val="1"/>
                <w:color w:val="auto"/>
              </w:rPr>
              <w:t>(8,761)</w:t>
            </w: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41,588</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96</w:t>
            </w:r>
          </w:p>
        </w:tc>
        <w:tc>
          <w:tcPr>
            <w:tcW w:w="1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5,407</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1,114</w:t>
            </w:r>
          </w:p>
        </w:tc>
        <w:tc>
          <w:tcPr>
            <w:tcW w:w="1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137</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266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1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3,155</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Pretax loss attributable to the noncontrolling interest in</w:t>
            </w:r>
          </w:p>
        </w:tc>
        <w:tc>
          <w:tcPr>
            <w:tcW w:w="17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ASC</w:t>
            </w:r>
          </w:p>
        </w:tc>
        <w:tc>
          <w:tcPr>
            <w:tcW w:w="17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136</w:t>
            </w:r>
          </w:p>
        </w:tc>
        <w:tc>
          <w:tcPr>
            <w:tcW w:w="18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7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$52,269</w:t>
            </w:r>
          </w:p>
        </w:tc>
        <w:tc>
          <w:tcPr>
            <w:tcW w:w="18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$8,125</w:t>
            </w:r>
          </w:p>
        </w:tc>
        <w:tc>
          <w:tcPr>
            <w:tcW w:w="18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($8,495)</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$51,899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2"/>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19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w w:val="99"/>
              </w:rPr>
              <w:t>Albany</w:t>
            </w:r>
          </w:p>
        </w:tc>
        <w:tc>
          <w:tcPr>
            <w:tcW w:w="1940" w:type="dxa"/>
            <w:vAlign w:val="bottom"/>
            <w:tcBorders>
              <w:top w:val="single" w:sz="8" w:color="auto"/>
            </w:tcBorders>
            <w:vMerge w:val="restart"/>
          </w:tcPr>
          <w:p>
            <w:pPr>
              <w:jc w:val="center"/>
              <w:ind w:right="53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940" w:type="dxa"/>
            <w:vAlign w:val="bottom"/>
          </w:tcPr>
          <w:p>
            <w:pPr>
              <w:jc w:val="right"/>
              <w:ind w:right="1030"/>
              <w:spacing w:after="0"/>
              <w:rPr>
                <w:sz w:val="20"/>
                <w:szCs w:val="20"/>
                <w:color w:val="auto"/>
              </w:rPr>
            </w:pPr>
            <w:r>
              <w:rPr>
                <w:rFonts w:ascii="Arial" w:cs="Arial" w:eastAsia="Arial" w:hAnsi="Arial"/>
                <w:sz w:val="18"/>
                <w:szCs w:val="18"/>
                <w:b w:val="1"/>
                <w:bCs w:val="1"/>
                <w:color w:val="auto"/>
              </w:rPr>
              <w:t>Machine</w:t>
            </w:r>
          </w:p>
        </w:tc>
        <w:tc>
          <w:tcPr>
            <w:tcW w:w="2080" w:type="dxa"/>
            <w:vAlign w:val="bottom"/>
          </w:tcPr>
          <w:p>
            <w:pPr>
              <w:jc w:val="center"/>
              <w:ind w:right="730"/>
              <w:spacing w:after="0"/>
              <w:rPr>
                <w:sz w:val="20"/>
                <w:szCs w:val="20"/>
                <w:color w:val="auto"/>
              </w:rPr>
            </w:pPr>
            <w:r>
              <w:rPr>
                <w:rFonts w:ascii="Arial" w:cs="Arial" w:eastAsia="Arial" w:hAnsi="Arial"/>
                <w:sz w:val="18"/>
                <w:szCs w:val="18"/>
                <w:b w:val="1"/>
                <w:bCs w:val="1"/>
                <w:color w:val="auto"/>
                <w:w w:val="99"/>
              </w:rPr>
              <w:t>Engineered</w:t>
            </w:r>
          </w:p>
        </w:tc>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rPr>
              <w:t>expenses and</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jc w:val="right"/>
              <w:ind w:right="1030"/>
              <w:spacing w:after="0"/>
              <w:rPr>
                <w:sz w:val="20"/>
                <w:szCs w:val="20"/>
                <w:color w:val="auto"/>
              </w:rPr>
            </w:pPr>
            <w:r>
              <w:rPr>
                <w:rFonts w:ascii="Arial" w:cs="Arial" w:eastAsia="Arial" w:hAnsi="Arial"/>
                <w:sz w:val="18"/>
                <w:szCs w:val="18"/>
                <w:b w:val="1"/>
                <w:bCs w:val="1"/>
                <w:color w:val="auto"/>
              </w:rPr>
              <w:t>Clothing</w:t>
            </w:r>
          </w:p>
        </w:tc>
        <w:tc>
          <w:tcPr>
            <w:tcW w:w="2080" w:type="dxa"/>
            <w:vAlign w:val="bottom"/>
          </w:tcPr>
          <w:p>
            <w:pPr>
              <w:jc w:val="center"/>
              <w:ind w:right="730"/>
              <w:spacing w:after="0"/>
              <w:rPr>
                <w:sz w:val="20"/>
                <w:szCs w:val="20"/>
                <w:color w:val="auto"/>
              </w:rPr>
            </w:pPr>
            <w:r>
              <w:rPr>
                <w:rFonts w:ascii="Arial" w:cs="Arial" w:eastAsia="Arial" w:hAnsi="Arial"/>
                <w:sz w:val="18"/>
                <w:szCs w:val="18"/>
                <w:b w:val="1"/>
                <w:bCs w:val="1"/>
                <w:color w:val="auto"/>
                <w:w w:val="98"/>
              </w:rPr>
              <w:t>Composites</w:t>
            </w:r>
          </w:p>
        </w:tc>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7"/>
              </w:rPr>
              <w:t>other</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87"/>
        </w:trPr>
        <w:tc>
          <w:tcPr>
            <w:tcW w:w="412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8"/>
                <w:szCs w:val="18"/>
                <w:b w:val="1"/>
                <w:bCs w:val="1"/>
                <w:color w:val="auto"/>
              </w:rPr>
              <w:t>Operating income/(loss) (GAAP)</w:t>
            </w:r>
          </w:p>
        </w:tc>
        <w:tc>
          <w:tcPr>
            <w:tcW w:w="1940" w:type="dxa"/>
            <w:vAlign w:val="bottom"/>
            <w:tcBorders>
              <w:top w:val="single" w:sz="8" w:color="auto"/>
            </w:tcBorders>
          </w:tcPr>
          <w:p>
            <w:pPr>
              <w:jc w:val="right"/>
              <w:ind w:right="350"/>
              <w:spacing w:after="0" w:line="187" w:lineRule="exact"/>
              <w:rPr>
                <w:sz w:val="20"/>
                <w:szCs w:val="20"/>
                <w:color w:val="auto"/>
              </w:rPr>
            </w:pPr>
            <w:r>
              <w:rPr>
                <w:rFonts w:ascii="Arial" w:cs="Arial" w:eastAsia="Arial" w:hAnsi="Arial"/>
                <w:sz w:val="18"/>
                <w:szCs w:val="18"/>
                <w:b w:val="1"/>
                <w:bCs w:val="1"/>
                <w:color w:val="auto"/>
              </w:rPr>
              <w:t>$131,921</w:t>
            </w:r>
          </w:p>
        </w:tc>
        <w:tc>
          <w:tcPr>
            <w:tcW w:w="2080" w:type="dxa"/>
            <w:vAlign w:val="bottom"/>
            <w:tcBorders>
              <w:top w:val="single" w:sz="8" w:color="auto"/>
            </w:tcBorders>
          </w:tcPr>
          <w:p>
            <w:pPr>
              <w:jc w:val="right"/>
              <w:ind w:right="270"/>
              <w:spacing w:after="0" w:line="187" w:lineRule="exact"/>
              <w:rPr>
                <w:sz w:val="20"/>
                <w:szCs w:val="20"/>
                <w:color w:val="auto"/>
              </w:rPr>
            </w:pPr>
            <w:r>
              <w:rPr>
                <w:rFonts w:ascii="Arial" w:cs="Arial" w:eastAsia="Arial" w:hAnsi="Arial"/>
                <w:sz w:val="18"/>
                <w:szCs w:val="18"/>
                <w:b w:val="1"/>
                <w:bCs w:val="1"/>
                <w:color w:val="auto"/>
              </w:rPr>
              <w:t>$9,979</w:t>
            </w:r>
          </w:p>
        </w:tc>
        <w:tc>
          <w:tcPr>
            <w:tcW w:w="1940" w:type="dxa"/>
            <w:vAlign w:val="bottom"/>
            <w:tcBorders>
              <w:top w:val="single" w:sz="8" w:color="auto"/>
            </w:tcBorders>
          </w:tcPr>
          <w:p>
            <w:pPr>
              <w:jc w:val="right"/>
              <w:ind w:right="170"/>
              <w:spacing w:after="0" w:line="187" w:lineRule="exact"/>
              <w:rPr>
                <w:sz w:val="20"/>
                <w:szCs w:val="20"/>
                <w:color w:val="auto"/>
              </w:rPr>
            </w:pPr>
            <w:r>
              <w:rPr>
                <w:rFonts w:ascii="Arial" w:cs="Arial" w:eastAsia="Arial" w:hAnsi="Arial"/>
                <w:sz w:val="18"/>
                <w:szCs w:val="18"/>
                <w:b w:val="1"/>
                <w:bCs w:val="1"/>
                <w:color w:val="auto"/>
              </w:rPr>
              <w:t>($36,940)</w:t>
            </w:r>
          </w:p>
        </w:tc>
        <w:tc>
          <w:tcPr>
            <w:tcW w:w="13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b w:val="1"/>
                <w:bCs w:val="1"/>
                <w:color w:val="auto"/>
              </w:rPr>
              <w:t>$104,960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Interest, taxes, other income/(expense)</w:t>
            </w: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(35,688)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(35,688)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income/(loss) (GAAP)</w:t>
            </w: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131,921</w:t>
            </w: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9,979</w:t>
            </w: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(72,628)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69,272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13,530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13,530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23,131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23,131</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24,269</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32,297</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3,857</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60,423</w:t>
            </w: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EBITDA (non-GAAP)</w:t>
            </w:r>
          </w:p>
        </w:tc>
        <w:tc>
          <w:tcPr>
            <w:tcW w:w="19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156,190</w:t>
            </w:r>
          </w:p>
        </w:tc>
        <w:tc>
          <w:tcPr>
            <w:tcW w:w="20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42,276</w:t>
            </w:r>
          </w:p>
        </w:tc>
        <w:tc>
          <w:tcPr>
            <w:tcW w:w="1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(32,110)</w:t>
            </w: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166,356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Restructuring expenses, net</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10,523</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2,968</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223</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Foreign currency revaluation (gains)/losses</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(852)</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544</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(2,940)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Pretax income attributable to the</w:t>
            </w:r>
          </w:p>
        </w:tc>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noncontrolling interest in ASC</w:t>
            </w:r>
          </w:p>
        </w:tc>
        <w:tc>
          <w:tcPr>
            <w:tcW w:w="1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(619)</w:t>
            </w: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$165,861</w:t>
            </w: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$45,169</w:t>
            </w: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($34,827)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$176,203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bottom w:val="single" w:sz="8" w:color="auto"/>
            </w:tcBorders>
            <w:vMerge w:val="restart"/>
          </w:tcPr>
          <w:p>
            <w:pPr>
              <w:spacing w:after="0"/>
              <w:rPr>
                <w:sz w:val="17"/>
                <w:szCs w:val="17"/>
                <w:color w:val="auto"/>
              </w:rPr>
            </w:pPr>
          </w:p>
        </w:tc>
        <w:tc>
          <w:tcPr>
            <w:tcW w:w="410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2017</w:t>
            </w:r>
          </w:p>
        </w:tc>
        <w:tc>
          <w:tcPr>
            <w:tcW w:w="1940" w:type="dxa"/>
            <w:vAlign w:val="bottom"/>
          </w:tcPr>
          <w:p>
            <w:pPr>
              <w:spacing w:after="0"/>
              <w:rPr>
                <w:sz w:val="20"/>
                <w:szCs w:val="20"/>
                <w:color w:val="auto"/>
              </w:rPr>
            </w:pPr>
          </w:p>
        </w:tc>
        <w:tc>
          <w:tcPr>
            <w:tcW w:w="20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Albany</w:t>
            </w:r>
          </w:p>
        </w:tc>
        <w:tc>
          <w:tcPr>
            <w:tcW w:w="19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Corporate</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940" w:type="dxa"/>
            <w:vAlign w:val="bottom"/>
          </w:tcPr>
          <w:p>
            <w:pPr>
              <w:jc w:val="right"/>
              <w:ind w:right="630"/>
              <w:spacing w:after="0"/>
              <w:rPr>
                <w:sz w:val="20"/>
                <w:szCs w:val="20"/>
                <w:color w:val="auto"/>
              </w:rPr>
            </w:pPr>
            <w:r>
              <w:rPr>
                <w:rFonts w:ascii="Arial" w:cs="Arial" w:eastAsia="Arial" w:hAnsi="Arial"/>
                <w:sz w:val="18"/>
                <w:szCs w:val="18"/>
                <w:b w:val="1"/>
                <w:bCs w:val="1"/>
                <w:color w:val="auto"/>
              </w:rPr>
              <w:t>Machine</w:t>
            </w:r>
          </w:p>
        </w:tc>
        <w:tc>
          <w:tcPr>
            <w:tcW w:w="2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Engineered</w:t>
            </w:r>
          </w:p>
        </w:tc>
        <w:tc>
          <w:tcPr>
            <w:tcW w:w="19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expenses and</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jc w:val="right"/>
              <w:ind w:right="630"/>
              <w:spacing w:after="0"/>
              <w:rPr>
                <w:sz w:val="20"/>
                <w:szCs w:val="20"/>
                <w:color w:val="auto"/>
              </w:rPr>
            </w:pPr>
            <w:r>
              <w:rPr>
                <w:rFonts w:ascii="Arial" w:cs="Arial" w:eastAsia="Arial" w:hAnsi="Arial"/>
                <w:sz w:val="18"/>
                <w:szCs w:val="18"/>
                <w:b w:val="1"/>
                <w:bCs w:val="1"/>
                <w:color w:val="auto"/>
              </w:rPr>
              <w:t>Clothing</w:t>
            </w:r>
          </w:p>
        </w:tc>
        <w:tc>
          <w:tcPr>
            <w:tcW w:w="2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Composites</w:t>
            </w:r>
          </w:p>
        </w:tc>
        <w:tc>
          <w:tcPr>
            <w:tcW w:w="1940" w:type="dxa"/>
            <w:vAlign w:val="bottom"/>
          </w:tcPr>
          <w:p>
            <w:pPr>
              <w:jc w:val="center"/>
              <w:ind w:right="110"/>
              <w:spacing w:after="0"/>
              <w:rPr>
                <w:sz w:val="20"/>
                <w:szCs w:val="20"/>
                <w:color w:val="auto"/>
              </w:rPr>
            </w:pPr>
            <w:r>
              <w:rPr>
                <w:rFonts w:ascii="Arial" w:cs="Arial" w:eastAsia="Arial" w:hAnsi="Arial"/>
                <w:sz w:val="18"/>
                <w:szCs w:val="18"/>
                <w:b w:val="1"/>
                <w:bCs w:val="1"/>
                <w:color w:val="auto"/>
              </w:rPr>
              <w:t>other</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87"/>
        </w:trPr>
        <w:tc>
          <w:tcPr>
            <w:tcW w:w="412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8"/>
                <w:szCs w:val="18"/>
                <w:b w:val="1"/>
                <w:bCs w:val="1"/>
                <w:color w:val="auto"/>
              </w:rPr>
              <w:t>Operating income/(loss) (GAAP)</w:t>
            </w:r>
          </w:p>
        </w:tc>
        <w:tc>
          <w:tcPr>
            <w:tcW w:w="1940" w:type="dxa"/>
            <w:vAlign w:val="bottom"/>
            <w:tcBorders>
              <w:top w:val="single" w:sz="8" w:color="auto"/>
            </w:tcBorders>
          </w:tcPr>
          <w:p>
            <w:pPr>
              <w:jc w:val="right"/>
              <w:ind w:right="50"/>
              <w:spacing w:after="0" w:line="187" w:lineRule="exact"/>
              <w:rPr>
                <w:sz w:val="20"/>
                <w:szCs w:val="20"/>
                <w:color w:val="auto"/>
              </w:rPr>
            </w:pPr>
            <w:r>
              <w:rPr>
                <w:rFonts w:ascii="Arial" w:cs="Arial" w:eastAsia="Arial" w:hAnsi="Arial"/>
                <w:sz w:val="18"/>
                <w:szCs w:val="18"/>
                <w:b w:val="1"/>
                <w:bCs w:val="1"/>
                <w:color w:val="auto"/>
              </w:rPr>
              <w:t>$119,366</w:t>
            </w:r>
          </w:p>
        </w:tc>
        <w:tc>
          <w:tcPr>
            <w:tcW w:w="20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b w:val="1"/>
                <w:bCs w:val="1"/>
                <w:color w:val="auto"/>
              </w:rPr>
              <w:t>($32,242)</w:t>
            </w:r>
          </w:p>
        </w:tc>
        <w:tc>
          <w:tcPr>
            <w:tcW w:w="1940" w:type="dxa"/>
            <w:vAlign w:val="bottom"/>
            <w:tcBorders>
              <w:top w:val="single" w:sz="8" w:color="auto"/>
            </w:tcBorders>
          </w:tcPr>
          <w:p>
            <w:pPr>
              <w:jc w:val="right"/>
              <w:ind w:right="30"/>
              <w:spacing w:after="0" w:line="187" w:lineRule="exact"/>
              <w:rPr>
                <w:sz w:val="20"/>
                <w:szCs w:val="20"/>
                <w:color w:val="auto"/>
              </w:rPr>
            </w:pPr>
            <w:r>
              <w:rPr>
                <w:rFonts w:ascii="Arial" w:cs="Arial" w:eastAsia="Arial" w:hAnsi="Arial"/>
                <w:sz w:val="18"/>
                <w:szCs w:val="18"/>
                <w:b w:val="1"/>
                <w:bCs w:val="1"/>
                <w:color w:val="auto"/>
              </w:rPr>
              <w:t>($31,663)</w:t>
            </w:r>
          </w:p>
        </w:tc>
        <w:tc>
          <w:tcPr>
            <w:tcW w:w="13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b w:val="1"/>
                <w:bCs w:val="1"/>
                <w:color w:val="auto"/>
              </w:rPr>
              <w:t>$55,461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Interest, taxes, other income/(expense)</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(28,034)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income/(loss) (GAAP)</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119,366</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(32,242)</w:t>
            </w: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(59,697)</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27,427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9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13,042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12,138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25,098</w:t>
            </w:r>
          </w:p>
        </w:tc>
        <w:tc>
          <w:tcPr>
            <w:tcW w:w="2080" w:type="dxa"/>
            <w:vAlign w:val="bottom"/>
          </w:tcPr>
          <w:p>
            <w:pPr>
              <w:jc w:val="right"/>
              <w:spacing w:after="0"/>
              <w:rPr>
                <w:sz w:val="20"/>
                <w:szCs w:val="20"/>
                <w:color w:val="auto"/>
              </w:rPr>
            </w:pPr>
            <w:r>
              <w:rPr>
                <w:rFonts w:ascii="Arial" w:cs="Arial" w:eastAsia="Arial" w:hAnsi="Arial"/>
                <w:sz w:val="18"/>
                <w:szCs w:val="18"/>
                <w:color w:val="auto"/>
              </w:rPr>
              <w:t>24,613</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3,545</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53,256</w:t>
            </w: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EBITDA (non-GAAP)</w:t>
            </w:r>
          </w:p>
        </w:tc>
        <w:tc>
          <w:tcPr>
            <w:tcW w:w="1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144,464</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(7,629)</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(30,972)</w:t>
            </w: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105,863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Restructuring expenses, net</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1,012</w:t>
            </w:r>
          </w:p>
        </w:tc>
        <w:tc>
          <w:tcPr>
            <w:tcW w:w="2080" w:type="dxa"/>
            <w:vAlign w:val="bottom"/>
          </w:tcPr>
          <w:p>
            <w:pPr>
              <w:jc w:val="right"/>
              <w:spacing w:after="0"/>
              <w:rPr>
                <w:sz w:val="20"/>
                <w:szCs w:val="20"/>
                <w:color w:val="auto"/>
              </w:rPr>
            </w:pPr>
            <w:r>
              <w:rPr>
                <w:rFonts w:ascii="Arial" w:cs="Arial" w:eastAsia="Arial" w:hAnsi="Arial"/>
                <w:sz w:val="18"/>
                <w:szCs w:val="18"/>
                <w:color w:val="auto"/>
              </w:rPr>
              <w:t>9,208</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Foreign currency revaluation (gains)/losses</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4,427</w:t>
            </w:r>
          </w:p>
        </w:tc>
        <w:tc>
          <w:tcPr>
            <w:tcW w:w="2080" w:type="dxa"/>
            <w:vAlign w:val="bottom"/>
          </w:tcPr>
          <w:p>
            <w:pPr>
              <w:jc w:val="right"/>
              <w:spacing w:after="0"/>
              <w:rPr>
                <w:sz w:val="20"/>
                <w:szCs w:val="20"/>
                <w:color w:val="auto"/>
              </w:rPr>
            </w:pPr>
            <w:r>
              <w:rPr>
                <w:rFonts w:ascii="Arial" w:cs="Arial" w:eastAsia="Arial" w:hAnsi="Arial"/>
                <w:sz w:val="18"/>
                <w:szCs w:val="18"/>
                <w:color w:val="auto"/>
              </w:rPr>
              <w:t>171</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2,318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Write-off of inventory in a discontinued product line</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3,155</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Pretax income attributable to the noncontrolling</w:t>
            </w:r>
          </w:p>
        </w:tc>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in ASC</w:t>
            </w: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$149,903</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$4,727</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($28,654)</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$125,976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September 30, 2018</w:t>
            </w:r>
          </w:p>
        </w:tc>
        <w:tc>
          <w:tcPr>
            <w:tcW w:w="26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Pre tax</w:t>
            </w: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Tax</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After tax</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7"/>
                <w:szCs w:val="17"/>
                <w:color w:val="auto"/>
              </w:rPr>
            </w:pPr>
          </w:p>
        </w:tc>
      </w:tr>
      <w:tr>
        <w:trPr>
          <w:trHeight w:val="239"/>
        </w:trPr>
        <w:tc>
          <w:tcPr>
            <w:tcW w:w="538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6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Amounts</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Effect</w:t>
            </w:r>
          </w:p>
        </w:tc>
        <w:tc>
          <w:tcPr>
            <w:tcW w:w="20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Effect</w:t>
            </w:r>
          </w:p>
        </w:tc>
      </w:tr>
      <w:tr>
        <w:trPr>
          <w:trHeight w:val="209"/>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expenses, net</w:t>
            </w:r>
          </w:p>
        </w:tc>
        <w:tc>
          <w:tcPr>
            <w:tcW w:w="2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$2,552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Foreign currency revaluation gains</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3,235</w:t>
            </w:r>
          </w:p>
        </w:tc>
        <w:tc>
          <w:tcPr>
            <w:tcW w:w="100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Favorable effect of change in income tax rate</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discrete income tax benefit</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Favorable effect of applying ASC 606</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1,198</w:t>
            </w: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0"/>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includes tax and noncontrolling interest effects</w:t>
            </w:r>
          </w:p>
        </w:tc>
        <w:tc>
          <w:tcPr>
            <w:tcW w:w="26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September 30, 2017</w:t>
            </w:r>
          </w:p>
        </w:tc>
        <w:tc>
          <w:tcPr>
            <w:tcW w:w="26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Pre tax</w:t>
            </w: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Tax</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After tax</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7"/>
                <w:szCs w:val="17"/>
                <w:color w:val="auto"/>
              </w:rPr>
            </w:pPr>
          </w:p>
        </w:tc>
      </w:tr>
      <w:tr>
        <w:trPr>
          <w:trHeight w:val="239"/>
        </w:trPr>
        <w:tc>
          <w:tcPr>
            <w:tcW w:w="554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64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Amounts</w:t>
            </w: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Effect</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Effect</w:t>
            </w:r>
          </w:p>
        </w:tc>
      </w:tr>
      <w:tr>
        <w:trPr>
          <w:trHeight w:val="209"/>
        </w:trPr>
        <w:tc>
          <w:tcPr>
            <w:tcW w:w="5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expenses, net</w:t>
            </w:r>
          </w:p>
        </w:tc>
        <w:tc>
          <w:tcPr>
            <w:tcW w:w="2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$5,503</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$2,003</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Foreign currency revaluation losses</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1,517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100" w:type="dxa"/>
            <w:vAlign w:val="bottom"/>
          </w:tcPr>
          <w:p>
            <w:pPr>
              <w:jc w:val="right"/>
              <w:spacing w:after="0"/>
              <w:rPr>
                <w:sz w:val="20"/>
                <w:szCs w:val="20"/>
                <w:color w:val="auto"/>
              </w:rPr>
            </w:pPr>
            <w:r>
              <w:rPr>
                <w:rFonts w:ascii="Arial" w:cs="Arial" w:eastAsia="Arial" w:hAnsi="Arial"/>
                <w:sz w:val="18"/>
                <w:szCs w:val="18"/>
                <w:color w:val="auto"/>
              </w:rPr>
              <w:t>965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Write-off of inventory in a discontinued product line</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3,155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100" w:type="dxa"/>
            <w:vAlign w:val="bottom"/>
          </w:tcPr>
          <w:p>
            <w:pPr>
              <w:jc w:val="right"/>
              <w:spacing w:after="0"/>
              <w:rPr>
                <w:sz w:val="20"/>
                <w:szCs w:val="20"/>
                <w:color w:val="auto"/>
              </w:rPr>
            </w:pPr>
            <w:r>
              <w:rPr>
                <w:rFonts w:ascii="Arial" w:cs="Arial" w:eastAsia="Arial" w:hAnsi="Arial"/>
                <w:sz w:val="18"/>
                <w:szCs w:val="18"/>
                <w:color w:val="auto"/>
              </w:rPr>
              <w:t>1,988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Unfavorable effect of change in income tax rate</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discrete income tax benefit</w:t>
            </w:r>
          </w:p>
        </w:tc>
        <w:tc>
          <w:tcPr>
            <w:tcW w:w="2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0.12</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2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Pre tax</w:t>
            </w:r>
          </w:p>
        </w:tc>
        <w:tc>
          <w:tcPr>
            <w:tcW w:w="10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Tax</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After tax</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Per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3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Effect</w:t>
            </w:r>
          </w:p>
        </w:tc>
        <w:tc>
          <w:tcPr>
            <w:tcW w:w="100" w:type="dxa"/>
            <w:vAlign w:val="bottom"/>
          </w:tcPr>
          <w:p>
            <w:pPr>
              <w:spacing w:after="0"/>
              <w:rPr>
                <w:sz w:val="20"/>
                <w:szCs w:val="20"/>
                <w:color w:val="auto"/>
              </w:rPr>
            </w:pPr>
          </w:p>
        </w:tc>
        <w:tc>
          <w:tcPr>
            <w:tcW w:w="960" w:type="dxa"/>
            <w:vAlign w:val="bottom"/>
          </w:tcPr>
          <w:p>
            <w:pPr>
              <w:jc w:val="right"/>
              <w:ind w:right="49"/>
              <w:spacing w:after="0"/>
              <w:rPr>
                <w:sz w:val="20"/>
                <w:szCs w:val="20"/>
                <w:color w:val="auto"/>
              </w:rPr>
            </w:pPr>
            <w:r>
              <w:rPr>
                <w:rFonts w:ascii="Arial" w:cs="Arial" w:eastAsia="Arial" w:hAnsi="Arial"/>
                <w:sz w:val="18"/>
                <w:szCs w:val="18"/>
                <w:b w:val="1"/>
                <w:bCs w:val="1"/>
                <w:color w:val="auto"/>
              </w:rPr>
              <w:t>Effect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Effect</w:t>
            </w:r>
          </w:p>
        </w:tc>
        <w:tc>
          <w:tcPr>
            <w:tcW w:w="0" w:type="dxa"/>
            <w:vAlign w:val="bottom"/>
          </w:tcPr>
          <w:p>
            <w:pPr>
              <w:spacing w:after="0"/>
              <w:rPr>
                <w:sz w:val="1"/>
                <w:szCs w:val="1"/>
                <w:color w:val="auto"/>
              </w:rPr>
            </w:pPr>
          </w:p>
        </w:tc>
      </w:tr>
      <w:tr>
        <w:trPr>
          <w:trHeight w:val="209"/>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expenses, net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$9,391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Foreign currency revaluation gains</w:t>
            </w:r>
          </w:p>
        </w:tc>
        <w:tc>
          <w:tcPr>
            <w:tcW w:w="2300" w:type="dxa"/>
            <w:vAlign w:val="bottom"/>
          </w:tcPr>
          <w:p>
            <w:pPr>
              <w:jc w:val="right"/>
              <w:spacing w:after="0"/>
              <w:rPr>
                <w:sz w:val="20"/>
                <w:szCs w:val="20"/>
                <w:color w:val="auto"/>
              </w:rPr>
            </w:pPr>
            <w:r>
              <w:rPr>
                <w:rFonts w:ascii="Arial" w:cs="Arial" w:eastAsia="Arial" w:hAnsi="Arial"/>
                <w:sz w:val="18"/>
                <w:szCs w:val="18"/>
                <w:color w:val="auto"/>
              </w:rPr>
              <w:t>3,248</w:t>
            </w: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8"/>
                <w:szCs w:val="18"/>
                <w:color w:val="auto"/>
              </w:rPr>
              <w:t>Net discrete income tax benefit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4,278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Favorable effect of applying ASC 606</w:t>
            </w:r>
          </w:p>
        </w:tc>
        <w:tc>
          <w:tcPr>
            <w:tcW w:w="2300" w:type="dxa"/>
            <w:vAlign w:val="bottom"/>
          </w:tcPr>
          <w:p>
            <w:pPr>
              <w:jc w:val="right"/>
              <w:spacing w:after="0"/>
              <w:rPr>
                <w:sz w:val="20"/>
                <w:szCs w:val="20"/>
                <w:color w:val="auto"/>
              </w:rPr>
            </w:pPr>
            <w:r>
              <w:rPr>
                <w:rFonts w:ascii="Arial" w:cs="Arial" w:eastAsia="Arial" w:hAnsi="Arial"/>
                <w:sz w:val="18"/>
                <w:szCs w:val="18"/>
                <w:color w:val="auto"/>
              </w:rPr>
              <w:t>4,955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14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3,305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7"/>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includes tax and noncontrolling interest effects</w:t>
            </w:r>
          </w:p>
        </w:tc>
        <w:tc>
          <w:tcPr>
            <w:tcW w:w="2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60" w:type="dxa"/>
            <w:vAlign w:val="bottom"/>
          </w:tcPr>
          <w:p>
            <w:pPr>
              <w:spacing w:after="0" w:line="187" w:lineRule="exact"/>
              <w:rPr>
                <w:sz w:val="20"/>
                <w:szCs w:val="20"/>
                <w:color w:val="auto"/>
              </w:rPr>
            </w:pPr>
            <w:r>
              <w:rPr>
                <w:rFonts w:ascii="Arial" w:cs="Arial" w:eastAsia="Arial" w:hAnsi="Arial"/>
                <w:sz w:val="18"/>
                <w:szCs w:val="18"/>
                <w:b w:val="1"/>
                <w:bCs w:val="1"/>
                <w:color w:val="auto"/>
              </w:rPr>
              <w:t>Nine months ended September 30, 2017</w:t>
            </w:r>
          </w:p>
        </w:tc>
        <w:tc>
          <w:tcPr>
            <w:tcW w:w="2300" w:type="dxa"/>
            <w:vAlign w:val="bottom"/>
          </w:tcPr>
          <w:p>
            <w:pPr>
              <w:jc w:val="right"/>
              <w:ind w:right="430"/>
              <w:spacing w:after="0" w:line="187" w:lineRule="exact"/>
              <w:rPr>
                <w:sz w:val="20"/>
                <w:szCs w:val="20"/>
                <w:color w:val="auto"/>
              </w:rPr>
            </w:pPr>
            <w:r>
              <w:rPr>
                <w:rFonts w:ascii="Arial" w:cs="Arial" w:eastAsia="Arial" w:hAnsi="Arial"/>
                <w:sz w:val="18"/>
                <w:szCs w:val="18"/>
                <w:b w:val="1"/>
                <w:bCs w:val="1"/>
                <w:color w:val="auto"/>
              </w:rPr>
              <w:t>Pre tax</w:t>
            </w:r>
          </w:p>
        </w:tc>
        <w:tc>
          <w:tcPr>
            <w:tcW w:w="1080" w:type="dxa"/>
            <w:vAlign w:val="bottom"/>
          </w:tcPr>
          <w:p>
            <w:pPr>
              <w:jc w:val="right"/>
              <w:ind w:right="510"/>
              <w:spacing w:after="0" w:line="187" w:lineRule="exact"/>
              <w:rPr>
                <w:sz w:val="20"/>
                <w:szCs w:val="20"/>
                <w:color w:val="auto"/>
              </w:rPr>
            </w:pPr>
            <w:r>
              <w:rPr>
                <w:rFonts w:ascii="Arial" w:cs="Arial" w:eastAsia="Arial" w:hAnsi="Arial"/>
                <w:sz w:val="18"/>
                <w:szCs w:val="18"/>
                <w:b w:val="1"/>
                <w:bCs w:val="1"/>
                <w:color w:val="auto"/>
              </w:rPr>
              <w:t>Tax</w:t>
            </w:r>
          </w:p>
        </w:tc>
        <w:tc>
          <w:tcPr>
            <w:tcW w:w="1060" w:type="dxa"/>
            <w:vAlign w:val="bottom"/>
            <w:gridSpan w:val="2"/>
          </w:tcPr>
          <w:p>
            <w:pPr>
              <w:jc w:val="right"/>
              <w:ind w:right="229"/>
              <w:spacing w:after="0" w:line="187" w:lineRule="exact"/>
              <w:rPr>
                <w:sz w:val="20"/>
                <w:szCs w:val="20"/>
                <w:color w:val="auto"/>
              </w:rPr>
            </w:pPr>
            <w:r>
              <w:rPr>
                <w:rFonts w:ascii="Arial" w:cs="Arial" w:eastAsia="Arial" w:hAnsi="Arial"/>
                <w:sz w:val="18"/>
                <w:szCs w:val="18"/>
                <w:b w:val="1"/>
                <w:bCs w:val="1"/>
                <w:color w:val="auto"/>
                <w:w w:val="98"/>
              </w:rPr>
              <w:t>After tax</w:t>
            </w:r>
          </w:p>
        </w:tc>
        <w:tc>
          <w:tcPr>
            <w:tcW w:w="1020" w:type="dxa"/>
            <w:vAlign w:val="bottom"/>
            <w:gridSpan w:val="2"/>
          </w:tcPr>
          <w:p>
            <w:pPr>
              <w:jc w:val="right"/>
              <w:ind w:right="50"/>
              <w:spacing w:after="0" w:line="187" w:lineRule="exact"/>
              <w:rPr>
                <w:sz w:val="20"/>
                <w:szCs w:val="20"/>
                <w:color w:val="auto"/>
              </w:rPr>
            </w:pPr>
            <w:r>
              <w:rPr>
                <w:rFonts w:ascii="Arial" w:cs="Arial" w:eastAsia="Arial" w:hAnsi="Arial"/>
                <w:sz w:val="18"/>
                <w:szCs w:val="18"/>
                <w:b w:val="1"/>
                <w:bCs w:val="1"/>
                <w:color w:val="auto"/>
              </w:rPr>
              <w:t>Per Share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Amounts</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Effect</w:t>
            </w:r>
          </w:p>
        </w:tc>
        <w:tc>
          <w:tcPr>
            <w:tcW w:w="100" w:type="dxa"/>
            <w:vAlign w:val="bottom"/>
          </w:tcPr>
          <w:p>
            <w:pPr>
              <w:spacing w:after="0"/>
              <w:rPr>
                <w:sz w:val="20"/>
                <w:szCs w:val="20"/>
                <w:color w:val="auto"/>
              </w:rPr>
            </w:pPr>
          </w:p>
        </w:tc>
        <w:tc>
          <w:tcPr>
            <w:tcW w:w="960" w:type="dxa"/>
            <w:vAlign w:val="bottom"/>
          </w:tcPr>
          <w:p>
            <w:pPr>
              <w:jc w:val="right"/>
              <w:ind w:right="349"/>
              <w:spacing w:after="0"/>
              <w:rPr>
                <w:sz w:val="20"/>
                <w:szCs w:val="20"/>
                <w:color w:val="auto"/>
              </w:rPr>
            </w:pPr>
            <w:r>
              <w:rPr>
                <w:rFonts w:ascii="Arial" w:cs="Arial" w:eastAsia="Arial" w:hAnsi="Arial"/>
                <w:sz w:val="18"/>
                <w:szCs w:val="18"/>
                <w:b w:val="1"/>
                <w:bCs w:val="1"/>
                <w:color w:val="auto"/>
                <w:w w:val="99"/>
              </w:rPr>
              <w:t>Effect</w:t>
            </w:r>
          </w:p>
        </w:tc>
        <w:tc>
          <w:tcPr>
            <w:tcW w:w="1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Effect</w:t>
            </w:r>
          </w:p>
        </w:tc>
        <w:tc>
          <w:tcPr>
            <w:tcW w:w="0" w:type="dxa"/>
            <w:vAlign w:val="bottom"/>
          </w:tcPr>
          <w:p>
            <w:pPr>
              <w:spacing w:after="0"/>
              <w:rPr>
                <w:sz w:val="1"/>
                <w:szCs w:val="1"/>
                <w:color w:val="auto"/>
              </w:rPr>
            </w:pPr>
          </w:p>
        </w:tc>
      </w:tr>
      <w:tr>
        <w:trPr>
          <w:trHeight w:val="209"/>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expenses, net</w:t>
            </w:r>
          </w:p>
        </w:tc>
        <w:tc>
          <w:tcPr>
            <w:tcW w:w="2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$10,220</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$3,721</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8"/>
                <w:szCs w:val="18"/>
                <w:color w:val="auto"/>
              </w:rPr>
              <w:t>$6,499</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Foreign currency revaluation losses</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6,916</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8"/>
                <w:szCs w:val="18"/>
                <w:color w:val="auto"/>
              </w:rPr>
              <w:t>4,400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Write-off of inventory in a discontinued product line</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3,155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8"/>
                <w:szCs w:val="18"/>
                <w:color w:val="auto"/>
              </w:rPr>
              <w:t>1,988</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discrete income tax benefit</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8"/>
                <w:szCs w:val="18"/>
                <w:color w:val="auto"/>
              </w:rPr>
              <w:t>2,281</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for revision to estimated profitability of AEC contracts</w:t>
            </w:r>
          </w:p>
        </w:tc>
        <w:tc>
          <w:tcPr>
            <w:tcW w:w="2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15,821</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9,967</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tbl>
      <w:tblPr>
        <w:tblLayout w:type="fixed"/>
        <w:tblInd w:w="0" w:type="dxa"/>
        <w:tblCellMar>
          <w:top w:w="0" w:type="dxa"/>
          <w:left w:w="0" w:type="dxa"/>
          <w:bottom w:w="0" w:type="dxa"/>
          <w:right w:w="0" w:type="dxa"/>
        </w:tblCellMar>
      </w:tblPr>
      <w:tr>
        <w:trPr>
          <w:trHeight w:val="173"/>
        </w:trPr>
        <w:tc>
          <w:tcPr>
            <w:tcW w:w="680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gridSpan w:val="2"/>
          </w:tcPr>
          <w:p>
            <w:pPr>
              <w:jc w:val="right"/>
              <w:ind w:right="130"/>
              <w:spacing w:after="0" w:line="173" w:lineRule="exact"/>
              <w:rPr>
                <w:sz w:val="20"/>
                <w:szCs w:val="20"/>
                <w:color w:val="auto"/>
              </w:rPr>
            </w:pPr>
            <w:r>
              <w:rPr>
                <w:rFonts w:ascii="Arial" w:cs="Arial" w:eastAsia="Arial" w:hAnsi="Arial"/>
                <w:sz w:val="18"/>
                <w:szCs w:val="18"/>
                <w:b w:val="1"/>
                <w:bCs w:val="1"/>
                <w:color w:val="auto"/>
              </w:rPr>
              <w:t>Three months ended</w:t>
            </w:r>
          </w:p>
        </w:tc>
        <w:tc>
          <w:tcPr>
            <w:tcW w:w="1900" w:type="dxa"/>
            <w:vAlign w:val="bottom"/>
            <w:tcBorders>
              <w:top w:val="single" w:sz="8" w:color="auto"/>
            </w:tcBorders>
            <w:gridSpan w:val="2"/>
          </w:tcPr>
          <w:p>
            <w:pPr>
              <w:jc w:val="right"/>
              <w:ind w:right="30"/>
              <w:spacing w:after="0" w:line="173"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17"/>
                <w:szCs w:val="17"/>
                <w:color w:val="auto"/>
              </w:rPr>
            </w:pPr>
          </w:p>
        </w:tc>
        <w:tc>
          <w:tcPr>
            <w:tcW w:w="2720" w:type="dxa"/>
            <w:vAlign w:val="bottom"/>
            <w:gridSpan w:val="2"/>
          </w:tcPr>
          <w:p>
            <w:pPr>
              <w:jc w:val="right"/>
              <w:ind w:right="390"/>
              <w:spacing w:after="0" w:line="202" w:lineRule="exact"/>
              <w:rPr>
                <w:sz w:val="20"/>
                <w:szCs w:val="20"/>
                <w:color w:val="auto"/>
              </w:rPr>
            </w:pPr>
            <w:r>
              <w:rPr>
                <w:rFonts w:ascii="Arial" w:cs="Arial" w:eastAsia="Arial" w:hAnsi="Arial"/>
                <w:sz w:val="18"/>
                <w:szCs w:val="18"/>
                <w:b w:val="1"/>
                <w:bCs w:val="1"/>
                <w:color w:val="auto"/>
              </w:rPr>
              <w:t>September 30,</w:t>
            </w:r>
          </w:p>
        </w:tc>
        <w:tc>
          <w:tcPr>
            <w:tcW w:w="192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1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rPr>
              <w:t>Net income attributable to the Company (GAAP)</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$0.87</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$2.13</w:t>
            </w:r>
          </w:p>
        </w:tc>
        <w:tc>
          <w:tcPr>
            <w:tcW w:w="860" w:type="dxa"/>
            <w:vAlign w:val="bottom"/>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0.06</w:t>
            </w:r>
          </w:p>
        </w:tc>
        <w:tc>
          <w:tcPr>
            <w:tcW w:w="980" w:type="dxa"/>
            <w:vAlign w:val="bottom"/>
          </w:tcPr>
          <w:p>
            <w:pPr>
              <w:spacing w:after="0"/>
              <w:rPr>
                <w:sz w:val="17"/>
                <w:szCs w:val="17"/>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0.30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0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1740" w:type="dxa"/>
            <w:vAlign w:val="bottom"/>
            <w:vMerge w:val="continue"/>
          </w:tcPr>
          <w:p>
            <w:pPr>
              <w:spacing w:after="0"/>
              <w:rPr>
                <w:sz w:val="15"/>
                <w:szCs w:val="15"/>
                <w:color w:val="auto"/>
              </w:rPr>
            </w:pPr>
          </w:p>
        </w:tc>
        <w:tc>
          <w:tcPr>
            <w:tcW w:w="9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0.11</w:t>
            </w:r>
          </w:p>
        </w:tc>
        <w:tc>
          <w:tcPr>
            <w:tcW w:w="1040" w:type="dxa"/>
            <w:vAlign w:val="bottom"/>
            <w:vMerge w:val="continue"/>
          </w:tcPr>
          <w:p>
            <w:pPr>
              <w:spacing w:after="0"/>
              <w:rPr>
                <w:sz w:val="15"/>
                <w:szCs w:val="15"/>
                <w:color w:val="auto"/>
              </w:rPr>
            </w:pP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Discrete tax adjustments and effect of change in income tax rate</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(0.01)</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(0.10)</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(0.13)</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(0.07)</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0.03</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(0.07)</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5"/>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Write-off of inventory in a discontinued product line</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0.06</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Net income attributable to the Company, excluding adjustments (non-GAAP)</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$0.85</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$2.23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Includes charge of $0.31 per share for revisions in estimated profitability of two AEC contracts.</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AEC Adjusted EBITDA as a percentage of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three month periods ended: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gridSpan w:val="2"/>
          </w:tcPr>
          <w:p>
            <w:pPr>
              <w:ind w:left="40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69"/>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AEC Adjusted EBITDA (non-GAAP)</w:t>
            </w:r>
          </w:p>
        </w:tc>
        <w:tc>
          <w:tcPr>
            <w:tcW w:w="2500" w:type="dxa"/>
            <w:vAlign w:val="bottom"/>
          </w:tcPr>
          <w:p>
            <w:pPr>
              <w:spacing w:after="0"/>
              <w:rPr>
                <w:sz w:val="17"/>
                <w:szCs w:val="17"/>
                <w:color w:val="auto"/>
              </w:rPr>
            </w:pPr>
          </w:p>
        </w:tc>
        <w:tc>
          <w:tcPr>
            <w:tcW w:w="1800" w:type="dxa"/>
            <w:vAlign w:val="bottom"/>
            <w:gridSpan w:val="2"/>
          </w:tcPr>
          <w:p>
            <w:pPr>
              <w:jc w:val="right"/>
              <w:ind w:right="20"/>
              <w:spacing w:after="0" w:line="201" w:lineRule="exact"/>
              <w:rPr>
                <w:sz w:val="20"/>
                <w:szCs w:val="20"/>
                <w:color w:val="auto"/>
              </w:rPr>
            </w:pPr>
            <w:r>
              <w:rPr>
                <w:rFonts w:ascii="Arial" w:cs="Arial" w:eastAsia="Arial" w:hAnsi="Arial"/>
                <w:sz w:val="18"/>
                <w:szCs w:val="18"/>
                <w:b w:val="1"/>
                <w:bCs w:val="1"/>
                <w:color w:val="auto"/>
              </w:rPr>
              <w:t>$16,540</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$8,125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20" w:type="dxa"/>
            <w:vAlign w:val="bottom"/>
            <w:gridSpan w:val="2"/>
          </w:tcPr>
          <w:p>
            <w:pPr>
              <w:spacing w:after="0"/>
              <w:rPr>
                <w:sz w:val="20"/>
                <w:szCs w:val="20"/>
                <w:color w:val="auto"/>
              </w:rPr>
            </w:pPr>
            <w:r>
              <w:rPr>
                <w:rFonts w:ascii="Arial" w:cs="Arial" w:eastAsia="Arial" w:hAnsi="Arial"/>
                <w:sz w:val="18"/>
                <w:szCs w:val="18"/>
                <w:color w:val="auto"/>
              </w:rPr>
              <w:t>AEC Net sales (GAAP)</w:t>
            </w:r>
          </w:p>
        </w:tc>
        <w:tc>
          <w:tcPr>
            <w:tcW w:w="250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94,282</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71,447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AEC Adjusted EBITDA as a percentage of sales (non-GAAP)</w:t>
            </w:r>
          </w:p>
        </w:tc>
        <w:tc>
          <w:tcPr>
            <w:tcW w:w="25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20" w:type="dxa"/>
            <w:vAlign w:val="bottom"/>
          </w:tcPr>
          <w:p>
            <w:pPr>
              <w:spacing w:after="0"/>
              <w:rPr>
                <w:sz w:val="19"/>
                <w:szCs w:val="19"/>
                <w:color w:val="auto"/>
              </w:rPr>
            </w:pPr>
          </w:p>
        </w:tc>
        <w:tc>
          <w:tcPr>
            <w:tcW w:w="1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56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The following table contains the calculation of net debt:</w:t>
            </w:r>
          </w:p>
        </w:tc>
        <w:tc>
          <w:tcPr>
            <w:tcW w:w="25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00" w:type="dxa"/>
            <w:vAlign w:val="bottom"/>
            <w:tcBorders>
              <w:bottom w:val="single" w:sz="8" w:color="auto"/>
            </w:tcBorders>
          </w:tcPr>
          <w:p>
            <w:pPr>
              <w:jc w:val="right"/>
              <w:ind w:right="149"/>
              <w:spacing w:after="0"/>
              <w:rPr>
                <w:sz w:val="20"/>
                <w:szCs w:val="20"/>
                <w:color w:val="auto"/>
              </w:rPr>
            </w:pPr>
            <w:r>
              <w:rPr>
                <w:rFonts w:ascii="Arial" w:cs="Arial" w:eastAsia="Arial" w:hAnsi="Arial"/>
                <w:sz w:val="18"/>
                <w:szCs w:val="18"/>
                <w:b w:val="1"/>
                <w:bCs w:val="1"/>
                <w:color w:val="auto"/>
              </w:rPr>
              <w:t>September 30, 2018</w:t>
            </w:r>
          </w:p>
        </w:tc>
        <w:tc>
          <w:tcPr>
            <w:tcW w:w="3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2018   December 31, 2017</w:t>
            </w:r>
          </w:p>
        </w:tc>
        <w:tc>
          <w:tcPr>
            <w:tcW w:w="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Notes and loans payable</w:t>
            </w:r>
          </w:p>
        </w:tc>
        <w:tc>
          <w:tcPr>
            <w:tcW w:w="2500" w:type="dxa"/>
            <w:vAlign w:val="bottom"/>
          </w:tcPr>
          <w:p>
            <w:pPr>
              <w:jc w:val="right"/>
              <w:ind w:right="129"/>
              <w:spacing w:after="0"/>
              <w:rPr>
                <w:sz w:val="20"/>
                <w:szCs w:val="20"/>
                <w:color w:val="auto"/>
              </w:rPr>
            </w:pPr>
            <w:r>
              <w:rPr>
                <w:rFonts w:ascii="Arial" w:cs="Arial" w:eastAsia="Arial" w:hAnsi="Arial"/>
                <w:sz w:val="18"/>
                <w:szCs w:val="18"/>
                <w:color w:val="auto"/>
              </w:rPr>
              <w:t>$ -</w:t>
            </w:r>
          </w:p>
        </w:tc>
        <w:tc>
          <w:tcPr>
            <w:tcW w:w="1780" w:type="dxa"/>
            <w:vAlign w:val="bottom"/>
          </w:tcPr>
          <w:p>
            <w:pPr>
              <w:jc w:val="right"/>
              <w:ind w:right="89"/>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2500" w:type="dxa"/>
            <w:vAlign w:val="bottom"/>
          </w:tcPr>
          <w:p>
            <w:pPr>
              <w:jc w:val="right"/>
              <w:ind w:right="129"/>
              <w:spacing w:after="0"/>
              <w:rPr>
                <w:sz w:val="20"/>
                <w:szCs w:val="20"/>
                <w:color w:val="auto"/>
              </w:rPr>
            </w:pPr>
            <w:r>
              <w:rPr>
                <w:rFonts w:ascii="Arial" w:cs="Arial" w:eastAsia="Arial" w:hAnsi="Arial"/>
                <w:sz w:val="18"/>
                <w:szCs w:val="18"/>
                <w:color w:val="auto"/>
              </w:rPr>
              <w:t>1,231</w:t>
            </w:r>
          </w:p>
        </w:tc>
        <w:tc>
          <w:tcPr>
            <w:tcW w:w="1780" w:type="dxa"/>
            <w:vAlign w:val="bottom"/>
          </w:tcPr>
          <w:p>
            <w:pPr>
              <w:jc w:val="right"/>
              <w:ind w:right="89"/>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Long-term debt</w:t>
            </w:r>
          </w:p>
        </w:tc>
        <w:tc>
          <w:tcPr>
            <w:tcW w:w="2500" w:type="dxa"/>
            <w:vAlign w:val="bottom"/>
            <w:tcBorders>
              <w:bottom w:val="single" w:sz="8" w:color="auto"/>
            </w:tcBorders>
          </w:tcPr>
          <w:p>
            <w:pPr>
              <w:jc w:val="right"/>
              <w:ind w:right="129"/>
              <w:spacing w:after="0"/>
              <w:rPr>
                <w:sz w:val="20"/>
                <w:szCs w:val="20"/>
                <w:color w:val="auto"/>
              </w:rPr>
            </w:pPr>
            <w:r>
              <w:rPr>
                <w:rFonts w:ascii="Arial" w:cs="Arial" w:eastAsia="Arial" w:hAnsi="Arial"/>
                <w:sz w:val="18"/>
                <w:szCs w:val="18"/>
                <w:color w:val="auto"/>
              </w:rPr>
              <w:t>529,003</w:t>
            </w:r>
          </w:p>
        </w:tc>
        <w:tc>
          <w:tcPr>
            <w:tcW w:w="178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rPr>
              <w:t>523,186</w:t>
            </w: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514,120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debt</w:t>
            </w:r>
          </w:p>
        </w:tc>
        <w:tc>
          <w:tcPr>
            <w:tcW w:w="250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b w:val="1"/>
                <w:bCs w:val="1"/>
                <w:color w:val="auto"/>
              </w:rPr>
              <w:t>530,234*</w:t>
            </w:r>
          </w:p>
        </w:tc>
        <w:tc>
          <w:tcPr>
            <w:tcW w:w="178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b w:val="1"/>
                <w:bCs w:val="1"/>
                <w:color w:val="auto"/>
              </w:rPr>
              <w:t>525,056</w:t>
            </w: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516,181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tcBorders>
              <w:bottom w:val="single" w:sz="8" w:color="auto"/>
            </w:tcBorders>
          </w:tcPr>
          <w:p>
            <w:pPr>
              <w:jc w:val="right"/>
              <w:ind w:right="129"/>
              <w:spacing w:after="0"/>
              <w:rPr>
                <w:sz w:val="20"/>
                <w:szCs w:val="20"/>
                <w:color w:val="auto"/>
              </w:rPr>
            </w:pPr>
            <w:r>
              <w:rPr>
                <w:rFonts w:ascii="Arial" w:cs="Arial" w:eastAsia="Arial" w:hAnsi="Arial"/>
                <w:sz w:val="18"/>
                <w:szCs w:val="18"/>
                <w:color w:val="auto"/>
              </w:rPr>
              <w:t>160,593</w:t>
            </w:r>
          </w:p>
        </w:tc>
        <w:tc>
          <w:tcPr>
            <w:tcW w:w="178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rPr>
              <w:t>154,744</w:t>
            </w: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debt</w:t>
            </w:r>
          </w:p>
        </w:tc>
        <w:tc>
          <w:tcPr>
            <w:tcW w:w="2500" w:type="dxa"/>
            <w:vAlign w:val="bottom"/>
          </w:tcPr>
          <w:p>
            <w:pPr>
              <w:jc w:val="right"/>
              <w:ind w:right="129"/>
              <w:spacing w:after="0" w:line="222" w:lineRule="exact"/>
              <w:rPr>
                <w:sz w:val="20"/>
                <w:szCs w:val="20"/>
                <w:color w:val="auto"/>
              </w:rPr>
            </w:pPr>
            <w:r>
              <w:rPr>
                <w:rFonts w:ascii="Arial" w:cs="Arial" w:eastAsia="Arial" w:hAnsi="Arial"/>
                <w:sz w:val="20"/>
                <w:szCs w:val="20"/>
                <w:b w:val="1"/>
                <w:bCs w:val="1"/>
                <w:color w:val="auto"/>
              </w:rPr>
              <w:t>$369,641</w:t>
            </w:r>
          </w:p>
        </w:tc>
        <w:tc>
          <w:tcPr>
            <w:tcW w:w="1780" w:type="dxa"/>
            <w:vAlign w:val="bottom"/>
          </w:tcPr>
          <w:p>
            <w:pPr>
              <w:jc w:val="right"/>
              <w:ind w:right="89"/>
              <w:spacing w:after="0" w:line="222" w:lineRule="exact"/>
              <w:rPr>
                <w:sz w:val="20"/>
                <w:szCs w:val="20"/>
                <w:color w:val="auto"/>
              </w:rPr>
            </w:pPr>
            <w:r>
              <w:rPr>
                <w:rFonts w:ascii="Arial" w:cs="Arial" w:eastAsia="Arial" w:hAnsi="Arial"/>
                <w:sz w:val="20"/>
                <w:szCs w:val="20"/>
                <w:b w:val="1"/>
                <w:bCs w:val="1"/>
                <w:color w:val="auto"/>
              </w:rPr>
              <w:t>$370,312</w:t>
            </w:r>
          </w:p>
        </w:tc>
        <w:tc>
          <w:tcPr>
            <w:tcW w:w="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$332,454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includes a non-cash increase of $12.7 million related to the modification of a facility lease.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reconciliation of MC 2018 projected Adjusted EBITDA to MC 2018 projected net income: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Machine Clothing Q4 Projected range of Adjusted EBITDA</w:t>
            </w:r>
          </w:p>
        </w:tc>
        <w:tc>
          <w:tcPr>
            <w:tcW w:w="30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Q4 Results to meet low</w:t>
            </w:r>
          </w:p>
        </w:tc>
        <w:tc>
          <w:tcPr>
            <w:tcW w:w="26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Q4 Results to meet high</w:t>
            </w:r>
          </w:p>
        </w:tc>
        <w:tc>
          <w:tcPr>
            <w:tcW w:w="20" w:type="dxa"/>
            <w:vAlign w:val="bottom"/>
          </w:tcPr>
          <w:p>
            <w:pPr>
              <w:spacing w:after="0"/>
              <w:rPr>
                <w:sz w:val="17"/>
                <w:szCs w:val="17"/>
                <w:color w:val="auto"/>
              </w:rPr>
            </w:pPr>
          </w:p>
        </w:tc>
      </w:tr>
      <w:tr>
        <w:trPr>
          <w:trHeight w:val="24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040" w:type="dxa"/>
            <w:vAlign w:val="bottom"/>
          </w:tcPr>
          <w:p>
            <w:pPr>
              <w:jc w:val="right"/>
              <w:ind w:right="990"/>
              <w:spacing w:after="0"/>
              <w:rPr>
                <w:sz w:val="20"/>
                <w:szCs w:val="20"/>
                <w:color w:val="auto"/>
              </w:rPr>
            </w:pPr>
            <w:r>
              <w:rPr>
                <w:rFonts w:ascii="Arial" w:cs="Arial" w:eastAsia="Arial" w:hAnsi="Arial"/>
                <w:sz w:val="18"/>
                <w:szCs w:val="18"/>
                <w:b w:val="1"/>
                <w:bCs w:val="1"/>
                <w:color w:val="auto"/>
              </w:rPr>
              <w:t>end of range</w:t>
            </w:r>
          </w:p>
        </w:tc>
        <w:tc>
          <w:tcPr>
            <w:tcW w:w="26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end of range</w:t>
            </w:r>
          </w:p>
        </w:tc>
      </w:tr>
      <w:tr>
        <w:trPr>
          <w:trHeight w:val="215"/>
        </w:trPr>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income/(loss) (GAAP)</w:t>
            </w:r>
          </w:p>
        </w:tc>
        <w:tc>
          <w:tcPr>
            <w:tcW w:w="3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tcPr>
          <w:p>
            <w:pPr>
              <w:spacing w:after="0"/>
              <w:rPr>
                <w:sz w:val="18"/>
                <w:szCs w:val="18"/>
                <w:color w:val="auto"/>
              </w:rPr>
            </w:pPr>
          </w:p>
        </w:tc>
      </w:tr>
      <w:tr>
        <w:trPr>
          <w:trHeight w:val="217"/>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3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8"/>
                <w:szCs w:val="18"/>
                <w:color w:val="auto"/>
              </w:rPr>
            </w:pPr>
          </w:p>
        </w:tc>
      </w:tr>
      <w:tr>
        <w:trPr>
          <w:trHeight w:val="209"/>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EBITDA (non-GAAP)</w:t>
            </w:r>
          </w:p>
        </w:tc>
        <w:tc>
          <w:tcPr>
            <w:tcW w:w="3040" w:type="dxa"/>
            <w:vAlign w:val="bottom"/>
          </w:tcPr>
          <w:p>
            <w:pPr>
              <w:jc w:val="right"/>
              <w:ind w:right="90"/>
              <w:spacing w:after="0"/>
              <w:rPr>
                <w:sz w:val="20"/>
                <w:szCs w:val="20"/>
                <w:color w:val="auto"/>
              </w:rPr>
            </w:pPr>
            <w:r>
              <w:rPr>
                <w:rFonts w:ascii="Arial" w:cs="Arial" w:eastAsia="Arial" w:hAnsi="Arial"/>
                <w:sz w:val="18"/>
                <w:szCs w:val="18"/>
                <w:b w:val="1"/>
                <w:bCs w:val="1"/>
                <w:color w:val="auto"/>
              </w:rPr>
              <w:t>$47</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Restructuring expenses, net</w:t>
            </w:r>
          </w:p>
        </w:tc>
        <w:tc>
          <w:tcPr>
            <w:tcW w:w="3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Foreign currency revaluation gains</w:t>
            </w:r>
          </w:p>
        </w:tc>
        <w:tc>
          <w:tcPr>
            <w:tcW w:w="3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Adjusted EBITDA (non-GAAP)</w:t>
            </w:r>
          </w:p>
        </w:tc>
        <w:tc>
          <w:tcPr>
            <w:tcW w:w="3040" w:type="dxa"/>
            <w:vAlign w:val="bottom"/>
          </w:tcPr>
          <w:p>
            <w:pPr>
              <w:jc w:val="right"/>
              <w:ind w:right="90"/>
              <w:spacing w:after="0"/>
              <w:rPr>
                <w:sz w:val="20"/>
                <w:szCs w:val="20"/>
                <w:color w:val="auto"/>
              </w:rPr>
            </w:pPr>
            <w:r>
              <w:rPr>
                <w:rFonts w:ascii="Arial" w:cs="Arial" w:eastAsia="Arial" w:hAnsi="Arial"/>
                <w:sz w:val="18"/>
                <w:szCs w:val="18"/>
                <w:b w:val="1"/>
                <w:bCs w:val="1"/>
                <w:color w:val="auto"/>
              </w:rPr>
              <w:t>$47</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60"/>
        <w:spacing w:after="0" w:line="262" w:lineRule="auto"/>
        <w:rPr>
          <w:sz w:val="20"/>
          <w:szCs w:val="20"/>
          <w:color w:val="auto"/>
        </w:rPr>
      </w:pPr>
      <w:r>
        <w:rPr>
          <w:rFonts w:ascii="Arial" w:cs="Arial" w:eastAsia="Arial" w:hAnsi="Arial"/>
          <w:sz w:val="18"/>
          <w:szCs w:val="18"/>
          <w:color w:val="auto"/>
        </w:rPr>
        <w:t>*Due to the uncertainty of these items, management is currently unable to project restructuring expenses and foreign currency revaluation gains/losses for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23"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71"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81"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12"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1" w:name="page62"/>
    <w:bookmarkEnd w:id="61"/>
    <w:p>
      <w:pPr>
        <w:ind w:left="46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2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There have been no material changes in risks since December 31, 2017. For discussion of risk factors, refer to Item 1A of our Annual Report on Form 10-K for the year ended December 31, 2017.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We made no share purchases during the third quarter of 2018. We remain authorized by the Board of Directors to purchase up to 2 million shares of our Class A Common Stock.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20" w:type="dxa"/>
            <w:vAlign w:val="bottom"/>
          </w:tcPr>
          <w:p>
            <w:pPr>
              <w:ind w:left="660"/>
              <w:spacing w:after="0"/>
              <w:rPr>
                <w:sz w:val="20"/>
                <w:szCs w:val="20"/>
                <w:color w:val="auto"/>
              </w:rPr>
            </w:pPr>
            <w:r>
              <w:rPr>
                <w:rFonts w:ascii="Arial" w:cs="Arial" w:eastAsia="Arial" w:hAnsi="Arial"/>
                <w:sz w:val="18"/>
                <w:szCs w:val="18"/>
                <w:color w:val="auto"/>
              </w:rPr>
              <w:t>None.</w:t>
            </w:r>
          </w:p>
        </w:tc>
        <w:tc>
          <w:tcPr>
            <w:tcW w:w="9800" w:type="dxa"/>
            <w:vAlign w:val="bottom"/>
          </w:tcPr>
          <w:p>
            <w:pPr>
              <w:spacing w:after="0"/>
              <w:rPr>
                <w:sz w:val="18"/>
                <w:szCs w:val="18"/>
                <w:color w:val="auto"/>
              </w:rPr>
            </w:pPr>
          </w:p>
        </w:tc>
      </w:tr>
      <w:tr>
        <w:trPr>
          <w:trHeight w:val="608"/>
        </w:trPr>
        <w:tc>
          <w:tcPr>
            <w:tcW w:w="1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800" w:type="dxa"/>
            <w:vAlign w:val="bottom"/>
          </w:tcPr>
          <w:p>
            <w:pPr>
              <w:spacing w:after="0"/>
              <w:rPr>
                <w:sz w:val="24"/>
                <w:szCs w:val="24"/>
                <w:color w:val="auto"/>
              </w:rPr>
            </w:pPr>
          </w:p>
        </w:tc>
      </w:tr>
      <w:tr>
        <w:trPr>
          <w:trHeight w:val="419"/>
        </w:trPr>
        <w:tc>
          <w:tcPr>
            <w:tcW w:w="1420" w:type="dxa"/>
            <w:vAlign w:val="bottom"/>
          </w:tcPr>
          <w:p>
            <w:pPr>
              <w:spacing w:after="0"/>
              <w:rPr>
                <w:sz w:val="20"/>
                <w:szCs w:val="20"/>
                <w:color w:val="auto"/>
              </w:rPr>
            </w:pPr>
            <w:r>
              <w:rPr>
                <w:rFonts w:ascii="Arial" w:cs="Arial" w:eastAsia="Arial" w:hAnsi="Arial"/>
                <w:sz w:val="18"/>
                <w:szCs w:val="18"/>
                <w:color w:val="auto"/>
              </w:rPr>
              <w:t>Exhibit No.</w:t>
            </w:r>
          </w:p>
        </w:tc>
        <w:tc>
          <w:tcPr>
            <w:tcW w:w="9800" w:type="dxa"/>
            <w:vAlign w:val="bottom"/>
          </w:tcPr>
          <w:p>
            <w:pPr>
              <w:ind w:left="80"/>
              <w:spacing w:after="0"/>
              <w:rPr>
                <w:sz w:val="20"/>
                <w:szCs w:val="20"/>
                <w:color w:val="auto"/>
              </w:rPr>
            </w:pPr>
            <w:r>
              <w:rPr>
                <w:rFonts w:ascii="Arial" w:cs="Arial" w:eastAsia="Arial" w:hAnsi="Arial"/>
                <w:sz w:val="18"/>
                <w:szCs w:val="18"/>
                <w:color w:val="auto"/>
              </w:rPr>
              <w:t>Description</w:t>
            </w:r>
          </w:p>
        </w:tc>
      </w:tr>
      <w:tr>
        <w:trPr>
          <w:trHeight w:val="419"/>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Pr>
          <w:p>
            <w:pPr>
              <w:ind w:left="8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459"/>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9800" w:type="dxa"/>
            <w:vAlign w:val="bottom"/>
          </w:tcPr>
          <w:p>
            <w:pPr>
              <w:ind w:left="8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45"/>
        </w:trPr>
        <w:tc>
          <w:tcPr>
            <w:tcW w:w="142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tcPr>
          <w:p>
            <w:pPr>
              <w:ind w:left="80"/>
              <w:spacing w:after="0"/>
              <w:rPr>
                <w:sz w:val="20"/>
                <w:szCs w:val="20"/>
                <w:color w:val="auto"/>
              </w:rPr>
            </w:pPr>
            <w:r>
              <w:rPr>
                <w:rFonts w:ascii="Arial" w:cs="Arial" w:eastAsia="Arial" w:hAnsi="Arial"/>
                <w:sz w:val="18"/>
                <w:szCs w:val="18"/>
                <w:color w:val="auto"/>
                <w:w w:val="99"/>
              </w:rPr>
              <w:t>Certification pursuant to Section 906 of the Sarbanes-Oxley Act of 2002 (Subsections (a) and (b) of Section 1350, Chapter</w:t>
            </w:r>
          </w:p>
        </w:tc>
      </w:tr>
      <w:tr>
        <w:trPr>
          <w:trHeight w:val="217"/>
        </w:trPr>
        <w:tc>
          <w:tcPr>
            <w:tcW w:w="1420" w:type="dxa"/>
            <w:vAlign w:val="bottom"/>
          </w:tcPr>
          <w:p>
            <w:pPr>
              <w:spacing w:after="0"/>
              <w:rPr>
                <w:sz w:val="18"/>
                <w:szCs w:val="18"/>
                <w:color w:val="auto"/>
              </w:rPr>
            </w:pPr>
          </w:p>
        </w:tc>
        <w:tc>
          <w:tcPr>
            <w:tcW w:w="9800" w:type="dxa"/>
            <w:vAlign w:val="bottom"/>
          </w:tcPr>
          <w:p>
            <w:pPr>
              <w:ind w:left="80"/>
              <w:spacing w:after="0"/>
              <w:rPr>
                <w:sz w:val="20"/>
                <w:szCs w:val="20"/>
                <w:color w:val="auto"/>
              </w:rPr>
            </w:pPr>
            <w:r>
              <w:rPr>
                <w:rFonts w:ascii="Arial" w:cs="Arial" w:eastAsia="Arial" w:hAnsi="Arial"/>
                <w:sz w:val="18"/>
                <w:szCs w:val="18"/>
                <w:color w:val="auto"/>
              </w:rPr>
              <w:t>63 of Title 18, United States Code).</w:t>
            </w:r>
          </w:p>
        </w:tc>
      </w:tr>
      <w:tr>
        <w:trPr>
          <w:trHeight w:val="419"/>
        </w:trPr>
        <w:tc>
          <w:tcPr>
            <w:tcW w:w="1420" w:type="dxa"/>
            <w:vAlign w:val="bottom"/>
          </w:tcPr>
          <w:p>
            <w:pPr>
              <w:spacing w:after="0"/>
              <w:rPr>
                <w:sz w:val="20"/>
                <w:szCs w:val="20"/>
                <w:color w:val="auto"/>
              </w:rPr>
            </w:pPr>
            <w:r>
              <w:rPr>
                <w:rFonts w:ascii="Arial" w:cs="Arial" w:eastAsia="Arial" w:hAnsi="Arial"/>
                <w:sz w:val="18"/>
                <w:szCs w:val="18"/>
                <w:color w:val="auto"/>
              </w:rPr>
              <w:t>99.1</w:t>
            </w:r>
          </w:p>
        </w:tc>
        <w:tc>
          <w:tcPr>
            <w:tcW w:w="980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risks as reported at September 30, 2018.</w:t>
            </w:r>
          </w:p>
        </w:tc>
      </w:tr>
    </w:tbl>
    <w:p>
      <w:pPr>
        <w:spacing w:after="0" w:line="242" w:lineRule="exact"/>
        <w:rPr>
          <w:sz w:val="20"/>
          <w:szCs w:val="20"/>
          <w:color w:val="auto"/>
        </w:rPr>
      </w:pPr>
    </w:p>
    <w:p>
      <w:pPr>
        <w:ind w:left="1500" w:right="1880" w:hanging="1492"/>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2018, formatted in extensible Business Reporting Language (XBRL), filed herewith:</w:t>
      </w:r>
    </w:p>
    <w:p>
      <w:pPr>
        <w:spacing w:after="0" w:line="189" w:lineRule="exact"/>
        <w:rPr>
          <w:sz w:val="20"/>
          <w:szCs w:val="20"/>
          <w:color w:val="auto"/>
        </w:rPr>
      </w:pPr>
    </w:p>
    <w:p>
      <w:pPr>
        <w:ind w:left="1500" w:hanging="1492"/>
        <w:spacing w:after="0"/>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nine months ended September 30, 2018 and 2017.</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643" w:right="419" w:bottom="1440" w:gutter="0" w:footer="0" w:header="0"/>
        </w:sectPr>
      </w:pPr>
    </w:p>
    <w:bookmarkStart w:id="62" w:name="page63"/>
    <w:bookmarkEnd w:id="62"/>
    <w:p>
      <w:pPr>
        <w:ind w:left="1180" w:hanging="38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Statements of Comprehensive Income/(Loss) for the three and nine months ended September 30, 2018 and 2017.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80" w:hanging="38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Balance Sheets at September 30, 2018 and December 31, 2017.</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180" w:hanging="38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nine months ended September 30, 2018 and 2017.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80" w:hanging="38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63" w:name="page64"/>
    <w:bookmarkEnd w:id="63"/>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w:t>
      </w:r>
    </w:p>
    <w:p>
      <w:pPr>
        <w:ind w:left="644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198"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B. Cozzolino</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7"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576" w:right="659" w:bottom="1440" w:gutter="0" w:footer="0" w:header="0"/>
        </w:sectPr>
      </w:pPr>
    </w:p>
    <w:bookmarkStart w:id="64" w:name="page65"/>
    <w:bookmarkEnd w:id="64"/>
    <w:p>
      <w:pPr>
        <w:jc w:val="center"/>
        <w:ind w:left="660"/>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PURSUANT TO</w:t>
      </w:r>
    </w:p>
    <w:p>
      <w:pPr>
        <w:jc w:val="center"/>
        <w:ind w:left="66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66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Olivier Jarrault, certify that:</w:t>
      </w:r>
    </w:p>
    <w:p>
      <w:pPr>
        <w:spacing w:after="0" w:line="19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211" w:lineRule="exact"/>
        <w:rPr>
          <w:rFonts w:ascii="Arial" w:cs="Arial" w:eastAsia="Arial" w:hAnsi="Arial"/>
          <w:sz w:val="18"/>
          <w:szCs w:val="18"/>
          <w:color w:val="auto"/>
        </w:rPr>
      </w:pPr>
    </w:p>
    <w:p>
      <w:pPr>
        <w:ind w:left="980" w:right="2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980" w:right="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1300" w:right="16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300" w:right="14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300" w:right="22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980" w:right="12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1300" w:right="8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19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Olivier Jarrault</w:t>
      </w:r>
    </w:p>
    <w:p>
      <w:pPr>
        <w:ind w:left="6820"/>
        <w:spacing w:after="0" w:line="234" w:lineRule="auto"/>
        <w:rPr>
          <w:sz w:val="20"/>
          <w:szCs w:val="20"/>
          <w:color w:val="auto"/>
        </w:rPr>
      </w:pPr>
      <w:r>
        <w:rPr>
          <w:rFonts w:ascii="Arial" w:cs="Arial" w:eastAsia="Arial" w:hAnsi="Arial"/>
          <w:sz w:val="18"/>
          <w:szCs w:val="18"/>
          <w:color w:val="auto"/>
        </w:rPr>
        <w:t>Olivier Jarrault</w:t>
      </w:r>
    </w:p>
    <w:p>
      <w:pPr>
        <w:ind w:left="68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Executive Officer)</w:t>
      </w:r>
    </w:p>
    <w:p>
      <w:pPr>
        <w:spacing w:after="0" w:line="299"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5" w:name="page66"/>
    <w:bookmarkEnd w:id="65"/>
    <w:p>
      <w:pPr>
        <w:jc w:val="center"/>
        <w:ind w:left="660"/>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PURSUANT TO</w:t>
      </w:r>
    </w:p>
    <w:p>
      <w:pPr>
        <w:jc w:val="center"/>
        <w:ind w:left="66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66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98"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211" w:lineRule="exact"/>
        <w:rPr>
          <w:rFonts w:ascii="Arial" w:cs="Arial" w:eastAsia="Arial" w:hAnsi="Arial"/>
          <w:sz w:val="18"/>
          <w:szCs w:val="18"/>
          <w:color w:val="auto"/>
        </w:rPr>
      </w:pPr>
    </w:p>
    <w:p>
      <w:pPr>
        <w:ind w:left="980" w:right="2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980" w:right="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ind w:left="1300" w:right="16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300" w:right="14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300" w:right="22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980" w:right="12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1300" w:right="8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John B. Cozzolino</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Officer)</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6" w:name="page67"/>
    <w:bookmarkEnd w:id="66"/>
    <w:p>
      <w:pPr>
        <w:jc w:val="center"/>
        <w:ind w:left="660"/>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PURSUANT TO</w:t>
      </w:r>
    </w:p>
    <w:p>
      <w:pPr>
        <w:jc w:val="center"/>
        <w:ind w:left="660"/>
        <w:spacing w:after="0" w:line="234" w:lineRule="auto"/>
        <w:rPr>
          <w:sz w:val="20"/>
          <w:szCs w:val="20"/>
          <w:color w:val="auto"/>
        </w:rPr>
      </w:pPr>
      <w:r>
        <w:rPr>
          <w:rFonts w:ascii="Arial" w:cs="Arial" w:eastAsia="Arial" w:hAnsi="Arial"/>
          <w:sz w:val="18"/>
          <w:szCs w:val="18"/>
          <w:b w:val="1"/>
          <w:bCs w:val="1"/>
          <w:color w:val="auto"/>
        </w:rPr>
        <w:t>18 U.S.C. SECTION 1350,</w:t>
      </w:r>
    </w:p>
    <w:p>
      <w:pPr>
        <w:ind w:left="472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ind w:left="600"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2018, as filed with the Securities and Exchange Commission on the date hereof (the Report), Olivier Jarrault, President and Chief Executive Officer, and John B. Cozzolino, Chief Financial Officer and Treasurer of the Company, certify, pursuant to 18 U.S.C. § 1350, as adopted pursuant to § 906 of the Sarbanes-Oxley Act of 2002, that:</w:t>
      </w:r>
    </w:p>
    <w:p>
      <w:pPr>
        <w:spacing w:after="0" w:line="188" w:lineRule="exact"/>
        <w:rPr>
          <w:sz w:val="20"/>
          <w:szCs w:val="20"/>
          <w:color w:val="auto"/>
        </w:rPr>
      </w:pPr>
    </w:p>
    <w:p>
      <w:pPr>
        <w:ind w:left="920" w:hanging="32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20" w:right="100" w:hanging="324"/>
        <w:spacing w:after="0" w:line="246"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2018</w:t>
      </w:r>
    </w:p>
    <w:p>
      <w:pPr>
        <w:spacing w:after="0" w:line="198" w:lineRule="exact"/>
        <w:rPr>
          <w:sz w:val="20"/>
          <w:szCs w:val="20"/>
          <w:color w:val="auto"/>
        </w:rPr>
      </w:pPr>
    </w:p>
    <w:p>
      <w:pPr>
        <w:ind w:left="6800"/>
        <w:spacing w:after="0"/>
        <w:rPr>
          <w:sz w:val="20"/>
          <w:szCs w:val="20"/>
          <w:color w:val="auto"/>
        </w:rPr>
      </w:pPr>
      <w:r>
        <w:rPr>
          <w:rFonts w:ascii="Arial" w:cs="Arial" w:eastAsia="Arial" w:hAnsi="Arial"/>
          <w:sz w:val="18"/>
          <w:szCs w:val="18"/>
          <w:u w:val="single" w:color="auto"/>
          <w:color w:val="auto"/>
        </w:rPr>
        <w:t>/s/ Olivier Jarrault</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Olivier Jarrault</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00"/>
        <w:spacing w:after="0"/>
        <w:rPr>
          <w:sz w:val="20"/>
          <w:szCs w:val="20"/>
          <w:color w:val="auto"/>
        </w:rPr>
      </w:pPr>
      <w:r>
        <w:rPr>
          <w:rFonts w:ascii="Arial" w:cs="Arial" w:eastAsia="Arial" w:hAnsi="Arial"/>
          <w:sz w:val="18"/>
          <w:szCs w:val="18"/>
          <w:u w:val="single" w:color="auto"/>
          <w:color w:val="auto"/>
        </w:rPr>
        <w:t>/s/ John B. Cozzolino</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John B. Cozzolino</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67" w:name="page68"/>
    <w:bookmarkEnd w:id="67"/>
    <w:p>
      <w:pPr>
        <w:jc w:val="center"/>
        <w:ind w:left="660"/>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MARKET RISK SENSITIVITY – As of September 30, 2018</w:t>
      </w:r>
    </w:p>
    <w:p>
      <w:pPr>
        <w:spacing w:after="0" w:line="198"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$536.8 million. The potential loss in fair value resulting from a hypothetical 10% adverse change in quoted foreign currency exchange rates amounts to $ 53.7 million. Furthermore, related to foreign currency transactions, we have exposure to various nonfunctional currency balances totaling $88.2 million. This amount includes, on an absolute basis, exposures to assets and liabilities held in currencies other than our local entity’s functional currency. On a net basis, we had $57.1 million of foreign currency liabilities as of September 30, 2018. As currency rates change, these nonfunctional currency balances are revalued, and the corresponding adjustment is recorded in the income statement. A hypothetical change of 10% in currency rates could result in an adjustment to the income statement of approximately $5.7 million. Actual results may differ.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2018,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135255</wp:posOffset>
            </wp:positionV>
            <wp:extent cx="61575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7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1900" w:type="dxa"/>
            <w:vAlign w:val="bottom"/>
            <w:tcBorders>
              <w:top w:val="single" w:sz="8" w:color="auto"/>
            </w:tcBorders>
          </w:tcPr>
          <w:p>
            <w:pPr>
              <w:spacing w:after="0"/>
              <w:rPr>
                <w:sz w:val="18"/>
                <w:szCs w:val="18"/>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w:t>
            </w:r>
          </w:p>
        </w:tc>
        <w:tc>
          <w:tcPr>
            <w:tcW w:w="1900" w:type="dxa"/>
            <w:vAlign w:val="bottom"/>
          </w:tcPr>
          <w:p>
            <w:pPr>
              <w:spacing w:after="0"/>
              <w:rPr>
                <w:sz w:val="17"/>
                <w:szCs w:val="17"/>
                <w:color w:val="auto"/>
              </w:rPr>
            </w:pPr>
          </w:p>
        </w:tc>
      </w:tr>
      <w:tr>
        <w:trPr>
          <w:trHeight w:val="217"/>
        </w:trPr>
        <w:tc>
          <w:tcPr>
            <w:tcW w:w="7800" w:type="dxa"/>
            <w:vAlign w:val="bottom"/>
          </w:tcPr>
          <w:p>
            <w:pPr>
              <w:spacing w:after="0"/>
              <w:rPr>
                <w:sz w:val="20"/>
                <w:szCs w:val="20"/>
                <w:color w:val="auto"/>
              </w:rPr>
            </w:pPr>
            <w:r>
              <w:rPr>
                <w:rFonts w:ascii="Arial" w:cs="Arial" w:eastAsia="Arial" w:hAnsi="Arial"/>
                <w:sz w:val="18"/>
                <w:szCs w:val="18"/>
                <w:color w:val="auto"/>
              </w:rPr>
              <w:t>period interest rate of 3.613% in 2018, due in 2022</w:t>
            </w:r>
          </w:p>
        </w:tc>
        <w:tc>
          <w:tcPr>
            <w:tcW w:w="1900" w:type="dxa"/>
            <w:vAlign w:val="bottom"/>
          </w:tcPr>
          <w:p>
            <w:pPr>
              <w:jc w:val="right"/>
              <w:spacing w:after="0"/>
              <w:rPr>
                <w:sz w:val="20"/>
                <w:szCs w:val="20"/>
                <w:color w:val="auto"/>
              </w:rPr>
            </w:pPr>
            <w:r>
              <w:rPr>
                <w:rFonts w:ascii="Arial" w:cs="Arial" w:eastAsia="Arial" w:hAnsi="Arial"/>
                <w:sz w:val="18"/>
                <w:szCs w:val="18"/>
                <w:color w:val="auto"/>
              </w:rPr>
              <w:t>$154,000</w:t>
            </w:r>
          </w:p>
        </w:tc>
      </w:tr>
      <w:tr>
        <w:trPr>
          <w:trHeight w:val="203"/>
        </w:trPr>
        <w:tc>
          <w:tcPr>
            <w:tcW w:w="78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r>
      <w:tr>
        <w:trPr>
          <w:trHeight w:val="399"/>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$154,000</w:t>
            </w:r>
          </w:p>
        </w:tc>
      </w:tr>
    </w:tbl>
    <w:p>
      <w:pPr>
        <w:spacing w:after="0" w:line="20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$1.5 million. To manage interest rate risk, we may periodically enter into interest rate swap agreements to effectively fix the interest rates on variable debt to a specific rate for a period of time. (See Note 16 to the Consolidated Financial Statements in Item 1, which is incorporated herein by reference).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
      <w:numFmt w:val="bullet"/>
      <w:start w:val="1"/>
    </w:lvl>
    <w:lvl w:ilvl="1">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
      <w:numFmt w:val="bullet"/>
      <w:start w:val="1"/>
    </w:lvl>
  </w:abstractNum>
  <w:abstractNum w:abstractNumId="7">
    <w:nsid w:val="6763845E"/>
    <w:multiLevelType w:val="hybridMultilevel"/>
    <w:lvl w:ilvl="0">
      <w:lvlJc w:val="left"/>
      <w:lvlText w:val="·"/>
      <w:numFmt w:val="bullet"/>
      <w:start w:val="1"/>
    </w:lvl>
    <w:lvl w:ilvl="1">
      <w:lvlJc w:val="left"/>
      <w:lvlText w:val="•"/>
      <w:numFmt w:val="bullet"/>
      <w:start w:val="1"/>
    </w:lvl>
  </w:abstractNum>
  <w:abstractNum w:abstractNumId="8">
    <w:nsid w:val="75A2A8D4"/>
    <w:multiLevelType w:val="hybridMultilevel"/>
    <w:lvl w:ilvl="0">
      <w:lvlJc w:val="left"/>
      <w:lvlText w:val="·"/>
      <w:numFmt w:val="bullet"/>
      <w:start w:val="1"/>
    </w:lvl>
    <w:lvl w:ilvl="1">
      <w:lvlJc w:val="left"/>
      <w:lvlText w:val="·"/>
      <w:numFmt w:val="bullet"/>
      <w:start w:val="1"/>
    </w:lvl>
  </w:abstractNum>
  <w:abstractNum w:abstractNumId="9">
    <w:nsid w:val="8EDBDAB"/>
    <w:multiLevelType w:val="hybridMultilevel"/>
    <w:lvl w:ilvl="0">
      <w:lvlJc w:val="left"/>
      <w:lvlText w:val="·"/>
      <w:numFmt w:val="bullet"/>
      <w:start w:val="1"/>
    </w:lvl>
    <w:lvl w:ilvl="1">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decimal"/>
      <w:start w:val="101"/>
    </w:lvl>
  </w:abstractNum>
  <w:abstractNum w:abstractNumId="34">
    <w:nsid w:val="77465F01"/>
    <w:multiLevelType w:val="hybridMultilevel"/>
    <w:lvl w:ilvl="0">
      <w:lvlJc w:val="left"/>
      <w:lvlText w:val="(%1)"/>
      <w:numFmt w:val="lowerRoman"/>
      <w:start w:val="1"/>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2019-12-28T18:46:42Z</dcterms:created>
  <dcterms:modified xsi:type="dcterms:W3CDTF">2019-12-28T18:46:42Z</dcterms:modified>
</cp:coreProperties>
</file>