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736600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702945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7" w:lineRule="exact"/>
        <w:rPr>
          <w:sz w:val="24"/>
          <w:szCs w:val="24"/>
          <w:color w:val="auto"/>
        </w:rPr>
      </w:pPr>
    </w:p>
    <w:p>
      <w:pPr>
        <w:ind w:left="340" w:hanging="316"/>
        <w:spacing w:after="0"/>
        <w:tabs>
          <w:tab w:leader="none" w:pos="340" w:val="left"/>
        </w:tabs>
        <w:numPr>
          <w:ilvl w:val="0"/>
          <w:numId w:val="1"/>
        </w:numPr>
        <w:rPr>
          <w:rFonts w:ascii="MS PGothic" w:cs="MS PGothic" w:eastAsia="MS PGothic" w:hAnsi="MS PGothic"/>
          <w:sz w:val="19"/>
          <w:szCs w:val="19"/>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 w:lineRule="exact"/>
        <w:rPr>
          <w:sz w:val="24"/>
          <w:szCs w:val="24"/>
          <w:color w:val="auto"/>
        </w:rPr>
      </w:pPr>
    </w:p>
    <w:p>
      <w:pPr>
        <w:ind w:left="340"/>
        <w:spacing w:after="0"/>
        <w:tabs>
          <w:tab w:leader="none" w:pos="342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March 31, 2022</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40" w:hanging="316"/>
        <w:spacing w:after="0"/>
        <w:tabs>
          <w:tab w:leader="none" w:pos="340" w:val="left"/>
        </w:tabs>
        <w:numPr>
          <w:ilvl w:val="0"/>
          <w:numId w:val="2"/>
        </w:numPr>
        <w:rPr>
          <w:rFonts w:ascii="MS PGothic" w:cs="MS PGothic" w:eastAsia="MS PGothic" w:hAnsi="MS PGothic"/>
          <w:sz w:val="19"/>
          <w:szCs w:val="19"/>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 the transition period from __________ to __________</w:t>
      </w:r>
    </w:p>
    <w:p>
      <w:pPr>
        <w:spacing w:after="0" w:line="3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35"/>
          <w:szCs w:val="35"/>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937895</wp:posOffset>
            </wp:positionH>
            <wp:positionV relativeFrom="paragraph">
              <wp:posOffset>29210</wp:posOffset>
            </wp:positionV>
            <wp:extent cx="527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5580" cy="8255"/>
                    </a:xfrm>
                    <a:prstGeom prst="rect">
                      <a:avLst/>
                    </a:prstGeom>
                    <a:noFill/>
                  </pic:spPr>
                </pic:pic>
              </a:graphicData>
            </a:graphic>
          </wp:anchor>
        </w:drawing>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31750</wp:posOffset>
            </wp:positionV>
            <wp:extent cx="3533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3775" cy="8255"/>
                    </a:xfrm>
                    <a:prstGeom prst="rect">
                      <a:avLst/>
                    </a:prstGeom>
                    <a:noFill/>
                  </pic:spPr>
                </pic:pic>
              </a:graphicData>
            </a:graphic>
          </wp:anchor>
        </w:drawing>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48"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216 Airport Drive, Rochester,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31750</wp:posOffset>
            </wp:positionV>
            <wp:extent cx="3533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3775" cy="8255"/>
                    </a:xfrm>
                    <a:prstGeom prst="rect">
                      <a:avLst/>
                    </a:prstGeom>
                    <a:noFill/>
                  </pic:spPr>
                </pic:pic>
              </a:graphicData>
            </a:graphic>
          </wp:anchor>
        </w:drawing>
      </w:r>
    </w:p>
    <w:p>
      <w:pPr>
        <w:spacing w:after="0" w:line="53"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(Address of principal executive offices)</w:t>
      </w:r>
    </w:p>
    <w:p>
      <w:pPr>
        <w:spacing w:after="0" w:line="3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31750</wp:posOffset>
            </wp:positionV>
            <wp:extent cx="3533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3775" cy="8255"/>
                    </a:xfrm>
                    <a:prstGeom prst="rect">
                      <a:avLst/>
                    </a:prstGeom>
                    <a:noFill/>
                  </pic:spPr>
                </pic:pic>
              </a:graphicData>
            </a:graphic>
          </wp:anchor>
        </w:drawing>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31750</wp:posOffset>
            </wp:positionV>
            <wp:extent cx="3533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3775" cy="8255"/>
                    </a:xfrm>
                    <a:prstGeom prst="rect">
                      <a:avLst/>
                    </a:prstGeom>
                    <a:noFill/>
                  </pic:spPr>
                </pic:pic>
              </a:graphicData>
            </a:graphic>
          </wp:anchor>
        </w:drawing>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1930400</wp:posOffset>
            </wp:positionH>
            <wp:positionV relativeFrom="paragraph">
              <wp:posOffset>31750</wp:posOffset>
            </wp:positionV>
            <wp:extent cx="3289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108"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Name of each exchange on which registered</w:t>
            </w:r>
          </w:p>
        </w:tc>
      </w:tr>
      <w:tr>
        <w:trPr>
          <w:trHeight w:val="205"/>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The New York Stock Exchange (NYSE)</w:t>
            </w:r>
          </w:p>
        </w:tc>
      </w:tr>
      <w:tr>
        <w:trPr>
          <w:trHeight w:val="205"/>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Class B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The New York Stock Exchange (NYSE)</w:t>
            </w:r>
          </w:p>
        </w:tc>
      </w:tr>
    </w:tbl>
    <w:p>
      <w:pPr>
        <w:spacing w:after="0" w:line="89" w:lineRule="exact"/>
        <w:rPr>
          <w:sz w:val="24"/>
          <w:szCs w:val="24"/>
          <w:color w:val="auto"/>
        </w:rPr>
      </w:pPr>
    </w:p>
    <w:p>
      <w:pPr>
        <w:jc w:val="both"/>
        <w:ind w:right="20"/>
        <w:spacing w:after="0" w:line="22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jc w:val="both"/>
        <w:ind w:right="20"/>
        <w:spacing w:after="0" w:line="22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jc w:val="both"/>
        <w:ind w:right="2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72"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1"/>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29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1"/>
        </w:trPr>
        <w:tc>
          <w:tcPr>
            <w:tcW w:w="18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14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31.5 million shares of Class A Common Stock and no shares of Class B Common Stock outstanding as of April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741680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89535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60"/>
          </w:cols>
          <w:pgMar w:left="320" w:top="1230" w:right="319" w:bottom="1091"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Page</w:t>
            </w:r>
          </w:p>
        </w:tc>
      </w:tr>
      <w:tr>
        <w:trPr>
          <w:trHeight w:val="218"/>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No.</w:t>
            </w:r>
          </w:p>
        </w:tc>
      </w:tr>
      <w:tr>
        <w:trPr>
          <w:trHeight w:val="21"/>
        </w:trPr>
        <w:tc>
          <w:tcPr>
            <w:tcW w:w="2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12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6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6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6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2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40" w:type="dxa"/>
            <w:vAlign w:val="bottom"/>
            <w:tcBorders>
              <w:bottom w:val="single" w:sz="8" w:color="B2B2B2"/>
            </w:tcBorders>
          </w:tcPr>
          <w:p>
            <w:pPr>
              <w:spacing w:after="0" w:line="20" w:lineRule="exact"/>
              <w:rPr>
                <w:sz w:val="1"/>
                <w:szCs w:val="1"/>
                <w:color w:val="auto"/>
              </w:rPr>
            </w:pPr>
          </w:p>
        </w:tc>
        <w:tc>
          <w:tcPr>
            <w:tcW w:w="440" w:type="dxa"/>
            <w:vAlign w:val="bottom"/>
            <w:tcBorders>
              <w:bottom w:val="single" w:sz="8" w:color="B2B2B2"/>
            </w:tcBorders>
          </w:tcPr>
          <w:p>
            <w:pPr>
              <w:spacing w:after="0" w:line="20" w:lineRule="exact"/>
              <w:rPr>
                <w:sz w:val="1"/>
                <w:szCs w:val="1"/>
                <w:color w:val="auto"/>
              </w:rPr>
            </w:pPr>
          </w:p>
        </w:tc>
        <w:tc>
          <w:tcPr>
            <w:tcW w:w="5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2600" w:type="dxa"/>
            <w:vAlign w:val="bottom"/>
            <w:tcBorders>
              <w:bottom w:val="single" w:sz="8" w:color="B2B2B2"/>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B2B2B2"/>
          </w:tcPr>
          <w:p>
            <w:pPr>
              <w:spacing w:after="0"/>
              <w:rPr>
                <w:sz w:val="19"/>
                <w:szCs w:val="19"/>
                <w:color w:val="auto"/>
              </w:rPr>
            </w:pPr>
          </w:p>
        </w:tc>
        <w:tc>
          <w:tcPr>
            <w:tcW w:w="10580" w:type="dxa"/>
            <w:vAlign w:val="bottom"/>
            <w:gridSpan w:val="35"/>
            <w:shd w:val="clear" w:color="auto" w:fill="B2B2B2"/>
          </w:tcPr>
          <w:p>
            <w:pPr>
              <w:spacing w:after="0"/>
              <w:rPr>
                <w:sz w:val="20"/>
                <w:szCs w:val="20"/>
                <w:color w:val="auto"/>
              </w:rPr>
            </w:pPr>
            <w:r>
              <w:rPr>
                <w:rFonts w:ascii="Arial" w:cs="Arial" w:eastAsia="Arial" w:hAnsi="Arial"/>
                <w:sz w:val="16"/>
                <w:szCs w:val="16"/>
                <w:b w:val="1"/>
                <w:bCs w:val="1"/>
                <w:color w:val="0000FF"/>
              </w:rPr>
              <w:t>Part I Financial information</w:t>
            </w:r>
          </w:p>
        </w:tc>
        <w:tc>
          <w:tcPr>
            <w:tcW w:w="4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9720" w:type="dxa"/>
            <w:vAlign w:val="bottom"/>
            <w:gridSpan w:val="32"/>
          </w:tcPr>
          <w:p>
            <w:pPr>
              <w:spacing w:after="0"/>
              <w:rPr>
                <w:sz w:val="20"/>
                <w:szCs w:val="20"/>
                <w:color w:val="auto"/>
              </w:rPr>
            </w:pPr>
            <w:r>
              <w:rPr>
                <w:rFonts w:ascii="Arial" w:cs="Arial" w:eastAsia="Arial" w:hAnsi="Arial"/>
                <w:sz w:val="16"/>
                <w:szCs w:val="16"/>
                <w:color w:val="0000FF"/>
              </w:rPr>
              <w:t>Financial Statements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
        </w:trPr>
        <w:tc>
          <w:tcPr>
            <w:tcW w:w="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20" w:type="dxa"/>
            <w:vAlign w:val="bottom"/>
            <w:shd w:val="clear" w:color="auto" w:fill="B2B2B2"/>
          </w:tcPr>
          <w:p>
            <w:pPr>
              <w:spacing w:after="0"/>
              <w:rPr>
                <w:sz w:val="16"/>
                <w:szCs w:val="16"/>
                <w:color w:val="auto"/>
              </w:rPr>
            </w:pPr>
          </w:p>
        </w:tc>
        <w:tc>
          <w:tcPr>
            <w:tcW w:w="48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260" w:type="dxa"/>
            <w:vAlign w:val="bottom"/>
            <w:shd w:val="clear" w:color="auto" w:fill="B2B2B2"/>
          </w:tcPr>
          <w:p>
            <w:pPr>
              <w:spacing w:after="0"/>
              <w:rPr>
                <w:sz w:val="16"/>
                <w:szCs w:val="16"/>
                <w:color w:val="auto"/>
              </w:rPr>
            </w:pPr>
          </w:p>
        </w:tc>
        <w:tc>
          <w:tcPr>
            <w:tcW w:w="9720" w:type="dxa"/>
            <w:vAlign w:val="bottom"/>
            <w:gridSpan w:val="32"/>
            <w:shd w:val="clear" w:color="auto" w:fill="B2B2B2"/>
          </w:tcPr>
          <w:p>
            <w:pPr>
              <w:spacing w:after="0"/>
              <w:rPr>
                <w:sz w:val="20"/>
                <w:szCs w:val="20"/>
                <w:color w:val="auto"/>
              </w:rPr>
            </w:pPr>
            <w:r>
              <w:rPr>
                <w:rFonts w:ascii="Arial" w:cs="Arial" w:eastAsia="Arial" w:hAnsi="Arial"/>
                <w:sz w:val="16"/>
                <w:szCs w:val="16"/>
                <w:color w:val="0000FF"/>
              </w:rPr>
              <w:t xml:space="preserve">Consolidated statements of income – </w:t>
            </w:r>
            <w:r>
              <w:rPr>
                <w:rFonts w:ascii="Arial" w:cs="Arial" w:eastAsia="Arial" w:hAnsi="Arial"/>
                <w:sz w:val="16"/>
                <w:szCs w:val="16"/>
                <w:color w:val="000000"/>
              </w:rPr>
              <w:t>three</w:t>
            </w:r>
            <w:r>
              <w:rPr>
                <w:rFonts w:ascii="Arial" w:cs="Arial" w:eastAsia="Arial" w:hAnsi="Arial"/>
                <w:sz w:val="16"/>
                <w:szCs w:val="16"/>
                <w:color w:val="0000FF"/>
              </w:rPr>
              <w:t xml:space="preserve"> months ended </w:t>
            </w:r>
            <w:r>
              <w:rPr>
                <w:rFonts w:ascii="Arial" w:cs="Arial" w:eastAsia="Arial" w:hAnsi="Arial"/>
                <w:sz w:val="16"/>
                <w:szCs w:val="16"/>
                <w:color w:val="000000"/>
              </w:rPr>
              <w:t>March 31, 2022</w:t>
            </w:r>
            <w:r>
              <w:rPr>
                <w:rFonts w:ascii="Arial" w:cs="Arial" w:eastAsia="Arial" w:hAnsi="Arial"/>
                <w:sz w:val="16"/>
                <w:szCs w:val="16"/>
                <w:color w:val="0000FF"/>
              </w:rPr>
              <w:t xml:space="preserve"> and </w:t>
            </w:r>
            <w:r>
              <w:rPr>
                <w:rFonts w:ascii="Arial" w:cs="Arial" w:eastAsia="Arial" w:hAnsi="Arial"/>
                <w:sz w:val="16"/>
                <w:szCs w:val="16"/>
                <w:color w:val="000000"/>
              </w:rPr>
              <w:t>2021</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w:t>
            </w:r>
          </w:p>
        </w:tc>
        <w:tc>
          <w:tcPr>
            <w:tcW w:w="20" w:type="dxa"/>
            <w:vAlign w:val="bottom"/>
            <w:shd w:val="clear" w:color="auto" w:fill="B2B2B2"/>
          </w:tcPr>
          <w:p>
            <w:pPr>
              <w:spacing w:after="0"/>
              <w:rPr>
                <w:sz w:val="16"/>
                <w:szCs w:val="16"/>
                <w:color w:val="auto"/>
              </w:rPr>
            </w:pPr>
          </w:p>
        </w:tc>
      </w:tr>
      <w:tr>
        <w:trPr>
          <w:trHeight w:val="33"/>
        </w:trPr>
        <w:tc>
          <w:tcPr>
            <w:tcW w:w="20" w:type="dxa"/>
            <w:vAlign w:val="bottom"/>
            <w:tcBorders>
              <w:top w:val="single" w:sz="8" w:color="B2B2B2"/>
            </w:tcBorders>
            <w:shd w:val="clear" w:color="auto" w:fill="B2B2B2"/>
          </w:tcPr>
          <w:p>
            <w:pPr>
              <w:spacing w:after="0"/>
              <w:rPr>
                <w:sz w:val="2"/>
                <w:szCs w:val="2"/>
                <w:color w:val="auto"/>
              </w:rPr>
            </w:pPr>
          </w:p>
        </w:tc>
        <w:tc>
          <w:tcPr>
            <w:tcW w:w="4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26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720" w:type="dxa"/>
            <w:vAlign w:val="bottom"/>
            <w:gridSpan w:val="32"/>
          </w:tcPr>
          <w:p>
            <w:pPr>
              <w:spacing w:after="0"/>
              <w:rPr>
                <w:sz w:val="20"/>
                <w:szCs w:val="20"/>
                <w:color w:val="auto"/>
              </w:rPr>
            </w:pPr>
            <w:r>
              <w:rPr>
                <w:rFonts w:ascii="Arial" w:cs="Arial" w:eastAsia="Arial" w:hAnsi="Arial"/>
                <w:sz w:val="16"/>
                <w:szCs w:val="16"/>
                <w:color w:val="0000FF"/>
              </w:rPr>
              <w:t xml:space="preserve">Consolidated statements of comprehensive income/(loss) – </w:t>
            </w:r>
            <w:r>
              <w:rPr>
                <w:rFonts w:ascii="Arial" w:cs="Arial" w:eastAsia="Arial" w:hAnsi="Arial"/>
                <w:sz w:val="16"/>
                <w:szCs w:val="16"/>
                <w:color w:val="000000"/>
              </w:rPr>
              <w:t>three</w:t>
            </w:r>
            <w:r>
              <w:rPr>
                <w:rFonts w:ascii="Arial" w:cs="Arial" w:eastAsia="Arial" w:hAnsi="Arial"/>
                <w:sz w:val="16"/>
                <w:szCs w:val="16"/>
                <w:color w:val="0000FF"/>
              </w:rPr>
              <w:t xml:space="preserve"> months ended </w:t>
            </w:r>
            <w:r>
              <w:rPr>
                <w:rFonts w:ascii="Arial" w:cs="Arial" w:eastAsia="Arial" w:hAnsi="Arial"/>
                <w:sz w:val="16"/>
                <w:szCs w:val="16"/>
                <w:color w:val="000000"/>
              </w:rPr>
              <w:t>March 31, 2022</w:t>
            </w:r>
            <w:r>
              <w:rPr>
                <w:rFonts w:ascii="Arial" w:cs="Arial" w:eastAsia="Arial" w:hAnsi="Arial"/>
                <w:sz w:val="16"/>
                <w:szCs w:val="16"/>
                <w:color w:val="0000FF"/>
              </w:rPr>
              <w:t xml:space="preserve"> and </w:t>
            </w:r>
            <w:r>
              <w:rPr>
                <w:rFonts w:ascii="Arial" w:cs="Arial" w:eastAsia="Arial" w:hAnsi="Arial"/>
                <w:sz w:val="16"/>
                <w:szCs w:val="16"/>
                <w:color w:val="000000"/>
              </w:rPr>
              <w:t>2021</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6"/>
                <w:szCs w:val="16"/>
                <w:color w:val="auto"/>
              </w:rPr>
            </w:pPr>
          </w:p>
        </w:tc>
      </w:tr>
      <w:tr>
        <w:trPr>
          <w:trHeight w:val="3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shd w:val="clear" w:color="auto" w:fill="B2B2B2"/>
          </w:tcPr>
          <w:p>
            <w:pPr>
              <w:spacing w:after="0"/>
              <w:rPr>
                <w:sz w:val="16"/>
                <w:szCs w:val="16"/>
                <w:color w:val="auto"/>
              </w:rPr>
            </w:pPr>
          </w:p>
        </w:tc>
        <w:tc>
          <w:tcPr>
            <w:tcW w:w="48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260" w:type="dxa"/>
            <w:vAlign w:val="bottom"/>
            <w:shd w:val="clear" w:color="auto" w:fill="B2B2B2"/>
          </w:tcPr>
          <w:p>
            <w:pPr>
              <w:spacing w:after="0"/>
              <w:rPr>
                <w:sz w:val="16"/>
                <w:szCs w:val="16"/>
                <w:color w:val="auto"/>
              </w:rPr>
            </w:pPr>
          </w:p>
        </w:tc>
        <w:tc>
          <w:tcPr>
            <w:tcW w:w="9720" w:type="dxa"/>
            <w:vAlign w:val="bottom"/>
            <w:gridSpan w:val="32"/>
            <w:shd w:val="clear" w:color="auto" w:fill="B2B2B2"/>
          </w:tcPr>
          <w:p>
            <w:pPr>
              <w:spacing w:after="0"/>
              <w:rPr>
                <w:sz w:val="20"/>
                <w:szCs w:val="20"/>
                <w:color w:val="auto"/>
              </w:rPr>
            </w:pPr>
            <w:r>
              <w:rPr>
                <w:rFonts w:ascii="Arial" w:cs="Arial" w:eastAsia="Arial" w:hAnsi="Arial"/>
                <w:sz w:val="16"/>
                <w:szCs w:val="16"/>
                <w:color w:val="0000FF"/>
              </w:rPr>
              <w:t xml:space="preserve">Consolidated balance sheets as of </w:t>
            </w:r>
            <w:r>
              <w:rPr>
                <w:rFonts w:ascii="Arial" w:cs="Arial" w:eastAsia="Arial" w:hAnsi="Arial"/>
                <w:sz w:val="16"/>
                <w:szCs w:val="16"/>
                <w:color w:val="000000"/>
              </w:rPr>
              <w:t>March 31, 2022</w:t>
            </w:r>
            <w:r>
              <w:rPr>
                <w:rFonts w:ascii="Arial" w:cs="Arial" w:eastAsia="Arial" w:hAnsi="Arial"/>
                <w:sz w:val="16"/>
                <w:szCs w:val="16"/>
                <w:color w:val="0000FF"/>
              </w:rPr>
              <w:t xml:space="preserve"> and </w:t>
            </w:r>
            <w:r>
              <w:rPr>
                <w:rFonts w:ascii="Arial" w:cs="Arial" w:eastAsia="Arial" w:hAnsi="Arial"/>
                <w:sz w:val="16"/>
                <w:szCs w:val="16"/>
                <w:color w:val="000000"/>
              </w:rPr>
              <w:t>December 31, 2021</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5</w:t>
            </w:r>
          </w:p>
        </w:tc>
        <w:tc>
          <w:tcPr>
            <w:tcW w:w="20" w:type="dxa"/>
            <w:vAlign w:val="bottom"/>
            <w:shd w:val="clear" w:color="auto" w:fill="B2B2B2"/>
          </w:tcPr>
          <w:p>
            <w:pPr>
              <w:spacing w:after="0"/>
              <w:rPr>
                <w:sz w:val="16"/>
                <w:szCs w:val="16"/>
                <w:color w:val="auto"/>
              </w:rPr>
            </w:pPr>
          </w:p>
        </w:tc>
      </w:tr>
      <w:tr>
        <w:trPr>
          <w:trHeight w:val="33"/>
        </w:trPr>
        <w:tc>
          <w:tcPr>
            <w:tcW w:w="20" w:type="dxa"/>
            <w:vAlign w:val="bottom"/>
            <w:tcBorders>
              <w:top w:val="single" w:sz="8" w:color="B2B2B2"/>
            </w:tcBorders>
            <w:shd w:val="clear" w:color="auto" w:fill="B2B2B2"/>
          </w:tcPr>
          <w:p>
            <w:pPr>
              <w:spacing w:after="0"/>
              <w:rPr>
                <w:sz w:val="2"/>
                <w:szCs w:val="2"/>
                <w:color w:val="auto"/>
              </w:rPr>
            </w:pPr>
          </w:p>
        </w:tc>
        <w:tc>
          <w:tcPr>
            <w:tcW w:w="4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26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720" w:type="dxa"/>
            <w:vAlign w:val="bottom"/>
            <w:gridSpan w:val="32"/>
          </w:tcPr>
          <w:p>
            <w:pPr>
              <w:spacing w:after="0"/>
              <w:rPr>
                <w:sz w:val="20"/>
                <w:szCs w:val="20"/>
                <w:color w:val="auto"/>
              </w:rPr>
            </w:pPr>
            <w:r>
              <w:rPr>
                <w:rFonts w:ascii="Arial" w:cs="Arial" w:eastAsia="Arial" w:hAnsi="Arial"/>
                <w:sz w:val="16"/>
                <w:szCs w:val="16"/>
                <w:color w:val="0000FF"/>
              </w:rPr>
              <w:t xml:space="preserve">Consolidated statements of cash flows – </w:t>
            </w:r>
            <w:r>
              <w:rPr>
                <w:rFonts w:ascii="Arial" w:cs="Arial" w:eastAsia="Arial" w:hAnsi="Arial"/>
                <w:sz w:val="16"/>
                <w:szCs w:val="16"/>
                <w:color w:val="000000"/>
              </w:rPr>
              <w:t>three</w:t>
            </w:r>
            <w:r>
              <w:rPr>
                <w:rFonts w:ascii="Arial" w:cs="Arial" w:eastAsia="Arial" w:hAnsi="Arial"/>
                <w:sz w:val="16"/>
                <w:szCs w:val="16"/>
                <w:color w:val="0000FF"/>
              </w:rPr>
              <w:t xml:space="preserve"> months ended </w:t>
            </w:r>
            <w:r>
              <w:rPr>
                <w:rFonts w:ascii="Arial" w:cs="Arial" w:eastAsia="Arial" w:hAnsi="Arial"/>
                <w:sz w:val="16"/>
                <w:szCs w:val="16"/>
                <w:color w:val="000000"/>
              </w:rPr>
              <w:t>March 31, 2022</w:t>
            </w:r>
            <w:r>
              <w:rPr>
                <w:rFonts w:ascii="Arial" w:cs="Arial" w:eastAsia="Arial" w:hAnsi="Arial"/>
                <w:sz w:val="16"/>
                <w:szCs w:val="16"/>
                <w:color w:val="0000FF"/>
              </w:rPr>
              <w:t xml:space="preserve"> and </w:t>
            </w:r>
            <w:r>
              <w:rPr>
                <w:rFonts w:ascii="Arial" w:cs="Arial" w:eastAsia="Arial" w:hAnsi="Arial"/>
                <w:sz w:val="16"/>
                <w:szCs w:val="16"/>
                <w:color w:val="000000"/>
              </w:rPr>
              <w:t>2021</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6"/>
                <w:szCs w:val="16"/>
                <w:color w:val="auto"/>
              </w:rPr>
            </w:pPr>
          </w:p>
        </w:tc>
      </w:tr>
      <w:tr>
        <w:trPr>
          <w:trHeight w:val="3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20" w:type="dxa"/>
            <w:vAlign w:val="bottom"/>
            <w:shd w:val="clear" w:color="auto" w:fill="B2B2B2"/>
          </w:tcPr>
          <w:p>
            <w:pPr>
              <w:spacing w:after="0"/>
              <w:rPr>
                <w:sz w:val="16"/>
                <w:szCs w:val="16"/>
                <w:color w:val="auto"/>
              </w:rPr>
            </w:pPr>
          </w:p>
        </w:tc>
        <w:tc>
          <w:tcPr>
            <w:tcW w:w="48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260" w:type="dxa"/>
            <w:vAlign w:val="bottom"/>
            <w:shd w:val="clear" w:color="auto" w:fill="B2B2B2"/>
          </w:tcPr>
          <w:p>
            <w:pPr>
              <w:spacing w:after="0"/>
              <w:rPr>
                <w:sz w:val="16"/>
                <w:szCs w:val="16"/>
                <w:color w:val="auto"/>
              </w:rPr>
            </w:pPr>
          </w:p>
        </w:tc>
        <w:tc>
          <w:tcPr>
            <w:tcW w:w="9720" w:type="dxa"/>
            <w:vAlign w:val="bottom"/>
            <w:gridSpan w:val="32"/>
            <w:shd w:val="clear" w:color="auto" w:fill="B2B2B2"/>
          </w:tcPr>
          <w:p>
            <w:pPr>
              <w:spacing w:after="0"/>
              <w:rPr>
                <w:sz w:val="20"/>
                <w:szCs w:val="20"/>
                <w:color w:val="auto"/>
              </w:rPr>
            </w:pPr>
            <w:r>
              <w:rPr>
                <w:rFonts w:ascii="Arial" w:cs="Arial" w:eastAsia="Arial" w:hAnsi="Arial"/>
                <w:sz w:val="16"/>
                <w:szCs w:val="16"/>
                <w:color w:val="0000FF"/>
              </w:rPr>
              <w:t>Notes to consolidated financial statements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7</w:t>
            </w:r>
          </w:p>
        </w:tc>
        <w:tc>
          <w:tcPr>
            <w:tcW w:w="20" w:type="dxa"/>
            <w:vAlign w:val="bottom"/>
            <w:shd w:val="clear" w:color="auto" w:fill="B2B2B2"/>
          </w:tcPr>
          <w:p>
            <w:pPr>
              <w:spacing w:after="0"/>
              <w:rPr>
                <w:sz w:val="16"/>
                <w:szCs w:val="16"/>
                <w:color w:val="auto"/>
              </w:rPr>
            </w:pPr>
          </w:p>
        </w:tc>
      </w:tr>
      <w:tr>
        <w:trPr>
          <w:trHeight w:val="33"/>
        </w:trPr>
        <w:tc>
          <w:tcPr>
            <w:tcW w:w="20" w:type="dxa"/>
            <w:vAlign w:val="bottom"/>
            <w:tcBorders>
              <w:top w:val="single" w:sz="8" w:color="B2B2B2"/>
            </w:tcBorders>
            <w:shd w:val="clear" w:color="auto" w:fill="B2B2B2"/>
          </w:tcPr>
          <w:p>
            <w:pPr>
              <w:spacing w:after="0"/>
              <w:rPr>
                <w:sz w:val="2"/>
                <w:szCs w:val="2"/>
                <w:color w:val="auto"/>
              </w:rPr>
            </w:pPr>
          </w:p>
        </w:tc>
        <w:tc>
          <w:tcPr>
            <w:tcW w:w="4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26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2.</w:t>
            </w:r>
          </w:p>
        </w:tc>
        <w:tc>
          <w:tcPr>
            <w:tcW w:w="9720" w:type="dxa"/>
            <w:vAlign w:val="bottom"/>
            <w:gridSpan w:val="32"/>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16"/>
                <w:szCs w:val="16"/>
                <w:color w:val="auto"/>
              </w:rPr>
            </w:pPr>
          </w:p>
        </w:tc>
      </w:tr>
      <w:tr>
        <w:trPr>
          <w:trHeight w:val="33"/>
        </w:trPr>
        <w:tc>
          <w:tcPr>
            <w:tcW w:w="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19"/>
        </w:trPr>
        <w:tc>
          <w:tcPr>
            <w:tcW w:w="20" w:type="dxa"/>
            <w:vAlign w:val="bottom"/>
            <w:tcBorders>
              <w:bottom w:val="single" w:sz="8" w:color="B2B2B2"/>
            </w:tcBorders>
            <w:shd w:val="clear" w:color="auto" w:fill="B2B2B2"/>
          </w:tcPr>
          <w:p>
            <w:pPr>
              <w:spacing w:after="0"/>
              <w:rPr>
                <w:sz w:val="19"/>
                <w:szCs w:val="19"/>
                <w:color w:val="auto"/>
              </w:rPr>
            </w:pPr>
          </w:p>
        </w:tc>
        <w:tc>
          <w:tcPr>
            <w:tcW w:w="480" w:type="dxa"/>
            <w:vAlign w:val="bottom"/>
            <w:tcBorders>
              <w:bottom w:val="single" w:sz="8" w:color="B2B2B2"/>
            </w:tcBorders>
            <w:shd w:val="clear" w:color="auto" w:fill="B2B2B2"/>
          </w:tcPr>
          <w:p>
            <w:pPr>
              <w:spacing w:after="0"/>
              <w:rPr>
                <w:sz w:val="19"/>
                <w:szCs w:val="19"/>
                <w:color w:val="auto"/>
              </w:rPr>
            </w:pPr>
          </w:p>
        </w:tc>
        <w:tc>
          <w:tcPr>
            <w:tcW w:w="120" w:type="dxa"/>
            <w:vAlign w:val="bottom"/>
            <w:tcBorders>
              <w:bottom w:val="single" w:sz="8" w:color="B2B2B2"/>
            </w:tcBorders>
            <w:shd w:val="clear" w:color="auto" w:fill="B2B2B2"/>
          </w:tcPr>
          <w:p>
            <w:pPr>
              <w:spacing w:after="0"/>
              <w:rPr>
                <w:sz w:val="19"/>
                <w:szCs w:val="19"/>
                <w:color w:val="auto"/>
              </w:rPr>
            </w:pPr>
          </w:p>
        </w:tc>
        <w:tc>
          <w:tcPr>
            <w:tcW w:w="260" w:type="dxa"/>
            <w:vAlign w:val="bottom"/>
            <w:tcBorders>
              <w:bottom w:val="single" w:sz="8" w:color="B2B2B2"/>
            </w:tcBorders>
            <w:shd w:val="clear" w:color="auto" w:fill="B2B2B2"/>
          </w:tcPr>
          <w:p>
            <w:pPr>
              <w:spacing w:after="0"/>
              <w:rPr>
                <w:sz w:val="19"/>
                <w:szCs w:val="19"/>
                <w:color w:val="auto"/>
              </w:rPr>
            </w:pPr>
          </w:p>
        </w:tc>
        <w:tc>
          <w:tcPr>
            <w:tcW w:w="1960" w:type="dxa"/>
            <w:vAlign w:val="bottom"/>
            <w:tcBorders>
              <w:bottom w:val="single" w:sz="8" w:color="0000FF"/>
            </w:tcBorders>
            <w:gridSpan w:val="8"/>
            <w:shd w:val="clear" w:color="auto" w:fill="B2B2B2"/>
          </w:tcPr>
          <w:p>
            <w:pPr>
              <w:spacing w:after="0"/>
              <w:rPr>
                <w:sz w:val="20"/>
                <w:szCs w:val="20"/>
                <w:color w:val="auto"/>
              </w:rPr>
            </w:pPr>
            <w:r>
              <w:rPr>
                <w:rFonts w:ascii="Arial" w:cs="Arial" w:eastAsia="Arial" w:hAnsi="Arial"/>
                <w:sz w:val="16"/>
                <w:szCs w:val="16"/>
                <w:color w:val="0000FF"/>
                <w:w w:val="98"/>
              </w:rPr>
              <w:t>Forward-looking statements</w:t>
            </w:r>
          </w:p>
        </w:tc>
        <w:tc>
          <w:tcPr>
            <w:tcW w:w="7760" w:type="dxa"/>
            <w:vAlign w:val="bottom"/>
            <w:tcBorders>
              <w:bottom w:val="single" w:sz="8" w:color="B2B2B2"/>
            </w:tcBorders>
            <w:gridSpan w:val="24"/>
            <w:shd w:val="clear" w:color="auto" w:fill="B2B2B2"/>
          </w:tcPr>
          <w:p>
            <w:pPr>
              <w:spacing w:after="0"/>
              <w:rPr>
                <w:sz w:val="19"/>
                <w:szCs w:val="19"/>
                <w:color w:val="auto"/>
              </w:rPr>
            </w:pPr>
          </w:p>
        </w:tc>
        <w:tc>
          <w:tcPr>
            <w:tcW w:w="440" w:type="dxa"/>
            <w:vAlign w:val="bottom"/>
            <w:tcBorders>
              <w:bottom w:val="single" w:sz="8" w:color="B2B2B2"/>
            </w:tcBorders>
            <w:shd w:val="clear" w:color="auto" w:fill="B2B2B2"/>
          </w:tcPr>
          <w:p>
            <w:pPr>
              <w:spacing w:after="0"/>
              <w:rPr>
                <w:sz w:val="19"/>
                <w:szCs w:val="19"/>
                <w:color w:val="auto"/>
              </w:rPr>
            </w:pPr>
          </w:p>
        </w:tc>
        <w:tc>
          <w:tcPr>
            <w:tcW w:w="180" w:type="dxa"/>
            <w:vAlign w:val="bottom"/>
            <w:tcBorders>
              <w:bottom w:val="single" w:sz="8" w:color="0000FF"/>
            </w:tcBorders>
            <w:gridSpan w:val="2"/>
            <w:shd w:val="clear" w:color="auto" w:fill="B2B2B2"/>
          </w:tcPr>
          <w:p>
            <w:pPr>
              <w:jc w:val="right"/>
              <w:spacing w:after="0"/>
              <w:rPr>
                <w:sz w:val="20"/>
                <w:szCs w:val="20"/>
                <w:color w:val="auto"/>
              </w:rPr>
            </w:pPr>
            <w:r>
              <w:rPr>
                <w:rFonts w:ascii="Arial" w:cs="Arial" w:eastAsia="Arial" w:hAnsi="Arial"/>
                <w:sz w:val="16"/>
                <w:szCs w:val="16"/>
                <w:color w:val="0000FF"/>
                <w:w w:val="89"/>
              </w:rPr>
              <w:t>21</w:t>
            </w:r>
          </w:p>
        </w:tc>
        <w:tc>
          <w:tcPr>
            <w:tcW w:w="20" w:type="dxa"/>
            <w:vAlign w:val="bottom"/>
            <w:tcBorders>
              <w:bottom w:val="single" w:sz="8" w:color="B2B2B2"/>
            </w:tcBorders>
            <w:shd w:val="clear" w:color="auto" w:fill="B2B2B2"/>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720" w:type="dxa"/>
            <w:vAlign w:val="bottom"/>
            <w:gridSpan w:val="32"/>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32</w:t>
            </w:r>
          </w:p>
        </w:tc>
        <w:tc>
          <w:tcPr>
            <w:tcW w:w="20" w:type="dxa"/>
            <w:vAlign w:val="bottom"/>
          </w:tcPr>
          <w:p>
            <w:pPr>
              <w:spacing w:after="0"/>
              <w:rPr>
                <w:sz w:val="16"/>
                <w:szCs w:val="16"/>
                <w:color w:val="auto"/>
              </w:rPr>
            </w:pPr>
          </w:p>
        </w:tc>
      </w:tr>
      <w:tr>
        <w:trPr>
          <w:trHeight w:val="33"/>
        </w:trPr>
        <w:tc>
          <w:tcPr>
            <w:tcW w:w="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shd w:val="clear" w:color="auto" w:fill="B2B2B2"/>
          </w:tcPr>
          <w:p>
            <w:pPr>
              <w:spacing w:after="0"/>
              <w:rPr>
                <w:sz w:val="16"/>
                <w:szCs w:val="16"/>
                <w:color w:val="auto"/>
              </w:rPr>
            </w:pPr>
          </w:p>
        </w:tc>
        <w:tc>
          <w:tcPr>
            <w:tcW w:w="86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720" w:type="dxa"/>
            <w:vAlign w:val="bottom"/>
            <w:gridSpan w:val="32"/>
            <w:shd w:val="clear" w:color="auto" w:fill="B2B2B2"/>
          </w:tcPr>
          <w:p>
            <w:pPr>
              <w:spacing w:after="0"/>
              <w:rPr>
                <w:sz w:val="20"/>
                <w:szCs w:val="20"/>
                <w:color w:val="auto"/>
              </w:rPr>
            </w:pPr>
            <w:r>
              <w:rPr>
                <w:rFonts w:ascii="Arial" w:cs="Arial" w:eastAsia="Arial" w:hAnsi="Arial"/>
                <w:sz w:val="16"/>
                <w:szCs w:val="16"/>
                <w:color w:val="0000FF"/>
              </w:rPr>
              <w:t>Controls and Procedures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32</w:t>
            </w:r>
          </w:p>
        </w:tc>
        <w:tc>
          <w:tcPr>
            <w:tcW w:w="20" w:type="dxa"/>
            <w:vAlign w:val="bottom"/>
            <w:shd w:val="clear" w:color="auto" w:fill="B2B2B2"/>
          </w:tcPr>
          <w:p>
            <w:pPr>
              <w:spacing w:after="0"/>
              <w:rPr>
                <w:sz w:val="16"/>
                <w:szCs w:val="16"/>
                <w:color w:val="auto"/>
              </w:rPr>
            </w:pPr>
          </w:p>
        </w:tc>
      </w:tr>
      <w:tr>
        <w:trPr>
          <w:trHeight w:val="33"/>
        </w:trPr>
        <w:tc>
          <w:tcPr>
            <w:tcW w:w="20" w:type="dxa"/>
            <w:vAlign w:val="bottom"/>
            <w:tcBorders>
              <w:top w:val="single" w:sz="8" w:color="B2B2B2"/>
            </w:tcBorders>
            <w:shd w:val="clear" w:color="auto" w:fill="B2B2B2"/>
          </w:tcPr>
          <w:p>
            <w:pPr>
              <w:spacing w:after="0"/>
              <w:rPr>
                <w:sz w:val="2"/>
                <w:szCs w:val="2"/>
                <w:color w:val="auto"/>
              </w:rPr>
            </w:pPr>
          </w:p>
        </w:tc>
        <w:tc>
          <w:tcPr>
            <w:tcW w:w="48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26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234"/>
        </w:trPr>
        <w:tc>
          <w:tcPr>
            <w:tcW w:w="20" w:type="dxa"/>
            <w:vAlign w:val="bottom"/>
          </w:tcPr>
          <w:p>
            <w:pPr>
              <w:spacing w:after="0"/>
              <w:rPr>
                <w:sz w:val="20"/>
                <w:szCs w:val="20"/>
                <w:color w:val="auto"/>
              </w:rPr>
            </w:pPr>
          </w:p>
        </w:tc>
        <w:tc>
          <w:tcPr>
            <w:tcW w:w="10580" w:type="dxa"/>
            <w:vAlign w:val="bottom"/>
            <w:gridSpan w:val="35"/>
          </w:tcPr>
          <w:p>
            <w:pPr>
              <w:spacing w:after="0"/>
              <w:rPr>
                <w:sz w:val="20"/>
                <w:szCs w:val="20"/>
                <w:color w:val="auto"/>
              </w:rPr>
            </w:pPr>
            <w:r>
              <w:rPr>
                <w:rFonts w:ascii="Arial" w:cs="Arial" w:eastAsia="Arial" w:hAnsi="Arial"/>
                <w:sz w:val="16"/>
                <w:szCs w:val="16"/>
                <w:b w:val="1"/>
                <w:bCs w:val="1"/>
                <w:color w:val="0000FF"/>
              </w:rPr>
              <w:t>Part II Other Information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0"/>
        </w:trPr>
        <w:tc>
          <w:tcPr>
            <w:tcW w:w="20" w:type="dxa"/>
            <w:vAlign w:val="bottom"/>
            <w:shd w:val="clear" w:color="auto" w:fill="B2B2B2"/>
          </w:tcPr>
          <w:p>
            <w:pPr>
              <w:spacing w:after="0"/>
              <w:rPr>
                <w:sz w:val="16"/>
                <w:szCs w:val="16"/>
                <w:color w:val="auto"/>
              </w:rPr>
            </w:pPr>
          </w:p>
        </w:tc>
        <w:tc>
          <w:tcPr>
            <w:tcW w:w="86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1.</w:t>
            </w:r>
          </w:p>
        </w:tc>
        <w:tc>
          <w:tcPr>
            <w:tcW w:w="9720" w:type="dxa"/>
            <w:vAlign w:val="bottom"/>
            <w:gridSpan w:val="32"/>
            <w:shd w:val="clear" w:color="auto" w:fill="B2B2B2"/>
          </w:tcPr>
          <w:p>
            <w:pPr>
              <w:spacing w:after="0"/>
              <w:rPr>
                <w:sz w:val="20"/>
                <w:szCs w:val="20"/>
                <w:color w:val="auto"/>
              </w:rPr>
            </w:pPr>
            <w:r>
              <w:rPr>
                <w:rFonts w:ascii="Arial" w:cs="Arial" w:eastAsia="Arial" w:hAnsi="Arial"/>
                <w:sz w:val="16"/>
                <w:szCs w:val="16"/>
                <w:color w:val="0000FF"/>
              </w:rPr>
              <w:t>Legal Proceedings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33</w:t>
            </w:r>
          </w:p>
        </w:tc>
        <w:tc>
          <w:tcPr>
            <w:tcW w:w="20" w:type="dxa"/>
            <w:vAlign w:val="bottom"/>
            <w:shd w:val="clear" w:color="auto" w:fill="B2B2B2"/>
          </w:tcPr>
          <w:p>
            <w:pPr>
              <w:spacing w:after="0"/>
              <w:rPr>
                <w:sz w:val="16"/>
                <w:szCs w:val="16"/>
                <w:color w:val="auto"/>
              </w:rPr>
            </w:pPr>
          </w:p>
        </w:tc>
      </w:tr>
      <w:tr>
        <w:trPr>
          <w:trHeight w:val="33"/>
        </w:trPr>
        <w:tc>
          <w:tcPr>
            <w:tcW w:w="20" w:type="dxa"/>
            <w:vAlign w:val="bottom"/>
            <w:tcBorders>
              <w:top w:val="single" w:sz="8" w:color="B2B2B2"/>
            </w:tcBorders>
            <w:shd w:val="clear" w:color="auto" w:fill="B2B2B2"/>
          </w:tcPr>
          <w:p>
            <w:pPr>
              <w:spacing w:after="0"/>
              <w:rPr>
                <w:sz w:val="2"/>
                <w:szCs w:val="2"/>
                <w:color w:val="auto"/>
              </w:rPr>
            </w:pPr>
          </w:p>
        </w:tc>
        <w:tc>
          <w:tcPr>
            <w:tcW w:w="48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26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720" w:type="dxa"/>
            <w:vAlign w:val="bottom"/>
            <w:gridSpan w:val="32"/>
          </w:tcPr>
          <w:p>
            <w:pPr>
              <w:spacing w:after="0"/>
              <w:rPr>
                <w:sz w:val="20"/>
                <w:szCs w:val="20"/>
                <w:color w:val="auto"/>
              </w:rPr>
            </w:pPr>
            <w:r>
              <w:rPr>
                <w:rFonts w:ascii="Arial" w:cs="Arial" w:eastAsia="Arial" w:hAnsi="Arial"/>
                <w:sz w:val="16"/>
                <w:szCs w:val="16"/>
                <w:color w:val="0000FF"/>
              </w:rPr>
              <w:t>Risk Factors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33</w:t>
            </w:r>
          </w:p>
        </w:tc>
        <w:tc>
          <w:tcPr>
            <w:tcW w:w="20" w:type="dxa"/>
            <w:vAlign w:val="bottom"/>
          </w:tcPr>
          <w:p>
            <w:pPr>
              <w:spacing w:after="0"/>
              <w:rPr>
                <w:sz w:val="16"/>
                <w:szCs w:val="16"/>
                <w:color w:val="auto"/>
              </w:rPr>
            </w:pPr>
          </w:p>
        </w:tc>
      </w:tr>
      <w:tr>
        <w:trPr>
          <w:trHeight w:val="33"/>
        </w:trPr>
        <w:tc>
          <w:tcPr>
            <w:tcW w:w="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shd w:val="clear" w:color="auto" w:fill="B2B2B2"/>
          </w:tcPr>
          <w:p>
            <w:pPr>
              <w:spacing w:after="0"/>
              <w:rPr>
                <w:sz w:val="16"/>
                <w:szCs w:val="16"/>
                <w:color w:val="auto"/>
              </w:rPr>
            </w:pPr>
          </w:p>
        </w:tc>
        <w:tc>
          <w:tcPr>
            <w:tcW w:w="86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2.</w:t>
            </w:r>
          </w:p>
        </w:tc>
        <w:tc>
          <w:tcPr>
            <w:tcW w:w="9720" w:type="dxa"/>
            <w:vAlign w:val="bottom"/>
            <w:gridSpan w:val="32"/>
            <w:shd w:val="clear" w:color="auto" w:fill="B2B2B2"/>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33</w:t>
            </w:r>
          </w:p>
        </w:tc>
        <w:tc>
          <w:tcPr>
            <w:tcW w:w="20" w:type="dxa"/>
            <w:vAlign w:val="bottom"/>
            <w:shd w:val="clear" w:color="auto" w:fill="B2B2B2"/>
          </w:tcPr>
          <w:p>
            <w:pPr>
              <w:spacing w:after="0"/>
              <w:rPr>
                <w:sz w:val="16"/>
                <w:szCs w:val="16"/>
                <w:color w:val="auto"/>
              </w:rPr>
            </w:pPr>
          </w:p>
        </w:tc>
      </w:tr>
      <w:tr>
        <w:trPr>
          <w:trHeight w:val="33"/>
        </w:trPr>
        <w:tc>
          <w:tcPr>
            <w:tcW w:w="20" w:type="dxa"/>
            <w:vAlign w:val="bottom"/>
            <w:tcBorders>
              <w:top w:val="single" w:sz="8" w:color="B2B2B2"/>
            </w:tcBorders>
            <w:shd w:val="clear" w:color="auto" w:fill="B2B2B2"/>
          </w:tcPr>
          <w:p>
            <w:pPr>
              <w:spacing w:after="0"/>
              <w:rPr>
                <w:sz w:val="2"/>
                <w:szCs w:val="2"/>
                <w:color w:val="auto"/>
              </w:rPr>
            </w:pPr>
          </w:p>
        </w:tc>
        <w:tc>
          <w:tcPr>
            <w:tcW w:w="48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26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5"/>
        </w:trPr>
        <w:tc>
          <w:tcPr>
            <w:tcW w:w="2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720" w:type="dxa"/>
            <w:vAlign w:val="bottom"/>
            <w:gridSpan w:val="32"/>
          </w:tcPr>
          <w:p>
            <w:pPr>
              <w:spacing w:after="0"/>
              <w:rPr>
                <w:sz w:val="20"/>
                <w:szCs w:val="20"/>
                <w:color w:val="auto"/>
              </w:rPr>
            </w:pPr>
            <w:r>
              <w:rPr>
                <w:rFonts w:ascii="Arial" w:cs="Arial" w:eastAsia="Arial" w:hAnsi="Arial"/>
                <w:sz w:val="16"/>
                <w:szCs w:val="16"/>
                <w:color w:val="0000FF"/>
              </w:rPr>
              <w:t>Defaults upon Senior Securities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34</w:t>
            </w:r>
          </w:p>
        </w:tc>
        <w:tc>
          <w:tcPr>
            <w:tcW w:w="20" w:type="dxa"/>
            <w:vAlign w:val="bottom"/>
          </w:tcPr>
          <w:p>
            <w:pPr>
              <w:spacing w:after="0"/>
              <w:rPr>
                <w:sz w:val="16"/>
                <w:szCs w:val="16"/>
                <w:color w:val="auto"/>
              </w:rPr>
            </w:pPr>
          </w:p>
        </w:tc>
      </w:tr>
      <w:tr>
        <w:trPr>
          <w:trHeight w:val="33"/>
        </w:trPr>
        <w:tc>
          <w:tcPr>
            <w:tcW w:w="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shd w:val="clear" w:color="auto" w:fill="B2B2B2"/>
          </w:tcPr>
          <w:p>
            <w:pPr>
              <w:spacing w:after="0"/>
              <w:rPr>
                <w:sz w:val="16"/>
                <w:szCs w:val="16"/>
                <w:color w:val="auto"/>
              </w:rPr>
            </w:pPr>
          </w:p>
        </w:tc>
        <w:tc>
          <w:tcPr>
            <w:tcW w:w="86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720" w:type="dxa"/>
            <w:vAlign w:val="bottom"/>
            <w:gridSpan w:val="32"/>
            <w:shd w:val="clear" w:color="auto" w:fill="B2B2B2"/>
          </w:tcPr>
          <w:p>
            <w:pPr>
              <w:spacing w:after="0"/>
              <w:rPr>
                <w:sz w:val="20"/>
                <w:szCs w:val="20"/>
                <w:color w:val="auto"/>
              </w:rPr>
            </w:pPr>
            <w:r>
              <w:rPr>
                <w:rFonts w:ascii="Arial" w:cs="Arial" w:eastAsia="Arial" w:hAnsi="Arial"/>
                <w:sz w:val="16"/>
                <w:szCs w:val="16"/>
                <w:color w:val="0000FF"/>
              </w:rPr>
              <w:t>Mine Safety Disclosures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34</w:t>
            </w:r>
          </w:p>
        </w:tc>
        <w:tc>
          <w:tcPr>
            <w:tcW w:w="20" w:type="dxa"/>
            <w:vAlign w:val="bottom"/>
            <w:shd w:val="clear" w:color="auto" w:fill="B2B2B2"/>
          </w:tcPr>
          <w:p>
            <w:pPr>
              <w:spacing w:after="0"/>
              <w:rPr>
                <w:sz w:val="16"/>
                <w:szCs w:val="16"/>
                <w:color w:val="auto"/>
              </w:rPr>
            </w:pPr>
          </w:p>
        </w:tc>
      </w:tr>
      <w:tr>
        <w:trPr>
          <w:trHeight w:val="33"/>
        </w:trPr>
        <w:tc>
          <w:tcPr>
            <w:tcW w:w="20" w:type="dxa"/>
            <w:vAlign w:val="bottom"/>
            <w:tcBorders>
              <w:top w:val="single" w:sz="8" w:color="B2B2B2"/>
            </w:tcBorders>
            <w:shd w:val="clear" w:color="auto" w:fill="B2B2B2"/>
          </w:tcPr>
          <w:p>
            <w:pPr>
              <w:spacing w:after="0"/>
              <w:rPr>
                <w:sz w:val="2"/>
                <w:szCs w:val="2"/>
                <w:color w:val="auto"/>
              </w:rPr>
            </w:pPr>
          </w:p>
        </w:tc>
        <w:tc>
          <w:tcPr>
            <w:tcW w:w="48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26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720" w:type="dxa"/>
            <w:vAlign w:val="bottom"/>
            <w:gridSpan w:val="32"/>
          </w:tcPr>
          <w:p>
            <w:pPr>
              <w:spacing w:after="0"/>
              <w:rPr>
                <w:sz w:val="20"/>
                <w:szCs w:val="20"/>
                <w:color w:val="auto"/>
              </w:rPr>
            </w:pPr>
            <w:r>
              <w:rPr>
                <w:rFonts w:ascii="Arial" w:cs="Arial" w:eastAsia="Arial" w:hAnsi="Arial"/>
                <w:sz w:val="16"/>
                <w:szCs w:val="16"/>
                <w:color w:val="0000FF"/>
              </w:rPr>
              <w:t>Other Information</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34</w:t>
            </w:r>
          </w:p>
        </w:tc>
        <w:tc>
          <w:tcPr>
            <w:tcW w:w="20" w:type="dxa"/>
            <w:vAlign w:val="bottom"/>
          </w:tcPr>
          <w:p>
            <w:pPr>
              <w:spacing w:after="0"/>
              <w:rPr>
                <w:sz w:val="16"/>
                <w:szCs w:val="16"/>
                <w:color w:val="auto"/>
              </w:rPr>
            </w:pPr>
          </w:p>
        </w:tc>
      </w:tr>
      <w:tr>
        <w:trPr>
          <w:trHeight w:val="33"/>
        </w:trPr>
        <w:tc>
          <w:tcPr>
            <w:tcW w:w="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0" w:type="dxa"/>
            <w:vAlign w:val="bottom"/>
            <w:shd w:val="clear" w:color="auto" w:fill="B2B2B2"/>
          </w:tcPr>
          <w:p>
            <w:pPr>
              <w:spacing w:after="0"/>
              <w:rPr>
                <w:sz w:val="19"/>
                <w:szCs w:val="19"/>
                <w:color w:val="auto"/>
              </w:rPr>
            </w:pPr>
          </w:p>
        </w:tc>
        <w:tc>
          <w:tcPr>
            <w:tcW w:w="86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6.</w:t>
            </w:r>
          </w:p>
        </w:tc>
        <w:tc>
          <w:tcPr>
            <w:tcW w:w="9720" w:type="dxa"/>
            <w:vAlign w:val="bottom"/>
            <w:gridSpan w:val="32"/>
            <w:shd w:val="clear" w:color="auto" w:fill="B2B2B2"/>
          </w:tcPr>
          <w:p>
            <w:pPr>
              <w:spacing w:after="0"/>
              <w:rPr>
                <w:sz w:val="20"/>
                <w:szCs w:val="20"/>
                <w:color w:val="auto"/>
              </w:rPr>
            </w:pPr>
            <w:r>
              <w:rPr>
                <w:rFonts w:ascii="Arial" w:cs="Arial" w:eastAsia="Arial" w:hAnsi="Arial"/>
                <w:sz w:val="16"/>
                <w:szCs w:val="16"/>
                <w:color w:val="0000FF"/>
              </w:rPr>
              <w:t>Exhibits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34</w:t>
            </w:r>
          </w:p>
        </w:tc>
        <w:tc>
          <w:tcPr>
            <w:tcW w:w="20" w:type="dxa"/>
            <w:vAlign w:val="bottom"/>
            <w:shd w:val="clear" w:color="auto" w:fill="B2B2B2"/>
          </w:tcPr>
          <w:p>
            <w:pPr>
              <w:spacing w:after="0"/>
              <w:rPr>
                <w:sz w:val="19"/>
                <w:szCs w:val="19"/>
                <w:color w:val="auto"/>
              </w:rPr>
            </w:pPr>
          </w:p>
        </w:tc>
      </w:tr>
      <w:tr>
        <w:trPr>
          <w:trHeight w:val="987"/>
        </w:trPr>
        <w:tc>
          <w:tcPr>
            <w:tcW w:w="20" w:type="dxa"/>
            <w:vAlign w:val="bottom"/>
            <w:tcBorders>
              <w:top w:val="single" w:sz="8" w:color="B2B2B2"/>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8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66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540" w:type="dxa"/>
            <w:vAlign w:val="bottom"/>
            <w:tcBorders>
              <w:top w:val="single" w:sz="8" w:color="B2B2B2"/>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260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ALBANY INTERNATIONAL CORP.</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INCOME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4"/>
                <w:szCs w:val="14"/>
                <w:color w:val="auto"/>
              </w:rPr>
            </w:pPr>
          </w:p>
        </w:tc>
      </w:tr>
      <w:tr>
        <w:trPr>
          <w:trHeight w:val="185"/>
        </w:trPr>
        <w:tc>
          <w:tcPr>
            <w:tcW w:w="7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92"/>
        </w:trPr>
        <w:tc>
          <w:tcPr>
            <w:tcW w:w="75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2021</w:t>
            </w:r>
          </w:p>
        </w:tc>
      </w:tr>
      <w:tr>
        <w:trPr>
          <w:trHeight w:val="20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244,169</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222,362</w:t>
            </w:r>
          </w:p>
        </w:tc>
      </w:tr>
      <w:tr>
        <w:trPr>
          <w:trHeight w:val="211"/>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152,565</w:t>
            </w:r>
          </w:p>
        </w:tc>
        <w:tc>
          <w:tcPr>
            <w:tcW w:w="3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133,816</w:t>
            </w:r>
          </w:p>
        </w:tc>
      </w:tr>
      <w:tr>
        <w:trPr>
          <w:trHeight w:val="233"/>
        </w:trPr>
        <w:tc>
          <w:tcPr>
            <w:tcW w:w="7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1"/>
        </w:trPr>
        <w:tc>
          <w:tcPr>
            <w:tcW w:w="7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91,604</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88,546</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42,707</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37,195</w:t>
            </w:r>
          </w:p>
        </w:tc>
      </w:tr>
      <w:tr>
        <w:trPr>
          <w:trHeight w:val="211"/>
        </w:trPr>
        <w:tc>
          <w:tcPr>
            <w:tcW w:w="750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9,889</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9,481</w:t>
            </w: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3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3"/>
        </w:trPr>
        <w:tc>
          <w:tcPr>
            <w:tcW w:w="7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38,754</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41,818</w:t>
            </w:r>
          </w:p>
        </w:tc>
      </w:tr>
      <w:tr>
        <w:trPr>
          <w:trHeight w:val="211"/>
        </w:trPr>
        <w:tc>
          <w:tcPr>
            <w:tcW w:w="75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3,609</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3,569</w:t>
            </w: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expense/(income), net</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(3,928)</w:t>
            </w:r>
          </w:p>
        </w:tc>
        <w:tc>
          <w:tcPr>
            <w:tcW w:w="3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3"/>
        </w:trPr>
        <w:tc>
          <w:tcPr>
            <w:tcW w:w="7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39,073</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37,649</w:t>
            </w:r>
          </w:p>
        </w:tc>
      </w:tr>
      <w:tr>
        <w:trPr>
          <w:trHeight w:val="211"/>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10,998</w:t>
            </w:r>
          </w:p>
        </w:tc>
        <w:tc>
          <w:tcPr>
            <w:tcW w:w="3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10,040</w:t>
            </w:r>
          </w:p>
        </w:tc>
      </w:tr>
      <w:tr>
        <w:trPr>
          <w:trHeight w:val="233"/>
        </w:trPr>
        <w:tc>
          <w:tcPr>
            <w:tcW w:w="7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1"/>
        </w:trPr>
        <w:tc>
          <w:tcPr>
            <w:tcW w:w="7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28,075</w:t>
            </w:r>
          </w:p>
        </w:tc>
        <w:tc>
          <w:tcPr>
            <w:tcW w:w="340" w:type="dxa"/>
            <w:vAlign w:val="bottom"/>
          </w:tcPr>
          <w:p>
            <w:pPr>
              <w:spacing w:after="0"/>
              <w:rPr>
                <w:sz w:val="18"/>
                <w:szCs w:val="18"/>
                <w:color w:val="auto"/>
              </w:rPr>
            </w:pPr>
          </w:p>
        </w:tc>
        <w:tc>
          <w:tcPr>
            <w:tcW w:w="660" w:type="dxa"/>
            <w:vAlign w:val="bottom"/>
          </w:tcPr>
          <w:p>
            <w:pPr>
              <w:jc w:val="right"/>
              <w:ind w:right="4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27,609</w:t>
            </w: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3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6"/>
        </w:trPr>
        <w:tc>
          <w:tcPr>
            <w:tcW w:w="7500" w:type="dxa"/>
            <w:vAlign w:val="bottom"/>
          </w:tcPr>
          <w:p>
            <w:pPr>
              <w:ind w:left="20"/>
              <w:spacing w:after="0"/>
              <w:rPr>
                <w:sz w:val="20"/>
                <w:szCs w:val="20"/>
                <w:color w:val="auto"/>
              </w:rPr>
            </w:pPr>
            <w:r>
              <w:rPr>
                <w:rFonts w:ascii="Arial" w:cs="Arial" w:eastAsia="Arial" w:hAnsi="Arial"/>
                <w:sz w:val="16"/>
                <w:szCs w:val="16"/>
                <w:color w:val="auto"/>
              </w:rPr>
              <w:t>Net income attributable to the Company</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27,737</w:t>
            </w:r>
          </w:p>
        </w:tc>
        <w:tc>
          <w:tcPr>
            <w:tcW w:w="340" w:type="dxa"/>
            <w:vAlign w:val="bottom"/>
          </w:tcPr>
          <w:p>
            <w:pPr>
              <w:spacing w:after="0"/>
              <w:rPr>
                <w:sz w:val="17"/>
                <w:szCs w:val="17"/>
                <w:color w:val="auto"/>
              </w:rPr>
            </w:pPr>
          </w:p>
        </w:tc>
        <w:tc>
          <w:tcPr>
            <w:tcW w:w="6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27,582</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8"/>
        </w:trPr>
        <w:tc>
          <w:tcPr>
            <w:tcW w:w="7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1"/>
        </w:trPr>
        <w:tc>
          <w:tcPr>
            <w:tcW w:w="750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0.87</w:t>
            </w:r>
          </w:p>
        </w:tc>
        <w:tc>
          <w:tcPr>
            <w:tcW w:w="340" w:type="dxa"/>
            <w:vAlign w:val="bottom"/>
          </w:tcPr>
          <w:p>
            <w:pPr>
              <w:spacing w:after="0"/>
              <w:rPr>
                <w:sz w:val="18"/>
                <w:szCs w:val="18"/>
                <w:color w:val="auto"/>
              </w:rPr>
            </w:pPr>
          </w:p>
        </w:tc>
        <w:tc>
          <w:tcPr>
            <w:tcW w:w="660" w:type="dxa"/>
            <w:vAlign w:val="bottom"/>
          </w:tcPr>
          <w:p>
            <w:pPr>
              <w:jc w:val="right"/>
              <w:ind w:right="4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0.85</w:t>
            </w:r>
          </w:p>
        </w:tc>
      </w:tr>
      <w:tr>
        <w:trPr>
          <w:trHeight w:val="253"/>
        </w:trPr>
        <w:tc>
          <w:tcPr>
            <w:tcW w:w="7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11"/>
        </w:trPr>
        <w:tc>
          <w:tcPr>
            <w:tcW w:w="750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0.87</w:t>
            </w:r>
          </w:p>
        </w:tc>
        <w:tc>
          <w:tcPr>
            <w:tcW w:w="340" w:type="dxa"/>
            <w:vAlign w:val="bottom"/>
          </w:tcPr>
          <w:p>
            <w:pPr>
              <w:spacing w:after="0"/>
              <w:rPr>
                <w:sz w:val="18"/>
                <w:szCs w:val="18"/>
                <w:color w:val="auto"/>
              </w:rPr>
            </w:pPr>
          </w:p>
        </w:tc>
        <w:tc>
          <w:tcPr>
            <w:tcW w:w="660" w:type="dxa"/>
            <w:vAlign w:val="bottom"/>
          </w:tcPr>
          <w:p>
            <w:pPr>
              <w:jc w:val="right"/>
              <w:ind w:right="4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0.85</w:t>
            </w:r>
          </w:p>
        </w:tc>
      </w:tr>
      <w:tr>
        <w:trPr>
          <w:trHeight w:val="253"/>
        </w:trPr>
        <w:tc>
          <w:tcPr>
            <w:tcW w:w="7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11"/>
        </w:trPr>
        <w:tc>
          <w:tcPr>
            <w:tcW w:w="750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31,877</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32,352</w:t>
            </w:r>
          </w:p>
        </w:tc>
      </w:tr>
      <w:tr>
        <w:trPr>
          <w:trHeight w:val="252"/>
        </w:trPr>
        <w:tc>
          <w:tcPr>
            <w:tcW w:w="7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32,401</w:t>
            </w:r>
          </w:p>
        </w:tc>
      </w:tr>
      <w:tr>
        <w:trPr>
          <w:trHeight w:val="252"/>
        </w:trPr>
        <w:tc>
          <w:tcPr>
            <w:tcW w:w="7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share, Class A and Class B</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r>
    </w:tbl>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Three Months Ended</w:t>
      </w:r>
    </w:p>
    <w:p>
      <w:pPr>
        <w:jc w:val="center"/>
        <w:ind w:left="8500"/>
        <w:spacing w:after="0"/>
        <w:rPr>
          <w:sz w:val="20"/>
          <w:szCs w:val="20"/>
          <w:color w:val="auto"/>
        </w:rPr>
      </w:pPr>
      <w:r>
        <w:rPr>
          <w:rFonts w:ascii="Arial" w:cs="Arial" w:eastAsia="Arial" w:hAnsi="Arial"/>
          <w:sz w:val="14"/>
          <w:szCs w:val="14"/>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r>
      <w:tr>
        <w:trPr>
          <w:trHeight w:val="205"/>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27,609</w:t>
            </w:r>
          </w:p>
        </w:tc>
      </w:tr>
      <w:tr>
        <w:trPr>
          <w:trHeight w:val="252"/>
        </w:trPr>
        <w:tc>
          <w:tcPr>
            <w:tcW w:w="8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8520" w:type="dxa"/>
            <w:vAlign w:val="bottom"/>
          </w:tcPr>
          <w:p>
            <w:pPr>
              <w:ind w:left="140"/>
              <w:spacing w:after="0"/>
              <w:rPr>
                <w:sz w:val="20"/>
                <w:szCs w:val="20"/>
                <w:color w:val="auto"/>
              </w:rPr>
            </w:pPr>
            <w:r>
              <w:rPr>
                <w:rFonts w:ascii="Arial" w:cs="Arial" w:eastAsia="Arial" w:hAnsi="Arial"/>
                <w:sz w:val="16"/>
                <w:szCs w:val="16"/>
                <w:color w:val="auto"/>
              </w:rPr>
              <w:t>Foreign currency translation and other adjustments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(15,439)</w:t>
            </w:r>
          </w:p>
        </w:tc>
      </w:tr>
      <w:tr>
        <w:trPr>
          <w:trHeight w:val="213"/>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8520" w:type="dxa"/>
            <w:vAlign w:val="bottom"/>
          </w:tcPr>
          <w:p>
            <w:pPr>
              <w:ind w:left="220"/>
              <w:spacing w:after="0"/>
              <w:rPr>
                <w:sz w:val="20"/>
                <w:szCs w:val="20"/>
                <w:color w:val="auto"/>
              </w:rPr>
            </w:pPr>
            <w:r>
              <w:rPr>
                <w:rFonts w:ascii="Arial" w:cs="Arial" w:eastAsia="Arial" w:hAnsi="Arial"/>
                <w:sz w:val="16"/>
                <w:szCs w:val="16"/>
                <w:color w:val="auto"/>
              </w:rPr>
              <w:t>Prior service credit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(1,119)</w:t>
            </w:r>
          </w:p>
        </w:tc>
      </w:tr>
      <w:tr>
        <w:trPr>
          <w:trHeight w:val="213"/>
        </w:trPr>
        <w:tc>
          <w:tcPr>
            <w:tcW w:w="8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actuarial 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r>
      <w:tr>
        <w:trPr>
          <w:trHeight w:val="211"/>
        </w:trPr>
        <w:tc>
          <w:tcPr>
            <w:tcW w:w="852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1,476</w:t>
            </w:r>
          </w:p>
        </w:tc>
      </w:tr>
      <w:tr>
        <w:trPr>
          <w:trHeight w:val="213"/>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52"/>
        </w:trPr>
        <w:tc>
          <w:tcPr>
            <w:tcW w:w="8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852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213"/>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1"/>
        </w:trPr>
        <w:tc>
          <w:tcPr>
            <w:tcW w:w="852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40"/>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(2,969)</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04"/>
        </w:trPr>
        <w:tc>
          <w:tcPr>
            <w:tcW w:w="8520" w:type="dxa"/>
            <w:vAlign w:val="bottom"/>
          </w:tcPr>
          <w:p>
            <w:pPr>
              <w:ind w:left="140"/>
              <w:spacing w:after="0"/>
              <w:rPr>
                <w:sz w:val="20"/>
                <w:szCs w:val="20"/>
                <w:color w:val="auto"/>
              </w:rPr>
            </w:pPr>
            <w:r>
              <w:rPr>
                <w:rFonts w:ascii="Arial" w:cs="Arial" w:eastAsia="Arial" w:hAnsi="Arial"/>
                <w:sz w:val="16"/>
                <w:szCs w:val="16"/>
                <w:color w:val="auto"/>
              </w:rPr>
              <w:t>Comprehensive income/(loss)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12,915</w:t>
            </w:r>
          </w:p>
        </w:tc>
      </w:tr>
      <w:tr>
        <w:trPr>
          <w:trHeight w:val="212"/>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income/(loss) attributable to the 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6"/>
        </w:trPr>
        <w:tc>
          <w:tcPr>
            <w:tcW w:w="8520" w:type="dxa"/>
            <w:vAlign w:val="bottom"/>
          </w:tcPr>
          <w:p>
            <w:pPr>
              <w:ind w:left="20"/>
              <w:spacing w:after="0"/>
              <w:rPr>
                <w:sz w:val="20"/>
                <w:szCs w:val="20"/>
                <w:color w:val="auto"/>
              </w:rPr>
            </w:pPr>
            <w:r>
              <w:rPr>
                <w:rFonts w:ascii="Arial" w:cs="Arial" w:eastAsia="Arial" w:hAnsi="Arial"/>
                <w:sz w:val="16"/>
                <w:szCs w:val="16"/>
                <w:color w:val="auto"/>
              </w:rPr>
              <w:t>Comprehensive income/(loss) attributable to the Company</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13,098</w:t>
            </w: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307,415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302,036</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207,555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191,985</w:t>
            </w:r>
          </w:p>
        </w:tc>
        <w:tc>
          <w:tcPr>
            <w:tcW w:w="0" w:type="dxa"/>
            <w:vAlign w:val="bottom"/>
          </w:tcPr>
          <w:p>
            <w:pPr>
              <w:spacing w:after="0"/>
              <w:rPr>
                <w:sz w:val="1"/>
                <w:szCs w:val="1"/>
                <w:color w:val="auto"/>
              </w:rPr>
            </w:pPr>
          </w:p>
        </w:tc>
      </w:tr>
      <w:tr>
        <w:trPr>
          <w:trHeight w:val="194"/>
        </w:trPr>
        <w:tc>
          <w:tcPr>
            <w:tcW w:w="852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112,262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112,546</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123,835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117,882</w:t>
            </w:r>
          </w:p>
        </w:tc>
        <w:tc>
          <w:tcPr>
            <w:tcW w:w="0" w:type="dxa"/>
            <w:vAlign w:val="bottom"/>
          </w:tcPr>
          <w:p>
            <w:pPr>
              <w:spacing w:after="0"/>
              <w:rPr>
                <w:sz w:val="1"/>
                <w:szCs w:val="1"/>
                <w:color w:val="auto"/>
              </w:rPr>
            </w:pPr>
          </w:p>
        </w:tc>
      </w:tr>
      <w:tr>
        <w:trPr>
          <w:trHeight w:val="194"/>
        </w:trPr>
        <w:tc>
          <w:tcPr>
            <w:tcW w:w="852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37,387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32,394</w:t>
            </w:r>
          </w:p>
        </w:tc>
        <w:tc>
          <w:tcPr>
            <w:tcW w:w="0" w:type="dxa"/>
            <w:vAlign w:val="bottom"/>
          </w:tcPr>
          <w:p>
            <w:pPr>
              <w:spacing w:after="0"/>
              <w:rPr>
                <w:sz w:val="1"/>
                <w:szCs w:val="1"/>
                <w:color w:val="auto"/>
              </w:rPr>
            </w:pPr>
          </w:p>
        </w:tc>
      </w:tr>
      <w:tr>
        <w:trPr>
          <w:trHeight w:val="188"/>
        </w:trPr>
        <w:tc>
          <w:tcPr>
            <w:tcW w:w="852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788,580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758,801</w:t>
            </w: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52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431,860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436,417</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Intangibles, net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37,170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39,081</w:t>
            </w:r>
          </w:p>
        </w:tc>
        <w:tc>
          <w:tcPr>
            <w:tcW w:w="0" w:type="dxa"/>
            <w:vAlign w:val="bottom"/>
          </w:tcPr>
          <w:p>
            <w:pPr>
              <w:spacing w:after="0"/>
              <w:rPr>
                <w:sz w:val="1"/>
                <w:szCs w:val="1"/>
                <w:color w:val="auto"/>
              </w:rPr>
            </w:pPr>
          </w:p>
        </w:tc>
      </w:tr>
      <w:tr>
        <w:trPr>
          <w:trHeight w:val="194"/>
        </w:trPr>
        <w:tc>
          <w:tcPr>
            <w:tcW w:w="852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180,785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182,124</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20,317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26,376</w:t>
            </w:r>
          </w:p>
        </w:tc>
        <w:tc>
          <w:tcPr>
            <w:tcW w:w="0" w:type="dxa"/>
            <w:vAlign w:val="bottom"/>
          </w:tcPr>
          <w:p>
            <w:pPr>
              <w:spacing w:after="0"/>
              <w:rPr>
                <w:sz w:val="1"/>
                <w:szCs w:val="1"/>
                <w:color w:val="auto"/>
              </w:rPr>
            </w:pPr>
          </w:p>
        </w:tc>
      </w:tr>
      <w:tr>
        <w:trPr>
          <w:trHeight w:val="194"/>
        </w:trPr>
        <w:tc>
          <w:tcPr>
            <w:tcW w:w="8520" w:type="dxa"/>
            <w:vAlign w:val="bottom"/>
          </w:tcPr>
          <w:p>
            <w:pPr>
              <w:ind w:left="140"/>
              <w:spacing w:after="0"/>
              <w:rPr>
                <w:sz w:val="20"/>
                <w:szCs w:val="20"/>
                <w:color w:val="auto"/>
              </w:rPr>
            </w:pPr>
            <w:r>
              <w:rPr>
                <w:rFonts w:ascii="Arial" w:cs="Arial" w:eastAsia="Arial" w:hAnsi="Arial"/>
                <w:sz w:val="14"/>
                <w:szCs w:val="14"/>
                <w:color w:val="auto"/>
              </w:rPr>
              <w:t>Noncurrent receivables, net</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30,982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31,849</w:t>
            </w:r>
          </w:p>
        </w:tc>
        <w:tc>
          <w:tcPr>
            <w:tcW w:w="0" w:type="dxa"/>
            <w:vAlign w:val="bottom"/>
          </w:tcPr>
          <w:p>
            <w:pPr>
              <w:spacing w:after="0"/>
              <w:rPr>
                <w:sz w:val="1"/>
                <w:szCs w:val="1"/>
                <w:color w:val="auto"/>
              </w:rPr>
            </w:pPr>
          </w:p>
        </w:tc>
      </w:tr>
      <w:tr>
        <w:trPr>
          <w:trHeight w:val="19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90,367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81,416</w:t>
            </w:r>
          </w:p>
        </w:tc>
        <w:tc>
          <w:tcPr>
            <w:tcW w:w="0" w:type="dxa"/>
            <w:vAlign w:val="bottom"/>
          </w:tcPr>
          <w:p>
            <w:pPr>
              <w:spacing w:after="0"/>
              <w:rPr>
                <w:sz w:val="1"/>
                <w:szCs w:val="1"/>
                <w:color w:val="auto"/>
              </w:rPr>
            </w:pP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1,580,061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1,556,064</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52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64,501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68,954</w:t>
            </w:r>
          </w:p>
        </w:tc>
        <w:tc>
          <w:tcPr>
            <w:tcW w:w="0" w:type="dxa"/>
            <w:vAlign w:val="bottom"/>
          </w:tcPr>
          <w:p>
            <w:pPr>
              <w:spacing w:after="0"/>
              <w:rPr>
                <w:sz w:val="1"/>
                <w:szCs w:val="1"/>
                <w:color w:val="auto"/>
              </w:rPr>
            </w:pPr>
          </w:p>
        </w:tc>
      </w:tr>
      <w:tr>
        <w:trPr>
          <w:trHeight w:val="194"/>
        </w:trPr>
        <w:tc>
          <w:tcPr>
            <w:tcW w:w="852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108,855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124,325</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4,711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14,887</w:t>
            </w: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178,067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208,166</w:t>
            </w:r>
          </w:p>
        </w:tc>
        <w:tc>
          <w:tcPr>
            <w:tcW w:w="0" w:type="dxa"/>
            <w:vAlign w:val="bottom"/>
          </w:tcPr>
          <w:p>
            <w:pPr>
              <w:spacing w:after="0"/>
              <w:rPr>
                <w:sz w:val="1"/>
                <w:szCs w:val="1"/>
                <w:color w:val="auto"/>
              </w:rPr>
            </w:pPr>
          </w:p>
        </w:tc>
      </w:tr>
      <w:tr>
        <w:trPr>
          <w:trHeight w:val="212"/>
        </w:trPr>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427,000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94"/>
        </w:trPr>
        <w:tc>
          <w:tcPr>
            <w:tcW w:w="852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99,498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107,794</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taxes and 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11,244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12,499</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715,809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678,459</w:t>
            </w: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52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6"/>
        </w:trPr>
        <w:tc>
          <w:tcPr>
            <w:tcW w:w="8520" w:type="dxa"/>
            <w:vAlign w:val="bottom"/>
          </w:tcPr>
          <w:p>
            <w:pPr>
              <w:ind w:left="140"/>
              <w:spacing w:after="0" w:line="146" w:lineRule="exact"/>
              <w:rPr>
                <w:sz w:val="20"/>
                <w:szCs w:val="20"/>
                <w:color w:val="auto"/>
              </w:rPr>
            </w:pPr>
            <w:r>
              <w:rPr>
                <w:rFonts w:ascii="Arial" w:cs="Arial" w:eastAsia="Arial" w:hAnsi="Arial"/>
                <w:sz w:val="14"/>
                <w:szCs w:val="14"/>
                <w:color w:val="auto"/>
              </w:rPr>
              <w:t>Class A Common Stock, par value $.001 per share; authorized 100,000,000 shares; 40,781,434 issued in 2022 and 40,760,577 in</w:t>
            </w:r>
          </w:p>
        </w:tc>
        <w:tc>
          <w:tcPr>
            <w:tcW w:w="120" w:type="dxa"/>
            <w:vAlign w:val="bottom"/>
          </w:tcPr>
          <w:p>
            <w:pPr>
              <w:spacing w:after="0"/>
              <w:rPr>
                <w:sz w:val="12"/>
                <w:szCs w:val="12"/>
                <w:color w:val="auto"/>
              </w:rPr>
            </w:pPr>
          </w:p>
        </w:tc>
        <w:tc>
          <w:tcPr>
            <w:tcW w:w="1180" w:type="dxa"/>
            <w:vAlign w:val="bottom"/>
            <w:vMerge w:val="restart"/>
          </w:tcPr>
          <w:p>
            <w:pPr>
              <w:jc w:val="right"/>
              <w:ind w:right="9"/>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5"/>
        </w:trPr>
        <w:tc>
          <w:tcPr>
            <w:tcW w:w="8520" w:type="dxa"/>
            <w:vAlign w:val="bottom"/>
          </w:tcPr>
          <w:p>
            <w:pPr>
              <w:ind w:left="14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52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rPr>
              <w:t>Class B Common Stock, par value $.001 per share; authorized 25,000,000 shares; none issued and outstanding in 2022 and 104 in</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52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437,748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436,996</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884,133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863,057</w:t>
            </w:r>
          </w:p>
        </w:tc>
        <w:tc>
          <w:tcPr>
            <w:tcW w:w="0" w:type="dxa"/>
            <w:vAlign w:val="bottom"/>
          </w:tcPr>
          <w:p>
            <w:pPr>
              <w:spacing w:after="0"/>
              <w:rPr>
                <w:sz w:val="1"/>
                <w:szCs w:val="1"/>
                <w:color w:val="auto"/>
              </w:rPr>
            </w:pPr>
          </w:p>
        </w:tc>
      </w:tr>
      <w:tr>
        <w:trPr>
          <w:trHeight w:val="194"/>
        </w:trPr>
        <w:tc>
          <w:tcPr>
            <w:tcW w:w="8520" w:type="dxa"/>
            <w:vAlign w:val="bottom"/>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(105,880)</w:t>
            </w:r>
          </w:p>
        </w:tc>
        <w:tc>
          <w:tcPr>
            <w:tcW w:w="0" w:type="dxa"/>
            <w:vAlign w:val="bottom"/>
          </w:tcPr>
          <w:p>
            <w:pPr>
              <w:spacing w:after="0"/>
              <w:rPr>
                <w:sz w:val="1"/>
                <w:szCs w:val="1"/>
                <w:color w:val="auto"/>
              </w:rPr>
            </w:pPr>
          </w:p>
        </w:tc>
      </w:tr>
      <w:tr>
        <w:trPr>
          <w:trHeight w:val="194"/>
        </w:trPr>
        <w:tc>
          <w:tcPr>
            <w:tcW w:w="8520" w:type="dxa"/>
            <w:vAlign w:val="bottom"/>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(38,416)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(38,490)</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valuation adjustment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194"/>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(Class A), at cost; 9,179,776 shares in 2022 and 8,665,090 shares in 2021</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(324,080)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(280,143)</w:t>
            </w: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Company shareholders'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860,220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873,967</w:t>
            </w:r>
          </w:p>
        </w:tc>
        <w:tc>
          <w:tcPr>
            <w:tcW w:w="0" w:type="dxa"/>
            <w:vAlign w:val="bottom"/>
          </w:tcPr>
          <w:p>
            <w:pPr>
              <w:spacing w:after="0"/>
              <w:rPr>
                <w:sz w:val="1"/>
                <w:szCs w:val="1"/>
                <w:color w:val="auto"/>
              </w:rPr>
            </w:pPr>
          </w:p>
        </w:tc>
      </w:tr>
      <w:tr>
        <w:trPr>
          <w:trHeight w:val="194"/>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4,032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92"/>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864,252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877,605</w:t>
            </w:r>
          </w:p>
        </w:tc>
        <w:tc>
          <w:tcPr>
            <w:tcW w:w="0" w:type="dxa"/>
            <w:vAlign w:val="bottom"/>
          </w:tcPr>
          <w:p>
            <w:pPr>
              <w:spacing w:after="0"/>
              <w:rPr>
                <w:sz w:val="1"/>
                <w:szCs w:val="1"/>
                <w:color w:val="auto"/>
              </w:rPr>
            </w:pP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1,580,061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1,556,064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Three Months Ended</w:t>
      </w:r>
    </w:p>
    <w:p>
      <w:pPr>
        <w:jc w:val="center"/>
        <w:ind w:left="8520"/>
        <w:spacing w:after="0"/>
        <w:rPr>
          <w:sz w:val="20"/>
          <w:szCs w:val="20"/>
          <w:color w:val="auto"/>
        </w:rPr>
      </w:pPr>
      <w:r>
        <w:rPr>
          <w:rFonts w:ascii="Arial" w:cs="Arial" w:eastAsia="Arial" w:hAnsi="Arial"/>
          <w:sz w:val="14"/>
          <w:szCs w:val="14"/>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r>
      <w:tr>
        <w:trPr>
          <w:trHeight w:val="17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4"/>
        </w:trPr>
        <w:tc>
          <w:tcPr>
            <w:tcW w:w="8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28,075</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27,609</w:t>
            </w:r>
          </w:p>
        </w:tc>
      </w:tr>
      <w:tr>
        <w:trPr>
          <w:trHeight w:val="203"/>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(used in)/provided by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16,589</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Amortization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w:t>
            </w: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Change in deferred taxes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4,442</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Impairment of property, plant, equipment, and inventory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Non-cash interest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Provision for credit losses from uncollected receivables and contract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Foreign currency remeasurement (gain)/loss on intercompany loans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Fair value adjustment on foreign currency options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3"/>
        </w:trPr>
        <w:tc>
          <w:tcPr>
            <w:tcW w:w="8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4"/>
        </w:trPr>
        <w:tc>
          <w:tcPr>
            <w:tcW w:w="854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that (used)/provided cash:</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w:t>
            </w: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Contract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16,104</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(8,563)</w:t>
            </w: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(899)</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taxes prepaid and receivable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9,188</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(19,485)</w:t>
            </w: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(8,077)</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Noncurrent receivables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Other noncurrent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(2,097)</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w:t>
            </w:r>
          </w:p>
        </w:tc>
      </w:tr>
      <w:tr>
        <w:trPr>
          <w:trHeight w:val="188"/>
        </w:trPr>
        <w:tc>
          <w:tcPr>
            <w:tcW w:w="85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(used in)/provided by operating activities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33,686</w:t>
            </w:r>
          </w:p>
        </w:tc>
      </w:tr>
      <w:tr>
        <w:trPr>
          <w:trHeight w:val="130"/>
        </w:trPr>
        <w:tc>
          <w:tcPr>
            <w:tcW w:w="8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94"/>
        </w:trPr>
        <w:tc>
          <w:tcPr>
            <w:tcW w:w="854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(12,534)</w:t>
            </w:r>
          </w:p>
        </w:tc>
      </w:tr>
      <w:tr>
        <w:trPr>
          <w:trHeight w:val="194"/>
        </w:trPr>
        <w:tc>
          <w:tcPr>
            <w:tcW w:w="85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Purchased software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(15,754)</w:t>
            </w: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(12,536)</w:t>
            </w:r>
          </w:p>
        </w:tc>
      </w:tr>
      <w:tr>
        <w:trPr>
          <w:trHeight w:val="130"/>
        </w:trPr>
        <w:tc>
          <w:tcPr>
            <w:tcW w:w="8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Proceeds from borrowings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8,000</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Principal payments on debt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(22,007)</w:t>
            </w: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Principal payments on finance lease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Purchase of Treasury shares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8540" w:type="dxa"/>
            <w:vAlign w:val="bottom"/>
          </w:tcPr>
          <w:p>
            <w:pPr>
              <w:ind w:left="460"/>
              <w:spacing w:after="0"/>
              <w:rPr>
                <w:sz w:val="20"/>
                <w:szCs w:val="20"/>
                <w:color w:val="auto"/>
              </w:rPr>
            </w:pPr>
            <w:r>
              <w:rPr>
                <w:rFonts w:ascii="Arial" w:cs="Arial" w:eastAsia="Arial" w:hAnsi="Arial"/>
                <w:sz w:val="14"/>
                <w:szCs w:val="14"/>
                <w:color w:val="auto"/>
              </w:rPr>
              <w:t>Taxes paid in lieu of share issuance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(998)</w:t>
            </w:r>
          </w:p>
        </w:tc>
      </w:tr>
      <w:tr>
        <w:trPr>
          <w:trHeight w:val="203"/>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Proceeds from options exercised</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194"/>
        </w:trPr>
        <w:tc>
          <w:tcPr>
            <w:tcW w:w="85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Dividends paid</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w:t>
            </w:r>
          </w:p>
        </w:tc>
      </w:tr>
      <w:tr>
        <w:trPr>
          <w:trHeight w:val="192"/>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by/(used in) financing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26,875</w:t>
            </w: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(21,694)</w:t>
            </w:r>
          </w:p>
        </w:tc>
      </w:tr>
      <w:tr>
        <w:trPr>
          <w:trHeight w:val="130"/>
        </w:trPr>
        <w:tc>
          <w:tcPr>
            <w:tcW w:w="8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9"/>
        </w:trPr>
        <w:tc>
          <w:tcPr>
            <w:tcW w:w="8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w:t>
            </w:r>
          </w:p>
        </w:tc>
      </w:tr>
      <w:tr>
        <w:trPr>
          <w:trHeight w:val="146"/>
        </w:trPr>
        <w:tc>
          <w:tcPr>
            <w:tcW w:w="8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Increase/(decrease) in cash and cash equivalents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(3,445)</w:t>
            </w:r>
          </w:p>
        </w:tc>
      </w:tr>
      <w:tr>
        <w:trPr>
          <w:trHeight w:val="194"/>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302,036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241,316</w:t>
            </w:r>
          </w:p>
        </w:tc>
      </w:tr>
      <w:tr>
        <w:trPr>
          <w:trHeight w:val="221"/>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307,415</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237,871</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ind w:left="320" w:right="8400" w:hanging="314"/>
        <w:spacing w:after="0" w:line="390" w:lineRule="auto"/>
        <w:tabs>
          <w:tab w:leader="none" w:pos="198"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7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6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information included in this Quarterly Report on Form 10-Q should be read in conjunction with Albany International Corp.’s Annual Report on Form 10-K for the year ended December 31, 2021.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 and Revenue Recognition</w:t>
      </w:r>
    </w:p>
    <w:p>
      <w:pPr>
        <w:spacing w:after="0" w:line="11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11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7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w:t>
      </w:r>
    </w:p>
    <w:p>
      <w:pPr>
        <w:spacing w:after="0" w:line="11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Albany Engineered Composites (“AEC”) segment provides highly engineered, advanced composite structures to customers in the commercial and defense aerospace industries. The segment includes Albany Safran Composites, LLC (“ASC”), in which our customer SAFRAN Group (“Safran”) owns a 10 percent noncontrolling interest. AEC, through ASC, is the exclusive supplier of the LEAP program of advanced composite fan blades and fan cases under a long-term supply contract.The LEAP engine is used on the Airbus A320neo and Boeing 737 MAX family of jets. AEC's largest aerospace customer is the SAFRAN Group and sales to SAFRAN (consisting primarily of fan blades and cases for CFM's LEAP engine) accounted for approximately 12 percent of the Company's consolidated Net sales in 2021. AEC net sales to Safran were $40.4 million and $27.7 million in the first three months of 2022 and 2021, respectively. The total of Accounts receivable, Contract assets and Noncurrent receivables due from Safran amounted to $83.7 million and $79.6 million as of March 31, 2022 and December 31, 2021, respectively.</w:t>
      </w:r>
    </w:p>
    <w:p>
      <w:pPr>
        <w:spacing w:after="0" w:line="8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Other significant programs by AEC include the F-35, Boeing 787, Sikorsky CH-53K and JASSM programs. AEC also supplies vacuum waste tanks for the Boeing 7-Series programs, and specialty components for the Rolls Royce lift fan on the F-35, as well as the fan case for the GE9X engine. In 2021, approximately 47 percent of AEC sales were related to U.S. government contracts or programs.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March 31,</w:t>
            </w:r>
          </w:p>
        </w:tc>
      </w:tr>
      <w:tr>
        <w:trPr>
          <w:trHeight w:val="20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r>
      <w:tr>
        <w:trPr>
          <w:trHeight w:val="20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8"/>
        </w:trPr>
        <w:tc>
          <w:tcPr>
            <w:tcW w:w="862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154,062</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148,206</w:t>
            </w:r>
          </w:p>
        </w:tc>
      </w:tr>
      <w:tr>
        <w:trPr>
          <w:trHeight w:val="21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90,107</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74,156</w:t>
            </w:r>
          </w:p>
        </w:tc>
      </w:tr>
      <w:tr>
        <w:trPr>
          <w:trHeight w:val="23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244,169</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222,362</w:t>
            </w:r>
          </w:p>
        </w:tc>
      </w:tr>
      <w:tr>
        <w:trPr>
          <w:trHeight w:val="205"/>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8"/>
        </w:trPr>
        <w:tc>
          <w:tcPr>
            <w:tcW w:w="862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49,644</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50,363</w:t>
            </w:r>
          </w:p>
        </w:tc>
      </w:tr>
      <w:tr>
        <w:trPr>
          <w:trHeight w:val="21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w:t>
            </w:r>
          </w:p>
        </w:tc>
      </w:tr>
      <w:tr>
        <w:trPr>
          <w:trHeight w:val="238"/>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(12,085)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(11,483)</w:t>
            </w:r>
          </w:p>
        </w:tc>
      </w:tr>
      <w:tr>
        <w:trPr>
          <w:trHeight w:val="205"/>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38,754</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41,818</w:t>
            </w:r>
          </w:p>
        </w:tc>
      </w:tr>
      <w:tr>
        <w:trPr>
          <w:trHeight w:val="230"/>
        </w:trPr>
        <w:tc>
          <w:tcPr>
            <w:tcW w:w="862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0"/>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238"/>
        </w:trPr>
        <w:tc>
          <w:tcPr>
            <w:tcW w:w="862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4,261</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4,098</w:t>
            </w:r>
          </w:p>
        </w:tc>
      </w:tr>
      <w:tr>
        <w:trPr>
          <w:trHeight w:val="212"/>
        </w:trPr>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expense/(income), net</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(3,928)</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39,073</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37,649</w:t>
            </w:r>
          </w:p>
        </w:tc>
      </w:tr>
    </w:tbl>
    <w:p>
      <w:pPr>
        <w:spacing w:after="0" w:line="200" w:lineRule="exact"/>
        <w:rPr>
          <w:sz w:val="20"/>
          <w:szCs w:val="20"/>
          <w:color w:val="auto"/>
        </w:rPr>
      </w:pPr>
    </w:p>
    <w:p>
      <w:pPr>
        <w:spacing w:after="0" w:line="220" w:lineRule="exact"/>
        <w:rPr>
          <w:sz w:val="20"/>
          <w:szCs w:val="20"/>
          <w:color w:val="auto"/>
        </w:rPr>
      </w:pPr>
    </w:p>
    <w:p>
      <w:pPr>
        <w:ind w:firstLine="318"/>
        <w:spacing w:after="0" w:line="223" w:lineRule="auto"/>
        <w:rPr>
          <w:sz w:val="20"/>
          <w:szCs w:val="20"/>
          <w:color w:val="auto"/>
        </w:rPr>
      </w:pPr>
      <w:r>
        <w:rPr>
          <w:rFonts w:ascii="Arial" w:cs="Arial" w:eastAsia="Arial" w:hAnsi="Arial"/>
          <w:sz w:val="18"/>
          <w:szCs w:val="18"/>
          <w:color w:val="auto"/>
        </w:rPr>
        <w:t>A subsidiary within our Machine Clothing segment has been a partner in a joint venture (“JV”) that supplies paper machine clothing products to local papermakers in Russia. In March 2022, we made the decision to cease doing business in Russia, including giving notice to our JV partner of our intent to exit the venture. As a result, we recognized $1.8 million expense in the consolidated statement of operations, representing reserves against the risk of uncollectible customer receivables and obsolescence of certain inventory destined for Russian</w:t>
      </w:r>
    </w:p>
    <w:p>
      <w:pPr>
        <w:spacing w:after="0" w:line="2" w:lineRule="exact"/>
        <w:rPr>
          <w:sz w:val="20"/>
          <w:szCs w:val="20"/>
          <w:color w:val="auto"/>
        </w:rPr>
      </w:pPr>
    </w:p>
    <w:p>
      <w:pPr>
        <w:ind w:right="680"/>
        <w:spacing w:after="0" w:line="232" w:lineRule="auto"/>
        <w:rPr>
          <w:sz w:val="20"/>
          <w:szCs w:val="20"/>
          <w:color w:val="auto"/>
        </w:rPr>
      </w:pPr>
      <w:r>
        <w:rPr>
          <w:rFonts w:ascii="Arial" w:cs="Arial" w:eastAsia="Arial" w:hAnsi="Arial"/>
          <w:sz w:val="18"/>
          <w:szCs w:val="18"/>
          <w:color w:val="auto"/>
        </w:rPr>
        <w:t>customers. We also wrote down the net book value of our investment in the aforementioned JV to reflect our intent to exit such venture, resulting in $0.8 million impairment loss during the first quarter of 2022.</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restructuring costs by reportable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Three months ended March 31,</w:t>
            </w:r>
          </w:p>
        </w:tc>
      </w:tr>
      <w:tr>
        <w:trPr>
          <w:trHeight w:val="193"/>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r>
      <w:tr>
        <w:trPr>
          <w:trHeight w:val="20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center"/>
              <w:ind w:left="602"/>
              <w:spacing w:after="0"/>
              <w:rPr>
                <w:sz w:val="20"/>
                <w:szCs w:val="20"/>
                <w:color w:val="auto"/>
              </w:rPr>
            </w:pPr>
            <w:r>
              <w:rPr>
                <w:rFonts w:ascii="Arial" w:cs="Arial" w:eastAsia="Arial" w:hAnsi="Arial"/>
                <w:sz w:val="16"/>
                <w:szCs w:val="16"/>
                <w:color w:val="auto"/>
                <w:w w:val="98"/>
              </w:rPr>
              <w:t>(69)</w:t>
            </w:r>
          </w:p>
        </w:tc>
      </w:tr>
      <w:tr>
        <w:trPr>
          <w:trHeight w:val="212"/>
        </w:trPr>
        <w:tc>
          <w:tcPr>
            <w:tcW w:w="86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000" w:type="dxa"/>
            <w:vAlign w:val="bottom"/>
          </w:tcPr>
          <w:p>
            <w:pPr>
              <w:jc w:val="center"/>
              <w:ind w:left="622"/>
              <w:spacing w:after="0"/>
              <w:rPr>
                <w:sz w:val="20"/>
                <w:szCs w:val="20"/>
                <w:color w:val="auto"/>
              </w:rPr>
            </w:pPr>
            <w:r>
              <w:rPr>
                <w:rFonts w:ascii="Arial" w:cs="Arial" w:eastAsia="Arial" w:hAnsi="Arial"/>
                <w:sz w:val="16"/>
                <w:szCs w:val="16"/>
                <w:color w:val="auto"/>
              </w:rPr>
              <w:t>89</w:t>
            </w:r>
          </w:p>
        </w:tc>
      </w:tr>
      <w:tr>
        <w:trPr>
          <w:trHeight w:val="21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622"/>
              <w:spacing w:after="0"/>
              <w:rPr>
                <w:sz w:val="20"/>
                <w:szCs w:val="20"/>
                <w:color w:val="auto"/>
              </w:rPr>
            </w:pPr>
            <w:r>
              <w:rPr>
                <w:rFonts w:ascii="Arial" w:cs="Arial" w:eastAsia="Arial" w:hAnsi="Arial"/>
                <w:sz w:val="16"/>
                <w:szCs w:val="16"/>
                <w:color w:val="auto"/>
              </w:rPr>
              <w:t>32</w:t>
            </w:r>
          </w:p>
        </w:tc>
      </w:tr>
      <w:tr>
        <w:trPr>
          <w:trHeight w:val="205"/>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center"/>
              <w:ind w:left="622"/>
              <w:spacing w:after="0"/>
              <w:rPr>
                <w:sz w:val="20"/>
                <w:szCs w:val="20"/>
                <w:color w:val="auto"/>
              </w:rPr>
            </w:pPr>
            <w:r>
              <w:rPr>
                <w:rFonts w:ascii="Arial" w:cs="Arial" w:eastAsia="Arial" w:hAnsi="Arial"/>
                <w:sz w:val="16"/>
                <w:szCs w:val="16"/>
                <w:color w:val="auto"/>
              </w:rPr>
              <w:t>52</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and we account for these contracts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factors affecting the supply chain, changes in the evaluation of contract risks and opportunities, or other factors. Changes in the estimated profitability of long-term contracts decreased operating income by $0.7 million during the first three months of 2022, compared to an insignificant effect in the same period last year.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0" w:type="dxa"/>
            <w:vAlign w:val="bottom"/>
            <w:tcBorders>
              <w:top w:val="single" w:sz="8" w:color="auto"/>
            </w:tcBorders>
          </w:tcPr>
          <w:p>
            <w:pPr>
              <w:spacing w:after="0"/>
              <w:rPr>
                <w:sz w:val="18"/>
                <w:szCs w:val="18"/>
                <w:color w:val="auto"/>
              </w:rPr>
            </w:pPr>
          </w:p>
        </w:tc>
        <w:tc>
          <w:tcPr>
            <w:tcW w:w="6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440" w:type="dxa"/>
            <w:vAlign w:val="bottom"/>
            <w:tcBorders>
              <w:top w:val="single" w:sz="8" w:color="auto"/>
              <w:bottom w:val="single" w:sz="8" w:color="auto"/>
            </w:tcBorders>
            <w:gridSpan w:val="6"/>
          </w:tcPr>
          <w:p>
            <w:pPr>
              <w:jc w:val="center"/>
              <w:ind w:left="783"/>
              <w:spacing w:after="0"/>
              <w:rPr>
                <w:sz w:val="20"/>
                <w:szCs w:val="20"/>
                <w:color w:val="auto"/>
              </w:rPr>
            </w:pPr>
            <w:r>
              <w:rPr>
                <w:rFonts w:ascii="Arial" w:cs="Arial" w:eastAsia="Arial" w:hAnsi="Arial"/>
                <w:sz w:val="14"/>
                <w:szCs w:val="14"/>
                <w:b w:val="1"/>
                <w:bCs w:val="1"/>
                <w:color w:val="auto"/>
              </w:rPr>
              <w:t>Three months ended March 31, 2022</w:t>
            </w: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r>
      <w:tr>
        <w:trPr>
          <w:trHeight w:val="170"/>
        </w:trPr>
        <w:tc>
          <w:tcPr>
            <w:tcW w:w="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Over Time Revenue</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5"/>
        </w:trPr>
        <w:tc>
          <w:tcPr>
            <w:tcW w:w="6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12"/>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153,163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899</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154,062</w:t>
            </w:r>
          </w:p>
        </w:tc>
      </w:tr>
      <w:tr>
        <w:trPr>
          <w:trHeight w:val="126"/>
        </w:trPr>
        <w:tc>
          <w:tcPr>
            <w:tcW w:w="16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r>
      <w:tr>
        <w:trPr>
          <w:trHeight w:val="212"/>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6420" w:type="dxa"/>
            <w:vAlign w:val="bottom"/>
            <w:gridSpan w:val="2"/>
          </w:tcPr>
          <w:p>
            <w:pPr>
              <w:ind w:left="20"/>
              <w:spacing w:after="0"/>
              <w:rPr>
                <w:sz w:val="20"/>
                <w:szCs w:val="20"/>
                <w:color w:val="auto"/>
              </w:rPr>
            </w:pPr>
            <w:r>
              <w:rPr>
                <w:rFonts w:ascii="Arial" w:cs="Arial" w:eastAsia="Arial" w:hAnsi="Arial"/>
                <w:sz w:val="16"/>
                <w:szCs w:val="16"/>
                <w:color w:val="auto"/>
              </w:rPr>
              <w:t>ASC</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39,712</w:t>
            </w:r>
          </w:p>
        </w:tc>
        <w:tc>
          <w:tcPr>
            <w:tcW w:w="3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39,712</w:t>
            </w:r>
          </w:p>
        </w:tc>
      </w:tr>
      <w:tr>
        <w:trPr>
          <w:trHeight w:val="212"/>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3,913</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46,482</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50,395</w:t>
            </w:r>
          </w:p>
        </w:tc>
      </w:tr>
      <w:tr>
        <w:trPr>
          <w:trHeight w:val="218"/>
        </w:trPr>
        <w:tc>
          <w:tcPr>
            <w:tcW w:w="6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Albany Engineered Composites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3,913</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86,194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90,107</w:t>
            </w:r>
          </w:p>
        </w:tc>
      </w:tr>
      <w:tr>
        <w:trPr>
          <w:trHeight w:val="205"/>
        </w:trPr>
        <w:tc>
          <w:tcPr>
            <w:tcW w:w="160" w:type="dxa"/>
            <w:vAlign w:val="bottom"/>
            <w:tcBorders>
              <w:bottom w:val="single" w:sz="8" w:color="auto"/>
            </w:tcBorders>
            <w:shd w:val="clear" w:color="auto" w:fill="CCEEFF"/>
          </w:tcPr>
          <w:p>
            <w:pPr>
              <w:spacing w:after="0"/>
              <w:rPr>
                <w:sz w:val="17"/>
                <w:szCs w:val="17"/>
                <w:color w:val="auto"/>
              </w:rPr>
            </w:pPr>
          </w:p>
        </w:tc>
        <w:tc>
          <w:tcPr>
            <w:tcW w:w="6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r>
      <w:tr>
        <w:trPr>
          <w:trHeight w:val="232"/>
        </w:trPr>
        <w:tc>
          <w:tcPr>
            <w:tcW w:w="64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157,076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87,093</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244,169</w:t>
            </w:r>
          </w:p>
        </w:tc>
      </w:tr>
      <w:tr>
        <w:trPr>
          <w:trHeight w:val="298"/>
        </w:trPr>
        <w:tc>
          <w:tcPr>
            <w:tcW w:w="1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4"/>
                <w:szCs w:val="14"/>
                <w:b w:val="1"/>
                <w:bCs w:val="1"/>
                <w:color w:val="auto"/>
              </w:rPr>
              <w:t>Three months ended March 31, 2021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1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5"/>
                <w:szCs w:val="15"/>
                <w:color w:val="auto"/>
              </w:rPr>
            </w:pPr>
          </w:p>
        </w:tc>
        <w:tc>
          <w:tcPr>
            <w:tcW w:w="1520" w:type="dxa"/>
            <w:vAlign w:val="bottom"/>
            <w:gridSpan w:val="2"/>
          </w:tcPr>
          <w:p>
            <w:pPr>
              <w:jc w:val="center"/>
              <w:ind w:right="43"/>
              <w:spacing w:after="0"/>
              <w:rPr>
                <w:sz w:val="20"/>
                <w:szCs w:val="20"/>
                <w:color w:val="auto"/>
              </w:rPr>
            </w:pPr>
            <w:r>
              <w:rPr>
                <w:rFonts w:ascii="Arial" w:cs="Arial" w:eastAsia="Arial" w:hAnsi="Arial"/>
                <w:sz w:val="14"/>
                <w:szCs w:val="14"/>
                <w:b w:val="1"/>
                <w:bCs w:val="1"/>
                <w:color w:val="auto"/>
              </w:rPr>
              <w:t>Over Time Revenue</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16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03"/>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163"/>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r>
      <w:tr>
        <w:trPr>
          <w:trHeight w:val="211"/>
        </w:trPr>
        <w:tc>
          <w:tcPr>
            <w:tcW w:w="160" w:type="dxa"/>
            <w:vAlign w:val="bottom"/>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Machine Clothing</w:t>
            </w:r>
          </w:p>
        </w:tc>
        <w:tc>
          <w:tcPr>
            <w:tcW w:w="280" w:type="dxa"/>
            <w:vAlign w:val="bottom"/>
            <w:tcBorders>
              <w:top w:val="single" w:sz="8" w:color="auto"/>
              <w:bottom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147,341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148,206</w:t>
            </w:r>
          </w:p>
        </w:tc>
        <w:tc>
          <w:tcPr>
            <w:tcW w:w="100" w:type="dxa"/>
            <w:vAlign w:val="bottom"/>
          </w:tcPr>
          <w:p>
            <w:pPr>
              <w:spacing w:after="0"/>
              <w:rPr>
                <w:sz w:val="18"/>
                <w:szCs w:val="18"/>
                <w:color w:val="auto"/>
              </w:rPr>
            </w:pPr>
          </w:p>
        </w:tc>
      </w:tr>
      <w:tr>
        <w:trPr>
          <w:trHeight w:val="127"/>
        </w:trPr>
        <w:tc>
          <w:tcPr>
            <w:tcW w:w="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2"/>
        </w:trPr>
        <w:tc>
          <w:tcPr>
            <w:tcW w:w="1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Albany Engineered Composites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ASC</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27,084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27,084</w:t>
            </w:r>
          </w:p>
        </w:tc>
        <w:tc>
          <w:tcPr>
            <w:tcW w:w="100" w:type="dxa"/>
            <w:vAlign w:val="bottom"/>
          </w:tcPr>
          <w:p>
            <w:pPr>
              <w:spacing w:after="0"/>
              <w:rPr>
                <w:sz w:val="20"/>
                <w:szCs w:val="20"/>
                <w:color w:val="auto"/>
              </w:rPr>
            </w:pPr>
          </w:p>
        </w:tc>
      </w:tr>
      <w:tr>
        <w:trPr>
          <w:trHeight w:val="213"/>
        </w:trPr>
        <w:tc>
          <w:tcPr>
            <w:tcW w:w="1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Other AEC</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43,192</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47,072</w:t>
            </w:r>
          </w:p>
        </w:tc>
        <w:tc>
          <w:tcPr>
            <w:tcW w:w="100" w:type="dxa"/>
            <w:vAlign w:val="bottom"/>
          </w:tcPr>
          <w:p>
            <w:pPr>
              <w:spacing w:after="0"/>
              <w:rPr>
                <w:sz w:val="18"/>
                <w:szCs w:val="18"/>
                <w:color w:val="auto"/>
              </w:rPr>
            </w:pPr>
          </w:p>
        </w:tc>
      </w:tr>
      <w:tr>
        <w:trPr>
          <w:trHeight w:val="217"/>
        </w:trPr>
        <w:tc>
          <w:tcPr>
            <w:tcW w:w="16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Albany Engineered Composites</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3,880</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70,276</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74,156</w:t>
            </w:r>
          </w:p>
        </w:tc>
        <w:tc>
          <w:tcPr>
            <w:tcW w:w="100" w:type="dxa"/>
            <w:vAlign w:val="bottom"/>
          </w:tcPr>
          <w:p>
            <w:pPr>
              <w:spacing w:after="0"/>
              <w:rPr>
                <w:sz w:val="18"/>
                <w:szCs w:val="18"/>
                <w:color w:val="auto"/>
              </w:rPr>
            </w:pPr>
          </w:p>
        </w:tc>
      </w:tr>
      <w:tr>
        <w:trPr>
          <w:trHeight w:val="233"/>
        </w:trPr>
        <w:tc>
          <w:tcPr>
            <w:tcW w:w="160" w:type="dxa"/>
            <w:vAlign w:val="bottom"/>
          </w:tcPr>
          <w:p>
            <w:pPr>
              <w:spacing w:after="0"/>
              <w:rPr>
                <w:sz w:val="20"/>
                <w:szCs w:val="20"/>
                <w:color w:val="auto"/>
              </w:rPr>
            </w:pPr>
          </w:p>
        </w:tc>
        <w:tc>
          <w:tcPr>
            <w:tcW w:w="62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160" w:type="dxa"/>
            <w:vAlign w:val="bottom"/>
          </w:tcPr>
          <w:p>
            <w:pPr>
              <w:spacing w:after="0"/>
              <w:rPr>
                <w:sz w:val="20"/>
                <w:szCs w:val="20"/>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222,362</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3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Three months ended March 31,</w:t>
            </w:r>
          </w:p>
        </w:tc>
      </w:tr>
      <w:tr>
        <w:trPr>
          <w:trHeight w:val="20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r>
      <w:tr>
        <w:trPr>
          <w:trHeight w:val="20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76,616</w:t>
            </w: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73,302</w:t>
            </w:r>
          </w:p>
        </w:tc>
      </w:tr>
      <w:tr>
        <w:trPr>
          <w:trHeight w:val="238"/>
        </w:trPr>
        <w:tc>
          <w:tcPr>
            <w:tcW w:w="862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55,486</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55,143</w:t>
            </w:r>
          </w:p>
        </w:tc>
      </w:tr>
      <w:tr>
        <w:trPr>
          <w:trHeight w:val="21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21,960</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19,761</w:t>
            </w:r>
          </w:p>
        </w:tc>
      </w:tr>
      <w:tr>
        <w:trPr>
          <w:trHeight w:val="23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sales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154,062</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148,206</w:t>
            </w:r>
          </w:p>
        </w:tc>
      </w:tr>
    </w:tbl>
    <w:p>
      <w:pPr>
        <w:spacing w:after="0" w:line="200" w:lineRule="exact"/>
        <w:rPr>
          <w:sz w:val="20"/>
          <w:szCs w:val="20"/>
          <w:color w:val="auto"/>
        </w:rPr>
      </w:pPr>
    </w:p>
    <w:p>
      <w:pPr>
        <w:spacing w:after="0" w:line="23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$263 million and $76 million as of March 31, 2022 and 2021, respectively, and related primarily to firm contracts in the AEC segment. Of the remaining performance obligations as of March 31, 2022, we expect to recognize as revenue approximately $79 million during 2022, $45 million during 2023, $38 million during 2024,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Pensions and Other Postretirement Benefit Plans</w:t>
      </w:r>
    </w:p>
    <w:p>
      <w:pPr>
        <w:spacing w:after="0" w:line="11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composition of the net periodic benefit cost for the three months ended March 31, 2022 and 2021,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Other postretirement benefits</w:t>
            </w:r>
          </w:p>
        </w:tc>
      </w:tr>
      <w:tr>
        <w:trPr>
          <w:trHeight w:val="212"/>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r>
      <w:tr>
        <w:trPr>
          <w:trHeight w:val="20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8"/>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50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545</w:t>
            </w:r>
          </w:p>
        </w:tc>
        <w:tc>
          <w:tcPr>
            <w:tcW w:w="220" w:type="dxa"/>
            <w:vAlign w:val="bottom"/>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2"/>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1,417</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38"/>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(1,706)</w:t>
            </w: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cost/(credit)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38"/>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544</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r>
      <w:tr>
        <w:trPr>
          <w:trHeight w:val="205"/>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565</w:t>
            </w:r>
          </w:p>
        </w:tc>
        <w:tc>
          <w:tcPr>
            <w:tcW w:w="5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824</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bl>
    <w:p>
      <w:pPr>
        <w:spacing w:after="0" w:line="30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amount of net periodic benefit cost is determined at the beginning of each year and generally only varies from quarter to quarter when a significant event occurs, such as a curtailment or a settlement. There were no such events in the first three months of 2022 or 2021.</w:t>
      </w:r>
    </w:p>
    <w:p>
      <w:pPr>
        <w:spacing w:after="0" w:line="5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Other (Income)/Expense, net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Other (Income)/Expense, net are: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Three months ended March 31,</w:t>
            </w:r>
          </w:p>
        </w:tc>
      </w:tr>
      <w:tr>
        <w:trPr>
          <w:trHeight w:val="20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r>
      <w:tr>
        <w:trPr>
          <w:trHeight w:val="20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transaction (gains)/losses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(3,741)</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38"/>
        </w:trPr>
        <w:tc>
          <w:tcPr>
            <w:tcW w:w="8620" w:type="dxa"/>
            <w:vAlign w:val="bottom"/>
          </w:tcPr>
          <w:p>
            <w:pPr>
              <w:ind w:left="20"/>
              <w:spacing w:after="0"/>
              <w:rPr>
                <w:sz w:val="20"/>
                <w:szCs w:val="20"/>
                <w:color w:val="auto"/>
              </w:rPr>
            </w:pPr>
            <w:r>
              <w:rPr>
                <w:rFonts w:ascii="Arial" w:cs="Arial" w:eastAsia="Arial" w:hAnsi="Arial"/>
                <w:sz w:val="16"/>
                <w:szCs w:val="16"/>
                <w:color w:val="auto"/>
              </w:rPr>
              <w:t>Bank fees and amortization of debt issuance costs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 service cost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8"/>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r>
      <w:tr>
        <w:trPr>
          <w:trHeight w:val="205"/>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(3,928)</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bl>
    <w:p>
      <w:pPr>
        <w:spacing w:after="0" w:line="200" w:lineRule="exact"/>
        <w:rPr>
          <w:sz w:val="20"/>
          <w:szCs w:val="20"/>
          <w:color w:val="auto"/>
        </w:rPr>
      </w:pPr>
    </w:p>
    <w:p>
      <w:pPr>
        <w:spacing w:after="0" w:line="234" w:lineRule="exact"/>
        <w:rPr>
          <w:sz w:val="20"/>
          <w:szCs w:val="20"/>
          <w:color w:val="auto"/>
        </w:rPr>
      </w:pPr>
    </w:p>
    <w:p>
      <w:pPr>
        <w:jc w:val="both"/>
        <w:ind w:right="140" w:firstLine="318"/>
        <w:spacing w:after="0" w:line="260" w:lineRule="auto"/>
        <w:rPr>
          <w:sz w:val="20"/>
          <w:szCs w:val="20"/>
          <w:color w:val="auto"/>
        </w:rPr>
      </w:pPr>
      <w:r>
        <w:rPr>
          <w:rFonts w:ascii="Arial" w:cs="Arial" w:eastAsia="Arial" w:hAnsi="Arial"/>
          <w:sz w:val="18"/>
          <w:szCs w:val="18"/>
          <w:color w:val="auto"/>
        </w:rPr>
        <w:t>Other (income)/expense, net, included foreign currency related transactions which resulted in gains of $3.7 million in the first three months of 2022, as compared to losses of $0.2 million in the same period last year. Current year gains were primarily driven by the remeasurement of intercompany demand loans payable by a Mexican subsidiary.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Income Taxes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components of income tax expense for the three months ended March 31, 2022 and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March 31,</w:t>
            </w:r>
          </w:p>
        </w:tc>
      </w:tr>
      <w:tr>
        <w:trPr>
          <w:trHeight w:val="20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r>
      <w:tr>
        <w:trPr>
          <w:trHeight w:val="23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based on income from continuing operations (1)</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10,942</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11,332</w:t>
            </w:r>
          </w:p>
        </w:tc>
      </w:tr>
      <w:tr>
        <w:trPr>
          <w:trHeight w:val="232"/>
        </w:trPr>
        <w:tc>
          <w:tcPr>
            <w:tcW w:w="8620" w:type="dxa"/>
            <w:vAlign w:val="bottom"/>
          </w:tcPr>
          <w:p>
            <w:pPr>
              <w:ind w:left="20"/>
              <w:spacing w:after="0"/>
              <w:rPr>
                <w:sz w:val="20"/>
                <w:szCs w:val="20"/>
                <w:color w:val="auto"/>
              </w:rPr>
            </w:pPr>
            <w:r>
              <w:rPr>
                <w:rFonts w:ascii="Arial" w:cs="Arial" w:eastAsia="Arial" w:hAnsi="Arial"/>
                <w:sz w:val="16"/>
                <w:szCs w:val="16"/>
                <w:color w:val="auto"/>
              </w:rPr>
              <w:t>Income tax before discrete items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10,942</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11,332</w:t>
            </w:r>
          </w:p>
        </w:tc>
      </w:tr>
      <w:tr>
        <w:trPr>
          <w:trHeight w:val="21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Discrete tax expense: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2"/>
        </w:trPr>
        <w:tc>
          <w:tcPr>
            <w:tcW w:w="8620" w:type="dxa"/>
            <w:vAlign w:val="bottom"/>
          </w:tcPr>
          <w:p>
            <w:pPr>
              <w:ind w:left="20"/>
              <w:spacing w:after="0"/>
              <w:rPr>
                <w:sz w:val="20"/>
                <w:szCs w:val="20"/>
                <w:color w:val="auto"/>
              </w:rPr>
            </w:pPr>
            <w:r>
              <w:rPr>
                <w:rFonts w:ascii="Arial" w:cs="Arial" w:eastAsia="Arial" w:hAnsi="Arial"/>
                <w:sz w:val="16"/>
                <w:szCs w:val="16"/>
                <w:color w:val="auto"/>
              </w:rPr>
              <w:t>Exercise of U.S. stock options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amended tax returns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12"/>
        </w:trPr>
        <w:tc>
          <w:tcPr>
            <w:tcW w:w="8620" w:type="dxa"/>
            <w:vAlign w:val="bottom"/>
          </w:tcPr>
          <w:p>
            <w:pPr>
              <w:ind w:left="20"/>
              <w:spacing w:after="0"/>
              <w:rPr>
                <w:sz w:val="20"/>
                <w:szCs w:val="20"/>
                <w:color w:val="auto"/>
              </w:rPr>
            </w:pPr>
            <w:r>
              <w:rPr>
                <w:rFonts w:ascii="Arial" w:cs="Arial" w:eastAsia="Arial" w:hAnsi="Arial"/>
                <w:sz w:val="16"/>
                <w:szCs w:val="16"/>
                <w:color w:val="auto"/>
              </w:rPr>
              <w:t>Adjustments of prior year estimated taxes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(751)</w:t>
            </w:r>
          </w:p>
        </w:tc>
      </w:tr>
      <w:tr>
        <w:trPr>
          <w:trHeight w:val="21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uncertain tax positions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05"/>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income tax expense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10,998</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10,040</w:t>
            </w:r>
          </w:p>
        </w:tc>
      </w:tr>
    </w:tbl>
    <w:p>
      <w:pPr>
        <w:ind w:left="20"/>
        <w:spacing w:after="0"/>
        <w:rPr>
          <w:sz w:val="20"/>
          <w:szCs w:val="20"/>
          <w:color w:val="auto"/>
        </w:rPr>
      </w:pPr>
      <w:r>
        <w:rPr>
          <w:rFonts w:ascii="Times New Roman" w:cs="Times New Roman" w:eastAsia="Times New Roman" w:hAnsi="Times New Roman"/>
          <w:sz w:val="18"/>
          <w:szCs w:val="18"/>
          <w:color w:val="auto"/>
        </w:rPr>
        <w:t>(1) Calculated at estimated tax rates of 28.0% and 30.1%, respectively</w:t>
      </w:r>
    </w:p>
    <w:p>
      <w:pPr>
        <w:spacing w:after="0" w:line="18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6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 the first quarter of 2021, the Company recorded a net tax benefit of $1.4 million related to the impact of U.S. amended tax returns and a U.S. adjustment of prior year estimated taxes. Additionally, the Company recorded an expense of $0.3 million related to the establishment of a foreign uncertain tax position.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Earnings Per Share</w:t>
      </w:r>
    </w:p>
    <w:p>
      <w:pPr>
        <w:spacing w:after="0" w:line="11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3"/>
          </w:tcPr>
          <w:p>
            <w:pPr>
              <w:jc w:val="center"/>
              <w:ind w:right="321"/>
              <w:spacing w:after="0"/>
              <w:rPr>
                <w:sz w:val="20"/>
                <w:szCs w:val="20"/>
                <w:color w:val="auto"/>
              </w:rPr>
            </w:pPr>
            <w:r>
              <w:rPr>
                <w:rFonts w:ascii="Arial" w:cs="Arial" w:eastAsia="Arial" w:hAnsi="Arial"/>
                <w:sz w:val="14"/>
                <w:szCs w:val="14"/>
                <w:b w:val="1"/>
                <w:bCs w:val="1"/>
                <w:color w:val="auto"/>
              </w:rPr>
              <w:t>Three months ended March 31,</w:t>
            </w:r>
          </w:p>
        </w:tc>
      </w:tr>
      <w:tr>
        <w:trPr>
          <w:trHeight w:val="206"/>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r>
      <w:tr>
        <w:trPr>
          <w:trHeight w:val="206"/>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27,737</w:t>
            </w:r>
          </w:p>
        </w:tc>
        <w:tc>
          <w:tcPr>
            <w:tcW w:w="440" w:type="dxa"/>
            <w:vAlign w:val="bottom"/>
            <w:tcBorders>
              <w:bottom w:val="single" w:sz="8" w:color="auto"/>
            </w:tcBorders>
            <w:shd w:val="clear" w:color="auto" w:fill="CCEEFF"/>
          </w:tcPr>
          <w:p>
            <w:pPr>
              <w:jc w:val="center"/>
              <w:ind w:right="20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27,582</w:t>
            </w:r>
          </w:p>
        </w:tc>
      </w:tr>
      <w:tr>
        <w:trPr>
          <w:trHeight w:val="232"/>
        </w:trPr>
        <w:tc>
          <w:tcPr>
            <w:tcW w:w="7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8"/>
        </w:trPr>
        <w:tc>
          <w:tcPr>
            <w:tcW w:w="780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 basic net income per share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31,877</w:t>
            </w: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32,352</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1"/>
        </w:trPr>
        <w:tc>
          <w:tcPr>
            <w:tcW w:w="7800" w:type="dxa"/>
            <w:vAlign w:val="bottom"/>
          </w:tcPr>
          <w:p>
            <w:pPr>
              <w:ind w:left="140"/>
              <w:spacing w:after="0"/>
              <w:rPr>
                <w:sz w:val="20"/>
                <w:szCs w:val="20"/>
                <w:color w:val="auto"/>
              </w:rPr>
            </w:pPr>
            <w:r>
              <w:rPr>
                <w:rFonts w:ascii="Arial" w:cs="Arial" w:eastAsia="Arial" w:hAnsi="Arial"/>
                <w:sz w:val="16"/>
                <w:szCs w:val="16"/>
                <w:color w:val="auto"/>
              </w:rPr>
              <w:t>Stock options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0"/>
        </w:trPr>
        <w:tc>
          <w:tcPr>
            <w:tcW w:w="7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RSU and MPP shares</w:t>
            </w: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c>
          <w:tcPr>
            <w:tcW w:w="4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2"/>
        </w:trPr>
        <w:tc>
          <w:tcPr>
            <w:tcW w:w="7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2"/>
        </w:trPr>
        <w:tc>
          <w:tcPr>
            <w:tcW w:w="7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Weighted average number of shares used in calculating diluted net income per share</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31,961</w:t>
            </w:r>
          </w:p>
        </w:tc>
        <w:tc>
          <w:tcPr>
            <w:tcW w:w="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32,401</w:t>
            </w:r>
          </w:p>
        </w:tc>
      </w:tr>
      <w:tr>
        <w:trPr>
          <w:trHeight w:val="232"/>
        </w:trPr>
        <w:tc>
          <w:tcPr>
            <w:tcW w:w="7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2"/>
        </w:trPr>
        <w:tc>
          <w:tcPr>
            <w:tcW w:w="7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Average market price of common stock used for calculation of dilutive shares</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86.09</w:t>
            </w:r>
          </w:p>
        </w:tc>
        <w:tc>
          <w:tcPr>
            <w:tcW w:w="44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w:t>
            </w:r>
          </w:p>
        </w:tc>
      </w:tr>
      <w:tr>
        <w:trPr>
          <w:trHeight w:val="252"/>
        </w:trPr>
        <w:tc>
          <w:tcPr>
            <w:tcW w:w="7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2"/>
        </w:trPr>
        <w:tc>
          <w:tcPr>
            <w:tcW w:w="7800" w:type="dxa"/>
            <w:vAlign w:val="bottom"/>
          </w:tcPr>
          <w:p>
            <w:pPr>
              <w:ind w:left="140"/>
              <w:spacing w:after="0"/>
              <w:rPr>
                <w:sz w:val="20"/>
                <w:szCs w:val="20"/>
                <w:color w:val="auto"/>
              </w:rPr>
            </w:pPr>
            <w:r>
              <w:rPr>
                <w:rFonts w:ascii="Arial" w:cs="Arial" w:eastAsia="Arial" w:hAnsi="Arial"/>
                <w:sz w:val="16"/>
                <w:szCs w:val="16"/>
                <w:color w:val="auto"/>
              </w:rPr>
              <w:t>Basic</w:t>
            </w:r>
          </w:p>
        </w:tc>
        <w:tc>
          <w:tcPr>
            <w:tcW w:w="400" w:type="dxa"/>
            <w:vAlign w:val="bottom"/>
          </w:tcPr>
          <w:p>
            <w:pPr>
              <w:jc w:val="right"/>
              <w:ind w:right="2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0.87</w:t>
            </w:r>
          </w:p>
        </w:tc>
        <w:tc>
          <w:tcPr>
            <w:tcW w:w="440" w:type="dxa"/>
            <w:vAlign w:val="bottom"/>
          </w:tcPr>
          <w:p>
            <w:pPr>
              <w:jc w:val="center"/>
              <w:ind w:right="20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0.85</w:t>
            </w:r>
          </w:p>
        </w:tc>
      </w:tr>
      <w:tr>
        <w:trPr>
          <w:trHeight w:val="212"/>
        </w:trPr>
        <w:tc>
          <w:tcPr>
            <w:tcW w:w="7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0.87</w:t>
            </w:r>
          </w:p>
        </w:tc>
        <w:tc>
          <w:tcPr>
            <w:tcW w:w="440" w:type="dxa"/>
            <w:vAlign w:val="bottom"/>
            <w:tcBorders>
              <w:bottom w:val="single" w:sz="8" w:color="auto"/>
            </w:tcBorders>
            <w:shd w:val="clear" w:color="auto" w:fill="CCEEFF"/>
          </w:tcPr>
          <w:p>
            <w:pPr>
              <w:jc w:val="center"/>
              <w:ind w:right="20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0.85</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Accumulated Other Comprehensive Income (AOCI)</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changes in the components of AOCI for the period December 31, 2021 to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177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104"/>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104"/>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1260" w:type="dxa"/>
            <w:vAlign w:val="bottom"/>
          </w:tcPr>
          <w:p>
            <w:pPr>
              <w:jc w:val="center"/>
              <w:ind w:right="163"/>
              <w:spacing w:after="0"/>
              <w:rPr>
                <w:sz w:val="20"/>
                <w:szCs w:val="20"/>
                <w:color w:val="auto"/>
              </w:rPr>
            </w:pPr>
            <w:r>
              <w:rPr>
                <w:rFonts w:ascii="Arial" w:cs="Arial" w:eastAsia="Arial" w:hAnsi="Arial"/>
                <w:sz w:val="14"/>
                <w:szCs w:val="14"/>
                <w:b w:val="1"/>
                <w:bCs w:val="1"/>
                <w:color w:val="auto"/>
                <w:w w:val="98"/>
              </w:rPr>
              <w:t>Derivative</w:t>
            </w:r>
          </w:p>
        </w:tc>
        <w:tc>
          <w:tcPr>
            <w:tcW w:w="18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59"/>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ind w:right="303"/>
              <w:spacing w:after="0" w:line="159" w:lineRule="exact"/>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3"/>
                <w:szCs w:val="13"/>
                <w:color w:val="auto"/>
              </w:rPr>
            </w:pPr>
          </w:p>
        </w:tc>
        <w:tc>
          <w:tcPr>
            <w:tcW w:w="1340" w:type="dxa"/>
            <w:vAlign w:val="bottom"/>
          </w:tcPr>
          <w:p>
            <w:pPr>
              <w:jc w:val="center"/>
              <w:ind w:right="104"/>
              <w:spacing w:after="0" w:line="159" w:lineRule="exact"/>
              <w:rPr>
                <w:sz w:val="20"/>
                <w:szCs w:val="20"/>
                <w:color w:val="auto"/>
              </w:rPr>
            </w:pPr>
            <w:r>
              <w:rPr>
                <w:rFonts w:ascii="Arial" w:cs="Arial" w:eastAsia="Arial" w:hAnsi="Arial"/>
                <w:sz w:val="14"/>
                <w:szCs w:val="14"/>
                <w:b w:val="1"/>
                <w:bCs w:val="1"/>
                <w:color w:val="auto"/>
                <w:w w:val="99"/>
              </w:rPr>
              <w:t>liability</w:t>
            </w:r>
          </w:p>
        </w:tc>
        <w:tc>
          <w:tcPr>
            <w:tcW w:w="240" w:type="dxa"/>
            <w:vAlign w:val="bottom"/>
          </w:tcPr>
          <w:p>
            <w:pPr>
              <w:spacing w:after="0"/>
              <w:rPr>
                <w:sz w:val="13"/>
                <w:szCs w:val="13"/>
                <w:color w:val="auto"/>
              </w:rPr>
            </w:pPr>
          </w:p>
        </w:tc>
        <w:tc>
          <w:tcPr>
            <w:tcW w:w="1260" w:type="dxa"/>
            <w:vAlign w:val="bottom"/>
          </w:tcPr>
          <w:p>
            <w:pPr>
              <w:jc w:val="center"/>
              <w:ind w:right="163"/>
              <w:spacing w:after="0" w:line="159" w:lineRule="exact"/>
              <w:rPr>
                <w:sz w:val="20"/>
                <w:szCs w:val="20"/>
                <w:color w:val="auto"/>
              </w:rPr>
            </w:pPr>
            <w:r>
              <w:rPr>
                <w:rFonts w:ascii="Arial" w:cs="Arial" w:eastAsia="Arial" w:hAnsi="Arial"/>
                <w:sz w:val="14"/>
                <w:szCs w:val="14"/>
                <w:b w:val="1"/>
                <w:bCs w:val="1"/>
                <w:color w:val="auto"/>
              </w:rPr>
              <w:t>valuation</w:t>
            </w:r>
          </w:p>
        </w:tc>
        <w:tc>
          <w:tcPr>
            <w:tcW w:w="180" w:type="dxa"/>
            <w:vAlign w:val="bottom"/>
          </w:tcPr>
          <w:p>
            <w:pPr>
              <w:spacing w:after="0"/>
              <w:rPr>
                <w:sz w:val="13"/>
                <w:szCs w:val="13"/>
                <w:color w:val="auto"/>
              </w:rPr>
            </w:pPr>
          </w:p>
        </w:tc>
        <w:tc>
          <w:tcPr>
            <w:tcW w:w="1340" w:type="dxa"/>
            <w:vAlign w:val="bottom"/>
          </w:tcPr>
          <w:p>
            <w:pPr>
              <w:jc w:val="center"/>
              <w:ind w:right="83"/>
              <w:spacing w:after="0" w:line="15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9"/>
              </w:rPr>
              <w:t>adjustment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212"/>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(38,490)</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(145,984)</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(1,730)</w:t>
            </w:r>
          </w:p>
        </w:tc>
        <w:tc>
          <w:tcPr>
            <w:tcW w:w="180" w:type="dxa"/>
            <w:vAlign w:val="bottom"/>
          </w:tcPr>
          <w:p>
            <w:pPr>
              <w:spacing w:after="0"/>
              <w:rPr>
                <w:sz w:val="20"/>
                <w:szCs w:val="20"/>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179</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8,752</w:t>
            </w:r>
          </w:p>
        </w:tc>
        <w:tc>
          <w:tcPr>
            <w:tcW w:w="180" w:type="dxa"/>
            <w:vAlign w:val="bottom"/>
          </w:tcPr>
          <w:p>
            <w:pPr>
              <w:spacing w:after="0"/>
              <w:rPr>
                <w:sz w:val="20"/>
                <w:szCs w:val="20"/>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7,201</w:t>
            </w:r>
          </w:p>
        </w:tc>
        <w:tc>
          <w:tcPr>
            <w:tcW w:w="0" w:type="dxa"/>
            <w:vAlign w:val="bottom"/>
          </w:tcPr>
          <w:p>
            <w:pPr>
              <w:spacing w:after="0"/>
              <w:rPr>
                <w:sz w:val="1"/>
                <w:szCs w:val="1"/>
                <w:color w:val="auto"/>
              </w:rPr>
            </w:pPr>
          </w:p>
        </w:tc>
      </w:tr>
      <w:tr>
        <w:trPr>
          <w:trHeight w:val="161"/>
        </w:trPr>
        <w:tc>
          <w:tcPr>
            <w:tcW w:w="506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Interest expense related to swaps reclassified to the Consolidated</w:t>
            </w:r>
          </w:p>
        </w:tc>
        <w:tc>
          <w:tcPr>
            <w:tcW w:w="3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Statements of Income, net of tax</w:t>
            </w:r>
          </w:p>
        </w:tc>
        <w:tc>
          <w:tcPr>
            <w:tcW w:w="3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6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74</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10,018</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8,362</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March 31, 2022</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(107,610)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(38,416)</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(137,622)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changes in the components of AOCI for the period December 31, 2020 to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177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104"/>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40" w:type="dxa"/>
            <w:vAlign w:val="bottom"/>
          </w:tcPr>
          <w:p>
            <w:pPr>
              <w:jc w:val="center"/>
              <w:ind w:right="104"/>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1260" w:type="dxa"/>
            <w:vAlign w:val="bottom"/>
          </w:tcPr>
          <w:p>
            <w:pPr>
              <w:jc w:val="center"/>
              <w:ind w:right="163"/>
              <w:spacing w:after="0"/>
              <w:rPr>
                <w:sz w:val="20"/>
                <w:szCs w:val="20"/>
                <w:color w:val="auto"/>
              </w:rPr>
            </w:pPr>
            <w:r>
              <w:rPr>
                <w:rFonts w:ascii="Arial" w:cs="Arial" w:eastAsia="Arial" w:hAnsi="Arial"/>
                <w:sz w:val="14"/>
                <w:szCs w:val="14"/>
                <w:b w:val="1"/>
                <w:bCs w:val="1"/>
                <w:color w:val="auto"/>
                <w:w w:val="98"/>
              </w:rPr>
              <w:t>Derivative</w:t>
            </w:r>
          </w:p>
        </w:tc>
        <w:tc>
          <w:tcPr>
            <w:tcW w:w="18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59"/>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right="104"/>
              <w:spacing w:after="0" w:line="159" w:lineRule="exact"/>
              <w:rPr>
                <w:sz w:val="20"/>
                <w:szCs w:val="20"/>
                <w:color w:val="auto"/>
              </w:rPr>
            </w:pPr>
            <w:r>
              <w:rPr>
                <w:rFonts w:ascii="Arial" w:cs="Arial" w:eastAsia="Arial" w:hAnsi="Arial"/>
                <w:sz w:val="14"/>
                <w:szCs w:val="14"/>
                <w:b w:val="1"/>
                <w:bCs w:val="1"/>
                <w:color w:val="auto"/>
                <w:w w:val="99"/>
              </w:rPr>
              <w:t>liability</w:t>
            </w:r>
          </w:p>
        </w:tc>
        <w:tc>
          <w:tcPr>
            <w:tcW w:w="240" w:type="dxa"/>
            <w:vAlign w:val="bottom"/>
          </w:tcPr>
          <w:p>
            <w:pPr>
              <w:spacing w:after="0"/>
              <w:rPr>
                <w:sz w:val="13"/>
                <w:szCs w:val="13"/>
                <w:color w:val="auto"/>
              </w:rPr>
            </w:pPr>
          </w:p>
        </w:tc>
        <w:tc>
          <w:tcPr>
            <w:tcW w:w="1260" w:type="dxa"/>
            <w:vAlign w:val="bottom"/>
          </w:tcPr>
          <w:p>
            <w:pPr>
              <w:jc w:val="center"/>
              <w:ind w:right="163"/>
              <w:spacing w:after="0" w:line="159" w:lineRule="exact"/>
              <w:rPr>
                <w:sz w:val="20"/>
                <w:szCs w:val="20"/>
                <w:color w:val="auto"/>
              </w:rPr>
            </w:pPr>
            <w:r>
              <w:rPr>
                <w:rFonts w:ascii="Arial" w:cs="Arial" w:eastAsia="Arial" w:hAnsi="Arial"/>
                <w:sz w:val="14"/>
                <w:szCs w:val="14"/>
                <w:b w:val="1"/>
                <w:bCs w:val="1"/>
                <w:color w:val="auto"/>
              </w:rPr>
              <w:t>valuation</w:t>
            </w:r>
          </w:p>
        </w:tc>
        <w:tc>
          <w:tcPr>
            <w:tcW w:w="180" w:type="dxa"/>
            <w:vAlign w:val="bottom"/>
          </w:tcPr>
          <w:p>
            <w:pPr>
              <w:spacing w:after="0"/>
              <w:rPr>
                <w:sz w:val="13"/>
                <w:szCs w:val="13"/>
                <w:color w:val="auto"/>
              </w:rPr>
            </w:pPr>
          </w:p>
        </w:tc>
        <w:tc>
          <w:tcPr>
            <w:tcW w:w="1340" w:type="dxa"/>
            <w:vAlign w:val="bottom"/>
          </w:tcPr>
          <w:p>
            <w:pPr>
              <w:jc w:val="center"/>
              <w:ind w:right="83"/>
              <w:spacing w:after="0" w:line="15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8"/>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9"/>
              </w:rPr>
              <w:t>adjustment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(83,203)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(39,661)</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(132,408)</w:t>
            </w:r>
          </w:p>
        </w:tc>
        <w:tc>
          <w:tcPr>
            <w:tcW w:w="0" w:type="dxa"/>
            <w:vAlign w:val="bottom"/>
          </w:tcPr>
          <w:p>
            <w:pPr>
              <w:spacing w:after="0"/>
              <w:rPr>
                <w:sz w:val="1"/>
                <w:szCs w:val="1"/>
                <w:color w:val="auto"/>
              </w:rPr>
            </w:pPr>
          </w:p>
        </w:tc>
      </w:tr>
      <w:tr>
        <w:trPr>
          <w:trHeight w:val="204"/>
        </w:trPr>
        <w:tc>
          <w:tcPr>
            <w:tcW w:w="506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(15,955)</w:t>
            </w:r>
          </w:p>
        </w:tc>
        <w:tc>
          <w:tcPr>
            <w:tcW w:w="18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516</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(343)</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(15,782)</w:t>
            </w:r>
          </w:p>
        </w:tc>
        <w:tc>
          <w:tcPr>
            <w:tcW w:w="0" w:type="dxa"/>
            <w:vAlign w:val="bottom"/>
          </w:tcPr>
          <w:p>
            <w:pPr>
              <w:spacing w:after="0"/>
              <w:rPr>
                <w:sz w:val="1"/>
                <w:szCs w:val="1"/>
                <w:color w:val="auto"/>
              </w:rPr>
            </w:pPr>
          </w:p>
        </w:tc>
      </w:tr>
      <w:tr>
        <w:trPr>
          <w:trHeight w:val="160"/>
        </w:trPr>
        <w:tc>
          <w:tcPr>
            <w:tcW w:w="506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Interest expense related to swaps reclassified to the Consolidated</w:t>
            </w:r>
          </w:p>
        </w:tc>
        <w:tc>
          <w:tcPr>
            <w:tcW w:w="3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Statements of Income, net of tax</w:t>
            </w:r>
          </w:p>
        </w:tc>
        <w:tc>
          <w:tcPr>
            <w:tcW w:w="3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60" w:type="dxa"/>
            <w:vAlign w:val="bottom"/>
          </w:tcPr>
          <w:p>
            <w:pPr>
              <w:ind w:left="20"/>
              <w:spacing w:after="0" w:line="159" w:lineRule="exact"/>
              <w:rPr>
                <w:sz w:val="20"/>
                <w:szCs w:val="20"/>
                <w:color w:val="auto"/>
              </w:rPr>
            </w:pPr>
            <w:r>
              <w:rPr>
                <w:rFonts w:ascii="Arial" w:cs="Arial" w:eastAsia="Arial" w:hAnsi="Arial"/>
                <w:sz w:val="16"/>
                <w:szCs w:val="16"/>
                <w:color w:val="auto"/>
              </w:rPr>
              <w:t>Pension and postretirement liability adjustments reclassified to</w:t>
            </w:r>
          </w:p>
        </w:tc>
        <w:tc>
          <w:tcPr>
            <w:tcW w:w="34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1"/>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(15,955)</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509</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(14,694)</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March 31, 2021</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(39,152)</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(147,102)</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table below presents the expense/(income) amounts reclassified from AOCI, and the line items of the Statement of Income that were affected for the three months ended March 31, 2022 and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March 31,</w:t>
            </w:r>
          </w:p>
        </w:tc>
      </w:tr>
      <w:tr>
        <w:trPr>
          <w:trHeight w:val="20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r>
      <w:tr>
        <w:trPr>
          <w:trHeight w:val="20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Pretax Derivative valuation reclassified from Accumulated Other Comprehensive Income: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8"/>
        </w:trPr>
        <w:tc>
          <w:tcPr>
            <w:tcW w:w="8620" w:type="dxa"/>
            <w:vAlign w:val="bottom"/>
          </w:tcPr>
          <w:p>
            <w:pPr>
              <w:ind w:left="140"/>
              <w:spacing w:after="0"/>
              <w:rPr>
                <w:sz w:val="20"/>
                <w:szCs w:val="20"/>
                <w:color w:val="auto"/>
              </w:rPr>
            </w:pPr>
            <w:r>
              <w:rPr>
                <w:rFonts w:ascii="Arial" w:cs="Arial" w:eastAsia="Arial" w:hAnsi="Arial"/>
                <w:sz w:val="16"/>
                <w:szCs w:val="16"/>
                <w:color w:val="auto"/>
              </w:rPr>
              <w:t>Expense/(income) related to interest rate swaps included in Income before taxes (a)</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1,696</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1,476</w:t>
            </w:r>
          </w:p>
        </w:tc>
      </w:tr>
      <w:tr>
        <w:trPr>
          <w:trHeight w:val="212"/>
        </w:trPr>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3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 Comprehensive Income</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1,266</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r>
      <w:tr>
        <w:trPr>
          <w:trHeight w:val="232"/>
        </w:trPr>
        <w:tc>
          <w:tcPr>
            <w:tcW w:w="8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4"/>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 Accumulated Other Comprehensive Income:</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r>
      <w:tr>
        <w:trPr>
          <w:trHeight w:val="238"/>
        </w:trPr>
        <w:tc>
          <w:tcPr>
            <w:tcW w:w="8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Amortization of net actuarial loss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r>
      <w:tr>
        <w:trPr>
          <w:trHeight w:val="205"/>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pretax amount reclassified (b)</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effect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 Comprehensive Income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bl>
    <w:p>
      <w:pPr>
        <w:spacing w:after="0" w:line="65" w:lineRule="exact"/>
        <w:rPr>
          <w:sz w:val="20"/>
          <w:szCs w:val="20"/>
          <w:color w:val="auto"/>
        </w:rPr>
      </w:pPr>
    </w:p>
    <w:p>
      <w:pPr>
        <w:ind w:left="640" w:hanging="634"/>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Interest expense, net are payments related to the interest rate swap agreements and amortization of swap buyouts (see Notes 13 and 14).</w:t>
      </w:r>
    </w:p>
    <w:p>
      <w:pPr>
        <w:spacing w:after="0" w:line="37" w:lineRule="exact"/>
        <w:rPr>
          <w:rFonts w:ascii="Arial" w:cs="Arial" w:eastAsia="Arial" w:hAnsi="Arial"/>
          <w:sz w:val="15"/>
          <w:szCs w:val="15"/>
          <w:color w:val="auto"/>
        </w:rPr>
      </w:pPr>
    </w:p>
    <w:p>
      <w:pPr>
        <w:ind w:left="640" w:hanging="63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accumulated other comprehensive income components are included in the computation of net periodic pension cost (see Note 3).</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Noncontrolling Interest</w:t>
      </w:r>
    </w:p>
    <w:p>
      <w:pPr>
        <w:spacing w:after="0" w:line="11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The table below presents a reconciliation of income attributable to the noncontrolling interest and noncontrolling equity in the Company’s subsidiary Albany Safran Composites,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97"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20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of Albany Safran Composites (ASC)</w:t>
            </w:r>
          </w:p>
        </w:tc>
        <w:tc>
          <w:tcPr>
            <w:tcW w:w="162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3,702</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585</w:t>
            </w:r>
          </w:p>
        </w:tc>
      </w:tr>
      <w:tr>
        <w:trPr>
          <w:trHeight w:val="21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319</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318</w:t>
            </w:r>
          </w:p>
        </w:tc>
      </w:tr>
      <w:tr>
        <w:trPr>
          <w:trHeight w:val="20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of ASC available for common ownership</w:t>
            </w:r>
          </w:p>
        </w:tc>
        <w:tc>
          <w:tcPr>
            <w:tcW w:w="162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3,383</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267</w:t>
            </w:r>
          </w:p>
        </w:tc>
      </w:tr>
      <w:tr>
        <w:trPr>
          <w:trHeight w:val="21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05"/>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16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338</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27</w:t>
            </w:r>
          </w:p>
        </w:tc>
      </w:tr>
      <w:tr>
        <w:trPr>
          <w:trHeight w:val="232"/>
        </w:trPr>
        <w:tc>
          <w:tcPr>
            <w:tcW w:w="7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62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3,638</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3,799</w:t>
            </w: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Net income/(loss) attributable to noncontrolling interest</w:t>
            </w:r>
          </w:p>
        </w:tc>
        <w:tc>
          <w:tcPr>
            <w:tcW w:w="1620" w:type="dxa"/>
            <w:vAlign w:val="bottom"/>
          </w:tcPr>
          <w:p>
            <w:pPr>
              <w:spacing w:after="0"/>
              <w:rPr>
                <w:sz w:val="18"/>
                <w:szCs w:val="18"/>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b w:val="1"/>
                <w:bCs w:val="1"/>
                <w:color w:val="auto"/>
              </w:rPr>
              <w:t>338</w:t>
            </w:r>
          </w:p>
        </w:tc>
        <w:tc>
          <w:tcPr>
            <w:tcW w:w="32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27</w:t>
            </w:r>
          </w:p>
        </w:tc>
      </w:tr>
      <w:tr>
        <w:trPr>
          <w:trHeight w:val="212"/>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6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56</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(210)</w:t>
            </w:r>
          </w:p>
        </w:tc>
      </w:tr>
      <w:tr>
        <w:trPr>
          <w:trHeight w:val="20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end of interim period</w:t>
            </w:r>
          </w:p>
        </w:tc>
        <w:tc>
          <w:tcPr>
            <w:tcW w:w="16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4,032</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3,616</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Accounts Receivable</w:t>
      </w:r>
    </w:p>
    <w:p>
      <w:pPr>
        <w:spacing w:after="0" w:line="11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Accounts receivable includes trade receivables. In connection with certain sales in Asia, the Company accepts a bank promissory note as customer payment. The notes may be presented for payment at maturity, which is less than one year. As of March 31, 2022 and December 31, 2021, Accounts receivable consisted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5620" w:type="dxa"/>
            <w:vAlign w:val="bottom"/>
            <w:tcBorders>
              <w:bottom w:val="single" w:sz="8" w:color="auto"/>
            </w:tcBorders>
            <w:vMerge w:val="continue"/>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3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186,462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168,046</w:t>
            </w:r>
          </w:p>
        </w:tc>
        <w:tc>
          <w:tcPr>
            <w:tcW w:w="0" w:type="dxa"/>
            <w:vAlign w:val="bottom"/>
          </w:tcPr>
          <w:p>
            <w:pPr>
              <w:spacing w:after="0"/>
              <w:rPr>
                <w:sz w:val="1"/>
                <w:szCs w:val="1"/>
                <w:color w:val="auto"/>
              </w:rPr>
            </w:pPr>
          </w:p>
        </w:tc>
      </w:tr>
      <w:tr>
        <w:trPr>
          <w:trHeight w:val="238"/>
        </w:trPr>
        <w:tc>
          <w:tcPr>
            <w:tcW w:w="562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3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24,609</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26,284</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(3,516)</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232"/>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3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207,555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over a 10-year period, which began in 2020. As of March 31, 2022 and December 31, 2021, Noncurrent receivables consisted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44"/>
              <w:spacing w:after="0" w:line="159" w:lineRule="exact"/>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24"/>
              <w:spacing w:after="0" w:line="15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62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receivables</w:t>
            </w:r>
          </w:p>
        </w:tc>
        <w:tc>
          <w:tcPr>
            <w:tcW w:w="3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31,177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32,049</w:t>
            </w:r>
          </w:p>
        </w:tc>
        <w:tc>
          <w:tcPr>
            <w:tcW w:w="0" w:type="dxa"/>
            <w:vAlign w:val="bottom"/>
          </w:tcPr>
          <w:p>
            <w:pPr>
              <w:spacing w:after="0"/>
              <w:rPr>
                <w:sz w:val="1"/>
                <w:szCs w:val="1"/>
                <w:color w:val="auto"/>
              </w:rPr>
            </w:pPr>
          </w:p>
        </w:tc>
      </w:tr>
      <w:tr>
        <w:trPr>
          <w:trHeight w:val="239"/>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5"/>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receivables, net</w:t>
            </w:r>
          </w:p>
        </w:tc>
        <w:tc>
          <w:tcPr>
            <w:tcW w:w="3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Contract Assets and Liabilities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pacing w:after="0" w:line="7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2022 and December 31, 2021, Contract assets and Contract liabilities consisted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5620" w:type="dxa"/>
            <w:vAlign w:val="bottom"/>
            <w:tcBorders>
              <w:bottom w:val="single" w:sz="8" w:color="auto"/>
            </w:tcBorders>
            <w:vMerge w:val="continue"/>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3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112,967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113,249</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05"/>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3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112,262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112,546</w:t>
            </w:r>
          </w:p>
        </w:tc>
        <w:tc>
          <w:tcPr>
            <w:tcW w:w="0" w:type="dxa"/>
            <w:vAlign w:val="bottom"/>
          </w:tcPr>
          <w:p>
            <w:pPr>
              <w:spacing w:after="0"/>
              <w:rPr>
                <w:sz w:val="1"/>
                <w:szCs w:val="1"/>
                <w:color w:val="auto"/>
              </w:rPr>
            </w:pPr>
          </w:p>
        </w:tc>
      </w:tr>
      <w:tr>
        <w:trPr>
          <w:trHeight w:val="232"/>
        </w:trPr>
        <w:tc>
          <w:tcPr>
            <w:tcW w:w="56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3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Contract assets decreased $0.3 million during the three-month period ended March 31, 2022. The decrease was primarily due to invoicing to customers exceeding revenue recognized for satisfied performance obligations for contracts that were in a contract asset position. There were no impairment losses related to our Contract assets during the three month periods ended March 31, 2022 and March 31, 2021.</w:t>
      </w:r>
    </w:p>
    <w:p>
      <w:pPr>
        <w:spacing w:after="0" w:line="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liabilities decreased $1.7 million during the three-month period ended March 31, 2022, primarily due to revenue recognized from satisfied performance obligations exceeding amounts invoiced to customers that were in a contract liability position. Revenue recognized for the three-month periods ended March 31, 2022 and 2021 that was included in the Contract liability balance at the beginning of the year was $4.8 million and $4.3 million,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1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2022 and December 31, 2021, Inventories consisted of the following:</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459105</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 2022  December 31, 2021</w:t>
            </w:r>
          </w:p>
        </w:tc>
      </w:tr>
      <w:tr>
        <w:trPr>
          <w:trHeight w:val="20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58,493</w:t>
            </w:r>
          </w:p>
        </w:tc>
        <w:tc>
          <w:tcPr>
            <w:tcW w:w="420" w:type="dxa"/>
            <w:vAlign w:val="bottom"/>
            <w:shd w:val="clear" w:color="auto" w:fill="CCEEFF"/>
          </w:tcPr>
          <w:p>
            <w:pPr>
              <w:jc w:val="center"/>
              <w:ind w:right="16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58,689</w:t>
            </w:r>
          </w:p>
        </w:tc>
      </w:tr>
      <w:tr>
        <w:trPr>
          <w:trHeight w:val="238"/>
        </w:trPr>
        <w:tc>
          <w:tcPr>
            <w:tcW w:w="490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8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48,297</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44,839</w:t>
            </w:r>
          </w:p>
        </w:tc>
      </w:tr>
      <w:tr>
        <w:trPr>
          <w:trHeight w:val="212"/>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8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17,045</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14,354</w:t>
            </w:r>
          </w:p>
        </w:tc>
      </w:tr>
      <w:tr>
        <w:trPr>
          <w:trHeight w:val="232"/>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123,835</w:t>
            </w:r>
          </w:p>
        </w:tc>
        <w:tc>
          <w:tcPr>
            <w:tcW w:w="42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117,882</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1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 Our reportable segments are consistent with our operating segments.</w:t>
      </w:r>
    </w:p>
    <w:p>
      <w:pPr>
        <w:spacing w:after="0" w:line="149" w:lineRule="exact"/>
        <w:rPr>
          <w:sz w:val="20"/>
          <w:szCs w:val="20"/>
          <w:color w:val="auto"/>
        </w:rPr>
      </w:pPr>
    </w:p>
    <w:p>
      <w:pPr>
        <w:ind w:right="180" w:firstLine="397"/>
        <w:spacing w:after="0" w:line="255" w:lineRule="auto"/>
        <w:rPr>
          <w:sz w:val="20"/>
          <w:szCs w:val="20"/>
          <w:color w:val="auto"/>
        </w:rPr>
      </w:pPr>
      <w:r>
        <w:rPr>
          <w:rFonts w:ascii="Arial" w:cs="Arial" w:eastAsia="Arial" w:hAnsi="Arial"/>
          <w:sz w:val="18"/>
          <w:szCs w:val="18"/>
          <w:color w:val="auto"/>
        </w:rPr>
        <w:t>In the second quarter of 2021, management applied the qualitative assessment approach in performing its annual evaluation of goodwill for the Company's Machine Clothing reporting unit and three AEC reporting units and concluded that each reporting unit’s fair value continued to exceed its carrying value. In addition, there were no amounts at risk due to the estimated excess between the fair and carrying values. Accordingly, no impairment charges were recorded.</w:t>
      </w:r>
    </w:p>
    <w:p>
      <w:pPr>
        <w:spacing w:after="0" w:line="7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When a quantitative assessment is performed, 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7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156845</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December 31, 2021</w:t>
            </w:r>
          </w:p>
        </w:tc>
      </w:tr>
      <w:tr>
        <w:trPr>
          <w:trHeight w:val="19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agreement with borrowings outstanding at an end of period interest rate of 3.42% in 2022</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3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and 3.74% in 2021 (including the effect of interest rate hedging transactions, as described below), due in 2024</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427,000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r>
    </w:tbl>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had no current maturities of Long-term debt as of March 31, 2022 or December 31, 2021.</w:t>
      </w:r>
    </w:p>
    <w:p>
      <w:pPr>
        <w:spacing w:after="0" w:line="111"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$427 million of borrowings were outstanding as of March 31, 2022. The applicable interest rate for borrowings was LIBOR plus a spread, based on our leverage ratio at the time of borrowing. At the time of the last borrowing on March 31, 2022, the spread was 1.625%. The spread was based on a pricing grid, which ranged from 1.500% to 2.000%, based on our leverage ratio. Based on our maximum leverage ratio and our Consolidated EBITDA, and without modification to any other credit agreements, as of March 31, 2022, we would have been able to borrow an additional $273 million under the Agreement.</w:t>
      </w:r>
    </w:p>
    <w:p>
      <w:pPr>
        <w:spacing w:after="0" w:line="68"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29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On June 14, 2021, we entered into interest rate swap agreements for the period October 17, 2022 through October 27, 2024. These transactions have the effect of fixing the LIBOR portion of the effective interest rate (before addition of the spread) on $350 million of indebtedness drawn under the Credit Agreement at the rate of 0.838% during the period. Under the terms of these transactions, we pay the fixed rate of 0.838% and the counterparties pay a floating rate based on the one-month LIBOR rate at each monthly calculation date, which on March 16, 2022 was 0.44%.</w:t>
      </w:r>
    </w:p>
    <w:p>
      <w:pPr>
        <w:spacing w:after="0" w:line="7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March 16, 2022 was 0.44%, during the swap period. On March 16, 2022, the all-in-rate on the $350 million of debt was 3.735%.</w:t>
      </w:r>
    </w:p>
    <w:p>
      <w:pPr>
        <w:spacing w:after="0" w:line="7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14. No cash collateral was received or pledged in relation to the swap agreements.</w:t>
      </w:r>
    </w:p>
    <w:p>
      <w:pPr>
        <w:spacing w:after="0" w:line="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3.50 to 1.00 and minimum interest coverage (as defined) of 3.00 to 1.00.</w:t>
      </w:r>
    </w:p>
    <w:p>
      <w:pPr>
        <w:spacing w:after="0" w:line="5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As of March 31, 2022, our leverage ratio was 1.32 to 1.00 and our interest coverage ratio was 14.80 to 1.00. We may purchase our Common Stock or pay dividends to the extent our leverage ratio remains at or below 3.50 to 1.00, and may make acquisitions with cash, provided our leverage ratio does not exceed the limits noted above.</w:t>
      </w:r>
    </w:p>
    <w:p>
      <w:pPr>
        <w:spacing w:after="0" w:line="6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Indebtedness under the Credit Agreement is ranked equally in right of payment to all unsecured senior debt. We were in compliance with all debt covenants as of March 31, 2022.</w:t>
      </w:r>
    </w:p>
    <w:p>
      <w:pPr>
        <w:spacing w:after="0" w:line="296"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Currently, our Credit Agreement and certain of our derivative instruments reference one-month USD LIBOR-based rates, which are set to discontinue after June 30, 2023. Regulators in the U.S. and other jurisdictions have been working to replace these rates with alternative reference interest rates that are supported by transactions in liquid and observable markets, such as the Secured Overnight Financing Rate (SOFR) for USD LIBOR. Our Credit Agreement contains provisions specifying alternative interest rate calculations to be employed when LIBOR ceases to be available as a benchmark and we have adhered to the ISDA IBOR Fallbacks Protocol, which will govern our derivatives upon the final cessation of USD LIBOR. ASU 2020-04, Reference Rate Reform, helps limit the accounting impact from contract modifications, including hedging relationships, due to the transition from LIBOR to alternative reference rates that are completed by December 31, 2022. We adopted certain provisions of ASU 2020-04 during 2021. While we currently do not expect a significant impact to our operating results, financial position or cash flows from the transition from LIBOR to alternative reference interest rates, we will continue to monitor the impact of this transition until it is completed.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March 31, 2022, or at December 31, 2021.</w:t>
      </w:r>
    </w:p>
    <w:p>
      <w:pPr>
        <w:spacing w:after="0" w:line="7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3"/>
          </w:tcPr>
          <w:p>
            <w:pPr>
              <w:jc w:val="right"/>
              <w:ind w:right="1125"/>
              <w:spacing w:after="0"/>
              <w:rPr>
                <w:sz w:val="20"/>
                <w:szCs w:val="20"/>
                <w:color w:val="auto"/>
              </w:rPr>
            </w:pPr>
            <w:r>
              <w:rPr>
                <w:rFonts w:ascii="Arial" w:cs="Arial" w:eastAsia="Arial" w:hAnsi="Arial"/>
                <w:sz w:val="14"/>
                <w:szCs w:val="14"/>
                <w:b w:val="1"/>
                <w:bCs w:val="1"/>
                <w:color w:val="auto"/>
              </w:rPr>
              <w:t>March 31, 2022</w:t>
            </w:r>
          </w:p>
        </w:tc>
        <w:tc>
          <w:tcPr>
            <w:tcW w:w="2480" w:type="dxa"/>
            <w:vAlign w:val="bottom"/>
            <w:tcBorders>
              <w:top w:val="single" w:sz="8" w:color="auto"/>
              <w:bottom w:val="single" w:sz="8" w:color="auto"/>
            </w:tcBorders>
            <w:gridSpan w:val="3"/>
          </w:tcPr>
          <w:p>
            <w:pPr>
              <w:jc w:val="right"/>
              <w:ind w:right="645"/>
              <w:spacing w:after="0"/>
              <w:rPr>
                <w:sz w:val="20"/>
                <w:szCs w:val="20"/>
                <w:color w:val="auto"/>
              </w:rPr>
            </w:pPr>
            <w:r>
              <w:rPr>
                <w:rFonts w:ascii="Arial" w:cs="Arial" w:eastAsia="Arial" w:hAnsi="Arial"/>
                <w:sz w:val="14"/>
                <w:szCs w:val="14"/>
                <w:b w:val="1"/>
                <w:bCs w:val="1"/>
                <w:color w:val="auto"/>
              </w:rPr>
              <w:t>December 31, 2021</w:t>
            </w:r>
          </w:p>
        </w:tc>
      </w:tr>
      <w:tr>
        <w:trPr>
          <w:trHeight w:val="170"/>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6"/>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4"/>
                <w:szCs w:val="14"/>
                <w:color w:val="auto"/>
              </w:rPr>
            </w:pPr>
          </w:p>
        </w:tc>
        <w:tc>
          <w:tcPr>
            <w:tcW w:w="1460" w:type="dxa"/>
            <w:vAlign w:val="bottom"/>
          </w:tcPr>
          <w:p>
            <w:pPr>
              <w:jc w:val="center"/>
              <w:ind w:right="465"/>
              <w:spacing w:after="0"/>
              <w:rPr>
                <w:sz w:val="20"/>
                <w:szCs w:val="20"/>
                <w:color w:val="auto"/>
              </w:rPr>
            </w:pPr>
            <w:r>
              <w:rPr>
                <w:rFonts w:ascii="Arial" w:cs="Arial" w:eastAsia="Arial" w:hAnsi="Arial"/>
                <w:sz w:val="14"/>
                <w:szCs w:val="14"/>
                <w:b w:val="1"/>
                <w:bCs w:val="1"/>
                <w:color w:val="auto"/>
              </w:rPr>
              <w:t>Significant</w:t>
            </w:r>
          </w:p>
        </w:tc>
        <w:tc>
          <w:tcPr>
            <w:tcW w:w="1080" w:type="dxa"/>
            <w:vAlign w:val="bottom"/>
          </w:tcPr>
          <w:p>
            <w:pPr>
              <w:jc w:val="center"/>
              <w:ind w:right="184"/>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4"/>
                <w:szCs w:val="14"/>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rPr>
              <w:t>Significant</w:t>
            </w:r>
          </w:p>
        </w:tc>
      </w:tr>
      <w:tr>
        <w:trPr>
          <w:trHeight w:val="17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6"/>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4"/>
                <w:szCs w:val="14"/>
                <w:color w:val="auto"/>
              </w:rPr>
            </w:pPr>
          </w:p>
        </w:tc>
        <w:tc>
          <w:tcPr>
            <w:tcW w:w="1460" w:type="dxa"/>
            <w:vAlign w:val="bottom"/>
          </w:tcPr>
          <w:p>
            <w:pPr>
              <w:jc w:val="center"/>
              <w:ind w:right="465"/>
              <w:spacing w:after="0"/>
              <w:rPr>
                <w:sz w:val="20"/>
                <w:szCs w:val="20"/>
                <w:color w:val="auto"/>
              </w:rPr>
            </w:pPr>
            <w:r>
              <w:rPr>
                <w:rFonts w:ascii="Arial" w:cs="Arial" w:eastAsia="Arial" w:hAnsi="Arial"/>
                <w:sz w:val="14"/>
                <w:szCs w:val="14"/>
                <w:b w:val="1"/>
                <w:bCs w:val="1"/>
                <w:color w:val="auto"/>
              </w:rPr>
              <w:t>other</w:t>
            </w:r>
          </w:p>
        </w:tc>
        <w:tc>
          <w:tcPr>
            <w:tcW w:w="1080" w:type="dxa"/>
            <w:vAlign w:val="bottom"/>
          </w:tcPr>
          <w:p>
            <w:pPr>
              <w:jc w:val="center"/>
              <w:ind w:right="184"/>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4"/>
                <w:szCs w:val="14"/>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rPr>
              <w:t>other</w:t>
            </w:r>
          </w:p>
        </w:tc>
      </w:tr>
      <w:tr>
        <w:trPr>
          <w:trHeight w:val="17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86"/>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460" w:type="dxa"/>
            <w:vAlign w:val="bottom"/>
          </w:tcPr>
          <w:p>
            <w:pPr>
              <w:jc w:val="center"/>
              <w:ind w:right="465"/>
              <w:spacing w:after="0"/>
              <w:rPr>
                <w:sz w:val="20"/>
                <w:szCs w:val="20"/>
                <w:color w:val="auto"/>
              </w:rPr>
            </w:pPr>
            <w:r>
              <w:rPr>
                <w:rFonts w:ascii="Arial" w:cs="Arial" w:eastAsia="Arial" w:hAnsi="Arial"/>
                <w:sz w:val="14"/>
                <w:szCs w:val="14"/>
                <w:b w:val="1"/>
                <w:bCs w:val="1"/>
                <w:color w:val="auto"/>
              </w:rPr>
              <w:t>observable</w:t>
            </w:r>
          </w:p>
        </w:tc>
        <w:tc>
          <w:tcPr>
            <w:tcW w:w="1080" w:type="dxa"/>
            <w:vAlign w:val="bottom"/>
          </w:tcPr>
          <w:p>
            <w:pPr>
              <w:jc w:val="center"/>
              <w:ind w:right="204"/>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rPr>
              <w:t>observable</w:t>
            </w:r>
          </w:p>
        </w:tc>
      </w:tr>
      <w:tr>
        <w:trPr>
          <w:trHeight w:val="194"/>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66"/>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6"/>
                <w:szCs w:val="16"/>
                <w:color w:val="auto"/>
              </w:rPr>
            </w:pPr>
          </w:p>
        </w:tc>
        <w:tc>
          <w:tcPr>
            <w:tcW w:w="1460" w:type="dxa"/>
            <w:vAlign w:val="bottom"/>
          </w:tcPr>
          <w:p>
            <w:pPr>
              <w:jc w:val="center"/>
              <w:ind w:right="485"/>
              <w:spacing w:after="0"/>
              <w:rPr>
                <w:sz w:val="20"/>
                <w:szCs w:val="20"/>
                <w:color w:val="auto"/>
              </w:rPr>
            </w:pPr>
            <w:r>
              <w:rPr>
                <w:rFonts w:ascii="Arial" w:cs="Arial" w:eastAsia="Arial" w:hAnsi="Arial"/>
                <w:sz w:val="14"/>
                <w:szCs w:val="14"/>
                <w:b w:val="1"/>
                <w:bCs w:val="1"/>
                <w:color w:val="auto"/>
                <w:w w:val="99"/>
              </w:rPr>
              <w:t>inputs</w:t>
            </w:r>
          </w:p>
        </w:tc>
        <w:tc>
          <w:tcPr>
            <w:tcW w:w="1080" w:type="dxa"/>
            <w:vAlign w:val="bottom"/>
          </w:tcPr>
          <w:p>
            <w:pPr>
              <w:jc w:val="center"/>
              <w:ind w:right="184"/>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6"/>
                <w:szCs w:val="16"/>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rPr>
              <w:t>inputs</w:t>
            </w:r>
          </w:p>
        </w:tc>
      </w:tr>
      <w:tr>
        <w:trPr>
          <w:trHeight w:val="23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465"/>
              <w:spacing w:after="0"/>
              <w:rPr>
                <w:sz w:val="20"/>
                <w:szCs w:val="20"/>
                <w:color w:val="auto"/>
              </w:rPr>
            </w:pPr>
            <w:r>
              <w:rPr>
                <w:rFonts w:ascii="Arial" w:cs="Arial" w:eastAsia="Arial" w:hAnsi="Arial"/>
                <w:sz w:val="14"/>
                <w:szCs w:val="14"/>
                <w:b w:val="1"/>
                <w:bCs w:val="1"/>
                <w:color w:val="auto"/>
                <w:w w:val="98"/>
              </w:rPr>
              <w:t>(Level 2)</w:t>
            </w:r>
          </w:p>
        </w:tc>
        <w:tc>
          <w:tcPr>
            <w:tcW w:w="10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8"/>
              </w:rPr>
              <w:t>(Level 2)</w:t>
            </w: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19,058</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20,665</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r>
      <w:tr>
        <w:trPr>
          <w:trHeight w:val="230"/>
        </w:trPr>
        <w:tc>
          <w:tcPr>
            <w:tcW w:w="5680" w:type="dxa"/>
            <w:vAlign w:val="bottom"/>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689</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5"/>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702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r>
      <w:tr>
        <w:trPr>
          <w:trHeight w:val="250"/>
        </w:trPr>
        <w:tc>
          <w:tcPr>
            <w:tcW w:w="5680" w:type="dxa"/>
            <w:vAlign w:val="bottom"/>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45"/>
              <w:spacing w:after="0"/>
              <w:rPr>
                <w:sz w:val="20"/>
                <w:szCs w:val="20"/>
                <w:color w:val="auto"/>
              </w:rPr>
            </w:pPr>
            <w:r>
              <w:rPr>
                <w:rFonts w:ascii="Arial" w:cs="Arial" w:eastAsia="Arial" w:hAnsi="Arial"/>
                <w:sz w:val="16"/>
                <w:szCs w:val="16"/>
                <w:color w:val="auto"/>
              </w:rPr>
              <w:t>13,519</w:t>
            </w:r>
          </w:p>
        </w:tc>
        <w:tc>
          <w:tcPr>
            <w:tcW w:w="1080" w:type="dxa"/>
            <w:vAlign w:val="bottom"/>
          </w:tcPr>
          <w:p>
            <w:pPr>
              <w:jc w:val="right"/>
              <w:ind w:right="24"/>
              <w:spacing w:after="0"/>
              <w:rPr>
                <w:sz w:val="20"/>
                <w:szCs w:val="20"/>
                <w:color w:val="auto"/>
              </w:rPr>
            </w:pPr>
            <w:r>
              <w:rPr>
                <w:rFonts w:ascii="Calibri" w:cs="Calibri" w:eastAsia="Calibri" w:hAnsi="Calibri"/>
                <w:sz w:val="19"/>
                <w:szCs w:val="19"/>
                <w:color w:val="auto"/>
              </w:rPr>
              <w:t>—</w:t>
            </w:r>
          </w:p>
        </w:tc>
        <w:tc>
          <w:tcPr>
            <w:tcW w:w="280" w:type="dxa"/>
            <w:vAlign w:val="bottom"/>
          </w:tcPr>
          <w:p>
            <w:pPr>
              <w:spacing w:after="0"/>
              <w:rPr>
                <w:sz w:val="21"/>
                <w:szCs w:val="21"/>
                <w:color w:val="auto"/>
              </w:rPr>
            </w:pPr>
          </w:p>
        </w:tc>
        <w:tc>
          <w:tcPr>
            <w:tcW w:w="1120" w:type="dxa"/>
            <w:vAlign w:val="bottom"/>
          </w:tcPr>
          <w:p>
            <w:pPr>
              <w:jc w:val="right"/>
              <w:ind w:right="5"/>
              <w:spacing w:after="0"/>
              <w:rPr>
                <w:sz w:val="20"/>
                <w:szCs w:val="20"/>
                <w:color w:val="auto"/>
              </w:rPr>
            </w:pPr>
            <w:r>
              <w:rPr>
                <w:rFonts w:ascii="Arial" w:cs="Arial" w:eastAsia="Arial" w:hAnsi="Arial"/>
                <w:sz w:val="16"/>
                <w:szCs w:val="16"/>
                <w:color w:val="auto"/>
              </w:rPr>
              <w:t>3,328</w:t>
            </w:r>
          </w:p>
        </w:tc>
      </w:tr>
      <w:tr>
        <w:trPr>
          <w:trHeight w:val="214"/>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1"/>
        </w:trPr>
        <w:tc>
          <w:tcPr>
            <w:tcW w:w="5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color w:val="auto"/>
              </w:rPr>
              <w:t>(1,941)</w:t>
            </w: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w:t>
            </w:r>
          </w:p>
        </w:tc>
      </w:tr>
    </w:tbl>
    <w:p>
      <w:pPr>
        <w:spacing w:after="0" w:line="63" w:lineRule="exact"/>
        <w:rPr>
          <w:sz w:val="20"/>
          <w:szCs w:val="20"/>
          <w:color w:val="auto"/>
        </w:rPr>
      </w:pPr>
    </w:p>
    <w:p>
      <w:pPr>
        <w:ind w:left="640" w:hanging="63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Original cost basis $0.5 million.</w:t>
      </w:r>
    </w:p>
    <w:p>
      <w:pPr>
        <w:spacing w:after="0" w:line="244" w:lineRule="exact"/>
        <w:rPr>
          <w:sz w:val="20"/>
          <w:szCs w:val="20"/>
          <w:color w:val="auto"/>
        </w:rPr>
      </w:pPr>
    </w:p>
    <w:p>
      <w:pPr>
        <w:ind w:right="220" w:firstLine="636"/>
        <w:spacing w:after="0" w:line="274"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Amounts determined to be due within one year are reclassified to Other current assets and/or Accrued liabilities in the Consolidated Balance Sheets. Unrealized gains and losses on the swaps flow through the caption Derivative valuation adjustment in the Shareholders’ equity section of the Consolidated Balance Sheets. As of March 31, 2022,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$1.7 million for the three month period ended March 31, 2022, and $1.7 million for the three month period ended March 31, 2021. Additionally, non-cash interest income related to the amortization of swap buyouts totaled $0.0 million for the three month period ended March 31, 2022 and $0.3 million for the three month period ended March 31, 2021.</w:t>
      </w:r>
    </w:p>
    <w:p>
      <w:pPr>
        <w:spacing w:after="0" w:line="8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7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47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480" w:type="dxa"/>
            <w:vAlign w:val="bottom"/>
          </w:tcPr>
          <w:p>
            <w:pPr>
              <w:spacing w:after="0"/>
              <w:rPr>
                <w:sz w:val="16"/>
                <w:szCs w:val="16"/>
                <w:color w:val="auto"/>
              </w:rPr>
            </w:pPr>
          </w:p>
        </w:tc>
      </w:tr>
      <w:tr>
        <w:trPr>
          <w:trHeight w:val="19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045"/>
              <w:spacing w:after="0"/>
              <w:rPr>
                <w:sz w:val="20"/>
                <w:szCs w:val="20"/>
                <w:color w:val="auto"/>
              </w:rPr>
            </w:pPr>
            <w:r>
              <w:rPr>
                <w:rFonts w:ascii="Arial" w:cs="Arial" w:eastAsia="Arial" w:hAnsi="Arial"/>
                <w:sz w:val="14"/>
                <w:szCs w:val="14"/>
                <w:b w:val="1"/>
                <w:bCs w:val="1"/>
                <w:color w:val="auto"/>
              </w:rPr>
              <w:t>2021</w:t>
            </w:r>
          </w:p>
        </w:tc>
      </w:tr>
      <w:tr>
        <w:trPr>
          <w:trHeight w:val="20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6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1"/>
        </w:trPr>
        <w:tc>
          <w:tcPr>
            <w:tcW w:w="47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Foreign currency options (gains)/losses</w:t>
            </w:r>
          </w:p>
        </w:tc>
        <w:tc>
          <w:tcPr>
            <w:tcW w:w="2600" w:type="dxa"/>
            <w:vAlign w:val="bottom"/>
            <w:tcBorders>
              <w:bottom w:val="single" w:sz="8" w:color="auto"/>
            </w:tcBorders>
          </w:tcPr>
          <w:p>
            <w:pPr>
              <w:jc w:val="right"/>
              <w:ind w:right="1325"/>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ind w:right="905"/>
              <w:spacing w:after="0"/>
              <w:rPr>
                <w:sz w:val="20"/>
                <w:szCs w:val="20"/>
                <w:color w:val="auto"/>
              </w:rPr>
            </w:pPr>
            <w:r>
              <w:rPr>
                <w:rFonts w:ascii="Arial" w:cs="Arial" w:eastAsia="Arial" w:hAnsi="Arial"/>
                <w:sz w:val="16"/>
                <w:szCs w:val="16"/>
                <w:color w:val="auto"/>
              </w:rPr>
              <w:t>(977)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9660" w:firstLine="6"/>
        <w:spacing w:after="0" w:line="390" w:lineRule="auto"/>
        <w:tabs>
          <w:tab w:leader="none" w:pos="295"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b w:val="1"/>
          <w:bCs w:val="1"/>
          <w:color w:val="auto"/>
        </w:rPr>
        <w:t>Asbestos Litigation</w:t>
      </w:r>
    </w:p>
    <w:p>
      <w:pPr>
        <w:spacing w:after="0" w:line="1" w:lineRule="exact"/>
        <w:rPr>
          <w:sz w:val="20"/>
          <w:szCs w:val="20"/>
          <w:color w:val="auto"/>
        </w:rPr>
      </w:pPr>
    </w:p>
    <w:p>
      <w:pPr>
        <w:jc w:val="both"/>
        <w:ind w:right="60" w:firstLine="318"/>
        <w:spacing w:after="0" w:line="260"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were defending 3,616 claims as of March 31, 2022.</w:t>
      </w:r>
    </w:p>
    <w:p>
      <w:pPr>
        <w:spacing w:after="0" w:line="111" w:lineRule="exact"/>
        <w:rPr>
          <w:sz w:val="20"/>
          <w:szCs w:val="20"/>
          <w:color w:val="auto"/>
        </w:rPr>
      </w:pPr>
    </w:p>
    <w:p>
      <w:pPr>
        <w:jc w:val="both"/>
        <w:ind w:right="60" w:firstLine="318"/>
        <w:spacing w:after="0" w:line="274"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1094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9460"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20" w:type="dxa"/>
            <w:vAlign w:val="bottom"/>
          </w:tcPr>
          <w:p>
            <w:pPr>
              <w:jc w:val="center"/>
              <w:ind w:left="89"/>
              <w:spacing w:after="0"/>
              <w:rPr>
                <w:sz w:val="20"/>
                <w:szCs w:val="20"/>
                <w:color w:val="auto"/>
              </w:rPr>
            </w:pPr>
            <w:r>
              <w:rPr>
                <w:rFonts w:ascii="Arial" w:cs="Arial" w:eastAsia="Arial" w:hAnsi="Arial"/>
                <w:sz w:val="14"/>
                <w:szCs w:val="14"/>
                <w:b w:val="1"/>
                <w:bCs w:val="1"/>
                <w:color w:val="auto"/>
              </w:rPr>
              <w:t>Claims</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106"/>
              <w:spacing w:after="0"/>
              <w:rPr>
                <w:sz w:val="20"/>
                <w:szCs w:val="20"/>
                <w:color w:val="auto"/>
              </w:rPr>
            </w:pPr>
            <w:r>
              <w:rPr>
                <w:rFonts w:ascii="Arial" w:cs="Arial" w:eastAsia="Arial" w:hAnsi="Arial"/>
                <w:sz w:val="14"/>
                <w:szCs w:val="14"/>
                <w:b w:val="1"/>
                <w:bCs w:val="1"/>
                <w:color w:val="auto"/>
                <w:w w:val="99"/>
              </w:rPr>
              <w:t>Amounts Paid</w:t>
            </w:r>
          </w:p>
        </w:tc>
      </w:tr>
      <w:tr>
        <w:trPr>
          <w:trHeight w:val="172"/>
        </w:trPr>
        <w:tc>
          <w:tcPr>
            <w:tcW w:w="2920" w:type="dxa"/>
            <w:vAlign w:val="bottom"/>
          </w:tcPr>
          <w:p>
            <w:pPr>
              <w:spacing w:after="0"/>
              <w:rPr>
                <w:sz w:val="14"/>
                <w:szCs w:val="14"/>
                <w:color w:val="auto"/>
              </w:rPr>
            </w:pPr>
          </w:p>
        </w:tc>
        <w:tc>
          <w:tcPr>
            <w:tcW w:w="2440" w:type="dxa"/>
            <w:vAlign w:val="bottom"/>
          </w:tcPr>
          <w:p>
            <w:pPr>
              <w:jc w:val="center"/>
              <w:ind w:left="546"/>
              <w:spacing w:after="0"/>
              <w:rPr>
                <w:sz w:val="20"/>
                <w:szCs w:val="20"/>
                <w:color w:val="auto"/>
              </w:rPr>
            </w:pPr>
            <w:r>
              <w:rPr>
                <w:rFonts w:ascii="Arial" w:cs="Arial" w:eastAsia="Arial" w:hAnsi="Arial"/>
                <w:sz w:val="14"/>
                <w:szCs w:val="14"/>
                <w:b w:val="1"/>
                <w:bCs w:val="1"/>
                <w:color w:val="auto"/>
              </w:rPr>
              <w:t>Opening</w:t>
            </w:r>
          </w:p>
        </w:tc>
        <w:tc>
          <w:tcPr>
            <w:tcW w:w="1020" w:type="dxa"/>
            <w:vAlign w:val="bottom"/>
          </w:tcPr>
          <w:p>
            <w:pPr>
              <w:jc w:val="center"/>
              <w:ind w:left="89"/>
              <w:spacing w:after="0"/>
              <w:rPr>
                <w:sz w:val="20"/>
                <w:szCs w:val="20"/>
                <w:color w:val="auto"/>
              </w:rPr>
            </w:pPr>
            <w:r>
              <w:rPr>
                <w:rFonts w:ascii="Arial" w:cs="Arial" w:eastAsia="Arial" w:hAnsi="Arial"/>
                <w:sz w:val="14"/>
                <w:szCs w:val="14"/>
                <w:b w:val="1"/>
                <w:bCs w:val="1"/>
                <w:color w:val="auto"/>
              </w:rPr>
              <w:t>Dismissed,</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center"/>
              <w:ind w:right="66"/>
              <w:spacing w:after="0"/>
              <w:rPr>
                <w:sz w:val="20"/>
                <w:szCs w:val="20"/>
                <w:color w:val="auto"/>
              </w:rPr>
            </w:pPr>
            <w:r>
              <w:rPr>
                <w:rFonts w:ascii="Arial" w:cs="Arial" w:eastAsia="Arial" w:hAnsi="Arial"/>
                <w:sz w:val="14"/>
                <w:szCs w:val="14"/>
                <w:b w:val="1"/>
                <w:bCs w:val="1"/>
                <w:color w:val="auto"/>
              </w:rPr>
              <w:t>Closing</w:t>
            </w:r>
          </w:p>
        </w:tc>
        <w:tc>
          <w:tcPr>
            <w:tcW w:w="220" w:type="dxa"/>
            <w:vAlign w:val="bottom"/>
          </w:tcPr>
          <w:p>
            <w:pPr>
              <w:spacing w:after="0"/>
              <w:rPr>
                <w:sz w:val="14"/>
                <w:szCs w:val="14"/>
                <w:color w:val="auto"/>
              </w:rPr>
            </w:pPr>
          </w:p>
        </w:tc>
        <w:tc>
          <w:tcPr>
            <w:tcW w:w="1320" w:type="dxa"/>
            <w:vAlign w:val="bottom"/>
          </w:tcPr>
          <w:p>
            <w:pPr>
              <w:jc w:val="center"/>
              <w:ind w:right="106"/>
              <w:spacing w:after="0"/>
              <w:rPr>
                <w:sz w:val="20"/>
                <w:szCs w:val="20"/>
                <w:color w:val="auto"/>
              </w:rPr>
            </w:pPr>
            <w:r>
              <w:rPr>
                <w:rFonts w:ascii="Arial" w:cs="Arial" w:eastAsia="Arial" w:hAnsi="Arial"/>
                <w:sz w:val="14"/>
                <w:szCs w:val="14"/>
                <w:b w:val="1"/>
                <w:bCs w:val="1"/>
                <w:color w:val="auto"/>
              </w:rPr>
              <w:t>(thousands) to</w:t>
            </w:r>
          </w:p>
        </w:tc>
      </w:tr>
      <w:tr>
        <w:trPr>
          <w:trHeight w:val="172"/>
        </w:trPr>
        <w:tc>
          <w:tcPr>
            <w:tcW w:w="2920" w:type="dxa"/>
            <w:vAlign w:val="bottom"/>
          </w:tcPr>
          <w:p>
            <w:pPr>
              <w:spacing w:after="0"/>
              <w:rPr>
                <w:sz w:val="14"/>
                <w:szCs w:val="14"/>
                <w:color w:val="auto"/>
              </w:rPr>
            </w:pPr>
          </w:p>
        </w:tc>
        <w:tc>
          <w:tcPr>
            <w:tcW w:w="2440" w:type="dxa"/>
            <w:vAlign w:val="bottom"/>
          </w:tcPr>
          <w:p>
            <w:pPr>
              <w:jc w:val="center"/>
              <w:ind w:left="546"/>
              <w:spacing w:after="0"/>
              <w:rPr>
                <w:sz w:val="20"/>
                <w:szCs w:val="20"/>
                <w:color w:val="auto"/>
              </w:rPr>
            </w:pPr>
            <w:r>
              <w:rPr>
                <w:rFonts w:ascii="Arial" w:cs="Arial" w:eastAsia="Arial" w:hAnsi="Arial"/>
                <w:sz w:val="14"/>
                <w:szCs w:val="14"/>
                <w:b w:val="1"/>
                <w:bCs w:val="1"/>
                <w:color w:val="auto"/>
                <w:w w:val="99"/>
              </w:rPr>
              <w:t>Number of</w:t>
            </w:r>
          </w:p>
        </w:tc>
        <w:tc>
          <w:tcPr>
            <w:tcW w:w="1020" w:type="dxa"/>
            <w:vAlign w:val="bottom"/>
          </w:tcPr>
          <w:p>
            <w:pPr>
              <w:jc w:val="center"/>
              <w:ind w:left="89"/>
              <w:spacing w:after="0"/>
              <w:rPr>
                <w:sz w:val="20"/>
                <w:szCs w:val="20"/>
                <w:color w:val="auto"/>
              </w:rPr>
            </w:pPr>
            <w:r>
              <w:rPr>
                <w:rFonts w:ascii="Arial" w:cs="Arial" w:eastAsia="Arial" w:hAnsi="Arial"/>
                <w:sz w:val="14"/>
                <w:szCs w:val="14"/>
                <w:b w:val="1"/>
                <w:bCs w:val="1"/>
                <w:color w:val="auto"/>
              </w:rPr>
              <w:t>Settled, or</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center"/>
              <w:ind w:right="46"/>
              <w:spacing w:after="0"/>
              <w:rPr>
                <w:sz w:val="20"/>
                <w:szCs w:val="20"/>
                <w:color w:val="auto"/>
              </w:rPr>
            </w:pPr>
            <w:r>
              <w:rPr>
                <w:rFonts w:ascii="Arial" w:cs="Arial" w:eastAsia="Arial" w:hAnsi="Arial"/>
                <w:sz w:val="14"/>
                <w:szCs w:val="14"/>
                <w:b w:val="1"/>
                <w:bCs w:val="1"/>
                <w:color w:val="auto"/>
                <w:w w:val="99"/>
              </w:rPr>
              <w:t>Number of</w:t>
            </w:r>
          </w:p>
        </w:tc>
        <w:tc>
          <w:tcPr>
            <w:tcW w:w="220" w:type="dxa"/>
            <w:vAlign w:val="bottom"/>
          </w:tcPr>
          <w:p>
            <w:pPr>
              <w:spacing w:after="0"/>
              <w:rPr>
                <w:sz w:val="14"/>
                <w:szCs w:val="14"/>
                <w:color w:val="auto"/>
              </w:rPr>
            </w:pPr>
          </w:p>
        </w:tc>
        <w:tc>
          <w:tcPr>
            <w:tcW w:w="1320" w:type="dxa"/>
            <w:vAlign w:val="bottom"/>
          </w:tcPr>
          <w:p>
            <w:pPr>
              <w:jc w:val="center"/>
              <w:ind w:right="126"/>
              <w:spacing w:after="0"/>
              <w:rPr>
                <w:sz w:val="20"/>
                <w:szCs w:val="20"/>
                <w:color w:val="auto"/>
              </w:rPr>
            </w:pPr>
            <w:r>
              <w:rPr>
                <w:rFonts w:ascii="Arial" w:cs="Arial" w:eastAsia="Arial" w:hAnsi="Arial"/>
                <w:sz w:val="14"/>
                <w:szCs w:val="14"/>
                <w:b w:val="1"/>
                <w:bCs w:val="1"/>
                <w:color w:val="auto"/>
                <w:w w:val="99"/>
              </w:rPr>
              <w:t>Settle or</w:t>
            </w:r>
          </w:p>
        </w:tc>
      </w:tr>
      <w:tr>
        <w:trPr>
          <w:trHeight w:val="19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40" w:type="dxa"/>
            <w:vAlign w:val="bottom"/>
            <w:tcBorders>
              <w:bottom w:val="single" w:sz="8" w:color="auto"/>
            </w:tcBorders>
          </w:tcPr>
          <w:p>
            <w:pPr>
              <w:jc w:val="center"/>
              <w:ind w:left="546"/>
              <w:spacing w:after="0"/>
              <w:rPr>
                <w:sz w:val="20"/>
                <w:szCs w:val="20"/>
                <w:color w:val="auto"/>
              </w:rPr>
            </w:pPr>
            <w:r>
              <w:rPr>
                <w:rFonts w:ascii="Arial" w:cs="Arial" w:eastAsia="Arial" w:hAnsi="Arial"/>
                <w:sz w:val="14"/>
                <w:szCs w:val="14"/>
                <w:b w:val="1"/>
                <w:bCs w:val="1"/>
                <w:color w:val="auto"/>
              </w:rPr>
              <w:t>Claims</w:t>
            </w:r>
          </w:p>
        </w:tc>
        <w:tc>
          <w:tcPr>
            <w:tcW w:w="102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9"/>
              </w:rPr>
              <w:t>Resolved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New Claims</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Claims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rPr>
              <w:t>Resolve</w:t>
            </w:r>
          </w:p>
        </w:tc>
      </w:tr>
      <w:tr>
        <w:trPr>
          <w:trHeight w:val="20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44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3,615</w:t>
            </w:r>
          </w:p>
        </w:tc>
        <w:tc>
          <w:tcPr>
            <w:tcW w:w="10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203"/>
              <w:spacing w:after="0"/>
              <w:rPr>
                <w:sz w:val="20"/>
                <w:szCs w:val="20"/>
                <w:color w:val="auto"/>
              </w:rPr>
            </w:pPr>
            <w:r>
              <w:rPr>
                <w:rFonts w:ascii="Arial" w:cs="Arial" w:eastAsia="Arial" w:hAnsi="Arial"/>
                <w:sz w:val="16"/>
                <w:szCs w:val="16"/>
                <w:color w:val="auto"/>
              </w:rPr>
              <w:t>32</w:t>
            </w:r>
          </w:p>
        </w:tc>
        <w:tc>
          <w:tcPr>
            <w:tcW w:w="4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26</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2022 (As of March 31)</w:t>
            </w:r>
          </w:p>
        </w:tc>
        <w:tc>
          <w:tcPr>
            <w:tcW w:w="244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3,609</w:t>
            </w: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203"/>
              <w:spacing w:after="0"/>
              <w:rPr>
                <w:sz w:val="20"/>
                <w:szCs w:val="20"/>
                <w:color w:val="auto"/>
              </w:rPr>
            </w:pPr>
            <w:r>
              <w:rPr>
                <w:rFonts w:ascii="Arial" w:cs="Arial" w:eastAsia="Arial" w:hAnsi="Arial"/>
                <w:sz w:val="16"/>
                <w:szCs w:val="16"/>
                <w:b w:val="1"/>
                <w:bCs w:val="1"/>
                <w:color w:val="auto"/>
              </w:rPr>
              <w:t>2</w:t>
            </w: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3,616</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0" w:lineRule="exact"/>
        <w:rPr>
          <w:sz w:val="20"/>
          <w:szCs w:val="20"/>
          <w:color w:val="auto"/>
        </w:rPr>
      </w:pPr>
    </w:p>
    <w:p>
      <w:pPr>
        <w:spacing w:after="0" w:line="220" w:lineRule="exact"/>
        <w:rPr>
          <w:sz w:val="20"/>
          <w:szCs w:val="20"/>
          <w:color w:val="auto"/>
        </w:rPr>
      </w:pPr>
    </w:p>
    <w:p>
      <w:pPr>
        <w:ind w:right="160" w:firstLine="318"/>
        <w:spacing w:after="0" w:line="253"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75" w:lineRule="exact"/>
        <w:rPr>
          <w:sz w:val="20"/>
          <w:szCs w:val="20"/>
          <w:color w:val="auto"/>
        </w:rPr>
      </w:pPr>
    </w:p>
    <w:p>
      <w:pPr>
        <w:ind w:right="140" w:firstLine="318"/>
        <w:spacing w:after="0" w:line="271" w:lineRule="auto"/>
        <w:rPr>
          <w:sz w:val="20"/>
          <w:szCs w:val="20"/>
          <w:color w:val="auto"/>
        </w:rPr>
      </w:pPr>
      <w:r>
        <w:rPr>
          <w:rFonts w:ascii="Arial" w:cs="Arial" w:eastAsia="Arial" w:hAnsi="Arial"/>
          <w:sz w:val="17"/>
          <w:szCs w:val="17"/>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March 31, 2022, we had resolved, by means of settlement or dismissal, 37,982 claims. The total cost of resolving all claims was $10.5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62"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7,709 claims as of March 31, 2022,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79"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w:t>
      </w:r>
    </w:p>
    <w:p>
      <w:pPr>
        <w:spacing w:after="0" w:line="200" w:lineRule="exact"/>
        <w:rPr>
          <w:sz w:val="20"/>
          <w:szCs w:val="20"/>
          <w:color w:val="auto"/>
        </w:rPr>
      </w:pPr>
    </w:p>
    <w:p>
      <w:pPr>
        <w:spacing w:after="0" w:line="3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00"/>
          </w:cols>
          <w:pgMar w:left="320" w:top="124"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Mount Vernon assets. Pursuant to its contractual indemnification obligations, Mount Vernon has assumed the defense of these claims. On this basis, we have successfully moved for dismissal in a number of actions.</w:t>
      </w:r>
    </w:p>
    <w:p>
      <w:pPr>
        <w:spacing w:after="0" w:line="57" w:lineRule="exact"/>
        <w:rPr>
          <w:sz w:val="20"/>
          <w:szCs w:val="20"/>
          <w:color w:val="auto"/>
        </w:rPr>
      </w:pPr>
    </w:p>
    <w:p>
      <w:pPr>
        <w:ind w:firstLine="318"/>
        <w:spacing w:after="0" w:line="275" w:lineRule="auto"/>
        <w:rPr>
          <w:sz w:val="20"/>
          <w:szCs w:val="20"/>
          <w:color w:val="auto"/>
        </w:rPr>
      </w:pPr>
      <w:r>
        <w:rPr>
          <w:rFonts w:ascii="Arial" w:cs="Arial" w:eastAsia="Arial" w:hAnsi="Arial"/>
          <w:sz w:val="17"/>
          <w:szCs w:val="17"/>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changes in Shareholders’ Equity for the period December 31, 2021 to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60" w:type="dxa"/>
            <w:vAlign w:val="bottom"/>
          </w:tcPr>
          <w:p>
            <w:pPr>
              <w:spacing w:after="0"/>
              <w:rPr>
                <w:sz w:val="10"/>
                <w:szCs w:val="10"/>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680" w:type="dxa"/>
            <w:vAlign w:val="bottom"/>
          </w:tcPr>
          <w:p>
            <w:pPr>
              <w:spacing w:after="0"/>
              <w:rPr>
                <w:sz w:val="10"/>
                <w:szCs w:val="10"/>
                <w:color w:val="auto"/>
              </w:rPr>
            </w:pPr>
          </w:p>
        </w:tc>
        <w:tc>
          <w:tcPr>
            <w:tcW w:w="820" w:type="dxa"/>
            <w:vAlign w:val="bottom"/>
            <w:gridSpan w:val="2"/>
          </w:tcPr>
          <w:p>
            <w:pPr>
              <w:ind w:left="440"/>
              <w:spacing w:after="0"/>
              <w:rPr>
                <w:sz w:val="20"/>
                <w:szCs w:val="20"/>
                <w:color w:val="auto"/>
              </w:rPr>
            </w:pPr>
            <w:r>
              <w:rPr>
                <w:rFonts w:ascii="Arial" w:cs="Arial" w:eastAsia="Arial" w:hAnsi="Arial"/>
                <w:sz w:val="11"/>
                <w:szCs w:val="11"/>
                <w:b w:val="1"/>
                <w:bCs w:val="1"/>
                <w:color w:val="auto"/>
                <w:w w:val="89"/>
              </w:rPr>
              <w:t>Class B</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80" w:type="dxa"/>
            <w:vAlign w:val="bottom"/>
            <w:gridSpan w:val="3"/>
          </w:tcPr>
          <w:p>
            <w:pPr>
              <w:jc w:val="right"/>
              <w:ind w:right="447"/>
              <w:spacing w:after="0"/>
              <w:rPr>
                <w:sz w:val="20"/>
                <w:szCs w:val="20"/>
                <w:color w:val="auto"/>
              </w:rPr>
            </w:pPr>
            <w:r>
              <w:rPr>
                <w:rFonts w:ascii="Arial" w:cs="Arial" w:eastAsia="Arial" w:hAnsi="Arial"/>
                <w:sz w:val="11"/>
                <w:szCs w:val="11"/>
                <w:b w:val="1"/>
                <w:bCs w:val="1"/>
                <w:color w:val="auto"/>
              </w:rPr>
              <w:t>Class A</w:t>
            </w: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1660" w:type="dxa"/>
            <w:vAlign w:val="bottom"/>
            <w:gridSpan w:val="3"/>
          </w:tcPr>
          <w:p>
            <w:pPr>
              <w:jc w:val="right"/>
              <w:ind w:right="447"/>
              <w:spacing w:after="0"/>
              <w:rPr>
                <w:sz w:val="20"/>
                <w:szCs w:val="20"/>
                <w:color w:val="auto"/>
              </w:rPr>
            </w:pPr>
            <w:r>
              <w:rPr>
                <w:rFonts w:ascii="Arial" w:cs="Arial" w:eastAsia="Arial" w:hAnsi="Arial"/>
                <w:sz w:val="11"/>
                <w:szCs w:val="11"/>
                <w:b w:val="1"/>
                <w:bCs w:val="1"/>
                <w:color w:val="auto"/>
              </w:rPr>
              <w:t>Common Stock</w:t>
            </w:r>
          </w:p>
        </w:tc>
        <w:tc>
          <w:tcPr>
            <w:tcW w:w="1380" w:type="dxa"/>
            <w:vAlign w:val="bottom"/>
            <w:gridSpan w:val="3"/>
          </w:tcPr>
          <w:p>
            <w:pPr>
              <w:ind w:left="24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ind w:right="67"/>
              <w:spacing w:after="0"/>
              <w:rPr>
                <w:sz w:val="20"/>
                <w:szCs w:val="20"/>
                <w:color w:val="auto"/>
              </w:rPr>
            </w:pPr>
            <w:r>
              <w:rPr>
                <w:rFonts w:ascii="Arial" w:cs="Arial" w:eastAsia="Arial" w:hAnsi="Arial"/>
                <w:sz w:val="11"/>
                <w:szCs w:val="11"/>
                <w:b w:val="1"/>
                <w:bCs w:val="1"/>
                <w:color w:val="auto"/>
                <w:w w:val="96"/>
              </w:rPr>
              <w:t>Accumulated items of</w:t>
            </w:r>
          </w:p>
        </w:tc>
        <w:tc>
          <w:tcPr>
            <w:tcW w:w="1380" w:type="dxa"/>
            <w:vAlign w:val="bottom"/>
            <w:gridSpan w:val="3"/>
          </w:tcPr>
          <w:p>
            <w:pPr>
              <w:jc w:val="right"/>
              <w:ind w:right="247"/>
              <w:spacing w:after="0"/>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w w:val="96"/>
              </w:rPr>
              <w:t>Additional paid-</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jc w:val="center"/>
              <w:ind w:right="47"/>
              <w:spacing w:after="0"/>
              <w:rPr>
                <w:sz w:val="20"/>
                <w:szCs w:val="20"/>
                <w:color w:val="auto"/>
              </w:rPr>
            </w:pPr>
            <w:r>
              <w:rPr>
                <w:rFonts w:ascii="Arial" w:cs="Arial" w:eastAsia="Arial" w:hAnsi="Arial"/>
                <w:sz w:val="11"/>
                <w:szCs w:val="11"/>
                <w:b w:val="1"/>
                <w:bCs w:val="1"/>
                <w:color w:val="auto"/>
                <w:w w:val="97"/>
              </w:rPr>
              <w:t>other comprehensive</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60" w:type="dxa"/>
            <w:vAlign w:val="bottom"/>
          </w:tcPr>
          <w:p>
            <w:pPr>
              <w:ind w:left="420"/>
              <w:spacing w:after="0"/>
              <w:rPr>
                <w:sz w:val="20"/>
                <w:szCs w:val="20"/>
                <w:color w:val="auto"/>
              </w:rPr>
            </w:pPr>
            <w:r>
              <w:rPr>
                <w:rFonts w:ascii="Arial" w:cs="Arial" w:eastAsia="Arial" w:hAnsi="Arial"/>
                <w:sz w:val="11"/>
                <w:szCs w:val="11"/>
                <w:b w:val="1"/>
                <w:bCs w:val="1"/>
                <w:color w:val="auto"/>
              </w:rPr>
              <w:t>(in thousands)</w:t>
            </w:r>
          </w:p>
        </w:tc>
        <w:tc>
          <w:tcPr>
            <w:tcW w:w="780" w:type="dxa"/>
            <w:vAlign w:val="bottom"/>
          </w:tcPr>
          <w:p>
            <w:pPr>
              <w:jc w:val="right"/>
              <w:ind w:right="147"/>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2"/>
                <w:szCs w:val="12"/>
                <w:color w:val="auto"/>
              </w:rPr>
            </w:pPr>
          </w:p>
        </w:tc>
        <w:tc>
          <w:tcPr>
            <w:tcW w:w="680" w:type="dxa"/>
            <w:vAlign w:val="bottom"/>
          </w:tcPr>
          <w:p>
            <w:pPr>
              <w:jc w:val="right"/>
              <w:ind w:right="227"/>
              <w:spacing w:after="0"/>
              <w:rPr>
                <w:sz w:val="20"/>
                <w:szCs w:val="20"/>
                <w:color w:val="auto"/>
              </w:rPr>
            </w:pPr>
            <w:r>
              <w:rPr>
                <w:rFonts w:ascii="Arial" w:cs="Arial" w:eastAsia="Arial" w:hAnsi="Arial"/>
                <w:sz w:val="11"/>
                <w:szCs w:val="11"/>
                <w:b w:val="1"/>
                <w:bCs w:val="1"/>
                <w:color w:val="auto"/>
                <w:w w:val="91"/>
              </w:rPr>
              <w:t>Amount</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720" w:type="dxa"/>
            <w:vAlign w:val="bottom"/>
          </w:tcPr>
          <w:p>
            <w:pPr>
              <w:jc w:val="right"/>
              <w:ind w:right="147"/>
              <w:spacing w:after="0"/>
              <w:rPr>
                <w:sz w:val="20"/>
                <w:szCs w:val="20"/>
                <w:color w:val="auto"/>
              </w:rPr>
            </w:pPr>
            <w:r>
              <w:rPr>
                <w:rFonts w:ascii="Arial" w:cs="Arial" w:eastAsia="Arial" w:hAnsi="Arial"/>
                <w:sz w:val="11"/>
                <w:szCs w:val="11"/>
                <w:b w:val="1"/>
                <w:bCs w:val="1"/>
                <w:color w:val="auto"/>
              </w:rPr>
              <w:t>in capital</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w w:val="96"/>
              </w:rPr>
              <w:t>Retained earnings</w:t>
            </w:r>
          </w:p>
        </w:tc>
        <w:tc>
          <w:tcPr>
            <w:tcW w:w="120" w:type="dxa"/>
            <w:vAlign w:val="bottom"/>
          </w:tcPr>
          <w:p>
            <w:pPr>
              <w:spacing w:after="0"/>
              <w:rPr>
                <w:sz w:val="12"/>
                <w:szCs w:val="12"/>
                <w:color w:val="auto"/>
              </w:rPr>
            </w:pPr>
          </w:p>
        </w:tc>
        <w:tc>
          <w:tcPr>
            <w:tcW w:w="1300" w:type="dxa"/>
            <w:vAlign w:val="bottom"/>
          </w:tcPr>
          <w:p>
            <w:pPr>
              <w:jc w:val="center"/>
              <w:ind w:right="67"/>
              <w:spacing w:after="0"/>
              <w:rPr>
                <w:sz w:val="20"/>
                <w:szCs w:val="20"/>
                <w:color w:val="auto"/>
              </w:rPr>
            </w:pPr>
            <w:r>
              <w:rPr>
                <w:rFonts w:ascii="Arial" w:cs="Arial" w:eastAsia="Arial" w:hAnsi="Arial"/>
                <w:sz w:val="11"/>
                <w:szCs w:val="11"/>
                <w:b w:val="1"/>
                <w:bCs w:val="1"/>
                <w:color w:val="auto"/>
                <w:w w:val="98"/>
              </w:rPr>
              <w:t>income</w:t>
            </w:r>
          </w:p>
        </w:tc>
        <w:tc>
          <w:tcPr>
            <w:tcW w:w="660" w:type="dxa"/>
            <w:vAlign w:val="bottom"/>
          </w:tcPr>
          <w:p>
            <w:pPr>
              <w:jc w:val="right"/>
              <w:ind w:right="87"/>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b w:val="1"/>
                <w:bCs w:val="1"/>
                <w:color w:val="auto"/>
              </w:rPr>
              <w:t>Amount</w:t>
            </w: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w w:val="95"/>
              </w:rPr>
              <w:t>Noncontrolling Interest</w:t>
            </w:r>
          </w:p>
        </w:tc>
        <w:tc>
          <w:tcPr>
            <w:tcW w:w="100" w:type="dxa"/>
            <w:vAlign w:val="bottom"/>
          </w:tcPr>
          <w:p>
            <w:pPr>
              <w:spacing w:after="0"/>
              <w:rPr>
                <w:sz w:val="12"/>
                <w:szCs w:val="12"/>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28"/>
        </w:trPr>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40,760</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b w:val="1"/>
                <w:bCs w:val="1"/>
                <w:color w:val="auto"/>
              </w:rPr>
              <w:t>41</w:t>
            </w: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436,996</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863,057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(145,984)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8,665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(280,143)</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3,638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877,605</w:t>
            </w:r>
          </w:p>
        </w:tc>
        <w:tc>
          <w:tcPr>
            <w:tcW w:w="0" w:type="dxa"/>
            <w:vAlign w:val="bottom"/>
          </w:tcPr>
          <w:p>
            <w:pPr>
              <w:spacing w:after="0"/>
              <w:rPr>
                <w:sz w:val="1"/>
                <w:szCs w:val="1"/>
                <w:color w:val="auto"/>
              </w:rPr>
            </w:pPr>
          </w:p>
        </w:tc>
      </w:tr>
      <w:tr>
        <w:trPr>
          <w:trHeight w:val="149"/>
        </w:trPr>
        <w:tc>
          <w:tcPr>
            <w:tcW w:w="15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27,737</w:t>
            </w:r>
          </w:p>
        </w:tc>
        <w:tc>
          <w:tcPr>
            <w:tcW w:w="120" w:type="dxa"/>
            <w:vAlign w:val="bottom"/>
          </w:tcPr>
          <w:p>
            <w:pPr>
              <w:spacing w:after="0"/>
              <w:rPr>
                <w:sz w:val="13"/>
                <w:szCs w:val="13"/>
                <w:color w:val="auto"/>
              </w:rPr>
            </w:pPr>
          </w:p>
        </w:tc>
        <w:tc>
          <w:tcPr>
            <w:tcW w:w="13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13"/>
                <w:szCs w:val="13"/>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28,075</w:t>
            </w:r>
          </w:p>
        </w:tc>
        <w:tc>
          <w:tcPr>
            <w:tcW w:w="0" w:type="dxa"/>
            <w:vAlign w:val="bottom"/>
          </w:tcPr>
          <w:p>
            <w:pPr>
              <w:spacing w:after="0"/>
              <w:rPr>
                <w:sz w:val="1"/>
                <w:szCs w:val="1"/>
                <w:color w:val="auto"/>
              </w:rPr>
            </w:pPr>
          </w:p>
        </w:tc>
      </w:tr>
      <w:tr>
        <w:trPr>
          <w:trHeight w:val="116"/>
        </w:trPr>
        <w:tc>
          <w:tcPr>
            <w:tcW w:w="1560" w:type="dxa"/>
            <w:vAlign w:val="bottom"/>
            <w:shd w:val="clear" w:color="auto" w:fill="CCEEFF"/>
          </w:tcPr>
          <w:p>
            <w:pPr>
              <w:ind w:left="20"/>
              <w:spacing w:after="0" w:line="116" w:lineRule="exact"/>
              <w:rPr>
                <w:sz w:val="20"/>
                <w:szCs w:val="20"/>
                <w:color w:val="auto"/>
              </w:rPr>
            </w:pPr>
            <w:r>
              <w:rPr>
                <w:rFonts w:ascii="Arial" w:cs="Arial" w:eastAsia="Arial" w:hAnsi="Arial"/>
                <w:sz w:val="11"/>
                <w:szCs w:val="11"/>
                <w:color w:val="auto"/>
                <w:w w:val="96"/>
              </w:rPr>
              <w:t>Compensation and benefits paid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745</w:t>
            </w:r>
          </w:p>
        </w:tc>
        <w:tc>
          <w:tcPr>
            <w:tcW w:w="3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745</w:t>
            </w:r>
          </w:p>
        </w:tc>
        <w:tc>
          <w:tcPr>
            <w:tcW w:w="0" w:type="dxa"/>
            <w:vAlign w:val="bottom"/>
          </w:tcPr>
          <w:p>
            <w:pPr>
              <w:spacing w:after="0"/>
              <w:rPr>
                <w:sz w:val="1"/>
                <w:szCs w:val="1"/>
                <w:color w:val="auto"/>
              </w:rPr>
            </w:pPr>
          </w:p>
        </w:tc>
      </w:tr>
      <w:tr>
        <w:trPr>
          <w:trHeight w:val="159"/>
        </w:trPr>
        <w:tc>
          <w:tcPr>
            <w:tcW w:w="1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or payable in shares</w:t>
            </w: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7</w:t>
            </w:r>
          </w:p>
        </w:tc>
        <w:tc>
          <w:tcPr>
            <w:tcW w:w="30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8"/>
        </w:trPr>
        <w:tc>
          <w:tcPr>
            <w:tcW w:w="1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1560" w:type="dxa"/>
            <w:vAlign w:val="bottom"/>
          </w:tcPr>
          <w:p>
            <w:pPr>
              <w:ind w:left="20"/>
              <w:spacing w:after="0"/>
              <w:rPr>
                <w:sz w:val="20"/>
                <w:szCs w:val="20"/>
                <w:color w:val="auto"/>
              </w:rPr>
            </w:pPr>
            <w:r>
              <w:rPr>
                <w:rFonts w:ascii="Arial" w:cs="Arial" w:eastAsia="Arial" w:hAnsi="Arial"/>
                <w:sz w:val="11"/>
                <w:szCs w:val="11"/>
                <w:color w:val="auto"/>
                <w:w w:val="96"/>
              </w:rPr>
              <w:t>Purchase of Treasury shares (a)</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515</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(43,937)</w:t>
            </w:r>
          </w:p>
        </w:tc>
        <w:tc>
          <w:tcPr>
            <w:tcW w:w="4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(43,937)</w:t>
            </w: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560" w:type="dxa"/>
            <w:vAlign w:val="bottom"/>
          </w:tcPr>
          <w:p>
            <w:pPr>
              <w:ind w:left="20"/>
              <w:spacing w:after="0" w:line="106" w:lineRule="exact"/>
              <w:rPr>
                <w:sz w:val="20"/>
                <w:szCs w:val="20"/>
                <w:color w:val="auto"/>
              </w:rPr>
            </w:pPr>
            <w:r>
              <w:rPr>
                <w:rFonts w:ascii="Arial" w:cs="Arial" w:eastAsia="Arial" w:hAnsi="Arial"/>
                <w:sz w:val="11"/>
                <w:szCs w:val="11"/>
                <w:color w:val="auto"/>
              </w:rPr>
              <w:t>Class A Common Stock,</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680" w:type="dxa"/>
            <w:vAlign w:val="bottom"/>
            <w:vMerge w:val="restart"/>
          </w:tcPr>
          <w:p>
            <w:pPr>
              <w:jc w:val="right"/>
              <w:ind w:right="107"/>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(6,661)</w:t>
            </w:r>
          </w:p>
        </w:tc>
        <w:tc>
          <w:tcPr>
            <w:tcW w:w="120" w:type="dxa"/>
            <w:vAlign w:val="bottom"/>
          </w:tcPr>
          <w:p>
            <w:pPr>
              <w:spacing w:after="0"/>
              <w:rPr>
                <w:sz w:val="9"/>
                <w:szCs w:val="9"/>
                <w:color w:val="auto"/>
              </w:rPr>
            </w:pPr>
          </w:p>
        </w:tc>
        <w:tc>
          <w:tcPr>
            <w:tcW w:w="130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(6,661)</w:t>
            </w:r>
          </w:p>
        </w:tc>
        <w:tc>
          <w:tcPr>
            <w:tcW w:w="0" w:type="dxa"/>
            <w:vAlign w:val="bottom"/>
          </w:tcPr>
          <w:p>
            <w:pPr>
              <w:spacing w:after="0"/>
              <w:rPr>
                <w:sz w:val="1"/>
                <w:szCs w:val="1"/>
                <w:color w:val="auto"/>
              </w:rPr>
            </w:pPr>
          </w:p>
        </w:tc>
      </w:tr>
      <w:tr>
        <w:trPr>
          <w:trHeight w:val="149"/>
        </w:trPr>
        <w:tc>
          <w:tcPr>
            <w:tcW w:w="1560" w:type="dxa"/>
            <w:vAlign w:val="bottom"/>
          </w:tcPr>
          <w:p>
            <w:pPr>
              <w:ind w:left="20"/>
              <w:spacing w:after="0"/>
              <w:rPr>
                <w:sz w:val="20"/>
                <w:szCs w:val="20"/>
                <w:color w:val="auto"/>
              </w:rPr>
            </w:pPr>
            <w:r>
              <w:rPr>
                <w:rFonts w:ascii="Arial" w:cs="Arial" w:eastAsia="Arial" w:hAnsi="Arial"/>
                <w:sz w:val="11"/>
                <w:szCs w:val="11"/>
                <w:color w:val="auto"/>
              </w:rPr>
              <w:t>$0.21 per share</w:t>
            </w: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560" w:type="dxa"/>
            <w:vAlign w:val="bottom"/>
            <w:shd w:val="clear" w:color="auto" w:fill="CCEEFF"/>
          </w:tcPr>
          <w:p>
            <w:pPr>
              <w:ind w:left="20"/>
              <w:spacing w:after="0" w:line="116" w:lineRule="exact"/>
              <w:rPr>
                <w:sz w:val="20"/>
                <w:szCs w:val="20"/>
                <w:color w:val="auto"/>
              </w:rPr>
            </w:pPr>
            <w:r>
              <w:rPr>
                <w:rFonts w:ascii="Arial" w:cs="Arial" w:eastAsia="Arial" w:hAnsi="Arial"/>
                <w:sz w:val="11"/>
                <w:szCs w:val="11"/>
                <w:color w:val="auto"/>
              </w:rPr>
              <w:t>Class B Common Stock,</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1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$0.21 per share</w:t>
            </w: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560" w:type="dxa"/>
            <w:vAlign w:val="bottom"/>
          </w:tcPr>
          <w:p>
            <w:pPr>
              <w:ind w:left="20"/>
              <w:spacing w:after="0" w:line="106" w:lineRule="exact"/>
              <w:rPr>
                <w:sz w:val="20"/>
                <w:szCs w:val="20"/>
                <w:color w:val="auto"/>
              </w:rPr>
            </w:pPr>
            <w:r>
              <w:rPr>
                <w:rFonts w:ascii="Arial" w:cs="Arial" w:eastAsia="Arial" w:hAnsi="Arial"/>
                <w:sz w:val="11"/>
                <w:szCs w:val="11"/>
                <w:color w:val="auto"/>
              </w:rPr>
              <w:t>Cumulative translation</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680" w:type="dxa"/>
            <w:vAlign w:val="bottom"/>
            <w:vMerge w:val="restart"/>
          </w:tcPr>
          <w:p>
            <w:pPr>
              <w:jc w:val="right"/>
              <w:ind w:right="107"/>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6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1"/>
                <w:szCs w:val="11"/>
                <w:color w:val="auto"/>
              </w:rPr>
              <w:t>(1,730)</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(1,674)</w:t>
            </w:r>
          </w:p>
        </w:tc>
        <w:tc>
          <w:tcPr>
            <w:tcW w:w="0" w:type="dxa"/>
            <w:vAlign w:val="bottom"/>
          </w:tcPr>
          <w:p>
            <w:pPr>
              <w:spacing w:after="0"/>
              <w:rPr>
                <w:sz w:val="1"/>
                <w:szCs w:val="1"/>
                <w:color w:val="auto"/>
              </w:rPr>
            </w:pPr>
          </w:p>
        </w:tc>
      </w:tr>
      <w:tr>
        <w:trPr>
          <w:trHeight w:val="149"/>
        </w:trPr>
        <w:tc>
          <w:tcPr>
            <w:tcW w:w="15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560" w:type="dxa"/>
            <w:vAlign w:val="bottom"/>
            <w:shd w:val="clear" w:color="auto" w:fill="CCEEFF"/>
          </w:tcPr>
          <w:p>
            <w:pPr>
              <w:ind w:left="20"/>
              <w:spacing w:after="0" w:line="116" w:lineRule="exact"/>
              <w:rPr>
                <w:sz w:val="20"/>
                <w:szCs w:val="20"/>
                <w:color w:val="auto"/>
              </w:rPr>
            </w:pPr>
            <w:r>
              <w:rPr>
                <w:rFonts w:ascii="Arial" w:cs="Arial" w:eastAsia="Arial" w:hAnsi="Arial"/>
                <w:sz w:val="11"/>
                <w:szCs w:val="11"/>
                <w:color w:val="auto"/>
              </w:rPr>
              <w:t>Pension and postretirement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74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59"/>
        </w:trPr>
        <w:tc>
          <w:tcPr>
            <w:tcW w:w="1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9"/>
              </w:rPr>
              <w:t>Derivative valuation adjustment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10,018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10,018</w:t>
            </w:r>
          </w:p>
        </w:tc>
        <w:tc>
          <w:tcPr>
            <w:tcW w:w="0" w:type="dxa"/>
            <w:vAlign w:val="bottom"/>
          </w:tcPr>
          <w:p>
            <w:pPr>
              <w:spacing w:after="0"/>
              <w:rPr>
                <w:sz w:val="1"/>
                <w:szCs w:val="1"/>
                <w:color w:val="auto"/>
              </w:rPr>
            </w:pPr>
          </w:p>
        </w:tc>
      </w:tr>
      <w:tr>
        <w:trPr>
          <w:trHeight w:val="152"/>
        </w:trPr>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March 31,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40,781</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b w:val="1"/>
                <w:bCs w:val="1"/>
                <w:color w:val="auto"/>
              </w:rPr>
              <w:t>41</w:t>
            </w: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437,748</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884,133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(137,622)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(324,080)</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4,032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864,252</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changes in Shareholders’ Equity for the period December 31, 2020 to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4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540" w:type="dxa"/>
            <w:vAlign w:val="bottom"/>
          </w:tcPr>
          <w:p>
            <w:pPr>
              <w:spacing w:after="0"/>
              <w:rPr>
                <w:sz w:val="11"/>
                <w:szCs w:val="11"/>
                <w:color w:val="auto"/>
              </w:rPr>
            </w:pPr>
          </w:p>
        </w:tc>
        <w:tc>
          <w:tcPr>
            <w:tcW w:w="1620" w:type="dxa"/>
            <w:vAlign w:val="bottom"/>
            <w:gridSpan w:val="3"/>
          </w:tcPr>
          <w:p>
            <w:pPr>
              <w:jc w:val="right"/>
              <w:ind w:right="607"/>
              <w:spacing w:after="0"/>
              <w:rPr>
                <w:sz w:val="20"/>
                <w:szCs w:val="20"/>
                <w:color w:val="auto"/>
              </w:rPr>
            </w:pPr>
            <w:r>
              <w:rPr>
                <w:rFonts w:ascii="Arial" w:cs="Arial" w:eastAsia="Arial" w:hAnsi="Arial"/>
                <w:sz w:val="11"/>
                <w:szCs w:val="11"/>
                <w:b w:val="1"/>
                <w:bCs w:val="1"/>
                <w:color w:val="auto"/>
              </w:rPr>
              <w:t>Class A</w:t>
            </w:r>
          </w:p>
        </w:tc>
        <w:tc>
          <w:tcPr>
            <w:tcW w:w="1360" w:type="dxa"/>
            <w:vAlign w:val="bottom"/>
            <w:gridSpan w:val="3"/>
          </w:tcPr>
          <w:p>
            <w:pPr>
              <w:jc w:val="right"/>
              <w:ind w:right="487"/>
              <w:spacing w:after="0"/>
              <w:rPr>
                <w:sz w:val="20"/>
                <w:szCs w:val="20"/>
                <w:color w:val="auto"/>
              </w:rPr>
            </w:pPr>
            <w:r>
              <w:rPr>
                <w:rFonts w:ascii="Arial" w:cs="Arial" w:eastAsia="Arial" w:hAnsi="Arial"/>
                <w:sz w:val="11"/>
                <w:szCs w:val="11"/>
                <w:b w:val="1"/>
                <w:bCs w:val="1"/>
                <w:color w:val="auto"/>
              </w:rPr>
              <w:t>Class B</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60" w:type="dxa"/>
            <w:vAlign w:val="bottom"/>
            <w:gridSpan w:val="3"/>
          </w:tcPr>
          <w:p>
            <w:pPr>
              <w:jc w:val="right"/>
              <w:ind w:right="427"/>
              <w:spacing w:after="0"/>
              <w:rPr>
                <w:sz w:val="20"/>
                <w:szCs w:val="20"/>
                <w:color w:val="auto"/>
              </w:rPr>
            </w:pPr>
            <w:r>
              <w:rPr>
                <w:rFonts w:ascii="Arial" w:cs="Arial" w:eastAsia="Arial" w:hAnsi="Arial"/>
                <w:sz w:val="11"/>
                <w:szCs w:val="11"/>
                <w:b w:val="1"/>
                <w:bCs w:val="1"/>
                <w:color w:val="auto"/>
              </w:rPr>
              <w:t>Class A</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620" w:type="dxa"/>
            <w:vAlign w:val="bottom"/>
            <w:gridSpan w:val="3"/>
          </w:tcPr>
          <w:p>
            <w:pPr>
              <w:jc w:val="right"/>
              <w:ind w:right="427"/>
              <w:spacing w:after="0"/>
              <w:rPr>
                <w:sz w:val="20"/>
                <w:szCs w:val="20"/>
                <w:color w:val="auto"/>
              </w:rPr>
            </w:pPr>
            <w:r>
              <w:rPr>
                <w:rFonts w:ascii="Arial" w:cs="Arial" w:eastAsia="Arial" w:hAnsi="Arial"/>
                <w:sz w:val="11"/>
                <w:szCs w:val="11"/>
                <w:b w:val="1"/>
                <w:bCs w:val="1"/>
                <w:color w:val="auto"/>
              </w:rPr>
              <w:t>Common Stock</w:t>
            </w:r>
          </w:p>
        </w:tc>
        <w:tc>
          <w:tcPr>
            <w:tcW w:w="1360" w:type="dxa"/>
            <w:vAlign w:val="bottom"/>
            <w:gridSpan w:val="3"/>
          </w:tcPr>
          <w:p>
            <w:pPr>
              <w:jc w:val="right"/>
              <w:ind w:right="287"/>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right"/>
              <w:ind w:right="387"/>
              <w:spacing w:after="0"/>
              <w:rPr>
                <w:sz w:val="20"/>
                <w:szCs w:val="20"/>
                <w:color w:val="auto"/>
              </w:rPr>
            </w:pPr>
            <w:r>
              <w:rPr>
                <w:rFonts w:ascii="Arial" w:cs="Arial" w:eastAsia="Arial" w:hAnsi="Arial"/>
                <w:sz w:val="11"/>
                <w:szCs w:val="11"/>
                <w:b w:val="1"/>
                <w:bCs w:val="1"/>
                <w:color w:val="auto"/>
              </w:rPr>
              <w:t>Accumulated</w:t>
            </w:r>
          </w:p>
        </w:tc>
        <w:tc>
          <w:tcPr>
            <w:tcW w:w="1360" w:type="dxa"/>
            <w:vAlign w:val="bottom"/>
            <w:gridSpan w:val="3"/>
          </w:tcPr>
          <w:p>
            <w:pPr>
              <w:jc w:val="right"/>
              <w:ind w:right="247"/>
              <w:spacing w:after="0"/>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w w:val="96"/>
              </w:rPr>
              <w:t>Additional paid-</w:t>
            </w: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vMerge w:val="restart"/>
          </w:tcPr>
          <w:p>
            <w:pPr>
              <w:jc w:val="right"/>
              <w:ind w:right="507"/>
              <w:spacing w:after="0" w:line="120" w:lineRule="exact"/>
              <w:rPr>
                <w:sz w:val="20"/>
                <w:szCs w:val="20"/>
                <w:color w:val="auto"/>
              </w:rPr>
            </w:pPr>
            <w:r>
              <w:rPr>
                <w:rFonts w:ascii="Arial" w:cs="Arial" w:eastAsia="Arial" w:hAnsi="Arial"/>
                <w:sz w:val="11"/>
                <w:szCs w:val="11"/>
                <w:b w:val="1"/>
                <w:bCs w:val="1"/>
                <w:color w:val="auto"/>
              </w:rPr>
              <w:t>items of</w:t>
            </w: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1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76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7"/>
              <w:spacing w:after="0"/>
              <w:rPr>
                <w:sz w:val="20"/>
                <w:szCs w:val="20"/>
                <w:color w:val="auto"/>
              </w:rPr>
            </w:pPr>
            <w:r>
              <w:rPr>
                <w:rFonts w:ascii="Arial" w:cs="Arial" w:eastAsia="Arial" w:hAnsi="Arial"/>
                <w:sz w:val="11"/>
                <w:szCs w:val="11"/>
                <w:b w:val="1"/>
                <w:bCs w:val="1"/>
                <w:color w:val="auto"/>
              </w:rPr>
              <w:t>Amount</w:t>
            </w:r>
          </w:p>
        </w:tc>
        <w:tc>
          <w:tcPr>
            <w:tcW w:w="660" w:type="dxa"/>
            <w:vAlign w:val="bottom"/>
            <w:tcBorders>
              <w:bottom w:val="single" w:sz="8" w:color="auto"/>
            </w:tcBorders>
          </w:tcPr>
          <w:p>
            <w:pPr>
              <w:jc w:val="right"/>
              <w:ind w:right="147"/>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7"/>
              <w:spacing w:after="0"/>
              <w:rPr>
                <w:sz w:val="20"/>
                <w:szCs w:val="20"/>
                <w:color w:val="auto"/>
              </w:rPr>
            </w:pPr>
            <w:r>
              <w:rPr>
                <w:rFonts w:ascii="Arial" w:cs="Arial" w:eastAsia="Arial" w:hAnsi="Arial"/>
                <w:sz w:val="11"/>
                <w:szCs w:val="11"/>
                <w:b w:val="1"/>
                <w:bCs w:val="1"/>
                <w:color w:val="auto"/>
              </w:rPr>
              <w:t>in capital</w:t>
            </w:r>
          </w:p>
        </w:tc>
        <w:tc>
          <w:tcPr>
            <w:tcW w:w="248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7"/>
              </w:rPr>
              <w:t>Retained earnings other comprehensive income</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Amount</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5"/>
              </w:rPr>
              <w:t>Noncontrolling Interest</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159"/>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b w:val="1"/>
                <w:bCs w:val="1"/>
                <w:color w:val="auto"/>
              </w:rPr>
              <w:t>39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433,696</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770,746</w:t>
            </w:r>
          </w:p>
        </w:tc>
        <w:tc>
          <w:tcPr>
            <w:tcW w:w="24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(132,408)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8,391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(256,009)</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3,799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819,865</w:t>
            </w:r>
          </w:p>
        </w:tc>
        <w:tc>
          <w:tcPr>
            <w:tcW w:w="0" w:type="dxa"/>
            <w:vAlign w:val="bottom"/>
          </w:tcPr>
          <w:p>
            <w:pPr>
              <w:spacing w:after="0"/>
              <w:rPr>
                <w:sz w:val="1"/>
                <w:szCs w:val="1"/>
                <w:color w:val="auto"/>
              </w:rPr>
            </w:pPr>
          </w:p>
        </w:tc>
      </w:tr>
      <w:tr>
        <w:trPr>
          <w:trHeight w:val="143"/>
        </w:trPr>
        <w:tc>
          <w:tcPr>
            <w:tcW w:w="15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27,582</w:t>
            </w:r>
          </w:p>
        </w:tc>
        <w:tc>
          <w:tcPr>
            <w:tcW w:w="240" w:type="dxa"/>
            <w:vAlign w:val="bottom"/>
          </w:tcPr>
          <w:p>
            <w:pPr>
              <w:spacing w:after="0"/>
              <w:rPr>
                <w:sz w:val="12"/>
                <w:szCs w:val="12"/>
                <w:color w:val="auto"/>
              </w:rPr>
            </w:pPr>
          </w:p>
        </w:tc>
        <w:tc>
          <w:tcPr>
            <w:tcW w:w="12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27,609</w:t>
            </w:r>
          </w:p>
        </w:tc>
        <w:tc>
          <w:tcPr>
            <w:tcW w:w="0" w:type="dxa"/>
            <w:vAlign w:val="bottom"/>
          </w:tcPr>
          <w:p>
            <w:pPr>
              <w:spacing w:after="0"/>
              <w:rPr>
                <w:sz w:val="1"/>
                <w:szCs w:val="1"/>
                <w:color w:val="auto"/>
              </w:rPr>
            </w:pPr>
          </w:p>
        </w:tc>
      </w:tr>
      <w:tr>
        <w:trPr>
          <w:trHeight w:val="116"/>
        </w:trPr>
        <w:tc>
          <w:tcPr>
            <w:tcW w:w="1540" w:type="dxa"/>
            <w:vAlign w:val="bottom"/>
            <w:shd w:val="clear" w:color="auto" w:fill="CCEEFF"/>
          </w:tcPr>
          <w:p>
            <w:pPr>
              <w:ind w:left="20"/>
              <w:spacing w:after="0" w:line="116" w:lineRule="exact"/>
              <w:rPr>
                <w:sz w:val="20"/>
                <w:szCs w:val="20"/>
                <w:color w:val="auto"/>
              </w:rPr>
            </w:pPr>
            <w:r>
              <w:rPr>
                <w:rFonts w:ascii="Arial" w:cs="Arial" w:eastAsia="Arial" w:hAnsi="Arial"/>
                <w:sz w:val="11"/>
                <w:szCs w:val="11"/>
                <w:color w:val="auto"/>
              </w:rPr>
              <w:t>Compensation and benefits</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3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paid or payable in shares</w:t>
            </w:r>
          </w:p>
        </w:tc>
        <w:tc>
          <w:tcPr>
            <w:tcW w:w="7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4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60" w:type="dxa"/>
            <w:vAlign w:val="bottom"/>
          </w:tcPr>
          <w:p>
            <w:pPr>
              <w:jc w:val="right"/>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128</w:t>
            </w: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2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195"/>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154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540" w:type="dxa"/>
            <w:vAlign w:val="bottom"/>
            <w:shd w:val="clear" w:color="auto" w:fill="CCEEFF"/>
          </w:tcPr>
          <w:p>
            <w:pPr>
              <w:ind w:left="20"/>
              <w:spacing w:after="0" w:line="116" w:lineRule="exact"/>
              <w:rPr>
                <w:sz w:val="20"/>
                <w:szCs w:val="20"/>
                <w:color w:val="auto"/>
              </w:rPr>
            </w:pPr>
            <w:r>
              <w:rPr>
                <w:rFonts w:ascii="Arial" w:cs="Arial" w:eastAsia="Arial" w:hAnsi="Arial"/>
                <w:sz w:val="11"/>
                <w:szCs w:val="11"/>
                <w:color w:val="auto"/>
              </w:rPr>
              <w:t>Class A Common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24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0" w:type="dxa"/>
            <w:vAlign w:val="bottom"/>
          </w:tcPr>
          <w:p>
            <w:pPr>
              <w:spacing w:after="0"/>
              <w:rPr>
                <w:sz w:val="1"/>
                <w:szCs w:val="1"/>
                <w:color w:val="auto"/>
              </w:rPr>
            </w:pPr>
          </w:p>
        </w:tc>
      </w:tr>
      <w:tr>
        <w:trPr>
          <w:trHeight w:val="159"/>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540" w:type="dxa"/>
            <w:vAlign w:val="bottom"/>
          </w:tcPr>
          <w:p>
            <w:pPr>
              <w:ind w:left="20"/>
              <w:spacing w:after="0" w:line="106" w:lineRule="exact"/>
              <w:rPr>
                <w:sz w:val="20"/>
                <w:szCs w:val="20"/>
                <w:color w:val="auto"/>
              </w:rPr>
            </w:pPr>
            <w:r>
              <w:rPr>
                <w:rFonts w:ascii="Arial" w:cs="Arial" w:eastAsia="Arial" w:hAnsi="Arial"/>
                <w:sz w:val="11"/>
                <w:szCs w:val="11"/>
                <w:color w:val="auto"/>
              </w:rPr>
              <w:t>Class B Common Stock,</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7"/>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(324)</w:t>
            </w:r>
          </w:p>
        </w:tc>
        <w:tc>
          <w:tcPr>
            <w:tcW w:w="240" w:type="dxa"/>
            <w:vAlign w:val="bottom"/>
          </w:tcPr>
          <w:p>
            <w:pPr>
              <w:spacing w:after="0"/>
              <w:rPr>
                <w:sz w:val="9"/>
                <w:szCs w:val="9"/>
                <w:color w:val="auto"/>
              </w:rPr>
            </w:pPr>
          </w:p>
        </w:tc>
        <w:tc>
          <w:tcPr>
            <w:tcW w:w="12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49"/>
        </w:trPr>
        <w:tc>
          <w:tcPr>
            <w:tcW w:w="154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540" w:type="dxa"/>
            <w:vAlign w:val="bottom"/>
            <w:shd w:val="clear" w:color="auto" w:fill="CCEEFF"/>
          </w:tcPr>
          <w:p>
            <w:pPr>
              <w:ind w:left="20"/>
              <w:spacing w:after="0" w:line="116" w:lineRule="exact"/>
              <w:rPr>
                <w:sz w:val="20"/>
                <w:szCs w:val="20"/>
                <w:color w:val="auto"/>
              </w:rPr>
            </w:pPr>
            <w:r>
              <w:rPr>
                <w:rFonts w:ascii="Arial" w:cs="Arial" w:eastAsia="Arial" w:hAnsi="Arial"/>
                <w:sz w:val="11"/>
                <w:szCs w:val="11"/>
                <w:color w:val="auto"/>
              </w:rPr>
              <w:t>Cumulative translation</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(15,955)</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(16,165)</w:t>
            </w:r>
          </w:p>
        </w:tc>
        <w:tc>
          <w:tcPr>
            <w:tcW w:w="0" w:type="dxa"/>
            <w:vAlign w:val="bottom"/>
          </w:tcPr>
          <w:p>
            <w:pPr>
              <w:spacing w:after="0"/>
              <w:rPr>
                <w:sz w:val="1"/>
                <w:szCs w:val="1"/>
                <w:color w:val="auto"/>
              </w:rPr>
            </w:pPr>
          </w:p>
        </w:tc>
      </w:tr>
      <w:tr>
        <w:trPr>
          <w:trHeight w:val="159"/>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7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540" w:type="dxa"/>
            <w:vAlign w:val="bottom"/>
          </w:tcPr>
          <w:p>
            <w:pPr>
              <w:ind w:left="20"/>
              <w:spacing w:after="0" w:line="106" w:lineRule="exact"/>
              <w:rPr>
                <w:sz w:val="20"/>
                <w:szCs w:val="20"/>
                <w:color w:val="auto"/>
              </w:rPr>
            </w:pPr>
            <w:r>
              <w:rPr>
                <w:rFonts w:ascii="Arial" w:cs="Arial" w:eastAsia="Arial" w:hAnsi="Arial"/>
                <w:sz w:val="11"/>
                <w:szCs w:val="11"/>
                <w:color w:val="auto"/>
              </w:rPr>
              <w:t>Pension and postretirement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7"/>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1280" w:type="dxa"/>
            <w:vAlign w:val="bottom"/>
            <w:vMerge w:val="restart"/>
          </w:tcPr>
          <w:p>
            <w:pPr>
              <w:jc w:val="right"/>
              <w:ind w:right="7"/>
              <w:spacing w:after="0"/>
              <w:rPr>
                <w:sz w:val="20"/>
                <w:szCs w:val="20"/>
                <w:color w:val="auto"/>
              </w:rPr>
            </w:pPr>
            <w:r>
              <w:rPr>
                <w:rFonts w:ascii="Arial" w:cs="Arial" w:eastAsia="Arial" w:hAnsi="Arial"/>
                <w:sz w:val="11"/>
                <w:szCs w:val="11"/>
                <w:color w:val="auto"/>
              </w:rPr>
              <w:t>509</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ind w:right="7"/>
              <w:spacing w:after="0"/>
              <w:rPr>
                <w:sz w:val="20"/>
                <w:szCs w:val="20"/>
                <w:color w:val="auto"/>
              </w:rPr>
            </w:pPr>
            <w:r>
              <w:rPr>
                <w:rFonts w:ascii="Arial" w:cs="Arial" w:eastAsia="Arial" w:hAnsi="Arial"/>
                <w:sz w:val="11"/>
                <w:szCs w:val="11"/>
                <w:color w:val="auto"/>
              </w:rPr>
              <w:t>509</w:t>
            </w:r>
          </w:p>
        </w:tc>
        <w:tc>
          <w:tcPr>
            <w:tcW w:w="0" w:type="dxa"/>
            <w:vAlign w:val="bottom"/>
          </w:tcPr>
          <w:p>
            <w:pPr>
              <w:spacing w:after="0"/>
              <w:rPr>
                <w:sz w:val="1"/>
                <w:szCs w:val="1"/>
                <w:color w:val="auto"/>
              </w:rPr>
            </w:pPr>
          </w:p>
        </w:tc>
      </w:tr>
      <w:tr>
        <w:trPr>
          <w:trHeight w:val="149"/>
        </w:trPr>
        <w:tc>
          <w:tcPr>
            <w:tcW w:w="154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8"/>
              </w:rPr>
              <w:t>Derivative valuation adjustment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752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752</w:t>
            </w:r>
          </w:p>
        </w:tc>
        <w:tc>
          <w:tcPr>
            <w:tcW w:w="0" w:type="dxa"/>
            <w:vAlign w:val="bottom"/>
          </w:tcPr>
          <w:p>
            <w:pPr>
              <w:spacing w:after="0"/>
              <w:rPr>
                <w:sz w:val="1"/>
                <w:szCs w:val="1"/>
                <w:color w:val="auto"/>
              </w:rPr>
            </w:pPr>
          </w:p>
        </w:tc>
      </w:tr>
      <w:tr>
        <w:trPr>
          <w:trHeight w:val="152"/>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39,141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39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433,811</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791,854</w:t>
            </w:r>
          </w:p>
        </w:tc>
        <w:tc>
          <w:tcPr>
            <w:tcW w:w="2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(147,102)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8,391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(256,009)</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3,616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826,211</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640" w:right="200" w:hanging="634"/>
        <w:spacing w:after="0" w:line="260"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2021, the Company's Board of Directors authorized the Company to repurchase shares of up to $200 million through open market purchases, privately negotiated transactions or otherwise, and to determine the prices, times and amounts. In 2021, the Company repurchased 285,286 shares totaling $24.4 million.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three months period ending March 31, 2022, the Company repurchased 514,686 shares totaling $43.9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8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57" w:lineRule="exact"/>
        <w:rPr>
          <w:sz w:val="20"/>
          <w:szCs w:val="20"/>
          <w:color w:val="auto"/>
        </w:rPr>
      </w:pPr>
    </w:p>
    <w:p>
      <w:pPr>
        <w:jc w:val="both"/>
        <w:ind w:left="960" w:hanging="318"/>
        <w:spacing w:after="0" w:line="260"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continuation of COVID-19 pandemic effects for an extended period of time;</w:t>
      </w:r>
    </w:p>
    <w:p>
      <w:pPr>
        <w:spacing w:after="0" w:line="69" w:lineRule="exact"/>
        <w:rPr>
          <w:rFonts w:ascii="Arial" w:cs="Arial" w:eastAsia="Arial" w:hAnsi="Arial"/>
          <w:sz w:val="18"/>
          <w:szCs w:val="18"/>
          <w:color w:val="auto"/>
        </w:rPr>
      </w:pPr>
    </w:p>
    <w:p>
      <w:pPr>
        <w:ind w:left="960" w:hanging="318"/>
        <w:spacing w:after="0" w:line="27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Across the entire Company, increasing labor, raw material, energy, and logistic costs due to supply chain constraints and inflationary pressures</w:t>
      </w:r>
    </w:p>
    <w:p>
      <w:pPr>
        <w:spacing w:after="0" w:line="57" w:lineRule="exact"/>
        <w:rPr>
          <w:rFonts w:ascii="Arial" w:cs="Arial" w:eastAsia="Arial" w:hAnsi="Arial"/>
          <w:sz w:val="18"/>
          <w:szCs w:val="18"/>
          <w:color w:val="auto"/>
        </w:rPr>
      </w:pPr>
    </w:p>
    <w:p>
      <w:pPr>
        <w:ind w:left="960" w:hanging="318"/>
        <w:spacing w:after="0" w:line="27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57" w:lineRule="exact"/>
        <w:rPr>
          <w:rFonts w:ascii="Arial" w:cs="Arial" w:eastAsia="Arial" w:hAnsi="Arial"/>
          <w:sz w:val="18"/>
          <w:szCs w:val="18"/>
          <w:color w:val="auto"/>
        </w:rPr>
      </w:pPr>
    </w:p>
    <w:p>
      <w:pPr>
        <w:jc w:val="both"/>
        <w:ind w:left="960" w:hanging="318"/>
        <w:spacing w:after="0" w:line="260"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69"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1"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General risks associated with macroeconomic conditions, as noted above, have changed during the first three months of 2022. The recent escalation in the Russia-Ukraine military conflict has had and may continue to have profound effects on macroeconomic business conditions around the world, including in our Machine Clothing and Albany Engineered Composites segments. Certain COVID-19 related disruptions and risks have persisted during the current year, causing inflationary pressure connected to global supply chain bottlenecks and elevated energy price pressures. These challenges have only increased as a result of the Russia-Ukraine military conflict, which also has quickly prompted a global imposition of stringent sanctions that have resulted in a sharp decline in trade with Russia. Correspondingly, and in union with the global community, we voluntarily decided to dissolve business relationships in Russia during the first three months of 2022, despite the associated cost to our investment and the loss of future revenue in the region. While our Albany Engineered Composites segment does not have significant direct exposure in this region of the world, and our Machine Clothing segment has now significantly reduced its exposure, the broader economic ramifications of this conflict will indirectly affect all sectors of the economy. This conflict, which may yet be in its early stages, including imposed sanctions, has amplified inflationary pressures, driving higher prices for global oil, natural gas, agricultural and metal prices, as well as causing additional supply-chain disruptions.</w:t>
      </w:r>
    </w:p>
    <w:p>
      <w:pPr>
        <w:spacing w:after="0" w:line="8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perception of historical conditions, expected future developments, and other factors believed to be appropriate under the circumstances.</w:t>
      </w:r>
    </w:p>
    <w:p>
      <w:pPr>
        <w:spacing w:after="0" w:line="11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1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5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been negatively impacted by well-documented declines in publication grades in the Company’s traditional markets, there has been some offsetting effect due to growth in demand for packaging and tissue grades, as well as the expansion of paper consumption and production in Asia and South America. We feel we are well-positioned in key markets, with high-quality, low-cost production in growth markets, substantially lower fixed costs in mature markets, 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w:t>
      </w:r>
    </w:p>
    <w:p>
      <w:pPr>
        <w:spacing w:after="0" w:line="7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AEC segment provides significant longer term growth potential for our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12 percent of the Company’s consolidated Net sales in 2021. AEC, through ASC, also supplies 3D-woven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2021, approximately 47 percent of AEC sales were related to U.S. government contracts or programs.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Russia-Military Conflict</w:t>
      </w:r>
    </w:p>
    <w:p>
      <w:pPr>
        <w:spacing w:after="0" w:line="232" w:lineRule="exact"/>
        <w:rPr>
          <w:sz w:val="20"/>
          <w:szCs w:val="20"/>
          <w:color w:val="auto"/>
        </w:rPr>
      </w:pPr>
    </w:p>
    <w:p>
      <w:pPr>
        <w:ind w:right="860" w:firstLine="318"/>
        <w:spacing w:after="0" w:line="272" w:lineRule="auto"/>
        <w:rPr>
          <w:sz w:val="20"/>
          <w:szCs w:val="20"/>
          <w:color w:val="auto"/>
        </w:rPr>
      </w:pPr>
      <w:r>
        <w:rPr>
          <w:rFonts w:ascii="Arial" w:cs="Arial" w:eastAsia="Arial" w:hAnsi="Arial"/>
          <w:sz w:val="17"/>
          <w:szCs w:val="17"/>
          <w:color w:val="auto"/>
        </w:rPr>
        <w:t>The war between Russia and Ukraine is affecting the economic and global financial markets and exacerbating ongoing economic challenges caused by impacts of the ongoing COVID-19 pandemic, including rising inflation and global supply chain disruptions.</w:t>
      </w:r>
    </w:p>
    <w:p>
      <w:pPr>
        <w:spacing w:after="0" w:line="180" w:lineRule="exact"/>
        <w:rPr>
          <w:sz w:val="20"/>
          <w:szCs w:val="20"/>
          <w:color w:val="auto"/>
        </w:rPr>
      </w:pPr>
    </w:p>
    <w:p>
      <w:pPr>
        <w:ind w:right="40" w:firstLine="318"/>
        <w:spacing w:after="0" w:line="236" w:lineRule="auto"/>
        <w:rPr>
          <w:sz w:val="20"/>
          <w:szCs w:val="20"/>
          <w:color w:val="auto"/>
        </w:rPr>
      </w:pPr>
      <w:r>
        <w:rPr>
          <w:rFonts w:ascii="Arial" w:cs="Arial" w:eastAsia="Arial" w:hAnsi="Arial"/>
          <w:sz w:val="17"/>
          <w:szCs w:val="17"/>
          <w:color w:val="auto"/>
        </w:rPr>
        <w:t>Our MC segment generates approximately 2% of its annual net sales from customers in Russia and Ukraine. In addition, a subsidiary within our Machine Clothing segment has been a partner in a joint venture (“JV”) that supplies paper machine clothing products to local papermakers in Russia. In March 2022, we made the decision to cease doing business in Russia, including giving notice to our JV partner of our intent to exit the venture. As a result, we recognized $1.8 million expense in cost of goods sold and in Selling, Administrative, and General expense,</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representing reserves against the risk of obsolescence of certain inventory destined for Russian customers and uncollectible receivables from Russian customers, respectively. We also wrote down the net book value of our investment in the aforementioned JV to reflect our intent to exit such venture, resulting in $0.8 million impairment loss included in Other expense/income - net during the first quarter of 2022.</w:t>
      </w:r>
    </w:p>
    <w:p>
      <w:pPr>
        <w:spacing w:after="0" w:line="194" w:lineRule="exact"/>
        <w:rPr>
          <w:sz w:val="20"/>
          <w:szCs w:val="20"/>
          <w:color w:val="auto"/>
        </w:rPr>
      </w:pPr>
    </w:p>
    <w:p>
      <w:pPr>
        <w:ind w:right="40" w:firstLine="318"/>
        <w:spacing w:after="0" w:line="259" w:lineRule="auto"/>
        <w:rPr>
          <w:sz w:val="20"/>
          <w:szCs w:val="20"/>
          <w:color w:val="auto"/>
        </w:rPr>
      </w:pPr>
      <w:r>
        <w:rPr>
          <w:rFonts w:ascii="Arial" w:cs="Arial" w:eastAsia="Arial" w:hAnsi="Arial"/>
          <w:sz w:val="18"/>
          <w:szCs w:val="18"/>
          <w:color w:val="auto"/>
        </w:rPr>
        <w:t>We anticipate approximately $10.0 million reduction in future annual net sales in the MC segment, due to our cessation of doing business in Russia.</w:t>
      </w:r>
    </w:p>
    <w:p>
      <w:pPr>
        <w:spacing w:after="0" w:line="176" w:lineRule="exact"/>
        <w:rPr>
          <w:sz w:val="20"/>
          <w:szCs w:val="20"/>
          <w:color w:val="auto"/>
        </w:rPr>
      </w:pPr>
    </w:p>
    <w:p>
      <w:pPr>
        <w:ind w:right="480" w:firstLine="318"/>
        <w:spacing w:after="0" w:line="243" w:lineRule="auto"/>
        <w:rPr>
          <w:sz w:val="20"/>
          <w:szCs w:val="20"/>
          <w:color w:val="auto"/>
        </w:rPr>
      </w:pPr>
      <w:r>
        <w:rPr>
          <w:rFonts w:ascii="Arial" w:cs="Arial" w:eastAsia="Arial" w:hAnsi="Arial"/>
          <w:sz w:val="18"/>
          <w:szCs w:val="18"/>
          <w:color w:val="auto"/>
        </w:rPr>
        <w:t>During the first three months of 2022, energy costs soared, the supply market continued to tighten against strong demands and global logistics challenges persisted.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74" w:lineRule="exact"/>
        <w:rPr>
          <w:sz w:val="20"/>
          <w:szCs w:val="20"/>
          <w:color w:val="auto"/>
        </w:rPr>
      </w:pPr>
    </w:p>
    <w:p>
      <w:pPr>
        <w:ind w:right="100" w:firstLine="318"/>
        <w:spacing w:after="0" w:line="245" w:lineRule="auto"/>
        <w:rPr>
          <w:sz w:val="20"/>
          <w:szCs w:val="20"/>
          <w:color w:val="auto"/>
        </w:rPr>
      </w:pPr>
      <w:r>
        <w:rPr>
          <w:rFonts w:ascii="Arial" w:cs="Arial" w:eastAsia="Arial" w:hAnsi="Arial"/>
          <w:sz w:val="17"/>
          <w:szCs w:val="17"/>
          <w:color w:val="auto"/>
        </w:rPr>
        <w:t>Our MC segment has continued experiencing price increases in raw materials, indirect supply, and logistics. Moreover, the ongoing impact of the COVID-19 pandemic in certain regions, such as China where zero COVID tolerance policy is enforced, further limiting the availability of</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raw materials. The ultimate financial impact due to the war between Russia and Ukraine, the ongoing COVID-19 pandemic, and inflationary environment is difficult to predict. After consideration of possible offsets through corresponding price increases to our customers and productivity improvements, we currently estimate a net increase to the MC segment input costs of between $8.0 million and $10.0 million for the year ending December 31, 2022. We estimate such net cost increases to unfavorably affect the MC segment gross margin by between 100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140 basis points for the year ending December 31, 2022.</w:t>
      </w:r>
    </w:p>
    <w:p>
      <w:pPr>
        <w:spacing w:after="0" w:line="201" w:lineRule="exact"/>
        <w:rPr>
          <w:sz w:val="20"/>
          <w:szCs w:val="20"/>
          <w:color w:val="auto"/>
        </w:rPr>
      </w:pPr>
    </w:p>
    <w:p>
      <w:pPr>
        <w:ind w:right="60" w:firstLine="318"/>
        <w:spacing w:after="0" w:line="250" w:lineRule="auto"/>
        <w:rPr>
          <w:sz w:val="20"/>
          <w:szCs w:val="20"/>
          <w:color w:val="auto"/>
        </w:rPr>
      </w:pPr>
      <w:r>
        <w:rPr>
          <w:rFonts w:ascii="Arial" w:cs="Arial" w:eastAsia="Arial" w:hAnsi="Arial"/>
          <w:sz w:val="17"/>
          <w:szCs w:val="17"/>
          <w:color w:val="auto"/>
        </w:rPr>
        <w:t>Our Albany Engineered Composites segment does not have significant direct exposure in Russia. However, it has not been immune from supply chain disruptions due to raw material shortages, abnormally high commodity prices, labor shortages, and logistic constraints. Due to the nature of AEC’s contracts with its customers, we currently anticipate being able to pass through such cost increases to the customers.</w:t>
      </w:r>
    </w:p>
    <w:p>
      <w:pPr>
        <w:spacing w:after="0" w:line="197" w:lineRule="exact"/>
        <w:rPr>
          <w:sz w:val="20"/>
          <w:szCs w:val="20"/>
          <w:color w:val="auto"/>
        </w:rPr>
      </w:pPr>
    </w:p>
    <w:p>
      <w:pPr>
        <w:ind w:right="60" w:firstLine="318"/>
        <w:spacing w:after="0" w:line="233" w:lineRule="auto"/>
        <w:rPr>
          <w:sz w:val="20"/>
          <w:szCs w:val="20"/>
          <w:color w:val="auto"/>
        </w:rPr>
      </w:pPr>
      <w:r>
        <w:rPr>
          <w:rFonts w:ascii="Arial" w:cs="Arial" w:eastAsia="Arial" w:hAnsi="Arial"/>
          <w:sz w:val="18"/>
          <w:szCs w:val="18"/>
          <w:color w:val="auto"/>
        </w:rPr>
        <w:t>Until the effects of the war between Russia and Ukraine, as well as the COVID-19 pandemic, on the economic and global financial markets subside, there can be no assurance that our input costs will not continue to rise beyond our current estimate, thus unfavorably impacting our future results of operations, financial position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80" w:type="dxa"/>
            <w:vAlign w:val="bottom"/>
          </w:tcPr>
          <w:p>
            <w:pPr>
              <w:jc w:val="right"/>
              <w:ind w:right="65"/>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4"/>
                <w:szCs w:val="14"/>
                <w:color w:val="auto"/>
              </w:rPr>
            </w:pPr>
          </w:p>
        </w:tc>
      </w:tr>
      <w:tr>
        <w:trPr>
          <w:trHeight w:val="194"/>
        </w:trPr>
        <w:tc>
          <w:tcPr>
            <w:tcW w:w="50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580" w:type="dxa"/>
            <w:vAlign w:val="bottom"/>
          </w:tcPr>
          <w:p>
            <w:pPr>
              <w:jc w:val="right"/>
              <w:ind w:right="425"/>
              <w:spacing w:after="0"/>
              <w:rPr>
                <w:sz w:val="20"/>
                <w:szCs w:val="20"/>
                <w:color w:val="auto"/>
              </w:rPr>
            </w:pPr>
            <w:r>
              <w:rPr>
                <w:rFonts w:ascii="Arial" w:cs="Arial" w:eastAsia="Arial" w:hAnsi="Arial"/>
                <w:sz w:val="14"/>
                <w:szCs w:val="14"/>
                <w:b w:val="1"/>
                <w:bCs w:val="1"/>
                <w:color w:val="auto"/>
              </w:rPr>
              <w:t>March 31,</w:t>
            </w:r>
          </w:p>
        </w:tc>
        <w:tc>
          <w:tcPr>
            <w:tcW w:w="1180" w:type="dxa"/>
            <w:vAlign w:val="bottom"/>
          </w:tcPr>
          <w:p>
            <w:pPr>
              <w:spacing w:after="0"/>
              <w:rPr>
                <w:sz w:val="16"/>
                <w:szCs w:val="16"/>
                <w:color w:val="auto"/>
              </w:rPr>
            </w:pPr>
          </w:p>
        </w:tc>
      </w:tr>
      <w:tr>
        <w:trPr>
          <w:trHeight w:val="28"/>
        </w:trPr>
        <w:tc>
          <w:tcPr>
            <w:tcW w:w="50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4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580" w:type="dxa"/>
            <w:vAlign w:val="bottom"/>
            <w:tcBorders>
              <w:bottom w:val="single" w:sz="8" w:color="auto"/>
            </w:tcBorders>
          </w:tcPr>
          <w:p>
            <w:pPr>
              <w:jc w:val="right"/>
              <w:ind w:right="665"/>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 Change</w:t>
            </w:r>
          </w:p>
        </w:tc>
      </w:tr>
      <w:tr>
        <w:trPr>
          <w:trHeight w:val="20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$154,062</w:t>
            </w:r>
          </w:p>
        </w:tc>
        <w:tc>
          <w:tcPr>
            <w:tcW w:w="158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$148,206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3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90,107</w:t>
            </w:r>
          </w:p>
        </w:tc>
        <w:tc>
          <w:tcPr>
            <w:tcW w:w="158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color w:val="auto"/>
              </w:rPr>
              <w:t>74,156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21.5 %</w:t>
            </w:r>
          </w:p>
        </w:tc>
      </w:tr>
      <w:tr>
        <w:trPr>
          <w:trHeight w:val="205"/>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$244,169</w:t>
            </w:r>
          </w:p>
        </w:tc>
        <w:tc>
          <w:tcPr>
            <w:tcW w:w="15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6"/>
                <w:szCs w:val="16"/>
                <w:color w:val="auto"/>
              </w:rPr>
              <w:t>$222,362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9.8 %</w:t>
            </w:r>
          </w:p>
        </w:tc>
      </w:tr>
    </w:tbl>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provide a comparison of 2022 Net sales, excluding the impact of currency translation effects, to 2021 Net sales: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0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4"/>
                <w:szCs w:val="14"/>
                <w:b w:val="1"/>
                <w:bCs w:val="1"/>
                <w:color w:val="auto"/>
              </w:rPr>
              <w:t>Decrease due to</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Q1 2022 sales on</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Change compared to</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Net sales as</w:t>
            </w: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26"/>
              <w:spacing w:after="0" w:line="142" w:lineRule="exact"/>
              <w:rPr>
                <w:sz w:val="20"/>
                <w:szCs w:val="20"/>
                <w:color w:val="auto"/>
              </w:rPr>
            </w:pPr>
            <w:r>
              <w:rPr>
                <w:rFonts w:ascii="Arial" w:cs="Arial" w:eastAsia="Arial" w:hAnsi="Arial"/>
                <w:sz w:val="14"/>
                <w:szCs w:val="14"/>
                <w:b w:val="1"/>
                <w:bCs w:val="1"/>
                <w:color w:val="auto"/>
              </w:rPr>
              <w:t>same basis as Q1</w:t>
            </w:r>
          </w:p>
        </w:tc>
        <w:tc>
          <w:tcPr>
            <w:tcW w:w="160" w:type="dxa"/>
            <w:vAlign w:val="bottom"/>
          </w:tcPr>
          <w:p>
            <w:pPr>
              <w:spacing w:after="0"/>
              <w:rPr>
                <w:sz w:val="12"/>
                <w:szCs w:val="12"/>
                <w:color w:val="auto"/>
              </w:rPr>
            </w:pPr>
          </w:p>
        </w:tc>
        <w:tc>
          <w:tcPr>
            <w:tcW w:w="134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Net sales as</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520" w:type="dxa"/>
            <w:vAlign w:val="bottom"/>
            <w:gridSpan w:val="2"/>
          </w:tcPr>
          <w:p>
            <w:pPr>
              <w:jc w:val="right"/>
              <w:spacing w:after="0" w:line="146" w:lineRule="exact"/>
              <w:rPr>
                <w:sz w:val="20"/>
                <w:szCs w:val="20"/>
                <w:color w:val="auto"/>
              </w:rPr>
            </w:pPr>
            <w:r>
              <w:rPr>
                <w:rFonts w:ascii="Arial" w:cs="Arial" w:eastAsia="Arial" w:hAnsi="Arial"/>
                <w:sz w:val="14"/>
                <w:szCs w:val="14"/>
                <w:b w:val="1"/>
                <w:bCs w:val="1"/>
                <w:color w:val="auto"/>
              </w:rPr>
              <w:t>changes in currency</w:t>
            </w:r>
          </w:p>
        </w:tc>
        <w:tc>
          <w:tcPr>
            <w:tcW w:w="140" w:type="dxa"/>
            <w:vAlign w:val="bottom"/>
          </w:tcPr>
          <w:p>
            <w:pPr>
              <w:spacing w:after="0"/>
              <w:rPr>
                <w:sz w:val="12"/>
                <w:szCs w:val="12"/>
                <w:color w:val="auto"/>
              </w:rPr>
            </w:pPr>
          </w:p>
        </w:tc>
        <w:tc>
          <w:tcPr>
            <w:tcW w:w="1340" w:type="dxa"/>
            <w:vAlign w:val="bottom"/>
          </w:tcPr>
          <w:p>
            <w:pPr>
              <w:jc w:val="center"/>
              <w:ind w:right="26"/>
              <w:spacing w:after="0" w:line="146" w:lineRule="exact"/>
              <w:rPr>
                <w:sz w:val="20"/>
                <w:szCs w:val="20"/>
                <w:color w:val="auto"/>
              </w:rPr>
            </w:pPr>
            <w:r>
              <w:rPr>
                <w:rFonts w:ascii="Arial" w:cs="Arial" w:eastAsia="Arial" w:hAnsi="Arial"/>
                <w:sz w:val="14"/>
                <w:szCs w:val="14"/>
                <w:b w:val="1"/>
                <w:bCs w:val="1"/>
                <w:color w:val="auto"/>
              </w:rPr>
              <w:t>2021 currency</w:t>
            </w:r>
          </w:p>
        </w:tc>
        <w:tc>
          <w:tcPr>
            <w:tcW w:w="1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Q1 2021, excluding</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reported, Q1 2022</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translation rates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9"/>
              </w:rPr>
              <w:t>translation rates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reported, Q1 2021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154,062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156,590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148,206</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38"/>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90,107</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91,265</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74,156</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23.1 %</w:t>
            </w:r>
          </w:p>
        </w:tc>
        <w:tc>
          <w:tcPr>
            <w:tcW w:w="0" w:type="dxa"/>
            <w:vAlign w:val="bottom"/>
          </w:tcPr>
          <w:p>
            <w:pPr>
              <w:spacing w:after="0"/>
              <w:rPr>
                <w:sz w:val="1"/>
                <w:szCs w:val="1"/>
                <w:color w:val="auto"/>
              </w:rPr>
            </w:pPr>
          </w:p>
        </w:tc>
      </w:tr>
      <w:tr>
        <w:trPr>
          <w:trHeight w:val="205"/>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244,169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247,855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222,362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Changes in currency translation rates had the effect of decreasing Net sales by $ 3.7 million during the first quarter of 2022, as compared to 2021, principally due to a weaker Euro in 2022. Excluding the effect of changes in currency translation rates:</w:t>
      </w:r>
    </w:p>
    <w:p>
      <w:pPr>
        <w:spacing w:after="0" w:line="57" w:lineRule="exact"/>
        <w:rPr>
          <w:sz w:val="20"/>
          <w:szCs w:val="20"/>
          <w:color w:val="auto"/>
        </w:rPr>
      </w:pPr>
    </w:p>
    <w:p>
      <w:pPr>
        <w:ind w:left="1280" w:hanging="320"/>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increased 11.5% compared to the same period in 2021.</w:t>
      </w:r>
    </w:p>
    <w:p>
      <w:pPr>
        <w:spacing w:after="0" w:line="111" w:lineRule="exact"/>
        <w:rPr>
          <w:rFonts w:ascii="Arial" w:cs="Arial" w:eastAsia="Arial" w:hAnsi="Arial"/>
          <w:sz w:val="18"/>
          <w:szCs w:val="18"/>
          <w:color w:val="auto"/>
        </w:rPr>
      </w:pPr>
    </w:p>
    <w:p>
      <w:pPr>
        <w:ind w:left="1280" w:hanging="320"/>
        <w:spacing w:after="0" w:line="274" w:lineRule="auto"/>
        <w:tabs>
          <w:tab w:leader="none" w:pos="127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Net sales in MC increased 5.7% compared to the first quarter of 2021, driven by growth in sales for packaging and tissue grades.</w:t>
      </w:r>
    </w:p>
    <w:p>
      <w:pPr>
        <w:spacing w:after="0" w:line="57" w:lineRule="exact"/>
        <w:rPr>
          <w:rFonts w:ascii="Arial" w:cs="Arial" w:eastAsia="Arial" w:hAnsi="Arial"/>
          <w:sz w:val="18"/>
          <w:szCs w:val="18"/>
          <w:b w:val="1"/>
          <w:bCs w:val="1"/>
          <w:color w:val="auto"/>
        </w:rPr>
      </w:pPr>
    </w:p>
    <w:p>
      <w:pPr>
        <w:ind w:left="1280" w:hanging="320"/>
        <w:spacing w:after="0" w:line="274" w:lineRule="auto"/>
        <w:tabs>
          <w:tab w:leader="none" w:pos="127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Net sales in AEC increased 23.1%, mainly due to growth on LEAP and CH-53K programs, partially offset by a decline on the F-35 platform.</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4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8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r>
      <w:tr>
        <w:trPr>
          <w:trHeight w:val="212"/>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0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6"/>
                <w:szCs w:val="16"/>
                <w:b w:val="1"/>
                <w:bCs w:val="1"/>
                <w:color w:val="auto"/>
              </w:rPr>
              <w:t>79,345</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76,393</w:t>
            </w:r>
          </w:p>
        </w:tc>
      </w:tr>
      <w:tr>
        <w:trPr>
          <w:trHeight w:val="23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12,259</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12,153</w:t>
            </w:r>
          </w:p>
        </w:tc>
      </w:tr>
      <w:tr>
        <w:trPr>
          <w:trHeight w:val="205"/>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b w:val="1"/>
                <w:bCs w:val="1"/>
                <w:color w:val="auto"/>
              </w:rPr>
              <w:t>91,604</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88,546</w:t>
            </w:r>
          </w:p>
        </w:tc>
      </w:tr>
      <w:tr>
        <w:trPr>
          <w:trHeight w:val="232"/>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37.5 %</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39.8 %</w:t>
            </w:r>
          </w:p>
        </w:tc>
      </w:tr>
    </w:tbl>
    <w:p>
      <w:pPr>
        <w:spacing w:after="0" w:line="18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increase in 2022 Gross profit, as compared to the same period in 2021, was due to the effect of higher Net sales in MC and AEC business segments. Gross profit as a percentage of sales at Machine Clothing was flat at 51.5% as compared to the prior year, and at AEC decreased from 16.4% in 2021 to 13.6% in 2022, driven by recognition of reserves recorded on inventory that was damaged at an off-site storage facility. We recognized $0.7 million net unfavorable change in the estimated profitability of long-term contracts during the first quarter of 2022, compared to an insignificant amount in the first quarter of 2021.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459105</wp:posOffset>
            </wp:positionV>
            <wp:extent cx="7134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8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3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6"/>
                <w:szCs w:val="16"/>
                <w:b w:val="1"/>
                <w:bCs w:val="1"/>
                <w:color w:val="auto"/>
              </w:rPr>
              <w:t>29,477</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26,099</w:t>
            </w:r>
          </w:p>
        </w:tc>
        <w:tc>
          <w:tcPr>
            <w:tcW w:w="0" w:type="dxa"/>
            <w:vAlign w:val="bottom"/>
          </w:tcPr>
          <w:p>
            <w:pPr>
              <w:spacing w:after="0"/>
              <w:rPr>
                <w:sz w:val="1"/>
                <w:szCs w:val="1"/>
                <w:color w:val="auto"/>
              </w:rPr>
            </w:pPr>
          </w:p>
        </w:tc>
      </w:tr>
      <w:tr>
        <w:trPr>
          <w:trHeight w:val="238"/>
        </w:trPr>
        <w:tc>
          <w:tcPr>
            <w:tcW w:w="83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40" w:type="dxa"/>
            <w:vAlign w:val="bottom"/>
          </w:tcPr>
          <w:p>
            <w:pPr>
              <w:spacing w:after="0"/>
              <w:rPr>
                <w:sz w:val="20"/>
                <w:szCs w:val="20"/>
                <w:color w:val="auto"/>
              </w:rPr>
            </w:pPr>
          </w:p>
        </w:tc>
        <w:tc>
          <w:tcPr>
            <w:tcW w:w="1100" w:type="dxa"/>
            <w:vAlign w:val="bottom"/>
          </w:tcPr>
          <w:p>
            <w:pPr>
              <w:jc w:val="right"/>
              <w:ind w:right="144"/>
              <w:spacing w:after="0"/>
              <w:rPr>
                <w:sz w:val="20"/>
                <w:szCs w:val="20"/>
                <w:color w:val="auto"/>
              </w:rPr>
            </w:pPr>
            <w:r>
              <w:rPr>
                <w:rFonts w:ascii="Arial" w:cs="Arial" w:eastAsia="Arial" w:hAnsi="Arial"/>
                <w:sz w:val="16"/>
                <w:szCs w:val="16"/>
                <w:b w:val="1"/>
                <w:bCs w:val="1"/>
                <w:color w:val="auto"/>
              </w:rPr>
              <w:t>11,064</w:t>
            </w:r>
          </w:p>
        </w:tc>
        <w:tc>
          <w:tcPr>
            <w:tcW w:w="440" w:type="dxa"/>
            <w:vAlign w:val="bottom"/>
          </w:tcPr>
          <w:p>
            <w:pPr>
              <w:spacing w:after="0"/>
              <w:rPr>
                <w:sz w:val="20"/>
                <w:szCs w:val="20"/>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9,126</w:t>
            </w:r>
          </w:p>
        </w:tc>
        <w:tc>
          <w:tcPr>
            <w:tcW w:w="0" w:type="dxa"/>
            <w:vAlign w:val="bottom"/>
          </w:tcPr>
          <w:p>
            <w:pPr>
              <w:spacing w:after="0"/>
              <w:rPr>
                <w:sz w:val="1"/>
                <w:szCs w:val="1"/>
                <w:color w:val="auto"/>
              </w:rPr>
            </w:pPr>
          </w:p>
        </w:tc>
      </w:tr>
      <w:tr>
        <w:trPr>
          <w:trHeight w:val="212"/>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b w:val="1"/>
                <w:bCs w:val="1"/>
                <w:color w:val="auto"/>
              </w:rPr>
              <w:t>12,055</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11,451</w:t>
            </w:r>
          </w:p>
        </w:tc>
        <w:tc>
          <w:tcPr>
            <w:tcW w:w="0" w:type="dxa"/>
            <w:vAlign w:val="bottom"/>
          </w:tcPr>
          <w:p>
            <w:pPr>
              <w:spacing w:after="0"/>
              <w:rPr>
                <w:sz w:val="1"/>
                <w:szCs w:val="1"/>
                <w:color w:val="auto"/>
              </w:rPr>
            </w:pPr>
          </w:p>
        </w:tc>
      </w:tr>
      <w:tr>
        <w:trPr>
          <w:trHeight w:val="232"/>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52,596</w:t>
            </w: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46,676</w:t>
            </w:r>
          </w:p>
        </w:tc>
        <w:tc>
          <w:tcPr>
            <w:tcW w:w="0" w:type="dxa"/>
            <w:vAlign w:val="bottom"/>
          </w:tcPr>
          <w:p>
            <w:pPr>
              <w:spacing w:after="0"/>
              <w:rPr>
                <w:sz w:val="1"/>
                <w:szCs w:val="1"/>
                <w:color w:val="auto"/>
              </w:rPr>
            </w:pPr>
          </w:p>
        </w:tc>
      </w:tr>
      <w:tr>
        <w:trPr>
          <w:trHeight w:val="205"/>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21.5 %</w:t>
            </w: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overall increase in STG&amp;R expenses was driven by customer credit loss reserve increases related to our dissolution of business relationships in Russia, higher incentive compensation costs, and the unfavorable effect of the revaluation of foreign currency balances.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 net</w:t>
      </w:r>
    </w:p>
    <w:p>
      <w:pPr>
        <w:spacing w:after="0" w:line="113"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expenses, as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55245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8620" w:type="dxa"/>
            <w:vAlign w:val="bottom"/>
          </w:tcPr>
          <w:p>
            <w:pPr>
              <w:spacing w:after="0"/>
              <w:rPr>
                <w:sz w:val="14"/>
                <w:szCs w:val="14"/>
                <w:color w:val="auto"/>
              </w:rPr>
            </w:pPr>
          </w:p>
        </w:tc>
        <w:tc>
          <w:tcPr>
            <w:tcW w:w="2220" w:type="dxa"/>
            <w:vAlign w:val="bottom"/>
            <w:gridSpan w:val="3"/>
          </w:tcPr>
          <w:p>
            <w:pPr>
              <w:jc w:val="right"/>
              <w:ind w:right="14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r>
      <w:tr>
        <w:trPr>
          <w:trHeight w:val="201"/>
        </w:trPr>
        <w:tc>
          <w:tcPr>
            <w:tcW w:w="86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503"/>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7"/>
                <w:szCs w:val="17"/>
                <w:color w:val="auto"/>
              </w:rPr>
            </w:pPr>
          </w:p>
        </w:tc>
      </w:tr>
      <w:tr>
        <w:trPr>
          <w:trHeight w:val="198"/>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r>
      <w:tr>
        <w:trPr>
          <w:trHeight w:val="20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900" w:type="dxa"/>
            <w:vAlign w:val="bottom"/>
            <w:shd w:val="clear" w:color="auto" w:fill="CCEEFF"/>
          </w:tcPr>
          <w:p>
            <w:pPr>
              <w:jc w:val="right"/>
              <w:ind w:right="725"/>
              <w:spacing w:after="0"/>
              <w:rPr>
                <w:sz w:val="20"/>
                <w:szCs w:val="20"/>
                <w:color w:val="auto"/>
              </w:rPr>
            </w:pPr>
            <w:r>
              <w:rPr>
                <w:rFonts w:ascii="Arial" w:cs="Arial" w:eastAsia="Arial" w:hAnsi="Arial"/>
                <w:sz w:val="16"/>
                <w:szCs w:val="16"/>
                <w:b w:val="1"/>
                <w:bCs w:val="1"/>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94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6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r>
      <w:tr>
        <w:trPr>
          <w:trHeight w:val="205"/>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w:t>
            </w:r>
          </w:p>
        </w:tc>
        <w:tc>
          <w:tcPr>
            <w:tcW w:w="940" w:type="dxa"/>
            <w:vAlign w:val="bottom"/>
            <w:tcBorders>
              <w:bottom w:val="single" w:sz="8" w:color="auto"/>
            </w:tcBorders>
          </w:tcPr>
          <w:p>
            <w:pPr>
              <w:jc w:val="right"/>
              <w:ind w:right="72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34"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Restructuring expense, net was insignificant in both the current and prior year, and was related primarily to the winding down of restructuring actions taken in prior periods.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8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6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49,644</w:t>
            </w: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50,363</w:t>
            </w:r>
          </w:p>
        </w:tc>
        <w:tc>
          <w:tcPr>
            <w:tcW w:w="0" w:type="dxa"/>
            <w:vAlign w:val="bottom"/>
          </w:tcPr>
          <w:p>
            <w:pPr>
              <w:spacing w:after="0"/>
              <w:rPr>
                <w:sz w:val="1"/>
                <w:szCs w:val="1"/>
                <w:color w:val="auto"/>
              </w:rPr>
            </w:pPr>
          </w:p>
        </w:tc>
      </w:tr>
      <w:tr>
        <w:trPr>
          <w:trHeight w:val="212"/>
        </w:trPr>
        <w:tc>
          <w:tcPr>
            <w:tcW w:w="86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1,195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21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(12,085)</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(11,483)</w:t>
            </w:r>
          </w:p>
        </w:tc>
        <w:tc>
          <w:tcPr>
            <w:tcW w:w="0" w:type="dxa"/>
            <w:vAlign w:val="bottom"/>
          </w:tcPr>
          <w:p>
            <w:pPr>
              <w:spacing w:after="0"/>
              <w:rPr>
                <w:sz w:val="1"/>
                <w:szCs w:val="1"/>
                <w:color w:val="auto"/>
              </w:rPr>
            </w:pPr>
          </w:p>
        </w:tc>
      </w:tr>
      <w:tr>
        <w:trPr>
          <w:trHeight w:val="205"/>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38,754</w:t>
            </w: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62344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3443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3"/>
          </w:tcPr>
          <w:p>
            <w:pPr>
              <w:jc w:val="center"/>
              <w:ind w:right="16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7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5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3,609</w:t>
            </w: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w:t>
            </w:r>
          </w:p>
        </w:tc>
        <w:tc>
          <w:tcPr>
            <w:tcW w:w="0" w:type="dxa"/>
            <w:vAlign w:val="bottom"/>
          </w:tcPr>
          <w:p>
            <w:pPr>
              <w:spacing w:after="0"/>
              <w:rPr>
                <w:sz w:val="1"/>
                <w:szCs w:val="1"/>
                <w:color w:val="auto"/>
              </w:rPr>
            </w:pPr>
          </w:p>
        </w:tc>
      </w:tr>
      <w:tr>
        <w:trPr>
          <w:trHeight w:val="212"/>
        </w:trPr>
        <w:tc>
          <w:tcPr>
            <w:tcW w:w="7540" w:type="dxa"/>
            <w:vAlign w:val="bottom"/>
          </w:tcPr>
          <w:p>
            <w:pPr>
              <w:ind w:left="20"/>
              <w:spacing w:after="0"/>
              <w:rPr>
                <w:sz w:val="20"/>
                <w:szCs w:val="20"/>
                <w:color w:val="auto"/>
              </w:rPr>
            </w:pPr>
            <w:r>
              <w:rPr>
                <w:rFonts w:ascii="Arial" w:cs="Arial" w:eastAsia="Arial" w:hAnsi="Arial"/>
                <w:sz w:val="16"/>
                <w:szCs w:val="16"/>
                <w:color w:val="auto"/>
              </w:rPr>
              <w:t>Other expense/(income),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(3,928)</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10,998</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w:t>
            </w:r>
          </w:p>
        </w:tc>
        <w:tc>
          <w:tcPr>
            <w:tcW w:w="0" w:type="dxa"/>
            <w:vAlign w:val="bottom"/>
          </w:tcPr>
          <w:p>
            <w:pPr>
              <w:spacing w:after="0"/>
              <w:rPr>
                <w:sz w:val="1"/>
                <w:szCs w:val="1"/>
                <w:color w:val="auto"/>
              </w:rPr>
            </w:pPr>
          </w:p>
        </w:tc>
      </w:tr>
      <w:tr>
        <w:trPr>
          <w:trHeight w:val="212"/>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13"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Interest expense, net, was largely in line with the prior year. See the Working Capital, Liquidity and Capital Structure section for further discussion of borrowings and interest rates.</w:t>
      </w:r>
    </w:p>
    <w:p>
      <w:pPr>
        <w:sectPr>
          <w:pgSz w:w="11900" w:h="16838" w:orient="portrait"/>
          <w:cols w:equalWidth="0" w:num="1">
            <w:col w:w="11340"/>
          </w:cols>
          <w:pgMar w:left="320" w:top="124"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13" w:lineRule="exact"/>
        <w:rPr>
          <w:sz w:val="20"/>
          <w:szCs w:val="20"/>
          <w:color w:val="auto"/>
        </w:rPr>
      </w:pPr>
    </w:p>
    <w:p>
      <w:pPr>
        <w:jc w:val="both"/>
        <w:ind w:right="140" w:firstLine="318"/>
        <w:spacing w:after="0" w:line="260" w:lineRule="auto"/>
        <w:rPr>
          <w:sz w:val="20"/>
          <w:szCs w:val="20"/>
          <w:color w:val="auto"/>
        </w:rPr>
      </w:pPr>
      <w:r>
        <w:rPr>
          <w:rFonts w:ascii="Arial" w:cs="Arial" w:eastAsia="Arial" w:hAnsi="Arial"/>
          <w:sz w:val="18"/>
          <w:szCs w:val="18"/>
          <w:color w:val="auto"/>
        </w:rPr>
        <w:t>Other (income)/expense, net, included foreign currency related transactions which resulted in gains of $3.7 million in the first three months of 2022, as compared to losses of $0.2 million in the same period last year. Current year gains were primarily driven by the remeasurement of intercompany demand loans payable by a Mexican subsidiary.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1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effective tax rates for the first quarter of 2022 and 2021 were 28.1% and 26.7%, respectively. The tax rate is affected by recurring items, such as the income tax rate in the U.S. and non-U.S. jurisdictions and the mix of income earned in those jurisdictions. The tax rate is also affected by U.S. tax costs on foreign earnings, and by discrete items that may occur in any given year but are not consistent from year to year.</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more information on income tax, see Note 5 to the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1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Machine Clothing is our primary business segment and accounted for 63% of our consolidated revenues during the first three months of 2022. MC products are purchased primarily by manufacturers of paper and paperboard. We feel we are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 Additionally, we face pricing pressures in all of our markets.</w:t>
      </w:r>
    </w:p>
    <w:p>
      <w:pPr>
        <w:spacing w:after="0" w:line="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7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have incurred significant restructuring charges in recent years as we reduced MC manufacturing capacity and administrative positions in various countries.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3"/>
          </w:tcPr>
          <w:p>
            <w:pPr>
              <w:jc w:val="center"/>
              <w:ind w:right="26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8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3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6"/>
                <w:szCs w:val="16"/>
                <w:b w:val="1"/>
                <w:bCs w:val="1"/>
                <w:color w:val="auto"/>
              </w:rPr>
              <w:t>154,062</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148,206</w:t>
            </w:r>
          </w:p>
        </w:tc>
        <w:tc>
          <w:tcPr>
            <w:tcW w:w="0" w:type="dxa"/>
            <w:vAlign w:val="bottom"/>
          </w:tcPr>
          <w:p>
            <w:pPr>
              <w:spacing w:after="0"/>
              <w:rPr>
                <w:sz w:val="1"/>
                <w:szCs w:val="1"/>
                <w:color w:val="auto"/>
              </w:rPr>
            </w:pPr>
          </w:p>
        </w:tc>
      </w:tr>
      <w:tr>
        <w:trPr>
          <w:trHeight w:val="239"/>
        </w:trPr>
        <w:tc>
          <w:tcPr>
            <w:tcW w:w="8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100" w:type="dxa"/>
            <w:vAlign w:val="bottom"/>
          </w:tcPr>
          <w:p>
            <w:pPr>
              <w:jc w:val="right"/>
              <w:ind w:right="144"/>
              <w:spacing w:after="0"/>
              <w:rPr>
                <w:sz w:val="20"/>
                <w:szCs w:val="20"/>
                <w:color w:val="auto"/>
              </w:rPr>
            </w:pPr>
            <w:r>
              <w:rPr>
                <w:rFonts w:ascii="Arial" w:cs="Arial" w:eastAsia="Arial" w:hAnsi="Arial"/>
                <w:sz w:val="16"/>
                <w:szCs w:val="16"/>
                <w:b w:val="1"/>
                <w:bCs w:val="1"/>
                <w:color w:val="auto"/>
              </w:rPr>
              <w:t>79,345</w:t>
            </w:r>
          </w:p>
        </w:tc>
        <w:tc>
          <w:tcPr>
            <w:tcW w:w="440" w:type="dxa"/>
            <w:vAlign w:val="bottom"/>
          </w:tcPr>
          <w:p>
            <w:pPr>
              <w:spacing w:after="0"/>
              <w:rPr>
                <w:sz w:val="20"/>
                <w:szCs w:val="20"/>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76,393</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51.5 %</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51.5 %</w:t>
            </w:r>
          </w:p>
        </w:tc>
        <w:tc>
          <w:tcPr>
            <w:tcW w:w="0" w:type="dxa"/>
            <w:vAlign w:val="bottom"/>
          </w:tcPr>
          <w:p>
            <w:pPr>
              <w:spacing w:after="0"/>
              <w:rPr>
                <w:sz w:val="1"/>
                <w:szCs w:val="1"/>
                <w:color w:val="auto"/>
              </w:rPr>
            </w:pPr>
          </w:p>
        </w:tc>
      </w:tr>
      <w:tr>
        <w:trPr>
          <w:trHeight w:val="238"/>
        </w:trPr>
        <w:tc>
          <w:tcPr>
            <w:tcW w:w="838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340" w:type="dxa"/>
            <w:vAlign w:val="bottom"/>
          </w:tcPr>
          <w:p>
            <w:pPr>
              <w:spacing w:after="0"/>
              <w:rPr>
                <w:sz w:val="20"/>
                <w:szCs w:val="20"/>
                <w:color w:val="auto"/>
              </w:rPr>
            </w:pPr>
          </w:p>
        </w:tc>
        <w:tc>
          <w:tcPr>
            <w:tcW w:w="1100" w:type="dxa"/>
            <w:vAlign w:val="bottom"/>
          </w:tcPr>
          <w:p>
            <w:pPr>
              <w:jc w:val="right"/>
              <w:ind w:right="144"/>
              <w:spacing w:after="0"/>
              <w:rPr>
                <w:sz w:val="20"/>
                <w:szCs w:val="20"/>
                <w:color w:val="auto"/>
              </w:rPr>
            </w:pPr>
            <w:r>
              <w:rPr>
                <w:rFonts w:ascii="Arial" w:cs="Arial" w:eastAsia="Arial" w:hAnsi="Arial"/>
                <w:sz w:val="16"/>
                <w:szCs w:val="16"/>
                <w:b w:val="1"/>
                <w:bCs w:val="1"/>
                <w:color w:val="auto"/>
              </w:rPr>
              <w:t>29,477</w:t>
            </w:r>
          </w:p>
        </w:tc>
        <w:tc>
          <w:tcPr>
            <w:tcW w:w="440" w:type="dxa"/>
            <w:vAlign w:val="bottom"/>
          </w:tcPr>
          <w:p>
            <w:pPr>
              <w:spacing w:after="0"/>
              <w:rPr>
                <w:sz w:val="20"/>
                <w:szCs w:val="20"/>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26,099</w:t>
            </w:r>
          </w:p>
        </w:tc>
        <w:tc>
          <w:tcPr>
            <w:tcW w:w="0" w:type="dxa"/>
            <w:vAlign w:val="bottom"/>
          </w:tcPr>
          <w:p>
            <w:pPr>
              <w:spacing w:after="0"/>
              <w:rPr>
                <w:sz w:val="1"/>
                <w:szCs w:val="1"/>
                <w:color w:val="auto"/>
              </w:rPr>
            </w:pPr>
          </w:p>
        </w:tc>
      </w:tr>
      <w:tr>
        <w:trPr>
          <w:trHeight w:val="212"/>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b w:val="1"/>
                <w:bCs w:val="1"/>
                <w:color w:val="auto"/>
              </w:rPr>
              <w:t>49,644</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50,363</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3"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Net sales increased by 4.0%. Changes in currency translation rates, driven by a weaker Euro, had the effect of decreasing first-quarter 2022 sales by $ 2.5 million. Excluding the effect of changes in currency translation rates, Net sales in MC increased 5.7% compared to the first quarter of 2021, driven by growth in sales for packaging and tissue grades.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3"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The increase in MC Gross profit was primarily due to higher sales as noted above, while MC gross margins were maintained at 51.5% year over year.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3"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Operating income remained largely in line with the prior year, as higher STG&amp;R expenses, driven by customer credit loss reserve increases related to our dissolution of business relationships in Russia, higher incentive compensation, and the unfavorable effect of the revaluation of foreign currency balances, more than offset the increase in gross profit.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1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Albany Engineered Composites segment, including Albany Safran Composites, LLC,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The LEAP engine is used on the Airbus A320neo and Boeing 737 MAX family of jets. Other significant AEC programs include components for the F-35, fuselage frames for the Boeing 787, components for the CH53-K helicopter, and the fan case for the GE9X engine.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3"/>
          </w:tcPr>
          <w:p>
            <w:pPr>
              <w:jc w:val="center"/>
              <w:ind w:right="26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8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3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6"/>
                <w:szCs w:val="16"/>
                <w:b w:val="1"/>
                <w:bCs w:val="1"/>
                <w:color w:val="auto"/>
              </w:rPr>
              <w:t>90,107</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74,156</w:t>
            </w:r>
          </w:p>
        </w:tc>
        <w:tc>
          <w:tcPr>
            <w:tcW w:w="0" w:type="dxa"/>
            <w:vAlign w:val="bottom"/>
          </w:tcPr>
          <w:p>
            <w:pPr>
              <w:spacing w:after="0"/>
              <w:rPr>
                <w:sz w:val="1"/>
                <w:szCs w:val="1"/>
                <w:color w:val="auto"/>
              </w:rPr>
            </w:pPr>
          </w:p>
        </w:tc>
      </w:tr>
      <w:tr>
        <w:trPr>
          <w:trHeight w:val="239"/>
        </w:trPr>
        <w:tc>
          <w:tcPr>
            <w:tcW w:w="8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100" w:type="dxa"/>
            <w:vAlign w:val="bottom"/>
          </w:tcPr>
          <w:p>
            <w:pPr>
              <w:jc w:val="right"/>
              <w:ind w:right="144"/>
              <w:spacing w:after="0"/>
              <w:rPr>
                <w:sz w:val="20"/>
                <w:szCs w:val="20"/>
                <w:color w:val="auto"/>
              </w:rPr>
            </w:pPr>
            <w:r>
              <w:rPr>
                <w:rFonts w:ascii="Arial" w:cs="Arial" w:eastAsia="Arial" w:hAnsi="Arial"/>
                <w:sz w:val="16"/>
                <w:szCs w:val="16"/>
                <w:b w:val="1"/>
                <w:bCs w:val="1"/>
                <w:color w:val="auto"/>
              </w:rPr>
              <w:t>12,259</w:t>
            </w:r>
          </w:p>
        </w:tc>
        <w:tc>
          <w:tcPr>
            <w:tcW w:w="440" w:type="dxa"/>
            <w:vAlign w:val="bottom"/>
          </w:tcPr>
          <w:p>
            <w:pPr>
              <w:spacing w:after="0"/>
              <w:rPr>
                <w:sz w:val="20"/>
                <w:szCs w:val="20"/>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12,153</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13.6 %</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38"/>
        </w:trPr>
        <w:tc>
          <w:tcPr>
            <w:tcW w:w="838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340" w:type="dxa"/>
            <w:vAlign w:val="bottom"/>
          </w:tcPr>
          <w:p>
            <w:pPr>
              <w:spacing w:after="0"/>
              <w:rPr>
                <w:sz w:val="20"/>
                <w:szCs w:val="20"/>
                <w:color w:val="auto"/>
              </w:rPr>
            </w:pPr>
          </w:p>
        </w:tc>
        <w:tc>
          <w:tcPr>
            <w:tcW w:w="1100" w:type="dxa"/>
            <w:vAlign w:val="bottom"/>
          </w:tcPr>
          <w:p>
            <w:pPr>
              <w:jc w:val="right"/>
              <w:ind w:right="144"/>
              <w:spacing w:after="0"/>
              <w:rPr>
                <w:sz w:val="20"/>
                <w:szCs w:val="20"/>
                <w:color w:val="auto"/>
              </w:rPr>
            </w:pPr>
            <w:r>
              <w:rPr>
                <w:rFonts w:ascii="Arial" w:cs="Arial" w:eastAsia="Arial" w:hAnsi="Arial"/>
                <w:sz w:val="16"/>
                <w:szCs w:val="16"/>
                <w:b w:val="1"/>
                <w:bCs w:val="1"/>
                <w:color w:val="auto"/>
              </w:rPr>
              <w:t>11,064</w:t>
            </w:r>
          </w:p>
        </w:tc>
        <w:tc>
          <w:tcPr>
            <w:tcW w:w="440" w:type="dxa"/>
            <w:vAlign w:val="bottom"/>
          </w:tcPr>
          <w:p>
            <w:pPr>
              <w:spacing w:after="0"/>
              <w:rPr>
                <w:sz w:val="20"/>
                <w:szCs w:val="20"/>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9,126</w:t>
            </w:r>
          </w:p>
        </w:tc>
        <w:tc>
          <w:tcPr>
            <w:tcW w:w="0" w:type="dxa"/>
            <w:vAlign w:val="bottom"/>
          </w:tcPr>
          <w:p>
            <w:pPr>
              <w:spacing w:after="0"/>
              <w:rPr>
                <w:sz w:val="1"/>
                <w:szCs w:val="1"/>
                <w:color w:val="auto"/>
              </w:rPr>
            </w:pPr>
          </w:p>
        </w:tc>
      </w:tr>
      <w:tr>
        <w:trPr>
          <w:trHeight w:val="212"/>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b w:val="1"/>
                <w:bCs w:val="1"/>
                <w:color w:val="auto"/>
              </w:rPr>
              <w:t>1,195</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Net sales was mainly due to growth on LEAP and CH-53K programs, partially offset by a decline on the F-35 platform.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3" w:lineRule="exact"/>
        <w:rPr>
          <w:sz w:val="20"/>
          <w:szCs w:val="20"/>
          <w:color w:val="auto"/>
        </w:rPr>
      </w:pPr>
    </w:p>
    <w:p>
      <w:pPr>
        <w:ind w:right="200" w:firstLine="318"/>
        <w:spacing w:after="0" w:line="260" w:lineRule="auto"/>
        <w:rPr>
          <w:sz w:val="20"/>
          <w:szCs w:val="20"/>
          <w:color w:val="auto"/>
        </w:rPr>
      </w:pPr>
      <w:r>
        <w:rPr>
          <w:rFonts w:ascii="Arial" w:cs="Arial" w:eastAsia="Arial" w:hAnsi="Arial"/>
          <w:sz w:val="18"/>
          <w:szCs w:val="18"/>
          <w:color w:val="auto"/>
        </w:rPr>
        <w:t>The increase in Gross profit of $0.1 million was primarily driven by the increase in Net sales, offset by reserves recorded on inventory that was damaged at an off-site storage facility. We recognized $0.7 million net unfavorable change in the estimated profitability of long-term contracts during the first quarter of 2022, compared to an insignificant amount in the first quarter of 2021.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13"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40 percent of segment revenue for each of the first three months of 2022 and 2021. LEAP engines are currently used on the Boeing 737 MAX, Airbus A320neo and COMAC aircraft.</w:t>
      </w:r>
    </w:p>
    <w:p>
      <w:pPr>
        <w:spacing w:after="0" w:line="69" w:lineRule="exact"/>
        <w:rPr>
          <w:sz w:val="20"/>
          <w:szCs w:val="20"/>
          <w:color w:val="auto"/>
        </w:rPr>
      </w:pPr>
    </w:p>
    <w:p>
      <w:pPr>
        <w:ind w:right="160" w:firstLine="318"/>
        <w:spacing w:after="0" w:line="260"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3"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Operating income was lower for the three months ended March 31, 2022 compared to the same period in 2021, primarily due to lower profit margins and increased STG&amp;R expenses.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Liquidity and Capital Structure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jc w:val="right"/>
              <w:ind w:right="541"/>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8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21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r>
      <w:tr>
        <w:trPr>
          <w:trHeight w:val="20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28,075</w:t>
            </w: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27,609</w:t>
            </w:r>
          </w:p>
        </w:tc>
      </w:tr>
      <w:tr>
        <w:trPr>
          <w:trHeight w:val="212"/>
        </w:trPr>
        <w:tc>
          <w:tcPr>
            <w:tcW w:w="86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17,762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18,882</w:t>
            </w:r>
          </w:p>
        </w:tc>
      </w:tr>
      <w:tr>
        <w:trPr>
          <w:trHeight w:val="212"/>
        </w:trPr>
        <w:tc>
          <w:tcPr>
            <w:tcW w:w="8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working capital (a)</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(42,676)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(5,992)</w:t>
            </w:r>
          </w:p>
        </w:tc>
      </w:tr>
      <w:tr>
        <w:trPr>
          <w:trHeight w:val="212"/>
        </w:trPr>
        <w:tc>
          <w:tcPr>
            <w:tcW w:w="8620" w:type="dxa"/>
            <w:vAlign w:val="bottom"/>
          </w:tcPr>
          <w:p>
            <w:pPr>
              <w:ind w:left="120"/>
              <w:spacing w:after="0"/>
              <w:rPr>
                <w:sz w:val="20"/>
                <w:szCs w:val="20"/>
                <w:color w:val="auto"/>
              </w:rPr>
            </w:pPr>
            <w:r>
              <w:rPr>
                <w:rFonts w:ascii="Arial" w:cs="Arial" w:eastAsia="Arial" w:hAnsi="Arial"/>
                <w:sz w:val="16"/>
                <w:szCs w:val="16"/>
                <w:color w:val="auto"/>
              </w:rPr>
              <w:t>Changes in other noncurrent liabilities and deferred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2,345</w:t>
            </w:r>
          </w:p>
        </w:tc>
      </w:tr>
      <w:tr>
        <w:trPr>
          <w:trHeight w:val="212"/>
        </w:trPr>
        <w:tc>
          <w:tcPr>
            <w:tcW w:w="86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operating items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(8,430)</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(9,158)</w:t>
            </w:r>
          </w:p>
        </w:tc>
      </w:tr>
      <w:tr>
        <w:trPr>
          <w:trHeight w:val="232"/>
        </w:trPr>
        <w:tc>
          <w:tcPr>
            <w:tcW w:w="8620" w:type="dxa"/>
            <w:vAlign w:val="bottom"/>
          </w:tcPr>
          <w:p>
            <w:pPr>
              <w:ind w:left="20"/>
              <w:spacing w:after="0"/>
              <w:rPr>
                <w:sz w:val="20"/>
                <w:szCs w:val="20"/>
                <w:color w:val="auto"/>
              </w:rPr>
            </w:pPr>
            <w:r>
              <w:rPr>
                <w:rFonts w:ascii="Arial" w:cs="Arial" w:eastAsia="Arial" w:hAnsi="Arial"/>
                <w:sz w:val="16"/>
                <w:szCs w:val="16"/>
                <w:color w:val="auto"/>
              </w:rPr>
              <w:t>Net cash provided by/(used in) operating activities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(5,391)</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33,686</w:t>
            </w:r>
          </w:p>
        </w:tc>
      </w:tr>
      <w:tr>
        <w:trPr>
          <w:trHeight w:val="21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(15,754)</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(12,536)</w:t>
            </w:r>
          </w:p>
        </w:tc>
      </w:tr>
      <w:tr>
        <w:trPr>
          <w:trHeight w:val="239"/>
        </w:trPr>
        <w:tc>
          <w:tcPr>
            <w:tcW w:w="8620" w:type="dxa"/>
            <w:vAlign w:val="bottom"/>
          </w:tcPr>
          <w:p>
            <w:pPr>
              <w:ind w:left="20"/>
              <w:spacing w:after="0"/>
              <w:rPr>
                <w:sz w:val="20"/>
                <w:szCs w:val="20"/>
                <w:color w:val="auto"/>
              </w:rPr>
            </w:pPr>
            <w:r>
              <w:rPr>
                <w:rFonts w:ascii="Arial" w:cs="Arial" w:eastAsia="Arial" w:hAnsi="Arial"/>
                <w:sz w:val="16"/>
                <w:szCs w:val="16"/>
                <w:color w:val="auto"/>
              </w:rPr>
              <w:t>Net cash (used in)/provided by financing activities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26,875</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(21,694)</w:t>
            </w:r>
          </w:p>
        </w:tc>
      </w:tr>
      <w:tr>
        <w:trPr>
          <w:trHeight w:val="21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(351)</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(2,901)</w:t>
            </w:r>
          </w:p>
        </w:tc>
      </w:tr>
      <w:tr>
        <w:trPr>
          <w:trHeight w:val="232"/>
        </w:trPr>
        <w:tc>
          <w:tcPr>
            <w:tcW w:w="8620" w:type="dxa"/>
            <w:vAlign w:val="bottom"/>
          </w:tcPr>
          <w:p>
            <w:pPr>
              <w:ind w:left="20"/>
              <w:spacing w:after="0"/>
              <w:rPr>
                <w:sz w:val="20"/>
                <w:szCs w:val="20"/>
                <w:color w:val="auto"/>
              </w:rPr>
            </w:pPr>
            <w:r>
              <w:rPr>
                <w:rFonts w:ascii="Arial" w:cs="Arial" w:eastAsia="Arial" w:hAnsi="Arial"/>
                <w:sz w:val="16"/>
                <w:szCs w:val="16"/>
                <w:color w:val="auto"/>
              </w:rPr>
              <w:t>(Decrease)/increase in cash and cash equivalents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5,379</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(3,445)</w:t>
            </w:r>
          </w:p>
        </w:tc>
      </w:tr>
      <w:tr>
        <w:trPr>
          <w:trHeight w:val="21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302,036</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241,316</w:t>
            </w:r>
          </w:p>
        </w:tc>
      </w:tr>
      <w:tr>
        <w:trPr>
          <w:trHeight w:val="23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307,415</w:t>
            </w: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237,871</w:t>
            </w:r>
          </w:p>
        </w:tc>
      </w:tr>
    </w:tbl>
    <w:p>
      <w:pPr>
        <w:spacing w:after="0" w:line="79" w:lineRule="exact"/>
        <w:rPr>
          <w:sz w:val="20"/>
          <w:szCs w:val="20"/>
          <w:color w:val="auto"/>
        </w:rPr>
      </w:pPr>
    </w:p>
    <w:p>
      <w:pPr>
        <w:ind w:left="640" w:hanging="634"/>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105"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Cash used in operating activities was $ 5.4 million in the first three months of 2022, compared to cash provided by operating activities of $33.7 million in the same period last year. AEC experienced particularly strong working capital cash flows in Accounts receivable and Contract assets during 2021, driven by significant deliveries of LEAP components throughout the year. In addition, timing of customer and vendor invoice payments, as well as higher incentive compensation payouts during the first three months in 2022 compared to the same period in 2021, contributed to the net cash used in operating activities.</w:t>
      </w:r>
    </w:p>
    <w:p>
      <w:pPr>
        <w:spacing w:after="0" w:line="155" w:lineRule="exact"/>
        <w:rPr>
          <w:sz w:val="20"/>
          <w:szCs w:val="20"/>
          <w:color w:val="auto"/>
        </w:rPr>
      </w:pPr>
    </w:p>
    <w:p>
      <w:pPr>
        <w:ind w:right="140" w:firstLine="397"/>
        <w:spacing w:after="0" w:line="274" w:lineRule="auto"/>
        <w:rPr>
          <w:sz w:val="20"/>
          <w:szCs w:val="20"/>
          <w:color w:val="auto"/>
        </w:rPr>
      </w:pPr>
      <w:r>
        <w:rPr>
          <w:rFonts w:ascii="Arial" w:cs="Arial" w:eastAsia="Arial" w:hAnsi="Arial"/>
          <w:sz w:val="18"/>
          <w:szCs w:val="18"/>
          <w:color w:val="auto"/>
        </w:rPr>
        <w:t>Net cash provided by financing activities during 2022 increased $48.6 million compared to 2021, driven by increased borrowings, partially used to fund repurchases of shares.</w:t>
      </w:r>
    </w:p>
    <w:p>
      <w:pPr>
        <w:spacing w:after="0" w:line="124" w:lineRule="exact"/>
        <w:rPr>
          <w:sz w:val="20"/>
          <w:szCs w:val="20"/>
          <w:color w:val="auto"/>
        </w:rPr>
      </w:pPr>
    </w:p>
    <w:p>
      <w:pPr>
        <w:jc w:val="both"/>
        <w:ind w:right="480" w:firstLine="397"/>
        <w:spacing w:after="0" w:line="260"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w:t>
      </w:r>
    </w:p>
    <w:p>
      <w:pPr>
        <w:spacing w:after="0" w:line="136" w:lineRule="exact"/>
        <w:rPr>
          <w:sz w:val="20"/>
          <w:szCs w:val="20"/>
          <w:color w:val="auto"/>
        </w:rPr>
      </w:pPr>
    </w:p>
    <w:p>
      <w:pPr>
        <w:ind w:right="120" w:firstLine="397"/>
        <w:spacing w:after="0" w:line="250"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$427 million of borrowings were outstanding as of March 31, 2022. The applicable interest rate for borrowings was LIBOR plus a spread, based on our leverage ratio at the time of borrowing. At the time of the last borrowing on March 31, 2022, the spread was 1.625%. The spread was based on a pricing grid, which ranged from 1.500% to 2.000%, based on our leverage ratio. Based on our maximum leverage ratio and our Consolidated EBITDA, and without modification to any other credit agreements, as of March 31, 2022, we would have been able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borrow an additional $273 million under the Agreement. We were in compliance with all debt covenants as of March 31, 2022.</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more information, see Note 13 to the Consolidated Financial Statements.</w:t>
      </w:r>
    </w:p>
    <w:p>
      <w:pPr>
        <w:spacing w:after="0" w:line="177" w:lineRule="exact"/>
        <w:rPr>
          <w:sz w:val="20"/>
          <w:szCs w:val="20"/>
          <w:color w:val="auto"/>
        </w:rPr>
      </w:pPr>
    </w:p>
    <w:p>
      <w:pPr>
        <w:ind w:right="100" w:firstLine="397"/>
        <w:spacing w:after="0" w:line="260" w:lineRule="auto"/>
        <w:rPr>
          <w:sz w:val="20"/>
          <w:szCs w:val="20"/>
          <w:color w:val="auto"/>
        </w:rPr>
      </w:pPr>
      <w:r>
        <w:rPr>
          <w:rFonts w:ascii="Arial" w:cs="Arial" w:eastAsia="Arial" w:hAnsi="Arial"/>
          <w:sz w:val="18"/>
          <w:szCs w:val="18"/>
          <w:color w:val="auto"/>
        </w:rPr>
        <w:t>We believe cash flows from operations and availability under our Credit Agreement will be adequate to cover our operations and business needs over the next twelve months. As of March 31, 2022, we had cash and cash equivalents of approximately $307 million and availability under our Credit Agreement of $273 million, for a total liquidity of approximately $580 million.</w:t>
      </w:r>
    </w:p>
    <w:p>
      <w:pPr>
        <w:spacing w:after="0" w:line="136" w:lineRule="exact"/>
        <w:rPr>
          <w:sz w:val="20"/>
          <w:szCs w:val="20"/>
          <w:color w:val="auto"/>
        </w:rPr>
      </w:pPr>
    </w:p>
    <w:p>
      <w:pPr>
        <w:ind w:right="100" w:firstLine="397"/>
        <w:spacing w:after="0" w:line="251" w:lineRule="auto"/>
        <w:rPr>
          <w:sz w:val="20"/>
          <w:szCs w:val="20"/>
          <w:color w:val="auto"/>
        </w:rPr>
      </w:pPr>
      <w:r>
        <w:rPr>
          <w:rFonts w:ascii="Arial" w:cs="Arial" w:eastAsia="Arial" w:hAnsi="Arial"/>
          <w:sz w:val="18"/>
          <w:szCs w:val="18"/>
          <w:color w:val="auto"/>
        </w:rPr>
        <w:t>As of March 31, 2022, $ 289.5 million of our total cash and cash equivalents was held by non-U.S. subsidiaries. The accumulated undistributed earnings of the Company’s foreign operations not targeted for repatriation to the U.S. were approximately $190.2 million at March 31, 2022,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may also result in additional withholding taxes.</w:t>
      </w:r>
    </w:p>
    <w:p>
      <w:pPr>
        <w:spacing w:after="0" w:line="159" w:lineRule="exact"/>
        <w:rPr>
          <w:sz w:val="20"/>
          <w:szCs w:val="20"/>
          <w:color w:val="auto"/>
        </w:rPr>
      </w:pPr>
    </w:p>
    <w:p>
      <w:pPr>
        <w:ind w:right="120" w:firstLine="397"/>
        <w:spacing w:after="0" w:line="250" w:lineRule="auto"/>
        <w:rPr>
          <w:sz w:val="20"/>
          <w:szCs w:val="20"/>
          <w:color w:val="auto"/>
        </w:rPr>
      </w:pPr>
      <w:r>
        <w:rPr>
          <w:rFonts w:ascii="Arial" w:cs="Arial" w:eastAsia="Arial" w:hAnsi="Arial"/>
          <w:sz w:val="18"/>
          <w:szCs w:val="18"/>
          <w:color w:val="auto"/>
        </w:rPr>
        <w:t>We strategically deploy our cash with a focus on investing in our business and new technologies to provide our customers with enhanced capabilities, to increase shareholder value, and to position ourselves to take advantage of new business opportunities as they arise. Based on such strategy, we have continued to invest in our business and technologies through capital expenditures, research and development, and when appropriate, selective business acquisitions. Our capital expenditures totaled $15.8 million and $12.5 million for the first three months ended March 31, 2022 and 2021, respectively, comprised of both sustaining and return seeking projects. In the recent past, a portion of our capital expenditures consist of investments which improve operational productivity, in addition to producing a meaningful impact on energy and resource efficiency.</w:t>
      </w:r>
    </w:p>
    <w:p>
      <w:pPr>
        <w:spacing w:after="0" w:line="147" w:lineRule="exact"/>
        <w:rPr>
          <w:sz w:val="20"/>
          <w:szCs w:val="20"/>
          <w:color w:val="auto"/>
        </w:rPr>
      </w:pPr>
    </w:p>
    <w:p>
      <w:pPr>
        <w:ind w:right="20" w:firstLine="397"/>
        <w:spacing w:after="0" w:line="260" w:lineRule="auto"/>
        <w:rPr>
          <w:sz w:val="20"/>
          <w:szCs w:val="20"/>
          <w:color w:val="auto"/>
        </w:rPr>
      </w:pPr>
      <w:r>
        <w:rPr>
          <w:rFonts w:ascii="Arial" w:cs="Arial" w:eastAsia="Arial" w:hAnsi="Arial"/>
          <w:sz w:val="18"/>
          <w:szCs w:val="18"/>
          <w:color w:val="auto"/>
        </w:rPr>
        <w:t>We have also returned cash to shareholders through dividends and share repurchases. During the first three months of 2022, we paid $6.7 million in dividends and repurchased 515 thousand shares of our Class A Common shares at a cost of $43.9 million under the $200 million share repurchase program that our Board approved in October 2021.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March 31, 2022, we have no off-balance sheet arrangements required to be disclosed pursuant to Item 303(a)(4) of Regulation 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11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9, 2022, the SEC issued a proposed rule to enhance and standardize disclosures regarding cybersecurity risk management, strategy, governance, and incident reporting by public companies. The proposed rules are intended to provide more consistent, comparable and decision-useful information so that investors can better evaluate the Company’s exposure to cybersecurity risks, incidents, and strategies to mitigate risks and incidents. We will continue to monitor developments around this proposed rule.</w:t>
      </w:r>
    </w:p>
    <w:p>
      <w:pPr>
        <w:spacing w:after="0" w:line="7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March 21, 2022, the SEC issued a proposed rule that would enhance and standardize the climate-related disclosures provided by public companies. Under the proposed rule, we would be required to provide quantitative and qualitative disclosures in registration statements and annual reports that include climate-related financial impact and expenditure metrics as well as a discussion of climate-related impacts on financial estimates and assumptions, all of which would be presented in a footnote to the financials statements. Such disclosures would also be subject to management's internal control over financial reporting ("ICFR") and external audit. As a Company, we have long been committed to sustainable practices and corporate social responsibility and have more recently taken steps to articulate our values and goals, some of which are summarized in our published sustainability report that is included at our website www.albint.com. In 2020, we began establishing more formalized and scalable approaches to our sustainability practices, reporting and systems, in order to ensure we prioritize efforts that are impactful to our business and stakeholders. We have begun to incorporate certain climate-related disclosures and risk factors in our existing disclosures to this point, but recognize the benefit of clearly defined rules and metrics that may drive more measurable, consistent, comparable and reliable information for investors. We will continue to monitor developments around this proposed rule, which once finalized, is expected to allow for a multi-year phased transition to achieving compliance.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13"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This Form 10-Q contains certain non-GAAP measures,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Adjusted earnings per share (or Adjusted EPS). Such items are provided because management believes that they provide additional useful information to investors regarding the Company’s operational performance.</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Presenting Net sales and increases or decreases in Net sales, after currency effects are excluded, can give management and investors insight into underlying sales trends. 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former CEO termination costs, acquisition/integrations costs, currency revaluation,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while frequent in recent years, are reflective of significant reductions in manufacturing capacity and associated headcount in response to shifting markets, and not of the profitability of the business going forward as restructured.</w:t>
      </w:r>
    </w:p>
    <w:p>
      <w:pPr>
        <w:spacing w:after="0" w:line="8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 The Company calculates EBITDA by removing the following from Net income: Interest expense net, Income tax expense, and Depreciation and amortization expense. Adjusted EBITDA is calculated by: adding to EBITDA costs associated with restructuring, former CEO termination costs, and inventory write-offs associated with discontinued businesses; adding charges and credits related to pension plan settlements and curtailments; adding (or subtracting) revaluation losses (or gains); subtracting (or adding) gains (or losses) from the sale of buildings or investments; adding acquisition/integration costs and subtracting (or adding) Income (or loss) attributable to the non-controlling interest in Albany Safran Composites (ASC). Adjusted earnings per share (Adjusted EPS) is calculated by adding to (or subtracting from) net income attributable to the Company per share, on an after-tax basis: restructuring charges; former CEO severance costs; inventory write-offs associated with discontinued businesses; charges and credits related to pension settlements and curtailments; foreign currency revaluation losses (or gains); and acquisition-related expenses.</w:t>
      </w:r>
    </w:p>
    <w:p>
      <w:pPr>
        <w:spacing w:after="0" w:line="8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EBITDA, Adjusted EBITDA, and Adjusted earnings per share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March 31,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4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201"/>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right="102"/>
              <w:spacing w:after="0" w:line="140"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jc w:val="center"/>
              <w:ind w:right="222"/>
              <w:spacing w:after="0" w:line="140"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281"/>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5"/>
        </w:trPr>
        <w:tc>
          <w:tcPr>
            <w:tcW w:w="34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49,644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1,195</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(12,085)</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38,754</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(10,679)</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(10,679)</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49,644</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1,195</w:t>
            </w:r>
          </w:p>
        </w:tc>
        <w:tc>
          <w:tcPr>
            <w:tcW w:w="320" w:type="dxa"/>
            <w:vAlign w:val="bottom"/>
            <w:shd w:val="clear" w:color="auto" w:fill="CCEEFF"/>
          </w:tcPr>
          <w:p>
            <w:pPr>
              <w:spacing w:after="0"/>
              <w:rPr>
                <w:sz w:val="17"/>
                <w:szCs w:val="17"/>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(22,764)</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28,075</w:t>
            </w:r>
          </w:p>
        </w:tc>
        <w:tc>
          <w:tcPr>
            <w:tcW w:w="0" w:type="dxa"/>
            <w:vAlign w:val="bottom"/>
          </w:tcPr>
          <w:p>
            <w:pPr>
              <w:spacing w:after="0"/>
              <w:rPr>
                <w:sz w:val="1"/>
                <w:szCs w:val="1"/>
                <w:color w:val="auto"/>
              </w:rPr>
            </w:pPr>
          </w:p>
        </w:tc>
      </w:tr>
      <w:tr>
        <w:trPr>
          <w:trHeight w:val="211"/>
        </w:trPr>
        <w:tc>
          <w:tcPr>
            <w:tcW w:w="3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3,609</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3,609</w:t>
            </w: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10,998</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10,998</w:t>
            </w:r>
          </w:p>
        </w:tc>
        <w:tc>
          <w:tcPr>
            <w:tcW w:w="0" w:type="dxa"/>
            <w:vAlign w:val="bottom"/>
          </w:tcPr>
          <w:p>
            <w:pPr>
              <w:spacing w:after="0"/>
              <w:rPr>
                <w:sz w:val="1"/>
                <w:szCs w:val="1"/>
                <w:color w:val="auto"/>
              </w:rPr>
            </w:pPr>
          </w:p>
        </w:tc>
      </w:tr>
      <w:tr>
        <w:trPr>
          <w:trHeight w:val="21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4,923</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12,039</w:t>
            </w: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17,762</w:t>
            </w: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54,567</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13,234</w:t>
            </w:r>
          </w:p>
        </w:tc>
        <w:tc>
          <w:tcPr>
            <w:tcW w:w="320" w:type="dxa"/>
            <w:vAlign w:val="bottom"/>
            <w:shd w:val="clear" w:color="auto" w:fill="CCEEFF"/>
          </w:tcPr>
          <w:p>
            <w:pPr>
              <w:spacing w:after="0"/>
              <w:rPr>
                <w:sz w:val="17"/>
                <w:szCs w:val="17"/>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(7,357)</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60,444</w:t>
            </w:r>
          </w:p>
        </w:tc>
        <w:tc>
          <w:tcPr>
            <w:tcW w:w="0" w:type="dxa"/>
            <w:vAlign w:val="bottom"/>
          </w:tcPr>
          <w:p>
            <w:pPr>
              <w:spacing w:after="0"/>
              <w:rPr>
                <w:sz w:val="1"/>
                <w:szCs w:val="1"/>
                <w:color w:val="auto"/>
              </w:rPr>
            </w:pPr>
          </w:p>
        </w:tc>
      </w:tr>
      <w:tr>
        <w:trPr>
          <w:trHeight w:val="211"/>
        </w:trPr>
        <w:tc>
          <w:tcPr>
            <w:tcW w:w="346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243</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3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1,787</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781</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214"/>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3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159"/>
        </w:trPr>
        <w:tc>
          <w:tcPr>
            <w:tcW w:w="3460" w:type="dxa"/>
            <w:vAlign w:val="bottom"/>
          </w:tcPr>
          <w:p>
            <w:pPr>
              <w:ind w:left="20"/>
              <w:spacing w:after="0" w:line="159" w:lineRule="exact"/>
              <w:rPr>
                <w:sz w:val="20"/>
                <w:szCs w:val="20"/>
                <w:color w:val="auto"/>
              </w:rPr>
            </w:pPr>
            <w:r>
              <w:rPr>
                <w:rFonts w:ascii="Arial" w:cs="Arial" w:eastAsia="Arial" w:hAnsi="Arial"/>
                <w:sz w:val="16"/>
                <w:szCs w:val="16"/>
                <w:color w:val="auto"/>
              </w:rPr>
              <w:t>Pre-tax (income) attributable to noncontrolling</w:t>
            </w:r>
          </w:p>
        </w:tc>
        <w:tc>
          <w:tcPr>
            <w:tcW w:w="36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(252)</w:t>
            </w:r>
          </w:p>
        </w:tc>
        <w:tc>
          <w:tcPr>
            <w:tcW w:w="320" w:type="dxa"/>
            <w:vAlign w:val="bottom"/>
          </w:tcPr>
          <w:p>
            <w:pPr>
              <w:spacing w:after="0"/>
              <w:rPr>
                <w:sz w:val="13"/>
                <w:szCs w:val="13"/>
                <w:color w:val="auto"/>
              </w:rPr>
            </w:pPr>
          </w:p>
        </w:tc>
        <w:tc>
          <w:tcPr>
            <w:tcW w:w="2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57,654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13,687</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(10,305)</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61,036</w:t>
            </w:r>
          </w:p>
        </w:tc>
        <w:tc>
          <w:tcPr>
            <w:tcW w:w="0" w:type="dxa"/>
            <w:vAlign w:val="bottom"/>
          </w:tcPr>
          <w:p>
            <w:pPr>
              <w:spacing w:after="0"/>
              <w:rPr>
                <w:sz w:val="1"/>
                <w:szCs w:val="1"/>
                <w:color w:val="auto"/>
              </w:rPr>
            </w:pPr>
          </w:p>
        </w:tc>
      </w:tr>
      <w:tr>
        <w:trPr>
          <w:trHeight w:val="99"/>
        </w:trPr>
        <w:tc>
          <w:tcPr>
            <w:tcW w:w="3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3"/>
                <w:szCs w:val="13"/>
                <w:color w:val="auto"/>
              </w:rPr>
            </w:pPr>
          </w:p>
        </w:tc>
        <w:tc>
          <w:tcPr>
            <w:tcW w:w="15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Pr>
          <w:p>
            <w:pPr>
              <w:spacing w:after="0"/>
              <w:rPr>
                <w:sz w:val="13"/>
                <w:szCs w:val="13"/>
                <w:color w:val="auto"/>
              </w:rPr>
            </w:pPr>
          </w:p>
        </w:tc>
        <w:tc>
          <w:tcPr>
            <w:tcW w:w="1580" w:type="dxa"/>
            <w:vAlign w:val="bottom"/>
          </w:tcPr>
          <w:p>
            <w:pPr>
              <w:jc w:val="center"/>
              <w:ind w:right="102"/>
              <w:spacing w:after="0" w:line="150"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Pr>
          <w:p>
            <w:pPr>
              <w:spacing w:after="0"/>
              <w:rPr>
                <w:sz w:val="13"/>
                <w:szCs w:val="13"/>
                <w:color w:val="auto"/>
              </w:rPr>
            </w:pPr>
          </w:p>
        </w:tc>
        <w:tc>
          <w:tcPr>
            <w:tcW w:w="2060" w:type="dxa"/>
            <w:vAlign w:val="bottom"/>
          </w:tcPr>
          <w:p>
            <w:pPr>
              <w:jc w:val="center"/>
              <w:ind w:right="222"/>
              <w:spacing w:after="0" w:line="150"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Pr>
          <w:p>
            <w:pPr>
              <w:spacing w:after="0"/>
              <w:rPr>
                <w:sz w:val="13"/>
                <w:szCs w:val="13"/>
                <w:color w:val="auto"/>
              </w:rPr>
            </w:pPr>
          </w:p>
        </w:tc>
        <w:tc>
          <w:tcPr>
            <w:tcW w:w="150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2"/>
        </w:trPr>
        <w:tc>
          <w:tcPr>
            <w:tcW w:w="34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50,363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2,938</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(11,483)</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41,818</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(14,209)</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(14,209)</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50,363</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2,938</w:t>
            </w:r>
          </w:p>
        </w:tc>
        <w:tc>
          <w:tcPr>
            <w:tcW w:w="320" w:type="dxa"/>
            <w:vAlign w:val="bottom"/>
            <w:shd w:val="clear" w:color="auto" w:fill="CCEEFF"/>
          </w:tcPr>
          <w:p>
            <w:pPr>
              <w:spacing w:after="0"/>
              <w:rPr>
                <w:sz w:val="17"/>
                <w:szCs w:val="17"/>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(25,692)</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27,609</w:t>
            </w:r>
          </w:p>
        </w:tc>
        <w:tc>
          <w:tcPr>
            <w:tcW w:w="0" w:type="dxa"/>
            <w:vAlign w:val="bottom"/>
          </w:tcPr>
          <w:p>
            <w:pPr>
              <w:spacing w:after="0"/>
              <w:rPr>
                <w:sz w:val="1"/>
                <w:szCs w:val="1"/>
                <w:color w:val="auto"/>
              </w:rPr>
            </w:pPr>
          </w:p>
        </w:tc>
      </w:tr>
      <w:tr>
        <w:trPr>
          <w:trHeight w:val="211"/>
        </w:trPr>
        <w:tc>
          <w:tcPr>
            <w:tcW w:w="3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3,569</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3,569</w:t>
            </w: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w:t>
            </w:r>
          </w:p>
        </w:tc>
        <w:tc>
          <w:tcPr>
            <w:tcW w:w="0" w:type="dxa"/>
            <w:vAlign w:val="bottom"/>
          </w:tcPr>
          <w:p>
            <w:pPr>
              <w:spacing w:after="0"/>
              <w:rPr>
                <w:sz w:val="1"/>
                <w:szCs w:val="1"/>
                <w:color w:val="auto"/>
              </w:rPr>
            </w:pPr>
          </w:p>
        </w:tc>
      </w:tr>
      <w:tr>
        <w:trPr>
          <w:trHeight w:val="21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5,122</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12,865</w:t>
            </w: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18,882</w:t>
            </w: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55,485</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15,803</w:t>
            </w:r>
          </w:p>
        </w:tc>
        <w:tc>
          <w:tcPr>
            <w:tcW w:w="320" w:type="dxa"/>
            <w:vAlign w:val="bottom"/>
            <w:shd w:val="clear" w:color="auto" w:fill="CCEEFF"/>
          </w:tcPr>
          <w:p>
            <w:pPr>
              <w:spacing w:after="0"/>
              <w:rPr>
                <w:sz w:val="17"/>
                <w:szCs w:val="17"/>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(11,188)</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60,100</w:t>
            </w:r>
          </w:p>
        </w:tc>
        <w:tc>
          <w:tcPr>
            <w:tcW w:w="0" w:type="dxa"/>
            <w:vAlign w:val="bottom"/>
          </w:tcPr>
          <w:p>
            <w:pPr>
              <w:spacing w:after="0"/>
              <w:rPr>
                <w:sz w:val="1"/>
                <w:szCs w:val="1"/>
                <w:color w:val="auto"/>
              </w:rPr>
            </w:pPr>
          </w:p>
        </w:tc>
      </w:tr>
      <w:tr>
        <w:trPr>
          <w:trHeight w:val="211"/>
        </w:trPr>
        <w:tc>
          <w:tcPr>
            <w:tcW w:w="346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89</w:t>
            </w: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3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1"/>
        </w:trPr>
        <w:tc>
          <w:tcPr>
            <w:tcW w:w="346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314</w:t>
            </w: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60"/>
        </w:trPr>
        <w:tc>
          <w:tcPr>
            <w:tcW w:w="346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Pre-tax (income) attributable to noncontrolling</w:t>
            </w:r>
          </w:p>
        </w:tc>
        <w:tc>
          <w:tcPr>
            <w:tcW w:w="36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20" w:type="dxa"/>
            <w:vAlign w:val="bottom"/>
            <w:shd w:val="clear" w:color="auto" w:fill="CCEEFF"/>
          </w:tcPr>
          <w:p>
            <w:pPr>
              <w:spacing w:after="0"/>
              <w:rPr>
                <w:sz w:val="13"/>
                <w:szCs w:val="13"/>
                <w:color w:val="auto"/>
              </w:rPr>
            </w:pPr>
          </w:p>
        </w:tc>
        <w:tc>
          <w:tcPr>
            <w:tcW w:w="2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1"/>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16,735</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(10,989)</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60,670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quarterly earnings and are financial performance metrics commonly used by investors. The Company calculates the quarterly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60" w:type="dxa"/>
            <w:vAlign w:val="bottom"/>
            <w:tcBorders>
              <w:top w:val="single" w:sz="8" w:color="auto"/>
            </w:tcBorders>
          </w:tcPr>
          <w:p>
            <w:pPr>
              <w:ind w:left="20"/>
              <w:spacing w:after="0" w:line="159" w:lineRule="exact"/>
              <w:rPr>
                <w:sz w:val="20"/>
                <w:szCs w:val="20"/>
                <w:color w:val="auto"/>
              </w:rPr>
            </w:pPr>
            <w:r>
              <w:rPr>
                <w:rFonts w:ascii="Arial" w:cs="Arial" w:eastAsia="Arial" w:hAnsi="Arial"/>
                <w:sz w:val="14"/>
                <w:szCs w:val="14"/>
                <w:b w:val="1"/>
                <w:bCs w:val="1"/>
                <w:color w:val="auto"/>
              </w:rPr>
              <w:t>Three months ended March 31, 2022</w:t>
            </w:r>
          </w:p>
        </w:tc>
        <w:tc>
          <w:tcPr>
            <w:tcW w:w="2800" w:type="dxa"/>
            <w:vAlign w:val="bottom"/>
            <w:tcBorders>
              <w:top w:val="single" w:sz="8" w:color="auto"/>
            </w:tcBorders>
          </w:tcPr>
          <w:p>
            <w:pPr>
              <w:jc w:val="center"/>
              <w:ind w:left="1309"/>
              <w:spacing w:after="0" w:line="159" w:lineRule="exact"/>
              <w:rPr>
                <w:sz w:val="20"/>
                <w:szCs w:val="20"/>
                <w:color w:val="auto"/>
              </w:rPr>
            </w:pPr>
            <w:r>
              <w:rPr>
                <w:rFonts w:ascii="Arial" w:cs="Arial" w:eastAsia="Arial" w:hAnsi="Arial"/>
                <w:sz w:val="14"/>
                <w:szCs w:val="14"/>
                <w:b w:val="1"/>
                <w:bCs w:val="1"/>
                <w:color w:val="auto"/>
                <w:w w:val="98"/>
              </w:rPr>
              <w:t>Pre tax</w:t>
            </w:r>
          </w:p>
        </w:tc>
        <w:tc>
          <w:tcPr>
            <w:tcW w:w="122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9"/>
              </w:rPr>
              <w:t>Tax</w:t>
            </w:r>
          </w:p>
        </w:tc>
        <w:tc>
          <w:tcPr>
            <w:tcW w:w="13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After tax</w:t>
            </w:r>
          </w:p>
        </w:tc>
        <w:tc>
          <w:tcPr>
            <w:tcW w:w="132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Per share</w:t>
            </w:r>
          </w:p>
        </w:tc>
      </w:tr>
      <w:tr>
        <w:trPr>
          <w:trHeight w:val="186"/>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800" w:type="dxa"/>
            <w:vAlign w:val="bottom"/>
          </w:tcPr>
          <w:p>
            <w:pPr>
              <w:jc w:val="center"/>
              <w:ind w:left="1309"/>
              <w:spacing w:after="0"/>
              <w:rPr>
                <w:sz w:val="20"/>
                <w:szCs w:val="20"/>
                <w:color w:val="auto"/>
              </w:rPr>
            </w:pPr>
            <w:r>
              <w:rPr>
                <w:rFonts w:ascii="Arial" w:cs="Arial" w:eastAsia="Arial" w:hAnsi="Arial"/>
                <w:sz w:val="14"/>
                <w:szCs w:val="14"/>
                <w:b w:val="1"/>
                <w:bCs w:val="1"/>
                <w:color w:val="auto"/>
              </w:rPr>
              <w:t>Amounts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Effect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2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center"/>
              <w:ind w:left="562"/>
              <w:spacing w:after="0"/>
              <w:rPr>
                <w:sz w:val="20"/>
                <w:szCs w:val="20"/>
                <w:color w:val="auto"/>
              </w:rPr>
            </w:pPr>
            <w:r>
              <w:rPr>
                <w:rFonts w:ascii="Arial" w:cs="Arial" w:eastAsia="Arial" w:hAnsi="Arial"/>
                <w:sz w:val="16"/>
                <w:szCs w:val="16"/>
                <w:color w:val="auto"/>
              </w:rPr>
              <w:t>0.01</w:t>
            </w:r>
          </w:p>
        </w:tc>
      </w:tr>
      <w:tr>
        <w:trPr>
          <w:trHeight w:val="211"/>
        </w:trPr>
        <w:tc>
          <w:tcPr>
            <w:tcW w:w="464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(2,260)</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(653)</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(1,607)</w:t>
            </w:r>
          </w:p>
        </w:tc>
        <w:tc>
          <w:tcPr>
            <w:tcW w:w="240" w:type="dxa"/>
            <w:vAlign w:val="bottom"/>
          </w:tcPr>
          <w:p>
            <w:pPr>
              <w:spacing w:after="0"/>
              <w:rPr>
                <w:sz w:val="18"/>
                <w:szCs w:val="18"/>
                <w:color w:val="auto"/>
              </w:rPr>
            </w:pPr>
          </w:p>
        </w:tc>
        <w:tc>
          <w:tcPr>
            <w:tcW w:w="1080" w:type="dxa"/>
            <w:vAlign w:val="bottom"/>
          </w:tcPr>
          <w:p>
            <w:pPr>
              <w:jc w:val="center"/>
              <w:ind w:left="542"/>
              <w:spacing w:after="0"/>
              <w:rPr>
                <w:sz w:val="20"/>
                <w:szCs w:val="20"/>
                <w:color w:val="auto"/>
              </w:rPr>
            </w:pPr>
            <w:r>
              <w:rPr>
                <w:rFonts w:ascii="Arial" w:cs="Arial" w:eastAsia="Arial" w:hAnsi="Arial"/>
                <w:sz w:val="16"/>
                <w:szCs w:val="16"/>
                <w:color w:val="auto"/>
              </w:rPr>
              <w:t>(0.05)</w:t>
            </w:r>
          </w:p>
        </w:tc>
      </w:tr>
      <w:tr>
        <w:trPr>
          <w:trHeight w:val="24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1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332</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rPr>
              <w:t>0.07</w:t>
            </w:r>
          </w:p>
        </w:tc>
      </w:tr>
      <w:tr>
        <w:trPr>
          <w:trHeight w:val="23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84</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rPr>
              <w:t>0.01</w:t>
            </w:r>
          </w:p>
        </w:tc>
      </w:tr>
      <w:tr>
        <w:trPr>
          <w:trHeight w:val="445"/>
        </w:trPr>
        <w:tc>
          <w:tcPr>
            <w:tcW w:w="46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43"/>
        </w:trPr>
        <w:tc>
          <w:tcPr>
            <w:tcW w:w="464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Three months ended March 31, 2021</w:t>
            </w:r>
          </w:p>
        </w:tc>
        <w:tc>
          <w:tcPr>
            <w:tcW w:w="1580" w:type="dxa"/>
            <w:vAlign w:val="bottom"/>
          </w:tcPr>
          <w:p>
            <w:pPr>
              <w:spacing w:after="0"/>
              <w:rPr>
                <w:sz w:val="12"/>
                <w:szCs w:val="12"/>
                <w:color w:val="auto"/>
              </w:rPr>
            </w:pPr>
          </w:p>
        </w:tc>
        <w:tc>
          <w:tcPr>
            <w:tcW w:w="1080" w:type="dxa"/>
            <w:vAlign w:val="bottom"/>
          </w:tcPr>
          <w:p>
            <w:pPr>
              <w:jc w:val="right"/>
              <w:ind w:right="342"/>
              <w:spacing w:after="0" w:line="143" w:lineRule="exact"/>
              <w:rPr>
                <w:sz w:val="20"/>
                <w:szCs w:val="20"/>
                <w:color w:val="auto"/>
              </w:rPr>
            </w:pPr>
            <w:r>
              <w:rPr>
                <w:rFonts w:ascii="Arial" w:cs="Arial" w:eastAsia="Arial" w:hAnsi="Arial"/>
                <w:sz w:val="14"/>
                <w:szCs w:val="14"/>
                <w:b w:val="1"/>
                <w:bCs w:val="1"/>
                <w:color w:val="auto"/>
              </w:rPr>
              <w:t>Pre tax</w:t>
            </w:r>
          </w:p>
        </w:tc>
        <w:tc>
          <w:tcPr>
            <w:tcW w:w="280" w:type="dxa"/>
            <w:vAlign w:val="bottom"/>
          </w:tcPr>
          <w:p>
            <w:pPr>
              <w:spacing w:after="0"/>
              <w:rPr>
                <w:sz w:val="12"/>
                <w:szCs w:val="12"/>
                <w:color w:val="auto"/>
              </w:rPr>
            </w:pPr>
          </w:p>
        </w:tc>
        <w:tc>
          <w:tcPr>
            <w:tcW w:w="1040" w:type="dxa"/>
            <w:vAlign w:val="bottom"/>
          </w:tcPr>
          <w:p>
            <w:pPr>
              <w:jc w:val="right"/>
              <w:ind w:right="462"/>
              <w:spacing w:after="0" w:line="143" w:lineRule="exact"/>
              <w:rPr>
                <w:sz w:val="20"/>
                <w:szCs w:val="20"/>
                <w:color w:val="auto"/>
              </w:rPr>
            </w:pPr>
            <w:r>
              <w:rPr>
                <w:rFonts w:ascii="Arial" w:cs="Arial" w:eastAsia="Arial" w:hAnsi="Arial"/>
                <w:sz w:val="14"/>
                <w:szCs w:val="14"/>
                <w:b w:val="1"/>
                <w:bCs w:val="1"/>
                <w:color w:val="auto"/>
              </w:rPr>
              <w:t>Tax</w:t>
            </w:r>
          </w:p>
        </w:tc>
        <w:tc>
          <w:tcPr>
            <w:tcW w:w="240" w:type="dxa"/>
            <w:vAlign w:val="bottom"/>
          </w:tcPr>
          <w:p>
            <w:pPr>
              <w:spacing w:after="0"/>
              <w:rPr>
                <w:sz w:val="12"/>
                <w:szCs w:val="12"/>
                <w:color w:val="auto"/>
              </w:rPr>
            </w:pPr>
          </w:p>
        </w:tc>
        <w:tc>
          <w:tcPr>
            <w:tcW w:w="1060" w:type="dxa"/>
            <w:vAlign w:val="bottom"/>
          </w:tcPr>
          <w:p>
            <w:pPr>
              <w:jc w:val="right"/>
              <w:ind w:right="282"/>
              <w:spacing w:after="0" w:line="143" w:lineRule="exact"/>
              <w:rPr>
                <w:sz w:val="20"/>
                <w:szCs w:val="20"/>
                <w:color w:val="auto"/>
              </w:rPr>
            </w:pPr>
            <w:r>
              <w:rPr>
                <w:rFonts w:ascii="Arial" w:cs="Arial" w:eastAsia="Arial" w:hAnsi="Arial"/>
                <w:sz w:val="14"/>
                <w:szCs w:val="14"/>
                <w:b w:val="1"/>
                <w:bCs w:val="1"/>
                <w:color w:val="auto"/>
              </w:rPr>
              <w:t>After tax</w:t>
            </w:r>
          </w:p>
        </w:tc>
        <w:tc>
          <w:tcPr>
            <w:tcW w:w="240" w:type="dxa"/>
            <w:vAlign w:val="bottom"/>
          </w:tcPr>
          <w:p>
            <w:pPr>
              <w:spacing w:after="0"/>
              <w:rPr>
                <w:sz w:val="12"/>
                <w:szCs w:val="12"/>
                <w:color w:val="auto"/>
              </w:rPr>
            </w:pPr>
          </w:p>
        </w:tc>
        <w:tc>
          <w:tcPr>
            <w:tcW w:w="1080" w:type="dxa"/>
            <w:vAlign w:val="bottom"/>
          </w:tcPr>
          <w:p>
            <w:pPr>
              <w:jc w:val="center"/>
              <w:ind w:right="162"/>
              <w:spacing w:after="0" w:line="143" w:lineRule="exact"/>
              <w:rPr>
                <w:sz w:val="20"/>
                <w:szCs w:val="20"/>
                <w:color w:val="auto"/>
              </w:rPr>
            </w:pPr>
            <w:r>
              <w:rPr>
                <w:rFonts w:ascii="Arial" w:cs="Arial" w:eastAsia="Arial" w:hAnsi="Arial"/>
                <w:sz w:val="14"/>
                <w:szCs w:val="14"/>
                <w:b w:val="1"/>
                <w:bCs w:val="1"/>
                <w:color w:val="auto"/>
              </w:rPr>
              <w:t>Per share</w:t>
            </w:r>
          </w:p>
        </w:tc>
      </w:tr>
      <w:tr>
        <w:trPr>
          <w:trHeight w:val="182"/>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Amounts</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7"/>
              </w:rPr>
              <w:t>Effect</w:t>
            </w:r>
          </w:p>
        </w:tc>
      </w:tr>
      <w:tr>
        <w:trPr>
          <w:trHeight w:val="205"/>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rPr>
              <w:t>0.00</w:t>
            </w:r>
          </w:p>
        </w:tc>
      </w:tr>
      <w:tr>
        <w:trPr>
          <w:trHeight w:val="211"/>
        </w:trPr>
        <w:tc>
          <w:tcPr>
            <w:tcW w:w="464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250</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Pr>
          <w:p>
            <w:pPr>
              <w:spacing w:after="0"/>
              <w:rPr>
                <w:sz w:val="18"/>
                <w:szCs w:val="18"/>
                <w:color w:val="auto"/>
              </w:rPr>
            </w:pPr>
          </w:p>
        </w:tc>
        <w:tc>
          <w:tcPr>
            <w:tcW w:w="1080" w:type="dxa"/>
            <w:vAlign w:val="bottom"/>
          </w:tcPr>
          <w:p>
            <w:pPr>
              <w:jc w:val="center"/>
              <w:ind w:left="562"/>
              <w:spacing w:after="0"/>
              <w:rPr>
                <w:sz w:val="20"/>
                <w:szCs w:val="20"/>
                <w:color w:val="auto"/>
              </w:rPr>
            </w:pPr>
            <w:r>
              <w:rPr>
                <w:rFonts w:ascii="Arial" w:cs="Arial" w:eastAsia="Arial" w:hAnsi="Arial"/>
                <w:sz w:val="16"/>
                <w:szCs w:val="16"/>
                <w:color w:val="auto"/>
              </w:rPr>
              <w:t>0.01</w:t>
            </w:r>
          </w:p>
        </w:tc>
      </w:tr>
      <w:tr>
        <w:trPr>
          <w:trHeight w:val="212"/>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1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94</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562"/>
              <w:spacing w:after="0"/>
              <w:rPr>
                <w:sz w:val="20"/>
                <w:szCs w:val="20"/>
                <w:color w:val="auto"/>
              </w:rPr>
            </w:pPr>
            <w:r>
              <w:rPr>
                <w:rFonts w:ascii="Arial" w:cs="Arial" w:eastAsia="Arial" w:hAnsi="Arial"/>
                <w:sz w:val="16"/>
                <w:szCs w:val="16"/>
                <w:color w:val="auto"/>
              </w:rPr>
              <w:t>0.01</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Three months ended March 31,</w:t>
            </w:r>
          </w:p>
        </w:tc>
      </w:tr>
      <w:tr>
        <w:trPr>
          <w:trHeight w:val="21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r>
      <w:tr>
        <w:trPr>
          <w:trHeight w:val="20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(GAAP)</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center"/>
              <w:ind w:left="623"/>
              <w:spacing w:after="0"/>
              <w:rPr>
                <w:sz w:val="20"/>
                <w:szCs w:val="20"/>
                <w:color w:val="auto"/>
              </w:rPr>
            </w:pPr>
            <w:r>
              <w:rPr>
                <w:rFonts w:ascii="Arial" w:cs="Arial" w:eastAsia="Arial" w:hAnsi="Arial"/>
                <w:sz w:val="16"/>
                <w:szCs w:val="16"/>
                <w:b w:val="1"/>
                <w:bCs w:val="1"/>
                <w:color w:val="auto"/>
                <w:w w:val="96"/>
              </w:rPr>
              <w:t>0.87</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r>
      <w:tr>
        <w:trPr>
          <w:trHeight w:val="230"/>
        </w:trPr>
        <w:tc>
          <w:tcPr>
            <w:tcW w:w="8620" w:type="dxa"/>
            <w:vAlign w:val="bottom"/>
          </w:tcPr>
          <w:p>
            <w:pPr>
              <w:ind w:left="20"/>
              <w:spacing w:after="0"/>
              <w:rPr>
                <w:sz w:val="20"/>
                <w:szCs w:val="20"/>
                <w:color w:val="auto"/>
              </w:rPr>
            </w:pPr>
            <w:r>
              <w:rPr>
                <w:rFonts w:ascii="Arial" w:cs="Arial" w:eastAsia="Arial" w:hAnsi="Arial"/>
                <w:sz w:val="16"/>
                <w:szCs w:val="16"/>
                <w:color w:val="auto"/>
              </w:rPr>
              <w:t>Adjustments, after tax:</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23"/>
              <w:spacing w:after="0"/>
              <w:rPr>
                <w:sz w:val="20"/>
                <w:szCs w:val="20"/>
                <w:color w:val="auto"/>
              </w:rPr>
            </w:pPr>
            <w:r>
              <w:rPr>
                <w:rFonts w:ascii="Arial" w:cs="Arial" w:eastAsia="Arial" w:hAnsi="Arial"/>
                <w:sz w:val="16"/>
                <w:szCs w:val="16"/>
                <w:b w:val="1"/>
                <w:bCs w:val="1"/>
                <w:color w:val="auto"/>
                <w:w w:val="96"/>
              </w:rPr>
              <w:t>0.01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862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80" w:type="dxa"/>
            <w:vAlign w:val="bottom"/>
          </w:tcPr>
          <w:p>
            <w:pPr>
              <w:spacing w:after="0"/>
              <w:rPr>
                <w:sz w:val="20"/>
                <w:szCs w:val="20"/>
                <w:color w:val="auto"/>
              </w:rPr>
            </w:pPr>
          </w:p>
        </w:tc>
        <w:tc>
          <w:tcPr>
            <w:tcW w:w="1120" w:type="dxa"/>
            <w:vAlign w:val="bottom"/>
          </w:tcPr>
          <w:p>
            <w:pPr>
              <w:jc w:val="center"/>
              <w:ind w:left="583"/>
              <w:spacing w:after="0"/>
              <w:rPr>
                <w:sz w:val="20"/>
                <w:szCs w:val="20"/>
                <w:color w:val="auto"/>
              </w:rPr>
            </w:pPr>
            <w:r>
              <w:rPr>
                <w:rFonts w:ascii="Arial" w:cs="Arial" w:eastAsia="Arial" w:hAnsi="Arial"/>
                <w:sz w:val="16"/>
                <w:szCs w:val="16"/>
                <w:b w:val="1"/>
                <w:bCs w:val="1"/>
                <w:color w:val="auto"/>
              </w:rPr>
              <w:t>(0.05)</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38"/>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623"/>
              <w:spacing w:after="0"/>
              <w:rPr>
                <w:sz w:val="20"/>
                <w:szCs w:val="20"/>
                <w:color w:val="auto"/>
              </w:rPr>
            </w:pPr>
            <w:r>
              <w:rPr>
                <w:rFonts w:ascii="Arial" w:cs="Arial" w:eastAsia="Arial" w:hAnsi="Arial"/>
                <w:sz w:val="16"/>
                <w:szCs w:val="16"/>
                <w:b w:val="1"/>
                <w:bCs w:val="1"/>
                <w:color w:val="auto"/>
                <w:w w:val="96"/>
              </w:rPr>
              <w:t>0.07</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623"/>
              <w:spacing w:after="0"/>
              <w:rPr>
                <w:sz w:val="20"/>
                <w:szCs w:val="20"/>
                <w:color w:val="auto"/>
              </w:rPr>
            </w:pPr>
            <w:r>
              <w:rPr>
                <w:rFonts w:ascii="Arial" w:cs="Arial" w:eastAsia="Arial" w:hAnsi="Arial"/>
                <w:sz w:val="16"/>
                <w:szCs w:val="16"/>
                <w:b w:val="1"/>
                <w:bCs w:val="1"/>
                <w:color w:val="auto"/>
                <w:w w:val="96"/>
              </w:rPr>
              <w:t>0.01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05"/>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Adjusted Earnings per share (non-GAAP)</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center"/>
              <w:ind w:left="623"/>
              <w:spacing w:after="0"/>
              <w:rPr>
                <w:sz w:val="20"/>
                <w:szCs w:val="20"/>
                <w:color w:val="auto"/>
              </w:rPr>
            </w:pPr>
            <w:r>
              <w:rPr>
                <w:rFonts w:ascii="Arial" w:cs="Arial" w:eastAsia="Arial" w:hAnsi="Arial"/>
                <w:sz w:val="16"/>
                <w:szCs w:val="16"/>
                <w:b w:val="1"/>
                <w:bCs w:val="1"/>
                <w:color w:val="auto"/>
                <w:w w:val="96"/>
              </w:rPr>
              <w:t>0.91</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0.87</w:t>
            </w:r>
          </w:p>
        </w:tc>
      </w:tr>
    </w:tbl>
    <w:p>
      <w:pPr>
        <w:spacing w:after="0" w:line="200" w:lineRule="exact"/>
        <w:rPr>
          <w:sz w:val="20"/>
          <w:szCs w:val="20"/>
          <w:color w:val="auto"/>
        </w:rPr>
      </w:pPr>
    </w:p>
    <w:p>
      <w:pPr>
        <w:spacing w:after="0" w:line="23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 2022  December 31, 2021</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March 31, 2021</w:t>
            </w: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center"/>
              <w:ind w:right="16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2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427,000</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350,000</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384,000</w:t>
            </w:r>
          </w:p>
        </w:tc>
      </w:tr>
      <w:tr>
        <w:trPr>
          <w:trHeight w:val="207"/>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p>
        </w:tc>
        <w:tc>
          <w:tcPr>
            <w:tcW w:w="2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427,000</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384,002</w:t>
            </w: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w:t>
            </w:r>
          </w:p>
        </w:tc>
        <w:tc>
          <w:tcPr>
            <w:tcW w:w="2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307,415</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302,036</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237,871</w:t>
            </w:r>
          </w:p>
        </w:tc>
      </w:tr>
      <w:tr>
        <w:trPr>
          <w:trHeight w:val="207"/>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debt (non GAAP)</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119,585</w:t>
            </w:r>
          </w:p>
        </w:tc>
        <w:tc>
          <w:tcPr>
            <w:tcW w:w="400" w:type="dxa"/>
            <w:vAlign w:val="bottom"/>
            <w:tcBorders>
              <w:bottom w:val="single" w:sz="8" w:color="auto"/>
            </w:tcBorders>
            <w:shd w:val="clear" w:color="auto" w:fill="CCEEFF"/>
          </w:tcPr>
          <w:p>
            <w:pPr>
              <w:jc w:val="center"/>
              <w:ind w:right="161"/>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47,964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146,131</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3"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1"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7"/>
          <w:szCs w:val="17"/>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set forth above under Note 15 in Item 1, “Notes to Consolidated Financial Statements” is incorporated herein by reference.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material changes in risks since December 31, 2021, except as discussed below.</w:t>
      </w:r>
    </w:p>
    <w:p>
      <w:pPr>
        <w:spacing w:after="0" w:line="230" w:lineRule="exact"/>
        <w:rPr>
          <w:sz w:val="20"/>
          <w:szCs w:val="20"/>
          <w:color w:val="auto"/>
        </w:rPr>
      </w:pPr>
    </w:p>
    <w:p>
      <w:pPr>
        <w:ind w:right="280" w:firstLine="318"/>
        <w:spacing w:after="0" w:line="245" w:lineRule="auto"/>
        <w:rPr>
          <w:sz w:val="20"/>
          <w:szCs w:val="20"/>
          <w:color w:val="auto"/>
        </w:rPr>
      </w:pPr>
      <w:r>
        <w:rPr>
          <w:rFonts w:ascii="Arial" w:cs="Arial" w:eastAsia="Arial" w:hAnsi="Arial"/>
          <w:sz w:val="17"/>
          <w:szCs w:val="17"/>
          <w:color w:val="101820"/>
        </w:rPr>
        <w:t>The military invasion of Ukraine by Russia, and the ensuing sanctions are likely to continue to have an impact on our business. We have already stopped shipping our products to Russia and are in the process of winding down a small joint venture in that country which supplied</w:t>
      </w:r>
    </w:p>
    <w:p>
      <w:pPr>
        <w:spacing w:after="0" w:line="1"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101820"/>
        </w:rPr>
        <w:t>dryer fabrics to local papermakers, resulting in lost sales and possible future write-offs. However, we also expect that there could be further indirect impacts. For instance, the conflict has already caused disruption in the availability of shipping options between Asia and Europe. Supply chain disruptions could make it more difficult to find favorable pricing and reliable sources for the raw materials we need, putting upward pressure on our costs and increasing the risk that we may be unable to acquire the materials or services we need to continue to make and</w:t>
      </w:r>
    </w:p>
    <w:p>
      <w:pPr>
        <w:spacing w:after="0" w:line="3"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101820"/>
        </w:rPr>
        <w:t>deliver certain products. Moreover, these same pressures could hinder our customers’ ability to source materials needed for their own manufacturing efforts, thereby reducing or slowing their demand for our products. There can be no assurance that we will be able to pass through these cost increases to our customers or to fully offset them via operational efficiencies. If we are unsuccessful in managing such cost increases, they could have a material adverse effect on our business, financial position, results of operations, and liquidity.</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discussion of risk factors, refer to Item 1A of our Annual Report on Form 10-K for the year ended December 31, 2021.</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Issuer Purchases of Equity Securities during the three months ended March 31, 2022</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1720" w:type="dxa"/>
            <w:vAlign w:val="bottom"/>
            <w:vMerge w:val="restart"/>
          </w:tcPr>
          <w:p>
            <w:pPr>
              <w:jc w:val="right"/>
              <w:ind w:right="152"/>
              <w:spacing w:after="0"/>
              <w:rPr>
                <w:sz w:val="20"/>
                <w:szCs w:val="20"/>
                <w:color w:val="auto"/>
              </w:rPr>
            </w:pPr>
            <w:r>
              <w:rPr>
                <w:rFonts w:ascii="Arial" w:cs="Arial" w:eastAsia="Arial" w:hAnsi="Arial"/>
                <w:sz w:val="18"/>
                <w:szCs w:val="18"/>
                <w:color w:val="auto"/>
              </w:rPr>
              <w:t>Total number of</w:t>
            </w:r>
          </w:p>
        </w:tc>
        <w:tc>
          <w:tcPr>
            <w:tcW w:w="140" w:type="dxa"/>
            <w:vAlign w:val="bottom"/>
          </w:tcPr>
          <w:p>
            <w:pPr>
              <w:spacing w:after="0"/>
              <w:rPr>
                <w:sz w:val="18"/>
                <w:szCs w:val="18"/>
                <w:color w:val="auto"/>
              </w:rPr>
            </w:pPr>
          </w:p>
        </w:tc>
        <w:tc>
          <w:tcPr>
            <w:tcW w:w="1320" w:type="dxa"/>
            <w:vAlign w:val="bottom"/>
            <w:vMerge w:val="restart"/>
          </w:tcPr>
          <w:p>
            <w:pPr>
              <w:jc w:val="right"/>
              <w:ind w:right="112"/>
              <w:spacing w:after="0"/>
              <w:rPr>
                <w:sz w:val="20"/>
                <w:szCs w:val="20"/>
                <w:color w:val="auto"/>
              </w:rPr>
            </w:pPr>
            <w:r>
              <w:rPr>
                <w:rFonts w:ascii="Arial" w:cs="Arial" w:eastAsia="Arial" w:hAnsi="Arial"/>
                <w:sz w:val="18"/>
                <w:szCs w:val="18"/>
                <w:color w:val="auto"/>
                <w:w w:val="99"/>
              </w:rPr>
              <w:t>Average price</w:t>
            </w:r>
          </w:p>
        </w:tc>
        <w:tc>
          <w:tcPr>
            <w:tcW w:w="2820" w:type="dxa"/>
            <w:vAlign w:val="bottom"/>
          </w:tcPr>
          <w:p>
            <w:pPr>
              <w:jc w:val="center"/>
              <w:spacing w:after="0"/>
              <w:rPr>
                <w:sz w:val="20"/>
                <w:szCs w:val="20"/>
                <w:color w:val="auto"/>
              </w:rPr>
            </w:pPr>
            <w:r>
              <w:rPr>
                <w:rFonts w:ascii="Arial" w:cs="Arial" w:eastAsia="Arial" w:hAnsi="Arial"/>
                <w:sz w:val="18"/>
                <w:szCs w:val="18"/>
                <w:color w:val="auto"/>
                <w:w w:val="97"/>
              </w:rPr>
              <w:t>Total number of shares purchased</w:t>
            </w:r>
          </w:p>
        </w:tc>
        <w:tc>
          <w:tcPr>
            <w:tcW w:w="180" w:type="dxa"/>
            <w:vAlign w:val="bottom"/>
          </w:tcPr>
          <w:p>
            <w:pPr>
              <w:spacing w:after="0"/>
              <w:rPr>
                <w:sz w:val="18"/>
                <w:szCs w:val="18"/>
                <w:color w:val="auto"/>
              </w:rPr>
            </w:pPr>
          </w:p>
        </w:tc>
        <w:tc>
          <w:tcPr>
            <w:tcW w:w="2920" w:type="dxa"/>
            <w:vAlign w:val="bottom"/>
          </w:tcPr>
          <w:p>
            <w:pPr>
              <w:jc w:val="center"/>
              <w:ind w:right="72"/>
              <w:spacing w:after="0"/>
              <w:rPr>
                <w:sz w:val="20"/>
                <w:szCs w:val="20"/>
                <w:color w:val="auto"/>
              </w:rPr>
            </w:pPr>
            <w:r>
              <w:rPr>
                <w:rFonts w:ascii="Arial" w:cs="Arial" w:eastAsia="Arial" w:hAnsi="Arial"/>
                <w:sz w:val="18"/>
                <w:szCs w:val="18"/>
                <w:color w:val="auto"/>
                <w:w w:val="98"/>
              </w:rPr>
              <w:t>Approx. dollar value of shares that</w:t>
            </w:r>
          </w:p>
        </w:tc>
        <w:tc>
          <w:tcPr>
            <w:tcW w:w="0" w:type="dxa"/>
            <w:vAlign w:val="bottom"/>
          </w:tcPr>
          <w:p>
            <w:pPr>
              <w:spacing w:after="0"/>
              <w:rPr>
                <w:sz w:val="1"/>
                <w:szCs w:val="1"/>
                <w:color w:val="auto"/>
              </w:rPr>
            </w:pPr>
          </w:p>
        </w:tc>
      </w:tr>
      <w:tr>
        <w:trPr>
          <w:trHeight w:val="176"/>
        </w:trPr>
        <w:tc>
          <w:tcPr>
            <w:tcW w:w="1940" w:type="dxa"/>
            <w:vAlign w:val="bottom"/>
            <w:vMerge w:val="restart"/>
          </w:tcPr>
          <w:p>
            <w:pPr>
              <w:ind w:left="720"/>
              <w:spacing w:after="0"/>
              <w:rPr>
                <w:sz w:val="20"/>
                <w:szCs w:val="20"/>
                <w:color w:val="auto"/>
              </w:rPr>
            </w:pPr>
            <w:r>
              <w:rPr>
                <w:rFonts w:ascii="Arial" w:cs="Arial" w:eastAsia="Arial" w:hAnsi="Arial"/>
                <w:sz w:val="18"/>
                <w:szCs w:val="18"/>
                <w:color w:val="auto"/>
              </w:rPr>
              <w:t>Period</w:t>
            </w:r>
          </w:p>
        </w:tc>
        <w:tc>
          <w:tcPr>
            <w:tcW w:w="1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820" w:type="dxa"/>
            <w:vAlign w:val="bottom"/>
          </w:tcPr>
          <w:p>
            <w:pPr>
              <w:jc w:val="center"/>
              <w:spacing w:after="0" w:line="176" w:lineRule="exact"/>
              <w:rPr>
                <w:sz w:val="20"/>
                <w:szCs w:val="20"/>
                <w:color w:val="auto"/>
              </w:rPr>
            </w:pPr>
            <w:r>
              <w:rPr>
                <w:rFonts w:ascii="Arial" w:cs="Arial" w:eastAsia="Arial" w:hAnsi="Arial"/>
                <w:sz w:val="18"/>
                <w:szCs w:val="18"/>
                <w:color w:val="auto"/>
                <w:w w:val="98"/>
              </w:rPr>
              <w:t>as part of publicly announced</w:t>
            </w:r>
          </w:p>
        </w:tc>
        <w:tc>
          <w:tcPr>
            <w:tcW w:w="180" w:type="dxa"/>
            <w:vAlign w:val="bottom"/>
          </w:tcPr>
          <w:p>
            <w:pPr>
              <w:spacing w:after="0"/>
              <w:rPr>
                <w:sz w:val="15"/>
                <w:szCs w:val="15"/>
                <w:color w:val="auto"/>
              </w:rPr>
            </w:pPr>
          </w:p>
        </w:tc>
        <w:tc>
          <w:tcPr>
            <w:tcW w:w="2920" w:type="dxa"/>
            <w:vAlign w:val="bottom"/>
          </w:tcPr>
          <w:p>
            <w:pPr>
              <w:jc w:val="center"/>
              <w:ind w:right="52"/>
              <w:spacing w:after="0" w:line="176" w:lineRule="exact"/>
              <w:rPr>
                <w:sz w:val="20"/>
                <w:szCs w:val="20"/>
                <w:color w:val="auto"/>
              </w:rPr>
            </w:pPr>
            <w:r>
              <w:rPr>
                <w:rFonts w:ascii="Arial" w:cs="Arial" w:eastAsia="Arial" w:hAnsi="Arial"/>
                <w:sz w:val="18"/>
                <w:szCs w:val="18"/>
                <w:color w:val="auto"/>
                <w:w w:val="98"/>
              </w:rPr>
              <w:t>may yet be purchased under the</w:t>
            </w:r>
          </w:p>
        </w:tc>
        <w:tc>
          <w:tcPr>
            <w:tcW w:w="0" w:type="dxa"/>
            <w:vAlign w:val="bottom"/>
          </w:tcPr>
          <w:p>
            <w:pPr>
              <w:spacing w:after="0"/>
              <w:rPr>
                <w:sz w:val="1"/>
                <w:szCs w:val="1"/>
                <w:color w:val="auto"/>
              </w:rPr>
            </w:pPr>
          </w:p>
        </w:tc>
      </w:tr>
      <w:tr>
        <w:trPr>
          <w:trHeight w:val="222"/>
        </w:trPr>
        <w:tc>
          <w:tcPr>
            <w:tcW w:w="1940" w:type="dxa"/>
            <w:vAlign w:val="bottom"/>
            <w:vMerge w:val="continue"/>
          </w:tcPr>
          <w:p>
            <w:pPr>
              <w:spacing w:after="0"/>
              <w:rPr>
                <w:sz w:val="19"/>
                <w:szCs w:val="19"/>
                <w:color w:val="auto"/>
              </w:rPr>
            </w:pP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shares purchased</w:t>
            </w:r>
          </w:p>
        </w:tc>
        <w:tc>
          <w:tcPr>
            <w:tcW w:w="14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w w:val="97"/>
              </w:rPr>
              <w:t>paid per share</w:t>
            </w:r>
          </w:p>
        </w:tc>
        <w:tc>
          <w:tcPr>
            <w:tcW w:w="2820" w:type="dxa"/>
            <w:vAlign w:val="bottom"/>
          </w:tcPr>
          <w:p>
            <w:pPr>
              <w:jc w:val="center"/>
              <w:spacing w:after="0"/>
              <w:rPr>
                <w:sz w:val="20"/>
                <w:szCs w:val="20"/>
                <w:color w:val="auto"/>
              </w:rPr>
            </w:pPr>
            <w:r>
              <w:rPr>
                <w:rFonts w:ascii="Arial" w:cs="Arial" w:eastAsia="Arial" w:hAnsi="Arial"/>
                <w:sz w:val="18"/>
                <w:szCs w:val="18"/>
                <w:color w:val="auto"/>
                <w:w w:val="98"/>
              </w:rPr>
              <w:t>program</w:t>
            </w:r>
          </w:p>
        </w:tc>
        <w:tc>
          <w:tcPr>
            <w:tcW w:w="180" w:type="dxa"/>
            <w:vAlign w:val="bottom"/>
          </w:tcPr>
          <w:p>
            <w:pPr>
              <w:spacing w:after="0"/>
              <w:rPr>
                <w:sz w:val="19"/>
                <w:szCs w:val="19"/>
                <w:color w:val="auto"/>
              </w:rPr>
            </w:pPr>
          </w:p>
        </w:tc>
        <w:tc>
          <w:tcPr>
            <w:tcW w:w="2920" w:type="dxa"/>
            <w:vAlign w:val="bottom"/>
          </w:tcPr>
          <w:p>
            <w:pPr>
              <w:jc w:val="center"/>
              <w:ind w:right="72"/>
              <w:spacing w:after="0"/>
              <w:rPr>
                <w:sz w:val="20"/>
                <w:szCs w:val="20"/>
                <w:color w:val="auto"/>
              </w:rPr>
            </w:pPr>
            <w:r>
              <w:rPr>
                <w:rFonts w:ascii="Arial" w:cs="Arial" w:eastAsia="Arial" w:hAnsi="Arial"/>
                <w:sz w:val="18"/>
                <w:szCs w:val="18"/>
                <w:color w:val="auto"/>
                <w:w w:val="98"/>
              </w:rPr>
              <w:t>program (thousands)</w:t>
            </w:r>
          </w:p>
        </w:tc>
        <w:tc>
          <w:tcPr>
            <w:tcW w:w="0" w:type="dxa"/>
            <w:vAlign w:val="bottom"/>
          </w:tcPr>
          <w:p>
            <w:pPr>
              <w:spacing w:after="0"/>
              <w:rPr>
                <w:sz w:val="1"/>
                <w:szCs w:val="1"/>
                <w:color w:val="auto"/>
              </w:rPr>
            </w:pPr>
          </w:p>
        </w:tc>
      </w:tr>
      <w:tr>
        <w:trPr>
          <w:trHeight w:val="185"/>
        </w:trPr>
        <w:tc>
          <w:tcPr>
            <w:tcW w:w="1940" w:type="dxa"/>
            <w:vAlign w:val="bottom"/>
          </w:tcPr>
          <w:p>
            <w:pPr>
              <w:spacing w:after="0" w:line="186" w:lineRule="exact"/>
              <w:rPr>
                <w:sz w:val="20"/>
                <w:szCs w:val="20"/>
                <w:color w:val="auto"/>
              </w:rPr>
            </w:pPr>
            <w:r>
              <w:rPr>
                <w:rFonts w:ascii="Arial" w:cs="Arial" w:eastAsia="Arial" w:hAnsi="Arial"/>
                <w:sz w:val="18"/>
                <w:szCs w:val="18"/>
                <w:color w:val="auto"/>
              </w:rPr>
              <w:t>January 1 to January</w:t>
            </w: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40" w:type="dxa"/>
            <w:vAlign w:val="bottom"/>
          </w:tcPr>
          <w:p>
            <w:pPr>
              <w:spacing w:after="0"/>
              <w:rPr>
                <w:sz w:val="20"/>
                <w:szCs w:val="20"/>
                <w:color w:val="auto"/>
              </w:rPr>
            </w:pPr>
            <w:r>
              <w:rPr>
                <w:rFonts w:ascii="Arial" w:cs="Arial" w:eastAsia="Arial" w:hAnsi="Arial"/>
                <w:sz w:val="18"/>
                <w:szCs w:val="18"/>
                <w:color w:val="auto"/>
              </w:rPr>
              <w:t>31, 2022</w:t>
            </w:r>
          </w:p>
        </w:tc>
        <w:tc>
          <w:tcPr>
            <w:tcW w:w="1720" w:type="dxa"/>
            <w:vAlign w:val="bottom"/>
          </w:tcPr>
          <w:p>
            <w:pPr>
              <w:jc w:val="right"/>
              <w:spacing w:after="0"/>
              <w:rPr>
                <w:sz w:val="20"/>
                <w:szCs w:val="20"/>
                <w:color w:val="auto"/>
              </w:rPr>
            </w:pPr>
            <w:r>
              <w:rPr>
                <w:rFonts w:ascii="Arial" w:cs="Arial" w:eastAsia="Arial" w:hAnsi="Arial"/>
                <w:sz w:val="18"/>
                <w:szCs w:val="18"/>
                <w:color w:val="auto"/>
              </w:rPr>
              <w:t>140,879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85.24</w:t>
            </w:r>
          </w:p>
        </w:tc>
        <w:tc>
          <w:tcPr>
            <w:tcW w:w="2820" w:type="dxa"/>
            <w:vAlign w:val="bottom"/>
          </w:tcPr>
          <w:p>
            <w:pPr>
              <w:jc w:val="right"/>
              <w:spacing w:after="0"/>
              <w:rPr>
                <w:sz w:val="20"/>
                <w:szCs w:val="20"/>
                <w:color w:val="auto"/>
              </w:rPr>
            </w:pPr>
            <w:r>
              <w:rPr>
                <w:rFonts w:ascii="Arial" w:cs="Arial" w:eastAsia="Arial" w:hAnsi="Arial"/>
                <w:sz w:val="18"/>
                <w:szCs w:val="18"/>
                <w:color w:val="auto"/>
              </w:rPr>
              <w:t>140,879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920" w:type="dxa"/>
            <w:vAlign w:val="bottom"/>
          </w:tcPr>
          <w:p>
            <w:pPr>
              <w:jc w:val="right"/>
              <w:spacing w:after="0"/>
              <w:rPr>
                <w:sz w:val="20"/>
                <w:szCs w:val="20"/>
                <w:color w:val="auto"/>
              </w:rPr>
            </w:pPr>
            <w:r>
              <w:rPr>
                <w:rFonts w:ascii="Arial" w:cs="Arial" w:eastAsia="Arial" w:hAnsi="Arial"/>
                <w:sz w:val="18"/>
                <w:szCs w:val="18"/>
                <w:color w:val="auto"/>
              </w:rPr>
              <w:t>163,722</w:t>
            </w:r>
          </w:p>
        </w:tc>
        <w:tc>
          <w:tcPr>
            <w:tcW w:w="0" w:type="dxa"/>
            <w:vAlign w:val="bottom"/>
          </w:tcPr>
          <w:p>
            <w:pPr>
              <w:spacing w:after="0"/>
              <w:rPr>
                <w:sz w:val="1"/>
                <w:szCs w:val="1"/>
                <w:color w:val="auto"/>
              </w:rPr>
            </w:pPr>
          </w:p>
        </w:tc>
      </w:tr>
      <w:tr>
        <w:trPr>
          <w:trHeight w:val="186"/>
        </w:trPr>
        <w:tc>
          <w:tcPr>
            <w:tcW w:w="1940" w:type="dxa"/>
            <w:vAlign w:val="bottom"/>
          </w:tcPr>
          <w:p>
            <w:pPr>
              <w:spacing w:after="0" w:line="186" w:lineRule="exact"/>
              <w:rPr>
                <w:sz w:val="20"/>
                <w:szCs w:val="20"/>
                <w:color w:val="auto"/>
              </w:rPr>
            </w:pPr>
            <w:r>
              <w:rPr>
                <w:rFonts w:ascii="Arial" w:cs="Arial" w:eastAsia="Arial" w:hAnsi="Arial"/>
                <w:sz w:val="18"/>
                <w:szCs w:val="18"/>
                <w:color w:val="auto"/>
              </w:rPr>
              <w:t>February 1 to February</w:t>
            </w: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40" w:type="dxa"/>
            <w:vAlign w:val="bottom"/>
          </w:tcPr>
          <w:p>
            <w:pPr>
              <w:spacing w:after="0"/>
              <w:rPr>
                <w:sz w:val="20"/>
                <w:szCs w:val="20"/>
                <w:color w:val="auto"/>
              </w:rPr>
            </w:pPr>
            <w:r>
              <w:rPr>
                <w:rFonts w:ascii="Arial" w:cs="Arial" w:eastAsia="Arial" w:hAnsi="Arial"/>
                <w:sz w:val="18"/>
                <w:szCs w:val="18"/>
                <w:color w:val="auto"/>
              </w:rPr>
              <w:t>28, 2022</w:t>
            </w:r>
          </w:p>
        </w:tc>
        <w:tc>
          <w:tcPr>
            <w:tcW w:w="1720" w:type="dxa"/>
            <w:vAlign w:val="bottom"/>
          </w:tcPr>
          <w:p>
            <w:pPr>
              <w:jc w:val="right"/>
              <w:spacing w:after="0"/>
              <w:rPr>
                <w:sz w:val="20"/>
                <w:szCs w:val="20"/>
                <w:color w:val="auto"/>
              </w:rPr>
            </w:pPr>
            <w:r>
              <w:rPr>
                <w:rFonts w:ascii="Arial" w:cs="Arial" w:eastAsia="Arial" w:hAnsi="Arial"/>
                <w:sz w:val="18"/>
                <w:szCs w:val="18"/>
                <w:color w:val="auto"/>
              </w:rPr>
              <w:t>145,164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86.29</w:t>
            </w:r>
          </w:p>
        </w:tc>
        <w:tc>
          <w:tcPr>
            <w:tcW w:w="2820" w:type="dxa"/>
            <w:vAlign w:val="bottom"/>
          </w:tcPr>
          <w:p>
            <w:pPr>
              <w:jc w:val="right"/>
              <w:spacing w:after="0"/>
              <w:rPr>
                <w:sz w:val="20"/>
                <w:szCs w:val="20"/>
                <w:color w:val="auto"/>
              </w:rPr>
            </w:pPr>
            <w:r>
              <w:rPr>
                <w:rFonts w:ascii="Arial" w:cs="Arial" w:eastAsia="Arial" w:hAnsi="Arial"/>
                <w:sz w:val="18"/>
                <w:szCs w:val="18"/>
                <w:color w:val="auto"/>
              </w:rPr>
              <w:t>145,164</w:t>
            </w:r>
          </w:p>
        </w:tc>
        <w:tc>
          <w:tcPr>
            <w:tcW w:w="18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151,244</w:t>
            </w:r>
          </w:p>
        </w:tc>
        <w:tc>
          <w:tcPr>
            <w:tcW w:w="0" w:type="dxa"/>
            <w:vAlign w:val="bottom"/>
          </w:tcPr>
          <w:p>
            <w:pPr>
              <w:spacing w:after="0"/>
              <w:rPr>
                <w:sz w:val="1"/>
                <w:szCs w:val="1"/>
                <w:color w:val="auto"/>
              </w:rPr>
            </w:pPr>
          </w:p>
        </w:tc>
      </w:tr>
      <w:tr>
        <w:trPr>
          <w:trHeight w:val="185"/>
        </w:trPr>
        <w:tc>
          <w:tcPr>
            <w:tcW w:w="1940" w:type="dxa"/>
            <w:vAlign w:val="bottom"/>
          </w:tcPr>
          <w:p>
            <w:pPr>
              <w:spacing w:after="0" w:line="186" w:lineRule="exact"/>
              <w:rPr>
                <w:sz w:val="20"/>
                <w:szCs w:val="20"/>
                <w:color w:val="auto"/>
              </w:rPr>
            </w:pPr>
            <w:r>
              <w:rPr>
                <w:rFonts w:ascii="Arial" w:cs="Arial" w:eastAsia="Arial" w:hAnsi="Arial"/>
                <w:sz w:val="18"/>
                <w:szCs w:val="18"/>
                <w:color w:val="auto"/>
              </w:rPr>
              <w:t>March 1 to March 31,</w:t>
            </w: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940" w:type="dxa"/>
            <w:vAlign w:val="bottom"/>
          </w:tcPr>
          <w:p>
            <w:pPr>
              <w:spacing w:after="0"/>
              <w:rPr>
                <w:sz w:val="20"/>
                <w:szCs w:val="20"/>
                <w:color w:val="auto"/>
              </w:rPr>
            </w:pPr>
            <w:r>
              <w:rPr>
                <w:rFonts w:ascii="Arial" w:cs="Arial" w:eastAsia="Arial" w:hAnsi="Arial"/>
                <w:sz w:val="18"/>
                <w:szCs w:val="18"/>
                <w:color w:val="auto"/>
              </w:rPr>
              <w:t>2022</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228,643</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85.51</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228,643</w:t>
            </w:r>
          </w:p>
        </w:tc>
        <w:tc>
          <w:tcPr>
            <w:tcW w:w="1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131,688</w:t>
            </w:r>
          </w:p>
        </w:tc>
        <w:tc>
          <w:tcPr>
            <w:tcW w:w="0" w:type="dxa"/>
            <w:vAlign w:val="bottom"/>
          </w:tcPr>
          <w:p>
            <w:pPr>
              <w:spacing w:after="0"/>
              <w:rPr>
                <w:sz w:val="1"/>
                <w:szCs w:val="1"/>
                <w:color w:val="auto"/>
              </w:rPr>
            </w:pPr>
          </w:p>
        </w:tc>
      </w:tr>
      <w:tr>
        <w:trPr>
          <w:trHeight w:val="218"/>
        </w:trPr>
        <w:tc>
          <w:tcPr>
            <w:tcW w:w="194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514,686</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131,688</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On October 25,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We purchased 799,972 shares of our Class A Common Stock since the Board repurchase authorization in 2021, 514,686 of which were purchased during the first three months of 2022.</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6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9980" w:type="dxa"/>
            <w:vAlign w:val="bottom"/>
            <w:gridSpan w:val="6"/>
          </w:tcPr>
          <w:p>
            <w:pPr>
              <w:spacing w:after="0"/>
              <w:rPr>
                <w:sz w:val="20"/>
                <w:szCs w:val="20"/>
                <w:color w:val="auto"/>
              </w:rPr>
            </w:pPr>
            <w:r>
              <w:rPr>
                <w:rFonts w:ascii="Arial" w:cs="Arial" w:eastAsia="Arial" w:hAnsi="Arial"/>
                <w:sz w:val="16"/>
                <w:szCs w:val="16"/>
                <w:color w:val="auto"/>
              </w:rPr>
              <w:t>Description</w:t>
            </w:r>
          </w:p>
        </w:tc>
      </w:tr>
      <w:tr>
        <w:trPr>
          <w:trHeight w:val="194"/>
        </w:trPr>
        <w:tc>
          <w:tcPr>
            <w:tcW w:w="1260" w:type="dxa"/>
            <w:vAlign w:val="bottom"/>
            <w:tcBorders>
              <w:bottom w:val="single" w:sz="8" w:color="CCEEFF"/>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31.1</w:t>
            </w:r>
          </w:p>
        </w:tc>
        <w:tc>
          <w:tcPr>
            <w:tcW w:w="7140" w:type="dxa"/>
            <w:vAlign w:val="bottom"/>
            <w:tcBorders>
              <w:bottom w:val="single" w:sz="8" w:color="0000FF"/>
            </w:tcBorders>
            <w:gridSpan w:val="4"/>
            <w:shd w:val="clear" w:color="auto" w:fill="CCEEFF"/>
          </w:tcPr>
          <w:p>
            <w:pPr>
              <w:spacing w:after="0" w:line="174" w:lineRule="exact"/>
              <w:rPr>
                <w:sz w:val="20"/>
                <w:szCs w:val="20"/>
                <w:color w:val="auto"/>
              </w:rPr>
            </w:pPr>
            <w:r>
              <w:rPr>
                <w:rFonts w:ascii="Arial" w:cs="Arial" w:eastAsia="Arial" w:hAnsi="Arial"/>
                <w:sz w:val="16"/>
                <w:szCs w:val="16"/>
                <w:color w:val="0000FF"/>
                <w:w w:val="99"/>
              </w:rPr>
              <w:t>Certification of the Chief Executive Officer pursuant to Rule 13a-14(a)/15d-14(a) of the Exchange Act.</w:t>
            </w:r>
          </w:p>
        </w:tc>
        <w:tc>
          <w:tcPr>
            <w:tcW w:w="2840" w:type="dxa"/>
            <w:vAlign w:val="bottom"/>
            <w:tcBorders>
              <w:bottom w:val="single" w:sz="8" w:color="CCEEFF"/>
            </w:tcBorders>
            <w:gridSpan w:val="2"/>
            <w:shd w:val="clear" w:color="auto" w:fill="CCEEFF"/>
          </w:tcPr>
          <w:p>
            <w:pPr>
              <w:spacing w:after="0"/>
              <w:rPr>
                <w:sz w:val="16"/>
                <w:szCs w:val="16"/>
                <w:color w:val="auto"/>
              </w:rPr>
            </w:pPr>
          </w:p>
        </w:tc>
      </w:tr>
      <w:tr>
        <w:trPr>
          <w:trHeight w:val="172"/>
        </w:trPr>
        <w:tc>
          <w:tcPr>
            <w:tcW w:w="1260" w:type="dxa"/>
            <w:vAlign w:val="bottom"/>
          </w:tcPr>
          <w:p>
            <w:pPr>
              <w:ind w:left="20"/>
              <w:spacing w:after="0" w:line="172" w:lineRule="exact"/>
              <w:rPr>
                <w:sz w:val="20"/>
                <w:szCs w:val="20"/>
                <w:color w:val="auto"/>
              </w:rPr>
            </w:pPr>
            <w:r>
              <w:rPr>
                <w:rFonts w:ascii="Arial" w:cs="Arial" w:eastAsia="Arial" w:hAnsi="Arial"/>
                <w:sz w:val="16"/>
                <w:szCs w:val="16"/>
                <w:color w:val="auto"/>
              </w:rPr>
              <w:t>31.2</w:t>
            </w:r>
          </w:p>
        </w:tc>
        <w:tc>
          <w:tcPr>
            <w:tcW w:w="9980" w:type="dxa"/>
            <w:vAlign w:val="bottom"/>
            <w:gridSpan w:val="6"/>
          </w:tcPr>
          <w:p>
            <w:pPr>
              <w:spacing w:after="0" w:line="172" w:lineRule="exact"/>
              <w:rPr>
                <w:sz w:val="20"/>
                <w:szCs w:val="20"/>
                <w:color w:val="auto"/>
              </w:rPr>
            </w:pPr>
            <w:r>
              <w:rPr>
                <w:rFonts w:ascii="Arial" w:cs="Arial" w:eastAsia="Arial" w:hAnsi="Arial"/>
                <w:sz w:val="16"/>
                <w:szCs w:val="16"/>
                <w:color w:val="0000FF"/>
              </w:rPr>
              <w:t>Certification of the Chief Financial Officer pursuant to Rule 13a-14(a)/15d-14(a) of the Exchange Act.</w:t>
            </w:r>
          </w:p>
        </w:tc>
      </w:tr>
      <w:tr>
        <w:trPr>
          <w:trHeight w:val="30"/>
        </w:trPr>
        <w:tc>
          <w:tcPr>
            <w:tcW w:w="1260" w:type="dxa"/>
            <w:vAlign w:val="bottom"/>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48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82"/>
        </w:trPr>
        <w:tc>
          <w:tcPr>
            <w:tcW w:w="12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32.1</w:t>
            </w:r>
          </w:p>
        </w:tc>
        <w:tc>
          <w:tcPr>
            <w:tcW w:w="9980" w:type="dxa"/>
            <w:vAlign w:val="bottom"/>
            <w:gridSpan w:val="6"/>
            <w:shd w:val="clear" w:color="auto" w:fill="CCEEFF"/>
          </w:tcPr>
          <w:p>
            <w:pPr>
              <w:spacing w:after="0" w:line="182" w:lineRule="exact"/>
              <w:rPr>
                <w:sz w:val="20"/>
                <w:szCs w:val="20"/>
                <w:color w:val="auto"/>
              </w:rPr>
            </w:pPr>
            <w:r>
              <w:rPr>
                <w:rFonts w:ascii="Arial" w:cs="Arial" w:eastAsia="Arial" w:hAnsi="Arial"/>
                <w:sz w:val="16"/>
                <w:szCs w:val="16"/>
                <w:color w:val="0000FF"/>
              </w:rPr>
              <w:t>Certification pursuant to Section 906 of the Sarbanes-Oxley Act of 2002 (Subsections (a) and (b) of Section 1350, Chapter 63 of Title 18,</w:t>
            </w:r>
          </w:p>
        </w:tc>
      </w:tr>
      <w:tr>
        <w:trPr>
          <w:trHeight w:val="139"/>
        </w:trPr>
        <w:tc>
          <w:tcPr>
            <w:tcW w:w="1260" w:type="dxa"/>
            <w:vAlign w:val="bottom"/>
            <w:tcBorders>
              <w:top w:val="single" w:sz="8" w:color="CCEEFF"/>
            </w:tcBorders>
            <w:shd w:val="clear" w:color="auto" w:fill="CCEEFF"/>
          </w:tcPr>
          <w:p>
            <w:pPr>
              <w:spacing w:after="0"/>
              <w:rPr>
                <w:sz w:val="12"/>
                <w:szCs w:val="12"/>
                <w:color w:val="auto"/>
              </w:rPr>
            </w:pPr>
          </w:p>
        </w:tc>
        <w:tc>
          <w:tcPr>
            <w:tcW w:w="9600" w:type="dxa"/>
            <w:vAlign w:val="bottom"/>
            <w:tcBorders>
              <w:top w:val="single" w:sz="8" w:color="0000FF"/>
            </w:tcBorders>
            <w:gridSpan w:val="5"/>
            <w:shd w:val="clear" w:color="auto" w:fill="CCEEFF"/>
          </w:tcPr>
          <w:p>
            <w:pPr>
              <w:spacing w:after="0" w:line="139" w:lineRule="exact"/>
              <w:rPr>
                <w:sz w:val="20"/>
                <w:szCs w:val="20"/>
                <w:color w:val="auto"/>
              </w:rPr>
            </w:pPr>
            <w:r>
              <w:rPr>
                <w:rFonts w:ascii="Arial" w:cs="Arial" w:eastAsia="Arial" w:hAnsi="Arial"/>
                <w:sz w:val="16"/>
                <w:szCs w:val="16"/>
                <w:color w:val="0000FF"/>
              </w:rPr>
              <w:t>United States Code).</w:t>
            </w:r>
          </w:p>
        </w:tc>
        <w:tc>
          <w:tcPr>
            <w:tcW w:w="380" w:type="dxa"/>
            <w:vAlign w:val="bottom"/>
            <w:tcBorders>
              <w:top w:val="single" w:sz="8" w:color="CCEEFF"/>
            </w:tcBorders>
            <w:shd w:val="clear" w:color="auto" w:fill="CCEEFF"/>
          </w:tcPr>
          <w:p>
            <w:pPr>
              <w:spacing w:after="0"/>
              <w:rPr>
                <w:sz w:val="12"/>
                <w:szCs w:val="12"/>
                <w:color w:val="auto"/>
              </w:rPr>
            </w:pPr>
          </w:p>
        </w:tc>
      </w:tr>
      <w:tr>
        <w:trPr>
          <w:trHeight w:val="40"/>
        </w:trPr>
        <w:tc>
          <w:tcPr>
            <w:tcW w:w="1260" w:type="dxa"/>
            <w:vAlign w:val="bottom"/>
            <w:shd w:val="clear" w:color="auto" w:fill="CCEEFF"/>
          </w:tcPr>
          <w:p>
            <w:pPr>
              <w:spacing w:after="0"/>
              <w:rPr>
                <w:sz w:val="3"/>
                <w:szCs w:val="3"/>
                <w:color w:val="auto"/>
              </w:rPr>
            </w:pPr>
          </w:p>
        </w:tc>
        <w:tc>
          <w:tcPr>
            <w:tcW w:w="1480" w:type="dxa"/>
            <w:vAlign w:val="bottom"/>
            <w:shd w:val="clear" w:color="auto" w:fill="0000FF"/>
          </w:tcPr>
          <w:p>
            <w:pPr>
              <w:spacing w:after="0"/>
              <w:rPr>
                <w:sz w:val="3"/>
                <w:szCs w:val="3"/>
                <w:color w:val="auto"/>
              </w:rPr>
            </w:pPr>
          </w:p>
        </w:tc>
        <w:tc>
          <w:tcPr>
            <w:tcW w:w="48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r>
      <w:tr>
        <w:trPr>
          <w:trHeight w:val="172"/>
        </w:trPr>
        <w:tc>
          <w:tcPr>
            <w:tcW w:w="1260" w:type="dxa"/>
            <w:vAlign w:val="bottom"/>
          </w:tcPr>
          <w:p>
            <w:pPr>
              <w:ind w:left="20"/>
              <w:spacing w:after="0" w:line="172" w:lineRule="exact"/>
              <w:rPr>
                <w:sz w:val="20"/>
                <w:szCs w:val="20"/>
                <w:color w:val="auto"/>
              </w:rPr>
            </w:pPr>
            <w:r>
              <w:rPr>
                <w:rFonts w:ascii="Arial" w:cs="Arial" w:eastAsia="Arial" w:hAnsi="Arial"/>
                <w:sz w:val="16"/>
                <w:szCs w:val="16"/>
                <w:color w:val="auto"/>
              </w:rPr>
              <w:t>99.1</w:t>
            </w:r>
          </w:p>
        </w:tc>
        <w:tc>
          <w:tcPr>
            <w:tcW w:w="9980" w:type="dxa"/>
            <w:vAlign w:val="bottom"/>
            <w:gridSpan w:val="6"/>
          </w:tcPr>
          <w:p>
            <w:pPr>
              <w:spacing w:after="0" w:line="172" w:lineRule="exact"/>
              <w:rPr>
                <w:sz w:val="20"/>
                <w:szCs w:val="20"/>
                <w:color w:val="auto"/>
              </w:rPr>
            </w:pPr>
            <w:r>
              <w:rPr>
                <w:rFonts w:ascii="Arial" w:cs="Arial" w:eastAsia="Arial" w:hAnsi="Arial"/>
                <w:sz w:val="16"/>
                <w:szCs w:val="16"/>
                <w:color w:val="0000FF"/>
              </w:rPr>
              <w:t>Quantitative and qualitative disclosures about market risks as reported at March 31, 2022.</w:t>
            </w:r>
          </w:p>
        </w:tc>
      </w:tr>
      <w:tr>
        <w:trPr>
          <w:trHeight w:val="30"/>
        </w:trPr>
        <w:tc>
          <w:tcPr>
            <w:tcW w:w="1260" w:type="dxa"/>
            <w:vAlign w:val="bottom"/>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484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69"/>
        </w:trPr>
        <w:tc>
          <w:tcPr>
            <w:tcW w:w="1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101.INS</w:t>
            </w:r>
          </w:p>
        </w:tc>
        <w:tc>
          <w:tcPr>
            <w:tcW w:w="9980" w:type="dxa"/>
            <w:vAlign w:val="bottom"/>
            <w:gridSpan w:val="6"/>
            <w:shd w:val="clear" w:color="auto" w:fill="CCEEFF"/>
          </w:tcPr>
          <w:p>
            <w:pPr>
              <w:spacing w:after="0" w:line="169"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 within</w:t>
            </w:r>
          </w:p>
        </w:tc>
      </w:tr>
      <w:tr>
        <w:trPr>
          <w:trHeight w:val="212"/>
        </w:trPr>
        <w:tc>
          <w:tcPr>
            <w:tcW w:w="1260" w:type="dxa"/>
            <w:vAlign w:val="bottom"/>
            <w:shd w:val="clear" w:color="auto" w:fill="CCEEFF"/>
          </w:tcPr>
          <w:p>
            <w:pPr>
              <w:spacing w:after="0"/>
              <w:rPr>
                <w:sz w:val="18"/>
                <w:szCs w:val="18"/>
                <w:color w:val="auto"/>
              </w:rPr>
            </w:pP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the Inline XBRL document.</w:t>
            </w:r>
          </w:p>
        </w:tc>
      </w:tr>
      <w:tr>
        <w:trPr>
          <w:trHeight w:val="211"/>
        </w:trPr>
        <w:tc>
          <w:tcPr>
            <w:tcW w:w="1260" w:type="dxa"/>
            <w:vAlign w:val="bottom"/>
          </w:tcPr>
          <w:p>
            <w:pPr>
              <w:ind w:left="20"/>
              <w:spacing w:after="0"/>
              <w:rPr>
                <w:sz w:val="20"/>
                <w:szCs w:val="20"/>
                <w:color w:val="auto"/>
              </w:rPr>
            </w:pPr>
            <w:r>
              <w:rPr>
                <w:rFonts w:ascii="Arial" w:cs="Arial" w:eastAsia="Arial" w:hAnsi="Arial"/>
                <w:sz w:val="16"/>
                <w:szCs w:val="16"/>
                <w:color w:val="auto"/>
              </w:rPr>
              <w:t>101.SCH</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3"/>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1"/>
        </w:trPr>
        <w:tc>
          <w:tcPr>
            <w:tcW w:w="1260" w:type="dxa"/>
            <w:vAlign w:val="bottom"/>
          </w:tcPr>
          <w:p>
            <w:pPr>
              <w:ind w:left="20"/>
              <w:spacing w:after="0"/>
              <w:rPr>
                <w:sz w:val="20"/>
                <w:szCs w:val="20"/>
                <w:color w:val="auto"/>
              </w:rPr>
            </w:pPr>
            <w:r>
              <w:rPr>
                <w:rFonts w:ascii="Arial" w:cs="Arial" w:eastAsia="Arial" w:hAnsi="Arial"/>
                <w:sz w:val="16"/>
                <w:szCs w:val="16"/>
                <w:color w:val="auto"/>
              </w:rPr>
              <w:t>101.DEF</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3"/>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0"/>
        </w:trPr>
        <w:tc>
          <w:tcPr>
            <w:tcW w:w="1260" w:type="dxa"/>
            <w:vAlign w:val="bottom"/>
          </w:tcPr>
          <w:p>
            <w:pPr>
              <w:ind w:left="20"/>
              <w:spacing w:after="0"/>
              <w:rPr>
                <w:sz w:val="20"/>
                <w:szCs w:val="20"/>
                <w:color w:val="auto"/>
              </w:rPr>
            </w:pPr>
            <w:r>
              <w:rPr>
                <w:rFonts w:ascii="Arial" w:cs="Arial" w:eastAsia="Arial" w:hAnsi="Arial"/>
                <w:sz w:val="16"/>
                <w:szCs w:val="16"/>
                <w:color w:val="auto"/>
              </w:rPr>
              <w:t>101.PRE</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1" w:lineRule="exact"/>
        <w:rPr>
          <w:sz w:val="20"/>
          <w:szCs w:val="20"/>
          <w:color w:val="auto"/>
        </w:rPr>
      </w:pPr>
    </w:p>
    <w:p>
      <w:pPr>
        <w:ind w:left="1260" w:hanging="1236"/>
        <w:spacing w:after="0"/>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Cover page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7"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-683895</wp:posOffset>
            </wp:positionV>
            <wp:extent cx="7134860" cy="134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34"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274"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April 26,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2880995</wp:posOffset>
            </wp:positionH>
            <wp:positionV relativeFrom="paragraph">
              <wp:posOffset>18415</wp:posOffset>
            </wp:positionV>
            <wp:extent cx="41059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Stephen M. Nolan</w:t>
      </w:r>
    </w:p>
    <w:p>
      <w:pPr>
        <w:ind w:left="4560"/>
        <w:spacing w:after="0" w:line="207" w:lineRule="auto"/>
        <w:rPr>
          <w:sz w:val="20"/>
          <w:szCs w:val="20"/>
          <w:color w:val="auto"/>
        </w:rPr>
      </w:pPr>
      <w:r>
        <w:rPr>
          <w:rFonts w:ascii="Arial" w:cs="Arial" w:eastAsia="Arial" w:hAnsi="Arial"/>
          <w:sz w:val="16"/>
          <w:szCs w:val="16"/>
          <w:color w:val="auto"/>
        </w:rPr>
        <w:t>Chief Financial Officer and Treasurer</w:t>
      </w:r>
    </w:p>
    <w:p>
      <w:pPr>
        <w:ind w:left="456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111"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1" w:lineRule="exact"/>
        <w:rPr>
          <w:rFonts w:ascii="Arial" w:cs="Arial" w:eastAsia="Arial" w:hAnsi="Arial"/>
          <w:sz w:val="18"/>
          <w:szCs w:val="18"/>
          <w:color w:val="auto"/>
        </w:rPr>
      </w:pPr>
    </w:p>
    <w:p>
      <w:pPr>
        <w:jc w:val="both"/>
        <w:ind w:left="320" w:hanging="314"/>
        <w:spacing w:after="0" w:line="260" w:lineRule="auto"/>
        <w:tabs>
          <w:tab w:leader="none" w:pos="3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320" w:right="20" w:hanging="314"/>
        <w:spacing w:after="0" w:line="274" w:lineRule="auto"/>
        <w:tabs>
          <w:tab w:leader="none" w:pos="3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Arial" w:cs="Arial" w:eastAsia="Arial" w:hAnsi="Arial"/>
          <w:sz w:val="18"/>
          <w:szCs w:val="18"/>
          <w:color w:val="auto"/>
        </w:rPr>
      </w:pPr>
    </w:p>
    <w:p>
      <w:pPr>
        <w:jc w:val="both"/>
        <w:ind w:left="320" w:hanging="314"/>
        <w:spacing w:after="0" w:line="260" w:lineRule="auto"/>
        <w:tabs>
          <w:tab w:leader="none" w:pos="3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jc w:val="both"/>
        <w:ind w:left="640" w:hanging="316"/>
        <w:spacing w:after="0" w:line="260" w:lineRule="auto"/>
        <w:tabs>
          <w:tab w:leader="none" w:pos="6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jc w:val="both"/>
        <w:ind w:left="640" w:hanging="316"/>
        <w:spacing w:after="0" w:line="260" w:lineRule="auto"/>
        <w:tabs>
          <w:tab w:leader="none" w:pos="6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640" w:hanging="316"/>
        <w:spacing w:after="0" w:line="260" w:lineRule="auto"/>
        <w:tabs>
          <w:tab w:leader="none" w:pos="634"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jc w:val="both"/>
        <w:ind w:left="640" w:hanging="316"/>
        <w:spacing w:after="0" w:line="260" w:lineRule="auto"/>
        <w:tabs>
          <w:tab w:leader="none" w:pos="6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8"/>
          <w:szCs w:val="18"/>
          <w:color w:val="auto"/>
        </w:rPr>
      </w:pPr>
    </w:p>
    <w:p>
      <w:pPr>
        <w:jc w:val="both"/>
        <w:ind w:left="320" w:hanging="314"/>
        <w:spacing w:after="0" w:line="260" w:lineRule="auto"/>
        <w:tabs>
          <w:tab w:leader="none" w:pos="3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640" w:hanging="316"/>
        <w:spacing w:after="0" w:line="274" w:lineRule="auto"/>
        <w:tabs>
          <w:tab w:leader="none" w:pos="6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Arial" w:cs="Arial" w:eastAsia="Arial" w:hAnsi="Arial"/>
          <w:sz w:val="18"/>
          <w:szCs w:val="18"/>
          <w:color w:val="auto"/>
        </w:rPr>
      </w:pPr>
    </w:p>
    <w:p>
      <w:pPr>
        <w:ind w:left="640" w:hanging="316"/>
        <w:spacing w:after="0" w:line="274" w:lineRule="auto"/>
        <w:tabs>
          <w:tab w:leader="none" w:pos="6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4" w:lineRule="exact"/>
        <w:rPr>
          <w:sz w:val="20"/>
          <w:szCs w:val="20"/>
          <w:color w:val="auto"/>
        </w:rPr>
      </w:pPr>
    </w:p>
    <w:p>
      <w:pPr>
        <w:ind w:left="20"/>
        <w:spacing w:after="0"/>
        <w:tabs>
          <w:tab w:leader="none" w:pos="4160" w:val="left"/>
          <w:tab w:leader="none" w:pos="4620" w:val="left"/>
        </w:tabs>
        <w:rPr>
          <w:sz w:val="20"/>
          <w:szCs w:val="20"/>
          <w:color w:val="auto"/>
        </w:rPr>
      </w:pPr>
      <w:r>
        <w:rPr>
          <w:rFonts w:ascii="Arial" w:cs="Arial" w:eastAsia="Arial" w:hAnsi="Arial"/>
          <w:sz w:val="18"/>
          <w:szCs w:val="18"/>
          <w:color w:val="auto"/>
        </w:rPr>
        <w:t>Date: April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13970</wp:posOffset>
            </wp:positionV>
            <wp:extent cx="41814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81475" cy="8255"/>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color w:val="auto"/>
        </w:rPr>
        <w:t>A. William Higgins</w:t>
      </w:r>
    </w:p>
    <w:p>
      <w:pPr>
        <w:ind w:left="4640"/>
        <w:spacing w:after="0" w:line="199"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76"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111"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1" w:lineRule="exact"/>
        <w:rPr>
          <w:rFonts w:ascii="Arial" w:cs="Arial" w:eastAsia="Arial" w:hAnsi="Arial"/>
          <w:sz w:val="18"/>
          <w:szCs w:val="18"/>
          <w:color w:val="auto"/>
        </w:rPr>
      </w:pPr>
    </w:p>
    <w:p>
      <w:pPr>
        <w:jc w:val="both"/>
        <w:ind w:left="320" w:hanging="314"/>
        <w:spacing w:after="0" w:line="260" w:lineRule="auto"/>
        <w:tabs>
          <w:tab w:leader="none" w:pos="3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320" w:right="20" w:hanging="314"/>
        <w:spacing w:after="0" w:line="274" w:lineRule="auto"/>
        <w:tabs>
          <w:tab w:leader="none" w:pos="3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Arial" w:cs="Arial" w:eastAsia="Arial" w:hAnsi="Arial"/>
          <w:sz w:val="18"/>
          <w:szCs w:val="18"/>
          <w:color w:val="auto"/>
        </w:rPr>
      </w:pPr>
    </w:p>
    <w:p>
      <w:pPr>
        <w:jc w:val="both"/>
        <w:ind w:left="320" w:hanging="314"/>
        <w:spacing w:after="0" w:line="260" w:lineRule="auto"/>
        <w:tabs>
          <w:tab w:leader="none" w:pos="3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jc w:val="both"/>
        <w:ind w:left="640" w:hanging="316"/>
        <w:spacing w:after="0" w:line="260" w:lineRule="auto"/>
        <w:tabs>
          <w:tab w:leader="none" w:pos="6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jc w:val="both"/>
        <w:ind w:left="640" w:hanging="316"/>
        <w:spacing w:after="0" w:line="260" w:lineRule="auto"/>
        <w:tabs>
          <w:tab w:leader="none" w:pos="6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640" w:hanging="316"/>
        <w:spacing w:after="0" w:line="260" w:lineRule="auto"/>
        <w:tabs>
          <w:tab w:leader="none" w:pos="634"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jc w:val="both"/>
        <w:ind w:left="640" w:hanging="316"/>
        <w:spacing w:after="0" w:line="260" w:lineRule="auto"/>
        <w:tabs>
          <w:tab w:leader="none" w:pos="6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8"/>
          <w:szCs w:val="18"/>
          <w:color w:val="auto"/>
        </w:rPr>
      </w:pPr>
    </w:p>
    <w:p>
      <w:pPr>
        <w:jc w:val="both"/>
        <w:ind w:left="320" w:hanging="314"/>
        <w:spacing w:after="0" w:line="260" w:lineRule="auto"/>
        <w:tabs>
          <w:tab w:leader="none" w:pos="3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640" w:hanging="316"/>
        <w:spacing w:after="0" w:line="274" w:lineRule="auto"/>
        <w:tabs>
          <w:tab w:leader="none" w:pos="6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Arial" w:cs="Arial" w:eastAsia="Arial" w:hAnsi="Arial"/>
          <w:sz w:val="18"/>
          <w:szCs w:val="18"/>
          <w:color w:val="auto"/>
        </w:rPr>
      </w:pPr>
    </w:p>
    <w:p>
      <w:pPr>
        <w:ind w:left="640" w:hanging="316"/>
        <w:spacing w:after="0" w:line="274" w:lineRule="auto"/>
        <w:tabs>
          <w:tab w:leader="none" w:pos="6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4" w:lineRule="exact"/>
        <w:rPr>
          <w:sz w:val="20"/>
          <w:szCs w:val="20"/>
          <w:color w:val="auto"/>
        </w:rPr>
      </w:pPr>
    </w:p>
    <w:p>
      <w:pPr>
        <w:ind w:left="20"/>
        <w:spacing w:after="0"/>
        <w:tabs>
          <w:tab w:leader="none" w:pos="4160" w:val="left"/>
          <w:tab w:leader="none" w:pos="4620" w:val="left"/>
        </w:tabs>
        <w:rPr>
          <w:sz w:val="20"/>
          <w:szCs w:val="20"/>
          <w:color w:val="auto"/>
        </w:rPr>
      </w:pPr>
      <w:r>
        <w:rPr>
          <w:rFonts w:ascii="Arial" w:cs="Arial" w:eastAsia="Arial" w:hAnsi="Arial"/>
          <w:sz w:val="18"/>
          <w:szCs w:val="18"/>
          <w:color w:val="auto"/>
        </w:rPr>
        <w:t>Date: April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13970</wp:posOffset>
            </wp:positionV>
            <wp:extent cx="41814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81475" cy="8255"/>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color w:val="auto"/>
        </w:rPr>
        <w:t>Stephen M. Nolan</w:t>
      </w:r>
    </w:p>
    <w:p>
      <w:pPr>
        <w:ind w:left="4640"/>
        <w:spacing w:after="0" w:line="199"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6"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March 31, 2022, as filed with the Securities and Exchange Commission on the date hereof (the Report), A. William Higgins, President and Chief Executive Officer, and Stephen M. Nolan, Chief Financial Officer and Treasurer of the Company, certify, pursuant to 18 U.S.C. § 1350, as adopted pursuant to § 906 of the Sarbanes-Oxley Act of 2002, that:</w:t>
      </w:r>
    </w:p>
    <w:p>
      <w:pPr>
        <w:spacing w:after="0" w:line="74"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1" w:lineRule="exact"/>
        <w:rPr>
          <w:rFonts w:ascii="Arial" w:cs="Arial" w:eastAsia="Arial" w:hAnsi="Arial"/>
          <w:sz w:val="18"/>
          <w:szCs w:val="18"/>
          <w:color w:val="auto"/>
        </w:rPr>
      </w:pPr>
    </w:p>
    <w:p>
      <w:pPr>
        <w:ind w:left="320" w:hanging="314"/>
        <w:spacing w:after="0" w:line="274" w:lineRule="auto"/>
        <w:tabs>
          <w:tab w:leader="none" w:pos="3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4" w:lineRule="exact"/>
        <w:rPr>
          <w:sz w:val="20"/>
          <w:szCs w:val="20"/>
          <w:color w:val="auto"/>
        </w:rPr>
      </w:pPr>
    </w:p>
    <w:p>
      <w:pPr>
        <w:ind w:left="1120"/>
        <w:spacing w:after="0"/>
        <w:tabs>
          <w:tab w:leader="none" w:pos="4860" w:val="left"/>
        </w:tabs>
        <w:rPr>
          <w:sz w:val="20"/>
          <w:szCs w:val="20"/>
          <w:color w:val="auto"/>
        </w:rPr>
      </w:pPr>
      <w:r>
        <w:rPr>
          <w:rFonts w:ascii="Arial" w:cs="Arial" w:eastAsia="Arial" w:hAnsi="Arial"/>
          <w:sz w:val="18"/>
          <w:szCs w:val="18"/>
          <w:color w:val="auto"/>
        </w:rPr>
        <w:t>Date: April 26, 2022</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13970</wp:posOffset>
            </wp:positionV>
            <wp:extent cx="33483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William Higgins</w:t>
      </w:r>
    </w:p>
    <w:p>
      <w:pPr>
        <w:ind w:left="4880"/>
        <w:spacing w:after="0" w:line="199"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1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13970</wp:posOffset>
            </wp:positionV>
            <wp:extent cx="33483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Stephen M. Nolan</w:t>
      </w:r>
    </w:p>
    <w:p>
      <w:pPr>
        <w:ind w:left="4880"/>
        <w:spacing w:after="0" w:line="199"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6"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(99.1)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March 31, 2022</w:t>
      </w:r>
    </w:p>
    <w:p>
      <w:pPr>
        <w:spacing w:after="0" w:line="228" w:lineRule="exact"/>
        <w:rPr>
          <w:sz w:val="20"/>
          <w:szCs w:val="20"/>
          <w:color w:val="auto"/>
        </w:rPr>
      </w:pPr>
    </w:p>
    <w:p>
      <w:pPr>
        <w:ind w:right="380" w:firstLine="636"/>
        <w:spacing w:after="0" w:line="274"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46" w:lineRule="exact"/>
        <w:rPr>
          <w:sz w:val="20"/>
          <w:szCs w:val="20"/>
          <w:color w:val="auto"/>
        </w:rPr>
      </w:pPr>
    </w:p>
    <w:p>
      <w:pPr>
        <w:ind w:right="20" w:firstLine="636"/>
        <w:spacing w:after="0" w:line="264" w:lineRule="auto"/>
        <w:rPr>
          <w:sz w:val="20"/>
          <w:szCs w:val="20"/>
          <w:color w:val="auto"/>
        </w:rPr>
      </w:pPr>
      <w:r>
        <w:rPr>
          <w:rFonts w:ascii="Arial" w:cs="Arial" w:eastAsia="Arial" w:hAnsi="Arial"/>
          <w:sz w:val="17"/>
          <w:szCs w:val="17"/>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$724.4 million. The potential loss in fair value resulting from a hypothetical 10% adverse change in quoted foreign currency exchange rates amounts to $72.4 million. Furthermore, related to foreign currency transactions, we have exposure to various nonfunctional currency balances totaling $161.5 million. This amount includes, on an absolute basis, exposures to assets and liabilities held in currencies other than our local entity’s functional currency. On a net basis, we had 128.4 million of foreign currency liabilities as of March 31, 2022. As currency rates change, these nonfunctional currency balances are revalued, and the corresponding adjustment is recorded in the income statement. A hypothetical change of 10% in currency rates could result in an adjustment to the income statement of approximately $12.8 million. Actual results may differ.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March 31, 2022,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tbl>
      <w:tblPr>
        <w:tblLayout w:type="fixed"/>
        <w:tblInd w:w="0" w:type="dxa"/>
        <w:tblCellMar>
          <w:top w:w="0" w:type="dxa"/>
          <w:left w:w="0" w:type="dxa"/>
          <w:bottom w:w="0" w:type="dxa"/>
          <w:right w:w="0" w:type="dxa"/>
        </w:tblCellMar>
      </w:tblPr>
      <w:tr>
        <w:trPr>
          <w:trHeight w:val="191"/>
        </w:trPr>
        <w:tc>
          <w:tcPr>
            <w:tcW w:w="9360" w:type="dxa"/>
            <w:vAlign w:val="bottom"/>
            <w:shd w:val="clear" w:color="auto" w:fill="BFE4FF"/>
          </w:tcPr>
          <w:p>
            <w:pPr>
              <w:ind w:left="20"/>
              <w:spacing w:after="0" w:line="191" w:lineRule="exact"/>
              <w:rPr>
                <w:sz w:val="20"/>
                <w:szCs w:val="20"/>
                <w:color w:val="auto"/>
              </w:rPr>
            </w:pPr>
            <w:r>
              <w:rPr>
                <w:rFonts w:ascii="Arial" w:cs="Arial" w:eastAsia="Arial" w:hAnsi="Arial"/>
                <w:sz w:val="18"/>
                <w:szCs w:val="18"/>
                <w:color w:val="auto"/>
              </w:rPr>
              <w:t>Credit agreement with borrowings outstanding, net of fixed rate portion, at an end of period interest rate of 2.085%</w:t>
            </w:r>
          </w:p>
        </w:tc>
        <w:tc>
          <w:tcPr>
            <w:tcW w:w="1880" w:type="dxa"/>
            <w:vAlign w:val="bottom"/>
            <w:shd w:val="clear" w:color="auto" w:fill="BFE4FF"/>
          </w:tcPr>
          <w:p>
            <w:pPr>
              <w:spacing w:after="0"/>
              <w:rPr>
                <w:sz w:val="16"/>
                <w:szCs w:val="16"/>
                <w:color w:val="auto"/>
              </w:rPr>
            </w:pPr>
          </w:p>
        </w:tc>
      </w:tr>
      <w:tr>
        <w:trPr>
          <w:trHeight w:val="238"/>
        </w:trPr>
        <w:tc>
          <w:tcPr>
            <w:tcW w:w="936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in 2022, due in 2024</w:t>
            </w:r>
          </w:p>
        </w:tc>
        <w:tc>
          <w:tcPr>
            <w:tcW w:w="1880" w:type="dxa"/>
            <w:vAlign w:val="bottom"/>
            <w:tcBorders>
              <w:bottom w:val="single" w:sz="8" w:color="auto"/>
            </w:tcBorders>
            <w:shd w:val="clear" w:color="auto" w:fill="BFE4FF"/>
          </w:tcPr>
          <w:p>
            <w:pPr>
              <w:jc w:val="right"/>
              <w:ind w:right="712"/>
              <w:spacing w:after="0"/>
              <w:rPr>
                <w:sz w:val="20"/>
                <w:szCs w:val="20"/>
                <w:color w:val="auto"/>
              </w:rPr>
            </w:pPr>
            <w:r>
              <w:rPr>
                <w:rFonts w:ascii="Arial" w:cs="Arial" w:eastAsia="Arial" w:hAnsi="Arial"/>
                <w:sz w:val="18"/>
                <w:szCs w:val="18"/>
                <w:color w:val="auto"/>
              </w:rPr>
              <w:t>$77,000</w:t>
            </w:r>
          </w:p>
        </w:tc>
      </w:tr>
      <w:tr>
        <w:trPr>
          <w:trHeight w:val="219"/>
        </w:trPr>
        <w:tc>
          <w:tcPr>
            <w:tcW w:w="9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$77,000</w:t>
            </w:r>
          </w:p>
        </w:tc>
      </w:tr>
    </w:tbl>
    <w:p>
      <w:pPr>
        <w:spacing w:after="0" w:line="314" w:lineRule="exact"/>
        <w:rPr>
          <w:sz w:val="20"/>
          <w:szCs w:val="20"/>
          <w:color w:val="auto"/>
        </w:rPr>
      </w:pPr>
    </w:p>
    <w:p>
      <w:pPr>
        <w:ind w:right="20" w:firstLine="636"/>
        <w:spacing w:after="0" w:line="255"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$ 0.8 million. To manage interest rate risk, we may periodically enter into interest rate swap agreements to effectively fix the interest rates on variable debt to a specific rate for a period of time. (See Note 15 to the Consolidated Financial Statements in Item 1, which is incorporated herein by reference).</w:t>
      </w:r>
    </w:p>
    <w:sectPr>
      <w:pgSz w:w="11900" w:h="16838" w:orient="portrait"/>
      <w:cols w:equalWidth="0" w:num="1">
        <w:col w:w="11240"/>
      </w:cols>
      <w:pgMar w:left="320" w:top="10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decimal"/>
      <w:start w:val="15"/>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2022-04-26T12:40:32Z</dcterms:created>
  <dcterms:modified xsi:type="dcterms:W3CDTF">2022-04-26T12:40:32Z</dcterms:modified>
</cp:coreProperties>
</file>